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both"/>
        <w:rPr>
          <w:rFonts w:hint="eastAsia" w:ascii="方正黑体_GBK" w:hAnsi="方正黑体_GBK" w:eastAsia="方正黑体_GBK" w:cs="方正黑体_GBK"/>
          <w:b w:val="0"/>
          <w:bCs w:val="0"/>
          <w:color w:val="000000"/>
          <w:kern w:val="0"/>
          <w:sz w:val="36"/>
          <w:szCs w:val="36"/>
          <w:lang w:val="en-US" w:eastAsia="zh-CN" w:bidi="ar"/>
        </w:rPr>
      </w:pPr>
      <w:r>
        <w:rPr>
          <w:rFonts w:hint="eastAsia" w:ascii="方正黑体_GBK" w:hAnsi="方正黑体_GBK" w:eastAsia="方正黑体_GBK" w:cs="方正黑体_GBK"/>
          <w:b w:val="0"/>
          <w:bCs w:val="0"/>
          <w:color w:val="000000"/>
          <w:kern w:val="0"/>
          <w:sz w:val="36"/>
          <w:szCs w:val="36"/>
          <w:lang w:val="en-US" w:eastAsia="zh-CN" w:bidi="ar"/>
        </w:rPr>
        <w:t>附件</w:t>
      </w:r>
    </w:p>
    <w:p>
      <w:pPr>
        <w:keepNext w:val="0"/>
        <w:keepLines w:val="0"/>
        <w:widowControl/>
        <w:suppressLineNumbers w:val="0"/>
        <w:adjustRightInd w:val="0"/>
        <w:snapToGrid w:val="0"/>
        <w:spacing w:line="600" w:lineRule="exact"/>
        <w:ind w:firstLine="0" w:firstLineChars="0"/>
        <w:jc w:val="center"/>
        <w:rPr>
          <w:rFonts w:hint="eastAsia" w:ascii="方正小标宋_GBK" w:hAnsi="方正小标宋_GBK" w:eastAsia="方正小标宋_GBK" w:cs="方正小标宋_GBK"/>
          <w:b w:val="0"/>
          <w:bCs w:val="0"/>
          <w:snapToGrid w:val="0"/>
          <w:kern w:val="21"/>
          <w:sz w:val="40"/>
          <w:szCs w:val="40"/>
          <w:lang w:bidi="ar-SA"/>
        </w:rPr>
      </w:pPr>
      <w:r>
        <w:rPr>
          <w:rFonts w:hint="eastAsia" w:ascii="方正小标宋_GBK" w:hAnsi="方正小标宋_GBK" w:eastAsia="方正小标宋_GBK" w:cs="方正小标宋_GBK"/>
          <w:b w:val="0"/>
          <w:bCs w:val="0"/>
          <w:snapToGrid w:val="0"/>
          <w:kern w:val="21"/>
          <w:sz w:val="40"/>
          <w:szCs w:val="40"/>
          <w:lang w:val="en-US" w:eastAsia="zh-CN" w:bidi="ar-SA"/>
        </w:rPr>
        <w:t xml:space="preserve"> </w:t>
      </w:r>
      <w:r>
        <w:rPr>
          <w:rFonts w:hint="eastAsia" w:ascii="方正小标宋_GBK" w:hAnsi="方正小标宋_GBK" w:eastAsia="方正小标宋_GBK" w:cs="方正小标宋_GBK"/>
          <w:b w:val="0"/>
          <w:bCs w:val="0"/>
          <w:snapToGrid w:val="0"/>
          <w:kern w:val="21"/>
          <w:sz w:val="40"/>
          <w:szCs w:val="40"/>
          <w:lang w:bidi="ar-SA"/>
        </w:rPr>
        <w:t>202</w:t>
      </w:r>
      <w:r>
        <w:rPr>
          <w:rFonts w:hint="eastAsia" w:ascii="方正小标宋_GBK" w:hAnsi="方正小标宋_GBK" w:eastAsia="方正小标宋_GBK" w:cs="方正小标宋_GBK"/>
          <w:b w:val="0"/>
          <w:bCs w:val="0"/>
          <w:snapToGrid w:val="0"/>
          <w:kern w:val="21"/>
          <w:sz w:val="40"/>
          <w:szCs w:val="40"/>
          <w:lang w:val="en-US" w:eastAsia="zh-CN" w:bidi="ar-SA"/>
        </w:rPr>
        <w:t>5</w:t>
      </w:r>
      <w:r>
        <w:rPr>
          <w:rFonts w:hint="eastAsia" w:ascii="方正小标宋_GBK" w:hAnsi="方正小标宋_GBK" w:eastAsia="方正小标宋_GBK" w:cs="方正小标宋_GBK"/>
          <w:b w:val="0"/>
          <w:bCs w:val="0"/>
          <w:snapToGrid w:val="0"/>
          <w:kern w:val="21"/>
          <w:sz w:val="40"/>
          <w:szCs w:val="40"/>
          <w:lang w:bidi="ar-SA"/>
        </w:rPr>
        <w:t>年度第</w:t>
      </w:r>
      <w:r>
        <w:rPr>
          <w:rFonts w:hint="eastAsia" w:ascii="方正小标宋_GBK" w:hAnsi="方正小标宋_GBK" w:eastAsia="方正小标宋_GBK" w:cs="方正小标宋_GBK"/>
          <w:b w:val="0"/>
          <w:bCs w:val="0"/>
          <w:snapToGrid w:val="0"/>
          <w:kern w:val="21"/>
          <w:sz w:val="40"/>
          <w:szCs w:val="40"/>
          <w:lang w:eastAsia="zh-CN" w:bidi="ar-SA"/>
        </w:rPr>
        <w:t>四</w:t>
      </w:r>
      <w:r>
        <w:rPr>
          <w:rFonts w:hint="eastAsia" w:ascii="方正小标宋_GBK" w:hAnsi="方正小标宋_GBK" w:eastAsia="方正小标宋_GBK" w:cs="方正小标宋_GBK"/>
          <w:b w:val="0"/>
          <w:bCs w:val="0"/>
          <w:snapToGrid w:val="0"/>
          <w:kern w:val="21"/>
          <w:sz w:val="40"/>
          <w:szCs w:val="40"/>
          <w:lang w:bidi="ar-SA"/>
        </w:rPr>
        <w:t>季度</w:t>
      </w:r>
      <w:r>
        <w:rPr>
          <w:rFonts w:hint="eastAsia" w:ascii="方正小标宋_GBK" w:hAnsi="方正小标宋_GBK" w:eastAsia="方正小标宋_GBK" w:cs="方正小标宋_GBK"/>
          <w:b w:val="0"/>
          <w:bCs w:val="0"/>
          <w:snapToGrid w:val="0"/>
          <w:kern w:val="21"/>
          <w:sz w:val="40"/>
          <w:szCs w:val="40"/>
          <w:lang w:eastAsia="zh-CN" w:bidi="ar-SA"/>
        </w:rPr>
        <w:t>、</w:t>
      </w:r>
      <w:r>
        <w:rPr>
          <w:rFonts w:hint="eastAsia" w:ascii="方正小标宋_GBK" w:hAnsi="方正小标宋_GBK" w:eastAsia="方正小标宋_GBK" w:cs="方正小标宋_GBK"/>
          <w:b w:val="0"/>
          <w:bCs w:val="0"/>
          <w:snapToGrid w:val="0"/>
          <w:kern w:val="21"/>
          <w:sz w:val="40"/>
          <w:szCs w:val="40"/>
          <w:lang w:val="en-US" w:eastAsia="zh-CN" w:bidi="ar-SA"/>
        </w:rPr>
        <w:t>2026年第一季度生态环境影响评价</w:t>
      </w:r>
      <w:r>
        <w:rPr>
          <w:rFonts w:hint="eastAsia" w:ascii="方正小标宋_GBK" w:hAnsi="方正小标宋_GBK" w:eastAsia="方正小标宋_GBK" w:cs="方正小标宋_GBK"/>
          <w:b w:val="0"/>
          <w:bCs w:val="0"/>
          <w:snapToGrid w:val="0"/>
          <w:kern w:val="21"/>
          <w:sz w:val="40"/>
          <w:szCs w:val="40"/>
          <w:lang w:bidi="ar-SA"/>
        </w:rPr>
        <w:t>文件</w:t>
      </w:r>
      <w:r>
        <w:rPr>
          <w:rFonts w:hint="eastAsia" w:ascii="方正小标宋_GBK" w:hAnsi="方正小标宋_GBK" w:eastAsia="方正小标宋_GBK" w:cs="方正小标宋_GBK"/>
          <w:b w:val="0"/>
          <w:bCs w:val="0"/>
          <w:snapToGrid w:val="0"/>
          <w:kern w:val="21"/>
          <w:sz w:val="40"/>
          <w:szCs w:val="40"/>
          <w:lang w:val="en-US" w:eastAsia="zh-CN" w:bidi="ar-SA"/>
        </w:rPr>
        <w:t>技术</w:t>
      </w:r>
      <w:r>
        <w:rPr>
          <w:rFonts w:hint="eastAsia" w:ascii="方正小标宋_GBK" w:hAnsi="方正小标宋_GBK" w:eastAsia="方正小标宋_GBK" w:cs="方正小标宋_GBK"/>
          <w:b w:val="0"/>
          <w:bCs w:val="0"/>
          <w:snapToGrid w:val="0"/>
          <w:kern w:val="21"/>
          <w:sz w:val="40"/>
          <w:szCs w:val="40"/>
          <w:lang w:bidi="ar-SA"/>
        </w:rPr>
        <w:t>复核发现问题和处理意</w:t>
      </w:r>
      <w:r>
        <w:rPr>
          <w:rFonts w:hint="eastAsia" w:ascii="方正小标宋_GBK" w:hAnsi="方正小标宋_GBK" w:eastAsia="方正小标宋_GBK" w:cs="方正小标宋_GBK"/>
          <w:b w:val="0"/>
          <w:bCs w:val="0"/>
          <w:snapToGrid w:val="0"/>
          <w:kern w:val="21"/>
          <w:sz w:val="40"/>
          <w:szCs w:val="40"/>
          <w:lang w:val="en-US" w:eastAsia="zh-CN" w:bidi="ar-SA"/>
        </w:rPr>
        <w:t>见</w:t>
      </w:r>
      <w:bookmarkStart w:id="0" w:name="_GoBack"/>
      <w:bookmarkEnd w:id="0"/>
    </w:p>
    <w:tbl>
      <w:tblPr>
        <w:tblStyle w:val="4"/>
        <w:tblW w:w="523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781"/>
        <w:gridCol w:w="1604"/>
        <w:gridCol w:w="6580"/>
        <w:gridCol w:w="2850"/>
        <w:gridCol w:w="2765"/>
        <w:gridCol w:w="2742"/>
        <w:gridCol w:w="2541"/>
        <w:gridCol w:w="22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7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序号</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环评文件</w:t>
            </w:r>
          </w:p>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名称</w:t>
            </w:r>
          </w:p>
        </w:tc>
        <w:tc>
          <w:tcPr>
            <w:tcW w:w="148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环评文件存在的一般质量问题</w:t>
            </w:r>
          </w:p>
        </w:tc>
        <w:tc>
          <w:tcPr>
            <w:tcW w:w="643" w:type="pct"/>
            <w:tcBorders>
              <w:tl2br w:val="nil"/>
              <w:tr2bl w:val="nil"/>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建设单位</w:t>
            </w:r>
          </w:p>
          <w:p>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处理意见</w:t>
            </w:r>
          </w:p>
        </w:tc>
        <w:tc>
          <w:tcPr>
            <w:tcW w:w="624" w:type="pct"/>
            <w:tcBorders>
              <w:tl2br w:val="nil"/>
              <w:tr2bl w:val="nil"/>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编制单位</w:t>
            </w:r>
          </w:p>
          <w:p>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处理意见</w:t>
            </w:r>
          </w:p>
        </w:tc>
        <w:tc>
          <w:tcPr>
            <w:tcW w:w="619" w:type="pct"/>
            <w:tcBorders>
              <w:tl2br w:val="nil"/>
              <w:tr2bl w:val="nil"/>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编制人员</w:t>
            </w:r>
          </w:p>
          <w:p>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处理意见</w:t>
            </w:r>
          </w:p>
        </w:tc>
        <w:tc>
          <w:tcPr>
            <w:tcW w:w="573" w:type="pct"/>
            <w:tcBorders>
              <w:tl2br w:val="nil"/>
              <w:tr2bl w:val="nil"/>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p>
          <w:p>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处理意见</w:t>
            </w:r>
          </w:p>
        </w:tc>
        <w:tc>
          <w:tcPr>
            <w:tcW w:w="513" w:type="pct"/>
            <w:tcBorders>
              <w:tl2br w:val="nil"/>
              <w:tr2bl w:val="nil"/>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技术评估单位</w:t>
            </w:r>
          </w:p>
          <w:p>
            <w:pPr>
              <w:keepNext w:val="0"/>
              <w:keepLines w:val="0"/>
              <w:pageBreakBefore w:val="0"/>
              <w:widowControl/>
              <w:suppressLineNumbers w:val="0"/>
              <w:kinsoku/>
              <w:wordWrap/>
              <w:overflowPunct/>
              <w:topLinePunct w:val="0"/>
              <w:autoSpaceDE/>
              <w:autoSpaceDN/>
              <w:bidi w:val="0"/>
              <w:adjustRightInd w:val="0"/>
              <w:snapToGrid w:val="0"/>
              <w:jc w:val="center"/>
              <w:textAlignment w:val="top"/>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处理意见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3"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sz w:val="24"/>
                <w:szCs w:val="24"/>
                <w:u w:val="none"/>
              </w:rPr>
              <w:t>湖南九典制药股份有限公司九典制药高端制剂研发产业园注射剂、外用制剂及固体制剂扩建项目环境影响报告表</w:t>
            </w:r>
          </w:p>
        </w:tc>
        <w:tc>
          <w:tcPr>
            <w:tcW w:w="148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afterAutospacing="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kern w:val="0"/>
                <w:sz w:val="24"/>
                <w:szCs w:val="24"/>
                <w:u w:val="none"/>
              </w:rPr>
              <w:t>废水排放标准遗漏“基准排水量”</w:t>
            </w:r>
            <w:r>
              <w:rPr>
                <w:rFonts w:hint="eastAsia" w:ascii="方正仿宋_GB2312" w:hAnsi="方正仿宋_GB2312" w:eastAsia="方正仿宋_GB2312" w:cs="方正仿宋_GB2312"/>
                <w:kern w:val="0"/>
                <w:sz w:val="24"/>
                <w:szCs w:val="24"/>
                <w:u w:val="none"/>
                <w:lang w:eastAsia="zh-CN"/>
              </w:rPr>
              <w:t>。</w:t>
            </w:r>
            <w:r>
              <w:rPr>
                <w:rFonts w:hint="eastAsia" w:ascii="方正仿宋_GB2312" w:hAnsi="方正仿宋_GB2312" w:eastAsia="方正仿宋_GB2312" w:cs="方正仿宋_GB2312"/>
                <w:kern w:val="0"/>
                <w:sz w:val="24"/>
                <w:szCs w:val="24"/>
                <w:u w:val="none"/>
              </w:rPr>
              <w:t>该项目为混装制剂类项目，应执行《混装制剂类制药工业水污染物排放标准》（GB21908-2008）管理要求，报告P46“废水排放标准”章节未明确基准排水量管理要求；不符合《混装制剂类制药工业水污染物排放标准》（GB21908-2008）“表3 水污染特别排放限值--单位产品基准排水量”管理要求</w:t>
            </w:r>
            <w:r>
              <w:rPr>
                <w:rFonts w:hint="eastAsia" w:ascii="方正仿宋_GB2312" w:hAnsi="方正仿宋_GB2312" w:eastAsia="方正仿宋_GB2312" w:cs="方正仿宋_GB2312"/>
                <w:kern w:val="0"/>
                <w:sz w:val="24"/>
                <w:szCs w:val="24"/>
                <w:u w:val="none"/>
                <w:lang w:eastAsia="zh-CN"/>
              </w:rPr>
              <w:t>。</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b w:val="0"/>
                <w:bCs w:val="0"/>
                <w:i w:val="0"/>
                <w:iCs w:val="0"/>
                <w:color w:val="auto"/>
                <w:kern w:val="0"/>
                <w:sz w:val="24"/>
                <w:szCs w:val="24"/>
                <w:u w:val="none"/>
                <w:lang w:val="en-US" w:eastAsia="zh-CN" w:bidi="ar"/>
              </w:rPr>
              <w:t>湖南九典制药股份有限公司</w:t>
            </w:r>
            <w:r>
              <w:rPr>
                <w:rFonts w:hint="eastAsia" w:ascii="仿宋" w:hAnsi="仿宋" w:eastAsia="仿宋" w:cs="仿宋"/>
                <w:i w:val="0"/>
                <w:iCs w:val="0"/>
                <w:color w:val="auto"/>
                <w:kern w:val="0"/>
                <w:sz w:val="24"/>
                <w:szCs w:val="24"/>
                <w:u w:val="none"/>
                <w:lang w:val="en-US" w:eastAsia="zh-CN" w:bidi="ar"/>
              </w:rPr>
              <w:t>（91430100722520761D）</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《监管办法》第二十六条第一款第一、五项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b w:val="0"/>
                <w:bCs w:val="0"/>
                <w:i w:val="0"/>
                <w:iCs w:val="0"/>
                <w:color w:val="auto"/>
                <w:kern w:val="0"/>
                <w:sz w:val="24"/>
                <w:szCs w:val="24"/>
                <w:u w:val="none"/>
                <w:lang w:val="en-US" w:eastAsia="zh-CN" w:bidi="ar"/>
              </w:rPr>
              <w:t>长沙川海环保科技有限公司</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（91430181MA4QX1GY0M）</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《监管办法》第二十六条第一款第一、五项，第三十一条、第三十二条第九项；《记分办法（试行）》第七条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i w:val="0"/>
                <w:iCs w:val="0"/>
                <w:color w:val="auto"/>
                <w:kern w:val="0"/>
                <w:sz w:val="24"/>
                <w:szCs w:val="24"/>
                <w:u w:val="none"/>
                <w:lang w:val="en-US" w:eastAsia="zh-CN" w:bidi="ar"/>
              </w:rPr>
              <w:t>王如意（BH011818）、王佩（BH011827）</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《监管办法》第二十六条第一款第一、五项，第三十一条、第三十二条第九项；《记分办法（试行）》第七条</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default" w:ascii="仿宋" w:hAnsi="仿宋" w:eastAsia="仿宋" w:cs="仿宋"/>
                <w:i w:val="0"/>
                <w:iCs w:val="0"/>
                <w:color w:val="auto"/>
                <w:kern w:val="0"/>
                <w:sz w:val="24"/>
                <w:szCs w:val="24"/>
                <w:u w:val="none"/>
                <w:lang w:val="en-US" w:eastAsia="zh-CN" w:bidi="ar"/>
              </w:rPr>
              <w:t>长沙市生态环境局浏阳分</w:t>
            </w:r>
            <w:r>
              <w:rPr>
                <w:rFonts w:hint="eastAsia" w:ascii="仿宋" w:hAnsi="仿宋" w:eastAsia="仿宋" w:cs="仿宋"/>
                <w:i w:val="0"/>
                <w:iCs w:val="0"/>
                <w:color w:val="auto"/>
                <w:kern w:val="0"/>
                <w:sz w:val="24"/>
                <w:szCs w:val="24"/>
                <w:u w:val="none"/>
                <w:lang w:val="en-US" w:eastAsia="zh-CN" w:bidi="ar"/>
              </w:rPr>
              <w:t>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2025年3月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82"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i w:val="0"/>
                <w:iCs w:val="0"/>
                <w:color w:val="auto"/>
                <w:sz w:val="24"/>
                <w:szCs w:val="24"/>
                <w:u w:val="none"/>
              </w:rPr>
            </w:pPr>
            <w:r>
              <w:rPr>
                <w:rFonts w:hint="eastAsia" w:ascii="方正仿宋_GB2312" w:hAnsi="方正仿宋_GB2312" w:eastAsia="方正仿宋_GB2312" w:cs="方正仿宋_GB2312"/>
                <w:sz w:val="24"/>
                <w:szCs w:val="24"/>
                <w:u w:val="none"/>
              </w:rPr>
              <w:t>蓝思科技(长沙)有限公司星沙工厂汽车座舱及微晶建设项目环境影响报告表</w:t>
            </w:r>
          </w:p>
        </w:tc>
        <w:tc>
          <w:tcPr>
            <w:tcW w:w="1486" w:type="pct"/>
            <w:tcBorders>
              <w:tl2br w:val="nil"/>
              <w:tr2bl w:val="nil"/>
            </w:tcBorders>
            <w:shd w:val="clear" w:color="auto" w:fill="auto"/>
            <w:vAlign w:val="center"/>
          </w:tcPr>
          <w:p>
            <w:pPr>
              <w:numPr>
                <w:ilvl w:val="0"/>
                <w:numId w:val="0"/>
              </w:numPr>
              <w:adjustRightInd w:val="0"/>
              <w:snapToGrid w:val="0"/>
              <w:jc w:val="left"/>
              <w:rPr>
                <w:rFonts w:hint="eastAsia" w:ascii="方正仿宋_GB2312" w:hAnsi="方正仿宋_GB2312" w:eastAsia="方正仿宋_GB2312" w:cs="方正仿宋_GB2312"/>
                <w:kern w:val="0"/>
                <w:sz w:val="24"/>
                <w:szCs w:val="24"/>
                <w:u w:val="none"/>
              </w:rPr>
            </w:pPr>
            <w:r>
              <w:rPr>
                <w:rFonts w:hint="eastAsia" w:ascii="方正仿宋_GB2312" w:hAnsi="方正仿宋_GB2312" w:eastAsia="方正仿宋_GB2312" w:cs="方正仿宋_GB2312"/>
                <w:kern w:val="0"/>
                <w:sz w:val="24"/>
                <w:szCs w:val="24"/>
                <w:u w:val="none"/>
                <w:lang w:val="en-US" w:eastAsia="zh-CN"/>
              </w:rPr>
              <w:t>1.</w:t>
            </w:r>
            <w:r>
              <w:rPr>
                <w:rFonts w:hint="eastAsia" w:ascii="方正仿宋_GB2312" w:hAnsi="方正仿宋_GB2312" w:eastAsia="方正仿宋_GB2312" w:cs="方正仿宋_GB2312"/>
                <w:kern w:val="0"/>
                <w:sz w:val="24"/>
                <w:szCs w:val="24"/>
                <w:u w:val="none"/>
              </w:rPr>
              <w:t>总磷源强核算遗漏，达标性论证缺失。原辅料包括抛光液212.16t/a（</w:t>
            </w:r>
            <w:r>
              <w:rPr>
                <w:rFonts w:hint="eastAsia" w:ascii="方正仿宋_GB2312" w:hAnsi="方正仿宋_GB2312" w:eastAsia="方正仿宋_GB2312" w:cs="方正仿宋_GB2312"/>
                <w:spacing w:val="-6"/>
                <w:kern w:val="0"/>
                <w:sz w:val="24"/>
                <w:szCs w:val="24"/>
                <w:u w:val="none"/>
              </w:rPr>
              <w:t>含六偏磷酸钠0.5~1%）、3D研磨液1011.84t/a（含六偏磷酸钠2~4%）。</w:t>
            </w:r>
            <w:r>
              <w:rPr>
                <w:rFonts w:hint="eastAsia" w:ascii="方正仿宋_GB2312" w:hAnsi="方正仿宋_GB2312" w:eastAsia="方正仿宋_GB2312" w:cs="方正仿宋_GB2312"/>
                <w:kern w:val="0"/>
                <w:sz w:val="24"/>
                <w:szCs w:val="24"/>
                <w:u w:val="none"/>
              </w:rPr>
              <w:t>报告未对抛光、研磨清洗废水中总磷（TP）进行物料衡算和源强核算，也未论证其是否满足《电子工业水污染物排放标准》（GB39731-2020）表1中间接排放限值（总磷≤8mg/L）的要求，存在排放超标风险。</w:t>
            </w:r>
          </w:p>
          <w:p>
            <w:pPr>
              <w:numPr>
                <w:ilvl w:val="0"/>
                <w:numId w:val="0"/>
              </w:numPr>
              <w:adjustRightInd w:val="0"/>
              <w:snapToGrid w:val="0"/>
              <w:jc w:val="left"/>
              <w:rPr>
                <w:rFonts w:hint="eastAsia" w:ascii="仿宋" w:hAnsi="仿宋" w:eastAsia="仿宋" w:cs="仿宋"/>
                <w:i w:val="0"/>
                <w:iCs w:val="0"/>
                <w:color w:val="auto"/>
                <w:sz w:val="24"/>
                <w:szCs w:val="24"/>
                <w:u w:val="none"/>
              </w:rPr>
            </w:pPr>
            <w:r>
              <w:rPr>
                <w:rFonts w:hint="eastAsia" w:ascii="方正仿宋_GB2312" w:hAnsi="方正仿宋_GB2312" w:eastAsia="方正仿宋_GB2312" w:cs="方正仿宋_GB2312"/>
                <w:kern w:val="0"/>
                <w:sz w:val="24"/>
                <w:szCs w:val="24"/>
                <w:u w:val="none"/>
                <w:lang w:val="en-US" w:eastAsia="zh-CN"/>
              </w:rPr>
              <w:t>2.</w:t>
            </w:r>
            <w:r>
              <w:rPr>
                <w:rFonts w:hint="eastAsia" w:ascii="方正仿宋_GB2312" w:hAnsi="方正仿宋_GB2312" w:eastAsia="方正仿宋_GB2312" w:cs="方正仿宋_GB2312"/>
                <w:kern w:val="0"/>
                <w:sz w:val="24"/>
                <w:szCs w:val="24"/>
                <w:u w:val="none"/>
              </w:rPr>
              <w:t>废水分类处理方案不合理，可行性论证不充分。（1）项目清洗废水、精雕更换废水、退镀及平检清洗废水等废水有机物含量较高仅通过“中和—混凝—沉淀”，COD、BOD、氨氮等污染物难以达到报告表4-19所承诺的去除效率，可行性论证不足。（2）报告仅引用一次日常监测数据（仅涵盖pH、SS、COD、氨氮、LAS），缺少总磷、石油类、总氮等《电子工业水污染物排放标准》（GB39731-2020）表1规定的全部特征因子监测数据，现有工程废水达标情况调查不全面，无法支撑本项目废水依托现有污水处理站处理的可行性结论。</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b w:val="0"/>
                <w:bCs w:val="0"/>
                <w:i w:val="0"/>
                <w:iCs w:val="0"/>
                <w:color w:val="auto"/>
                <w:kern w:val="0"/>
                <w:sz w:val="24"/>
                <w:szCs w:val="24"/>
                <w:u w:val="none"/>
                <w:lang w:val="en-US" w:eastAsia="zh-CN" w:bidi="ar"/>
              </w:rPr>
              <w:t>蓝思科技（长沙）有限公司（</w:t>
            </w:r>
            <w:r>
              <w:rPr>
                <w:rFonts w:hint="eastAsia" w:ascii="仿宋" w:hAnsi="仿宋" w:eastAsia="仿宋" w:cs="仿宋"/>
                <w:i w:val="0"/>
                <w:iCs w:val="0"/>
                <w:color w:val="auto"/>
                <w:kern w:val="0"/>
                <w:sz w:val="24"/>
                <w:szCs w:val="24"/>
                <w:u w:val="none"/>
                <w:lang w:val="en-US" w:eastAsia="zh-CN" w:bidi="ar"/>
              </w:rPr>
              <w:t>91430100567699262E</w:t>
            </w:r>
            <w:r>
              <w:rPr>
                <w:rFonts w:hint="eastAsia" w:ascii="仿宋" w:hAnsi="仿宋" w:eastAsia="仿宋" w:cs="仿宋"/>
                <w:b w:val="0"/>
                <w:bCs w:val="0"/>
                <w:i w:val="0"/>
                <w:iCs w:val="0"/>
                <w:color w:val="auto"/>
                <w:kern w:val="0"/>
                <w:sz w:val="24"/>
                <w:szCs w:val="24"/>
                <w:u w:val="none"/>
                <w:lang w:val="en-US" w:eastAsia="zh-CN" w:bidi="ar"/>
              </w:rPr>
              <w:t>）</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《监管办法》第二十六条第一款第五、十项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b w:val="0"/>
                <w:bCs w:val="0"/>
                <w:i w:val="0"/>
                <w:iCs w:val="0"/>
                <w:color w:val="auto"/>
                <w:kern w:val="0"/>
                <w:sz w:val="24"/>
                <w:szCs w:val="24"/>
                <w:u w:val="none"/>
                <w:lang w:val="en-US" w:eastAsia="zh-CN" w:bidi="ar"/>
              </w:rPr>
              <w:t>湖南智鹿环保技术有限公司</w:t>
            </w:r>
            <w:r>
              <w:rPr>
                <w:rFonts w:hint="eastAsia" w:ascii="仿宋" w:hAnsi="仿宋" w:eastAsia="仿宋" w:cs="仿宋"/>
                <w:i w:val="0"/>
                <w:iCs w:val="0"/>
                <w:color w:val="auto"/>
                <w:kern w:val="0"/>
                <w:sz w:val="24"/>
                <w:szCs w:val="24"/>
                <w:u w:val="none"/>
                <w:lang w:val="en-US" w:eastAsia="zh-CN" w:bidi="ar"/>
              </w:rPr>
              <w:t>（91430100MA4QA3DM3M）</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《监管办法》第二十六条第一款第五、十项，第三十一条、第三十二条第九项；《记分办法（试行）》第七条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i w:val="0"/>
                <w:iCs w:val="0"/>
                <w:color w:val="auto"/>
                <w:kern w:val="0"/>
                <w:sz w:val="24"/>
                <w:szCs w:val="24"/>
                <w:u w:val="none"/>
                <w:lang w:val="en-US" w:eastAsia="zh-CN" w:bidi="ar"/>
              </w:rPr>
              <w:t>杨慧（BH002700）、舒少华（BH070888）</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《监管办法》第二十六条第一款第五、十项，第三十一条、第三十二条第九项；《记分办法（试行）》第七条</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长沙经济技术开发区管理委员会行政审批服务局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2025年11月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3</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sz w:val="24"/>
                <w:szCs w:val="24"/>
                <w:u w:val="none"/>
              </w:rPr>
              <w:t>湖南省许广高速茶亭互通至长沙绕城高速公路项目环境影响报告书</w:t>
            </w:r>
          </w:p>
        </w:tc>
        <w:tc>
          <w:tcPr>
            <w:tcW w:w="1486" w:type="pct"/>
            <w:tcBorders>
              <w:tl2br w:val="nil"/>
              <w:tr2bl w:val="nil"/>
            </w:tcBorders>
            <w:shd w:val="clear" w:color="auto" w:fill="auto"/>
            <w:vAlign w:val="center"/>
          </w:tcPr>
          <w:p>
            <w:pPr>
              <w:numPr>
                <w:ilvl w:val="0"/>
                <w:numId w:val="0"/>
              </w:numPr>
              <w:adjustRightInd w:val="0"/>
              <w:snapToGrid w:val="0"/>
              <w:jc w:val="left"/>
              <w:rPr>
                <w:rFonts w:hint="eastAsia" w:ascii="方正仿宋_GB2312" w:hAnsi="方正仿宋_GB2312" w:eastAsia="方正仿宋_GB2312" w:cs="方正仿宋_GB2312"/>
                <w:color w:val="auto"/>
                <w:kern w:val="0"/>
                <w:sz w:val="24"/>
                <w:szCs w:val="24"/>
                <w:u w:val="none"/>
                <w:lang w:val="en-US" w:eastAsia="zh-CN" w:bidi="ar-SA"/>
              </w:rPr>
            </w:pPr>
            <w:r>
              <w:rPr>
                <w:rFonts w:hint="eastAsia" w:ascii="方正仿宋_GB2312" w:hAnsi="方正仿宋_GB2312" w:eastAsia="方正仿宋_GB2312" w:cs="方正仿宋_GB2312"/>
                <w:kern w:val="0"/>
                <w:sz w:val="24"/>
                <w:szCs w:val="24"/>
                <w:u w:val="none"/>
              </w:rPr>
              <w:t>报告文件存在多出前后描述不一致、数据不一致错误。（1）隧道弃渣处置方案前后不一致，《报告书》P103记载“隧道洞渣由路线统一调配，部分加以利用”，P229及P301则表述“隧道弃渣全部回用，主要用于路基填筑”，P325表述“本项目隧道弃渣主要用于路基填筑，无法利用的弃渣运输至弃渣场。”弃渣处置概况自相矛盾；（2）用地数据相互冲突，《报告书》P218表4.1-4记载占用耕地面积为71.5537公顷，而正文P218表述占用耕地面积为58.2780公顷，耕地数据差值达13.2757公顷（约199亩）；《报告书》表1.6-2中的园地1.506公顷、林地79.95公顷，而正文P88表述占用园地0.7631公顷、林地73.3284公顷，园地、林地数据差值分别为0.7429公顷和6.6216公顷，基本农田的占用面积三处不一致，三区三线查询结果29.4902公顷（报告书P429）、报告正文28.4446公顷（表2.6-1，P99）、路线比选表25.80公顷（表7.1-1，P365）。</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方正仿宋_GBK" w:hAnsi="方正仿宋_GBK" w:eastAsia="方正仿宋_GBK" w:cs="方正仿宋_GBK"/>
                <w:kern w:val="21"/>
                <w:sz w:val="24"/>
                <w:szCs w:val="24"/>
                <w:u w:val="none"/>
              </w:rPr>
              <w:t>湖南省茶江高速公路建设开发有限公司</w:t>
            </w:r>
            <w:r>
              <w:rPr>
                <w:rFonts w:hint="eastAsia" w:ascii="仿宋" w:hAnsi="仿宋" w:eastAsia="仿宋" w:cs="仿宋"/>
                <w:i w:val="0"/>
                <w:iCs w:val="0"/>
                <w:color w:val="auto"/>
                <w:kern w:val="0"/>
                <w:sz w:val="24"/>
                <w:szCs w:val="24"/>
                <w:u w:val="none"/>
                <w:lang w:val="en-US" w:eastAsia="zh-CN" w:bidi="ar"/>
              </w:rPr>
              <w:t>（91430100MABYWGA85H）</w:t>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《监管办法》第二十六条第一款第三项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b w:val="0"/>
                <w:bCs w:val="0"/>
                <w:i w:val="0"/>
                <w:iCs w:val="0"/>
                <w:color w:val="auto"/>
                <w:kern w:val="0"/>
                <w:sz w:val="24"/>
                <w:szCs w:val="24"/>
                <w:u w:val="none"/>
                <w:lang w:val="en-US" w:eastAsia="zh-CN" w:bidi="ar"/>
              </w:rPr>
              <w:t>湖南省交通科学研究院有限公司</w:t>
            </w:r>
            <w:r>
              <w:rPr>
                <w:rFonts w:hint="eastAsia" w:ascii="仿宋" w:hAnsi="仿宋" w:eastAsia="仿宋" w:cs="仿宋"/>
                <w:i w:val="0"/>
                <w:iCs w:val="0"/>
                <w:color w:val="auto"/>
                <w:kern w:val="0"/>
                <w:sz w:val="24"/>
                <w:szCs w:val="24"/>
                <w:u w:val="none"/>
                <w:lang w:val="en-US" w:eastAsia="zh-CN" w:bidi="ar"/>
              </w:rPr>
              <w:t>（91430000444876396C）</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《监管办法》第二十六条第一款第三项，第三十一条、第三十二条第九项；《记分办法（试行）》第七条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b w:val="0"/>
                <w:bCs w:val="0"/>
                <w:i w:val="0"/>
                <w:iCs w:val="0"/>
                <w:color w:val="auto"/>
                <w:kern w:val="0"/>
                <w:sz w:val="24"/>
                <w:szCs w:val="24"/>
                <w:u w:val="none"/>
                <w:lang w:val="en-US" w:eastAsia="zh-CN" w:bidi="ar"/>
              </w:rPr>
              <w:t>杨娇凤（BH020239）</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《监管办法》第二十六条第一款第三项，第三十一条、第三十二条第九项；《记分办法（试行）》第七条</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长沙市生态环境局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2024年12月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技术评估单位：</w:t>
            </w:r>
            <w:r>
              <w:rPr>
                <w:rFonts w:hint="eastAsia" w:ascii="仿宋" w:hAnsi="仿宋" w:eastAsia="仿宋" w:cs="仿宋"/>
                <w:b w:val="0"/>
                <w:bCs w:val="0"/>
                <w:i w:val="0"/>
                <w:iCs w:val="0"/>
                <w:color w:val="auto"/>
                <w:kern w:val="0"/>
                <w:sz w:val="24"/>
                <w:szCs w:val="24"/>
                <w:u w:val="none"/>
                <w:lang w:val="en-US" w:eastAsia="zh-CN" w:bidi="ar"/>
              </w:rPr>
              <w:t>长沙环境保护职业技术学院</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仿宋" w:hAnsi="仿宋" w:eastAsia="仿宋" w:cs="仿宋"/>
                <w:b/>
                <w:bCs/>
                <w:i w:val="0"/>
                <w:iCs w:val="0"/>
                <w:color w:val="auto"/>
                <w:kern w:val="0"/>
                <w:sz w:val="24"/>
                <w:szCs w:val="24"/>
                <w:u w:val="none"/>
                <w:lang w:val="en-US" w:eastAsia="zh-CN" w:bidi="ar"/>
              </w:rPr>
            </w:pP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01"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4</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color w:val="auto"/>
                <w:kern w:val="2"/>
                <w:sz w:val="24"/>
                <w:szCs w:val="24"/>
                <w:u w:val="none"/>
                <w:lang w:val="en-US" w:eastAsia="zh-CN" w:bidi="ar-SA"/>
              </w:rPr>
            </w:pPr>
            <w:r>
              <w:rPr>
                <w:rFonts w:hint="eastAsia" w:ascii="方正仿宋_GB2312" w:hAnsi="方正仿宋_GB2312" w:eastAsia="方正仿宋_GB2312" w:cs="方正仿宋_GB2312"/>
                <w:sz w:val="24"/>
                <w:szCs w:val="24"/>
                <w:u w:val="none"/>
              </w:rPr>
              <w:t>常德锆石新材料科技有限公司高铁刹车托盘及先进复合耐磨材料生产基地建设项目环境影响报告表</w:t>
            </w:r>
          </w:p>
        </w:tc>
        <w:tc>
          <w:tcPr>
            <w:tcW w:w="1486" w:type="pct"/>
            <w:tcBorders>
              <w:tl2br w:val="nil"/>
              <w:tr2bl w:val="nil"/>
            </w:tcBorders>
            <w:shd w:val="clear" w:color="auto" w:fill="auto"/>
            <w:vAlign w:val="center"/>
          </w:tcPr>
          <w:p>
            <w:pPr>
              <w:numPr>
                <w:ilvl w:val="0"/>
                <w:numId w:val="0"/>
              </w:numPr>
              <w:adjustRightInd w:val="0"/>
              <w:snapToGrid w:val="0"/>
              <w:jc w:val="left"/>
              <w:rPr>
                <w:rFonts w:hint="eastAsia" w:ascii="方正仿宋_GB2312" w:hAnsi="方正仿宋_GB2312" w:eastAsia="方正仿宋_GB2312" w:cs="方正仿宋_GB2312"/>
                <w:kern w:val="0"/>
                <w:sz w:val="24"/>
                <w:szCs w:val="24"/>
                <w:u w:val="none"/>
              </w:rPr>
            </w:pPr>
            <w:r>
              <w:rPr>
                <w:rFonts w:hint="eastAsia" w:ascii="方正仿宋_GB2312" w:hAnsi="方正仿宋_GB2312" w:eastAsia="方正仿宋_GB2312" w:cs="方正仿宋_GB2312"/>
                <w:kern w:val="0"/>
                <w:sz w:val="24"/>
                <w:szCs w:val="24"/>
                <w:u w:val="none"/>
                <w:lang w:val="en-US" w:eastAsia="zh-CN"/>
              </w:rPr>
              <w:t>1.</w:t>
            </w:r>
            <w:r>
              <w:rPr>
                <w:rFonts w:hint="eastAsia" w:ascii="方正仿宋_GB2312" w:hAnsi="方正仿宋_GB2312" w:eastAsia="方正仿宋_GB2312" w:cs="方正仿宋_GB2312"/>
                <w:kern w:val="0"/>
                <w:sz w:val="24"/>
                <w:szCs w:val="24"/>
                <w:u w:val="none"/>
              </w:rPr>
              <w:t>源强核算不全，遗留危险废物。遗漏车床、CNC 机械加工产生的含油废金属屑HW08（900-218-08）。</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jc w:val="left"/>
              <w:textAlignment w:val="auto"/>
              <w:rPr>
                <w:rFonts w:hint="eastAsia" w:ascii="方正仿宋_GB2312" w:hAnsi="方正仿宋_GB2312" w:eastAsia="方正仿宋_GB2312" w:cs="方正仿宋_GB2312"/>
                <w:kern w:val="0"/>
                <w:sz w:val="24"/>
                <w:szCs w:val="24"/>
                <w:u w:val="none"/>
              </w:rPr>
            </w:pPr>
            <w:r>
              <w:rPr>
                <w:rFonts w:hint="eastAsia" w:ascii="方正仿宋_GB2312" w:hAnsi="方正仿宋_GB2312" w:eastAsia="方正仿宋_GB2312" w:cs="方正仿宋_GB2312"/>
                <w:kern w:val="0"/>
                <w:sz w:val="24"/>
                <w:szCs w:val="24"/>
                <w:u w:val="none"/>
                <w:lang w:val="en-US" w:eastAsia="zh-CN"/>
              </w:rPr>
              <w:t>2.</w:t>
            </w:r>
            <w:r>
              <w:rPr>
                <w:rFonts w:hint="eastAsia" w:ascii="方正仿宋_GB2312" w:hAnsi="方正仿宋_GB2312" w:eastAsia="方正仿宋_GB2312" w:cs="方正仿宋_GB2312"/>
                <w:kern w:val="0"/>
                <w:sz w:val="24"/>
                <w:szCs w:val="24"/>
                <w:u w:val="none"/>
              </w:rPr>
              <w:t>相关环境要素现状调查与评价内容不全。项目设置大气专项，评价等级为二级，根据《建设项目环境影响报告表编制技术指南》（污染影响类），“按照环境影响评价相关技术导则开展专项评价工作”，根据《环境影响评价技术导则 大气环境》（HJ 2.2-2018）“评价标准可参照附录D中的浓度限值，也可参照选用其他国家、国际组织发布的环境质量浓度限值或基准值”，甲醛执行（HJ 2.2-2018）附录D标准限值，非甲烷总烃执行《大气污染物综合排放标准详解》标准限值，甲醛、非甲烷总烃有环境质量标准，但报告未开展特征污染物（甲醛、NMHC）监测，不符合《大气导则》（HJ 2.2-2018）6.1.2.2中二级评价项目现状调查要求。</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jc w:val="left"/>
              <w:textAlignment w:val="auto"/>
              <w:rPr>
                <w:rFonts w:hint="eastAsia" w:ascii="方正仿宋_GB2312" w:hAnsi="方正仿宋_GB2312" w:eastAsia="方正仿宋_GB2312" w:cs="方正仿宋_GB2312"/>
                <w:color w:val="auto"/>
                <w:kern w:val="0"/>
                <w:sz w:val="24"/>
                <w:szCs w:val="24"/>
                <w:u w:val="none"/>
                <w:lang w:val="en-US" w:eastAsia="zh-CN" w:bidi="ar-SA"/>
              </w:rPr>
            </w:pPr>
            <w:r>
              <w:rPr>
                <w:rFonts w:hint="eastAsia" w:ascii="方正仿宋_GB2312" w:hAnsi="方正仿宋_GB2312" w:eastAsia="方正仿宋_GB2312" w:cs="方正仿宋_GB2312"/>
                <w:kern w:val="0"/>
                <w:sz w:val="24"/>
                <w:szCs w:val="24"/>
                <w:u w:val="none"/>
              </w:rPr>
              <w:t xml:space="preserve"> </w:t>
            </w:r>
            <w:r>
              <w:rPr>
                <w:rFonts w:hint="eastAsia" w:ascii="方正仿宋_GB2312" w:hAnsi="方正仿宋_GB2312" w:eastAsia="方正仿宋_GB2312" w:cs="方正仿宋_GB2312"/>
                <w:kern w:val="0"/>
                <w:sz w:val="24"/>
                <w:szCs w:val="24"/>
                <w:u w:val="none"/>
                <w:lang w:val="en-US" w:eastAsia="zh-CN"/>
              </w:rPr>
              <w:t>3.</w:t>
            </w:r>
            <w:r>
              <w:rPr>
                <w:rFonts w:hint="eastAsia" w:ascii="方正仿宋_GB2312" w:hAnsi="方正仿宋_GB2312" w:eastAsia="方正仿宋_GB2312" w:cs="方正仿宋_GB2312"/>
                <w:kern w:val="0"/>
                <w:sz w:val="24"/>
                <w:szCs w:val="24"/>
                <w:u w:val="none"/>
              </w:rPr>
              <w:t>固废代码及处置措施错误；废气合并处理措施可行性不符合相关规定。（1）项目车床、CNC 加工过程使用50t/a切削液，将产生的废切削液定为危废HW08（900-218-08）液压设备维护、更换和拆解过程中产生的废液压油错误，应为HW09（900-006-09）使用切削油或者切削液进行机械加工过程中产生的油/水、烃/水混合物或者乳化液。（2）报告描述“对射芯机、浇注区、振动清砂系统的料斗、振动、筛分工段分别配套集气罩，收集后的废气一并经布袋除尘器+“活性炭吸附/脱附+催化燃烧”装置处理”，根据《吸附法工业有机废气治理工程技术规范》（HJ2026-2013）“当废气中颗粒物含量超过1mg/m</w:t>
            </w:r>
            <w:r>
              <w:rPr>
                <w:rFonts w:hint="eastAsia" w:ascii="方正仿宋_GB2312" w:hAnsi="方正仿宋_GB2312" w:eastAsia="方正仿宋_GB2312" w:cs="方正仿宋_GB2312"/>
                <w:kern w:val="0"/>
                <w:sz w:val="24"/>
                <w:szCs w:val="24"/>
                <w:u w:val="none"/>
                <w:vertAlign w:val="superscript"/>
              </w:rPr>
              <w:t>3</w:t>
            </w:r>
            <w:r>
              <w:rPr>
                <w:rFonts w:hint="eastAsia" w:ascii="方正仿宋_GB2312" w:hAnsi="方正仿宋_GB2312" w:eastAsia="方正仿宋_GB2312" w:cs="方正仿宋_GB2312"/>
                <w:kern w:val="0"/>
                <w:sz w:val="24"/>
                <w:szCs w:val="24"/>
                <w:u w:val="none"/>
              </w:rPr>
              <w:t>时，应采用过滤或者洗涤等方式进行预处理”，而本项目“振动清砂系统的料斗、振动、筛分工段颗粒物废气并入” 活性炭吸附系统后，排放浓度4.17 mg/m</w:t>
            </w:r>
            <w:r>
              <w:rPr>
                <w:rFonts w:hint="eastAsia" w:ascii="方正仿宋_GB2312" w:hAnsi="方正仿宋_GB2312" w:eastAsia="方正仿宋_GB2312" w:cs="方正仿宋_GB2312"/>
                <w:kern w:val="0"/>
                <w:sz w:val="24"/>
                <w:szCs w:val="24"/>
                <w:u w:val="none"/>
                <w:vertAlign w:val="superscript"/>
              </w:rPr>
              <w:t>3</w:t>
            </w:r>
            <w:r>
              <w:rPr>
                <w:rFonts w:hint="eastAsia" w:ascii="方正仿宋_GB2312" w:hAnsi="方正仿宋_GB2312" w:eastAsia="方正仿宋_GB2312" w:cs="方正仿宋_GB2312"/>
                <w:kern w:val="0"/>
                <w:sz w:val="24"/>
                <w:szCs w:val="24"/>
                <w:u w:val="none"/>
              </w:rPr>
              <w:t>，可知活性炭吸附系统进口浓度远大于1mg/m</w:t>
            </w:r>
            <w:r>
              <w:rPr>
                <w:rFonts w:hint="eastAsia" w:ascii="方正仿宋_GB2312" w:hAnsi="方正仿宋_GB2312" w:eastAsia="方正仿宋_GB2312" w:cs="方正仿宋_GB2312"/>
                <w:kern w:val="0"/>
                <w:sz w:val="24"/>
                <w:szCs w:val="24"/>
                <w:u w:val="none"/>
                <w:vertAlign w:val="superscript"/>
              </w:rPr>
              <w:t>3</w:t>
            </w:r>
            <w:r>
              <w:rPr>
                <w:rFonts w:hint="eastAsia" w:ascii="方正仿宋_GB2312" w:hAnsi="方正仿宋_GB2312" w:eastAsia="方正仿宋_GB2312" w:cs="方正仿宋_GB2312"/>
                <w:kern w:val="0"/>
                <w:sz w:val="24"/>
                <w:szCs w:val="24"/>
                <w:u w:val="none"/>
              </w:rPr>
              <w:t>，废气合并处理措施可行性不符合相关规定。</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b w:val="0"/>
                <w:bCs w:val="0"/>
                <w:i w:val="0"/>
                <w:iCs w:val="0"/>
                <w:color w:val="auto"/>
                <w:kern w:val="0"/>
                <w:sz w:val="24"/>
                <w:szCs w:val="24"/>
                <w:u w:val="none"/>
                <w:lang w:val="en-US" w:eastAsia="zh-CN" w:bidi="ar"/>
              </w:rPr>
              <w:t>常德锆石新材料科技有限公司</w:t>
            </w:r>
            <w:r>
              <w:rPr>
                <w:rFonts w:hint="eastAsia" w:ascii="仿宋" w:hAnsi="仿宋" w:eastAsia="仿宋" w:cs="仿宋"/>
                <w:i w:val="0"/>
                <w:iCs w:val="0"/>
                <w:color w:val="auto"/>
                <w:kern w:val="0"/>
                <w:sz w:val="24"/>
                <w:szCs w:val="24"/>
                <w:u w:val="none"/>
                <w:lang w:val="en-US" w:eastAsia="zh-CN" w:bidi="ar"/>
              </w:rPr>
              <w:t>（91430722MAEMFW5G4J）</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《监管办法》第二十六条第一款第五、八、十项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b w:val="0"/>
                <w:bCs w:val="0"/>
                <w:i w:val="0"/>
                <w:iCs w:val="0"/>
                <w:color w:val="auto"/>
                <w:kern w:val="0"/>
                <w:sz w:val="24"/>
                <w:szCs w:val="24"/>
                <w:u w:val="none"/>
                <w:lang w:val="en-US" w:eastAsia="zh-CN" w:bidi="ar"/>
              </w:rPr>
              <w:t>常德市双赢环境咨询服务有限公司</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（91430702668568149Q）</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《监管办法》第二十六条第一款第五、八、十项，第三十一条、第三十二条第九项；《记分办法（试行）》第七条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i w:val="0"/>
                <w:iCs w:val="0"/>
                <w:color w:val="auto"/>
                <w:kern w:val="0"/>
                <w:sz w:val="24"/>
                <w:szCs w:val="24"/>
                <w:u w:val="none"/>
                <w:lang w:val="en-US" w:eastAsia="zh-CN" w:bidi="ar"/>
              </w:rPr>
              <w:t>许世鹏（BH005717）</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 xml:space="preserve">《监管办法》第二十六条第一款第五、八、十项，第三十一条、第三十二条第九项；《记分办法（试行）》第七条 </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常德市生态环境局</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2026年2月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5</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color w:val="auto"/>
                <w:kern w:val="2"/>
                <w:sz w:val="24"/>
                <w:szCs w:val="24"/>
                <w:u w:val="none"/>
                <w:lang w:val="en-US" w:eastAsia="zh-CN" w:bidi="ar-SA"/>
              </w:rPr>
            </w:pPr>
            <w:r>
              <w:rPr>
                <w:rFonts w:hint="eastAsia" w:ascii="方正仿宋_GB2312" w:hAnsi="方正仿宋_GB2312" w:eastAsia="方正仿宋_GB2312" w:cs="方正仿宋_GB2312"/>
                <w:sz w:val="24"/>
                <w:szCs w:val="24"/>
                <w:u w:val="none"/>
              </w:rPr>
              <w:t>常德合成生物制造中试转化基地项目公辅配套设施建设工程环境影响报告</w:t>
            </w:r>
            <w:r>
              <w:rPr>
                <w:rFonts w:hint="eastAsia" w:ascii="方正仿宋_GB2312" w:hAnsi="方正仿宋_GB2312" w:eastAsia="方正仿宋_GB2312" w:cs="方正仿宋_GB2312"/>
                <w:sz w:val="24"/>
                <w:szCs w:val="24"/>
                <w:u w:val="none"/>
                <w:lang w:eastAsia="zh-CN"/>
              </w:rPr>
              <w:t>书</w:t>
            </w:r>
          </w:p>
        </w:tc>
        <w:tc>
          <w:tcPr>
            <w:tcW w:w="148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color w:val="auto"/>
                <w:kern w:val="0"/>
                <w:sz w:val="24"/>
                <w:szCs w:val="24"/>
                <w:u w:val="none"/>
                <w:lang w:val="en-US" w:eastAsia="zh-CN" w:bidi="ar-SA"/>
              </w:rPr>
            </w:pPr>
            <w:r>
              <w:rPr>
                <w:rFonts w:hint="eastAsia" w:ascii="方正仿宋_GB2312" w:hAnsi="方正仿宋_GB2312" w:eastAsia="方正仿宋_GB2312" w:cs="方正仿宋_GB2312"/>
                <w:kern w:val="0"/>
                <w:sz w:val="24"/>
                <w:szCs w:val="24"/>
                <w:u w:val="none"/>
                <w:lang w:val="en-US" w:eastAsia="zh-CN"/>
              </w:rPr>
              <w:t>1.</w:t>
            </w:r>
            <w:r>
              <w:rPr>
                <w:rFonts w:hint="eastAsia" w:ascii="方正仿宋_GB2312" w:hAnsi="方正仿宋_GB2312" w:eastAsia="方正仿宋_GB2312" w:cs="方正仿宋_GB2312"/>
                <w:kern w:val="0"/>
                <w:sz w:val="24"/>
                <w:szCs w:val="24"/>
                <w:u w:val="none"/>
              </w:rPr>
              <w:t>遗漏特征因子。项目储罐区涉及甲醇储存，甲醇属于《环境影响评价技术导则—大气环境》（HJ2.2-2018）附录D中明确列出的污染物，具有环境质量标准限值。报告在第30页表2.3-2"评价因子表"中，区域环境质量评价因子虽列出"甲醇"，但在污染源评价因子中未给出甲醇的因子，未将甲醇单独作为污染源评价因子列出，不符合《建设项目环境影响评价技术导则总纲》(HJ2.1-2016)：“3.5.2评价因子筛选：根据建设项目的特点、环境影响的主要特征，结合区域环境功能要求、环境保护目标、评价标准和环境制约因素，筛选确定评价因子。”要求。</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b w:val="0"/>
                <w:bCs w:val="0"/>
                <w:i w:val="0"/>
                <w:iCs w:val="0"/>
                <w:color w:val="auto"/>
                <w:kern w:val="0"/>
                <w:sz w:val="24"/>
                <w:szCs w:val="24"/>
                <w:u w:val="none"/>
                <w:lang w:val="en-US" w:eastAsia="zh-CN" w:bidi="ar"/>
              </w:rPr>
              <w:t>常德经济技术开发区开发建设局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（11430700MB0831234A）</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《监管办法》第二十六条第一款第一项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b w:val="0"/>
                <w:bCs w:val="0"/>
                <w:i w:val="0"/>
                <w:iCs w:val="0"/>
                <w:color w:val="auto"/>
                <w:kern w:val="0"/>
                <w:sz w:val="24"/>
                <w:szCs w:val="24"/>
                <w:u w:val="none"/>
                <w:lang w:val="en-US" w:eastAsia="zh-CN" w:bidi="ar"/>
              </w:rPr>
              <w:t>常德市双赢环境咨询服务有限公司</w:t>
            </w:r>
            <w:r>
              <w:rPr>
                <w:rFonts w:hint="eastAsia" w:ascii="仿宋" w:hAnsi="仿宋" w:eastAsia="仿宋" w:cs="仿宋"/>
                <w:i w:val="0"/>
                <w:iCs w:val="0"/>
                <w:color w:val="auto"/>
                <w:kern w:val="0"/>
                <w:sz w:val="24"/>
                <w:szCs w:val="24"/>
                <w:u w:val="none"/>
                <w:lang w:val="en-US" w:eastAsia="zh-CN" w:bidi="ar"/>
              </w:rPr>
              <w:t>（91430702668568149Q）</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《监管办法》第二十六条第一款第一项，第三十一条、第三十二条第九项；《记分办法（试行）》第七条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b w:val="0"/>
                <w:bCs w:val="0"/>
                <w:i w:val="0"/>
                <w:iCs w:val="0"/>
                <w:color w:val="auto"/>
                <w:kern w:val="0"/>
                <w:sz w:val="24"/>
                <w:szCs w:val="24"/>
                <w:u w:val="none"/>
                <w:lang w:val="en-US" w:eastAsia="zh-CN" w:bidi="ar"/>
              </w:rPr>
              <w:t>彭颖</w:t>
            </w:r>
            <w:r>
              <w:rPr>
                <w:rFonts w:hint="eastAsia" w:ascii="仿宋" w:hAnsi="仿宋" w:eastAsia="仿宋" w:cs="仿宋"/>
                <w:i w:val="0"/>
                <w:iCs w:val="0"/>
                <w:color w:val="auto"/>
                <w:kern w:val="0"/>
                <w:sz w:val="24"/>
                <w:szCs w:val="24"/>
                <w:u w:val="none"/>
                <w:lang w:val="en-US" w:eastAsia="zh-CN" w:bidi="ar"/>
              </w:rPr>
              <w:t>（BH011838）</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《监管办法》第二十六条第一款第一项，第三十一条、第三十二条第九项；《记分办法（试行）》第七条</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i w:val="0"/>
                <w:iCs w:val="0"/>
                <w:color w:val="auto"/>
                <w:kern w:val="0"/>
                <w:sz w:val="24"/>
                <w:szCs w:val="24"/>
                <w:u w:val="none"/>
                <w:lang w:val="en-US" w:eastAsia="zh-CN" w:bidi="ar"/>
              </w:rPr>
              <w:t>常德市生态环境局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2025年11月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技术评估单位：</w:t>
            </w:r>
            <w:r>
              <w:rPr>
                <w:rFonts w:hint="eastAsia" w:ascii="仿宋" w:hAnsi="仿宋" w:eastAsia="仿宋" w:cs="仿宋"/>
                <w:b w:val="0"/>
                <w:bCs w:val="0"/>
                <w:i w:val="0"/>
                <w:iCs w:val="0"/>
                <w:color w:val="auto"/>
                <w:kern w:val="0"/>
                <w:sz w:val="24"/>
                <w:szCs w:val="24"/>
                <w:u w:val="none"/>
                <w:lang w:val="en-US" w:eastAsia="zh-CN" w:bidi="ar"/>
              </w:rPr>
              <w:t xml:space="preserve">常德市生态环境事务中心  </w:t>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sz w:val="24"/>
                <w:szCs w:val="24"/>
                <w:highlight w:val="none"/>
                <w:u w:val="none"/>
              </w:rPr>
              <w:t>澧县澧阳平原灌区管理处澧阳平原灌区续建配套与现代化改造工程环境影响报告书</w:t>
            </w:r>
          </w:p>
        </w:tc>
        <w:tc>
          <w:tcPr>
            <w:tcW w:w="1486" w:type="pct"/>
            <w:tcBorders>
              <w:tl2br w:val="nil"/>
              <w:tr2bl w:val="nil"/>
            </w:tcBorders>
            <w:shd w:val="clear" w:color="auto" w:fill="auto"/>
            <w:vAlign w:val="center"/>
          </w:tcPr>
          <w:p>
            <w:pPr>
              <w:numPr>
                <w:ilvl w:val="0"/>
                <w:numId w:val="0"/>
              </w:numPr>
              <w:adjustRightInd w:val="0"/>
              <w:snapToGrid w:val="0"/>
              <w:jc w:val="left"/>
              <w:rPr>
                <w:rFonts w:hint="eastAsia" w:ascii="方正仿宋_GB2312" w:hAnsi="方正仿宋_GB2312" w:eastAsia="方正仿宋_GB2312" w:cs="方正仿宋_GB2312"/>
                <w:kern w:val="0"/>
                <w:sz w:val="24"/>
                <w:szCs w:val="24"/>
                <w:u w:val="none"/>
              </w:rPr>
            </w:pPr>
            <w:r>
              <w:rPr>
                <w:rFonts w:hint="eastAsia" w:ascii="方正仿宋_GB2312" w:hAnsi="方正仿宋_GB2312" w:eastAsia="方正仿宋_GB2312" w:cs="方正仿宋_GB2312"/>
                <w:kern w:val="0"/>
                <w:sz w:val="24"/>
                <w:szCs w:val="24"/>
                <w:u w:val="none"/>
                <w:lang w:val="en-US" w:eastAsia="zh-CN"/>
              </w:rPr>
              <w:t>1.</w:t>
            </w:r>
            <w:r>
              <w:rPr>
                <w:rFonts w:hint="eastAsia" w:ascii="方正仿宋_GB2312" w:hAnsi="方正仿宋_GB2312" w:eastAsia="方正仿宋_GB2312" w:cs="方正仿宋_GB2312"/>
                <w:kern w:val="0"/>
                <w:sz w:val="24"/>
                <w:szCs w:val="24"/>
                <w:u w:val="none"/>
              </w:rPr>
              <w:t>未开展生态环境现场调查。本项目未对陆生生态、水生生态分别定级，生态评价等级统一定为二级，报告未按《环境影响评价技术导则 生态影响》（HJ 19-2022）7.3、7.4的要求开展样方、样线调查，相关调查内容、图件严重缺失，生态现状资料来源不明，现状调查结果不可信。</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kern w:val="0"/>
                <w:sz w:val="24"/>
                <w:szCs w:val="24"/>
                <w:u w:val="none"/>
                <w:lang w:val="en-US" w:eastAsia="zh-CN"/>
              </w:rPr>
              <w:t>2.</w:t>
            </w:r>
            <w:r>
              <w:rPr>
                <w:rFonts w:hint="eastAsia" w:ascii="方正仿宋_GB2312" w:hAnsi="方正仿宋_GB2312" w:eastAsia="方正仿宋_GB2312" w:cs="方正仿宋_GB2312"/>
                <w:kern w:val="0"/>
                <w:sz w:val="24"/>
                <w:szCs w:val="24"/>
                <w:u w:val="none"/>
              </w:rPr>
              <w:t>遗漏环境保护目标，生态评价范围涉及湖南澧州涔槐国家湿地公园、湖南澧县城头山省级地质公园，但是报告中生态环境保护目标遗漏湖南澧州涔槐国家湿地公园、湖南澧县城头山省级地质公园</w:t>
            </w:r>
            <w:r>
              <w:rPr>
                <w:rFonts w:hint="eastAsia" w:ascii="方正仿宋_GB2312" w:hAnsi="方正仿宋_GB2312" w:eastAsia="方正仿宋_GB2312" w:cs="方正仿宋_GB2312"/>
                <w:kern w:val="0"/>
                <w:sz w:val="24"/>
                <w:szCs w:val="24"/>
                <w:u w:val="none"/>
                <w:lang w:eastAsia="zh-CN"/>
              </w:rPr>
              <w:t>。</w:t>
            </w:r>
            <w:r>
              <w:rPr>
                <w:rFonts w:hint="eastAsia" w:ascii="方正仿宋_GB2312" w:hAnsi="方正仿宋_GB2312" w:eastAsia="方正仿宋_GB2312" w:cs="方正仿宋_GB2312"/>
                <w:kern w:val="0"/>
                <w:sz w:val="24"/>
                <w:szCs w:val="24"/>
                <w:u w:val="none"/>
              </w:rPr>
              <w:t xml:space="preserve"> </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b w:val="0"/>
                <w:bCs w:val="0"/>
                <w:i w:val="0"/>
                <w:iCs w:val="0"/>
                <w:color w:val="auto"/>
                <w:kern w:val="0"/>
                <w:sz w:val="24"/>
                <w:szCs w:val="24"/>
                <w:u w:val="none"/>
                <w:lang w:val="en-US" w:eastAsia="zh-CN" w:bidi="ar"/>
              </w:rPr>
              <w:t>澧县澧阳平原灌区管理处（</w:t>
            </w:r>
            <w:r>
              <w:rPr>
                <w:rFonts w:hint="eastAsia" w:ascii="仿宋" w:hAnsi="仿宋" w:eastAsia="仿宋" w:cs="仿宋"/>
                <w:i w:val="0"/>
                <w:iCs w:val="0"/>
                <w:color w:val="auto"/>
                <w:kern w:val="0"/>
                <w:sz w:val="24"/>
                <w:szCs w:val="24"/>
                <w:u w:val="none"/>
                <w:lang w:val="en-US" w:eastAsia="zh-CN" w:bidi="ar"/>
              </w:rPr>
              <w:t>12430723446572732U</w:t>
            </w:r>
            <w:r>
              <w:rPr>
                <w:rFonts w:hint="eastAsia" w:ascii="仿宋" w:hAnsi="仿宋" w:eastAsia="仿宋" w:cs="仿宋"/>
                <w:b w:val="0"/>
                <w:bCs w:val="0"/>
                <w:i w:val="0"/>
                <w:iCs w:val="0"/>
                <w:color w:val="auto"/>
                <w:kern w:val="0"/>
                <w:sz w:val="24"/>
                <w:szCs w:val="24"/>
                <w:u w:val="none"/>
                <w:lang w:val="en-US" w:eastAsia="zh-CN" w:bidi="ar"/>
              </w:rPr>
              <w:t>）</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《监管办法》第二十六条第一款第六、七项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b w:val="0"/>
                <w:bCs w:val="0"/>
                <w:i w:val="0"/>
                <w:iCs w:val="0"/>
                <w:color w:val="auto"/>
                <w:kern w:val="0"/>
                <w:sz w:val="24"/>
                <w:szCs w:val="24"/>
                <w:u w:val="none"/>
                <w:lang w:val="en-US" w:eastAsia="zh-CN" w:bidi="ar"/>
              </w:rPr>
              <w:t>常德市双赢环境咨询服务有限公司</w:t>
            </w:r>
            <w:r>
              <w:rPr>
                <w:rFonts w:hint="eastAsia" w:ascii="仿宋" w:hAnsi="仿宋" w:eastAsia="仿宋" w:cs="仿宋"/>
                <w:i w:val="0"/>
                <w:iCs w:val="0"/>
                <w:color w:val="auto"/>
                <w:kern w:val="0"/>
                <w:sz w:val="24"/>
                <w:szCs w:val="24"/>
                <w:u w:val="none"/>
                <w:lang w:val="en-US" w:eastAsia="zh-CN" w:bidi="ar"/>
              </w:rPr>
              <w:t>（91430702668568149Q）</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《监管办法》第二十六条第一款第六、七项，第三十一条、第三十二条第九项；《记分办法（试行）》第七条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b w:val="0"/>
                <w:bCs w:val="0"/>
                <w:i w:val="0"/>
                <w:iCs w:val="0"/>
                <w:color w:val="auto"/>
                <w:kern w:val="0"/>
                <w:sz w:val="24"/>
                <w:szCs w:val="24"/>
                <w:u w:val="none"/>
                <w:lang w:val="en-US" w:eastAsia="zh-CN" w:bidi="ar"/>
              </w:rPr>
              <w:t>罗必印</w:t>
            </w:r>
            <w:r>
              <w:rPr>
                <w:rFonts w:hint="eastAsia" w:ascii="仿宋" w:hAnsi="仿宋" w:eastAsia="仿宋" w:cs="仿宋"/>
                <w:i w:val="0"/>
                <w:iCs w:val="0"/>
                <w:color w:val="auto"/>
                <w:kern w:val="0"/>
                <w:sz w:val="24"/>
                <w:szCs w:val="24"/>
                <w:u w:val="none"/>
                <w:lang w:val="en-US" w:eastAsia="zh-CN" w:bidi="ar"/>
              </w:rPr>
              <w:t>（BH003316）、杨烨康（BH037637）、胡文（BH051812）</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 xml:space="preserve">《监管办法》第二十六条第一款第六、七项，第三十一条、第三十二条第九项；《记分办法（试行）》第七条 </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常德市生态环境局</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2026年3月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70"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7</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sz w:val="24"/>
                <w:szCs w:val="24"/>
                <w:u w:val="none"/>
              </w:rPr>
              <w:t>郴州市泰鑫建材有限责任公司郴州市苏仙区廖家湾乡廖家湾采石场连溪碎石生产线扩建项目环境影响报告表</w:t>
            </w:r>
          </w:p>
        </w:tc>
        <w:tc>
          <w:tcPr>
            <w:tcW w:w="1486" w:type="pct"/>
            <w:tcBorders>
              <w:tl2br w:val="nil"/>
              <w:tr2bl w:val="nil"/>
            </w:tcBorders>
            <w:shd w:val="clear" w:color="auto" w:fill="auto"/>
            <w:vAlign w:val="center"/>
          </w:tcPr>
          <w:p>
            <w:pPr>
              <w:numPr>
                <w:ilvl w:val="0"/>
                <w:numId w:val="0"/>
              </w:numPr>
              <w:adjustRightInd w:val="0"/>
              <w:snapToGrid w:val="0"/>
              <w:jc w:val="left"/>
              <w:rPr>
                <w:rFonts w:hint="eastAsia" w:ascii="方正仿宋_GB2312" w:hAnsi="方正仿宋_GB2312" w:eastAsia="方正仿宋_GB2312" w:cs="方正仿宋_GB2312"/>
                <w:spacing w:val="-6"/>
                <w:kern w:val="0"/>
                <w:sz w:val="24"/>
                <w:szCs w:val="24"/>
                <w:u w:val="none"/>
              </w:rPr>
            </w:pPr>
            <w:r>
              <w:rPr>
                <w:rFonts w:hint="eastAsia" w:ascii="方正仿宋_GB2312" w:hAnsi="方正仿宋_GB2312" w:eastAsia="方正仿宋_GB2312" w:cs="方正仿宋_GB2312"/>
                <w:spacing w:val="-6"/>
                <w:kern w:val="0"/>
                <w:sz w:val="24"/>
                <w:szCs w:val="24"/>
                <w:u w:val="none"/>
                <w:lang w:val="en-US" w:eastAsia="zh-CN"/>
              </w:rPr>
              <w:t>1.</w:t>
            </w:r>
            <w:r>
              <w:rPr>
                <w:rFonts w:hint="eastAsia" w:ascii="方正仿宋_GB2312" w:hAnsi="方正仿宋_GB2312" w:eastAsia="方正仿宋_GB2312" w:cs="方正仿宋_GB2312"/>
                <w:spacing w:val="-6"/>
                <w:kern w:val="0"/>
                <w:sz w:val="24"/>
                <w:szCs w:val="24"/>
                <w:u w:val="none"/>
              </w:rPr>
              <w:t>污染源强核算错误、内容不全。（1）遗漏中间物料输送（皮带输送）粉尘、打砂机进料粉尘。（2）破碎、筛分粉尘100%收集效率与实际不符，物料装卸粉尘只对块状原料部分进行说明（只进行了定性分析），原料中有9.93万吨是&lt;12级碎石，报告遗漏9.93万吨碎石打砂工艺投料、筛分粉尘，且报告对碎石成品（&lt;12级、12级、13级）卸料粉尘未分析、核算。（3）项目洗砂废水沉淀污泥产生量核算错误：报告以项目年产10.8万吨机制砂，原料含泥率约为5%，核算压滤后的脱水污泥产生量约为 2160t/a；项目机制砂生产规模为14.4万t/a，表 2-4 主要原辅材料消耗一览表中机制砂原料石料、碎石总用量为14.43万t/a，污泥产生量不可能为2160t/a。（4）固体废物遗漏布袋除尘灰和废布袋：项目破碎筛分废气采用布袋除尘器处理，报告明确布袋2~3年需进行更换，报告未明确除尘灰产生量和去向。（5）项目建设性质为改扩建，报告未给出污染物排放“三本账”。</w:t>
            </w:r>
          </w:p>
          <w:p>
            <w:pPr>
              <w:numPr>
                <w:ilvl w:val="0"/>
                <w:numId w:val="0"/>
              </w:numPr>
              <w:adjustRightInd w:val="0"/>
              <w:snapToGrid w:val="0"/>
              <w:jc w:val="left"/>
              <w:rPr>
                <w:rFonts w:hint="eastAsia" w:ascii="方正仿宋_GB2312" w:hAnsi="方正仿宋_GB2312" w:eastAsia="方正仿宋_GB2312" w:cs="方正仿宋_GB2312"/>
                <w:kern w:val="0"/>
                <w:sz w:val="24"/>
                <w:szCs w:val="24"/>
                <w:u w:val="none"/>
              </w:rPr>
            </w:pPr>
            <w:r>
              <w:rPr>
                <w:rFonts w:hint="eastAsia" w:ascii="方正仿宋_GB2312" w:hAnsi="方正仿宋_GB2312" w:eastAsia="方正仿宋_GB2312" w:cs="方正仿宋_GB2312"/>
                <w:kern w:val="0"/>
                <w:sz w:val="24"/>
                <w:szCs w:val="24"/>
                <w:u w:val="none"/>
                <w:lang w:val="en-US" w:eastAsia="zh-CN"/>
              </w:rPr>
              <w:t>2.</w:t>
            </w:r>
            <w:r>
              <w:rPr>
                <w:rFonts w:hint="eastAsia" w:ascii="方正仿宋_GB2312" w:hAnsi="方正仿宋_GB2312" w:eastAsia="方正仿宋_GB2312" w:cs="方正仿宋_GB2312"/>
                <w:kern w:val="0"/>
                <w:sz w:val="24"/>
                <w:szCs w:val="24"/>
                <w:u w:val="none"/>
              </w:rPr>
              <w:t>遗漏环境保护目标：遗漏厂界外500米范围内项目西北约130米、西南约330米居民点。</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kern w:val="0"/>
                <w:sz w:val="24"/>
                <w:szCs w:val="24"/>
                <w:u w:val="none"/>
                <w:lang w:val="en-US" w:eastAsia="zh-CN"/>
              </w:rPr>
              <w:t>3.</w:t>
            </w:r>
            <w:r>
              <w:rPr>
                <w:rFonts w:hint="eastAsia" w:ascii="方正仿宋_GB2312" w:hAnsi="方正仿宋_GB2312" w:eastAsia="方正仿宋_GB2312" w:cs="方正仿宋_GB2312"/>
                <w:kern w:val="0"/>
                <w:sz w:val="24"/>
                <w:szCs w:val="24"/>
                <w:u w:val="none"/>
              </w:rPr>
              <w:t>未对投料、输送等环节提出必要的粉尘无组织控制措施，且表4-1、表4-2、表4-5粉尘污染防治设施表述不一致。</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方正仿宋_GBK" w:hAnsi="方正仿宋_GBK" w:eastAsia="方正仿宋_GBK" w:cs="方正仿宋_GBK"/>
                <w:kern w:val="21"/>
                <w:sz w:val="24"/>
                <w:szCs w:val="24"/>
                <w:u w:val="none"/>
                <w:lang w:val="en-US" w:eastAsia="zh-CN"/>
              </w:rPr>
              <w:t>郴州市泰鑫建材有限责任公司</w:t>
            </w:r>
            <w:r>
              <w:rPr>
                <w:rFonts w:hint="eastAsia" w:ascii="仿宋" w:hAnsi="仿宋" w:eastAsia="仿宋" w:cs="仿宋"/>
                <w:i w:val="0"/>
                <w:iCs w:val="0"/>
                <w:color w:val="auto"/>
                <w:kern w:val="0"/>
                <w:sz w:val="24"/>
                <w:szCs w:val="24"/>
                <w:u w:val="none"/>
                <w:lang w:val="en-US" w:eastAsia="zh-CN" w:bidi="ar"/>
              </w:rPr>
              <w:t>（914310033384595210）</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《监管办法》第二十六条第一款第五、七、十项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b w:val="0"/>
                <w:bCs w:val="0"/>
                <w:i w:val="0"/>
                <w:iCs w:val="0"/>
                <w:color w:val="auto"/>
                <w:kern w:val="0"/>
                <w:sz w:val="24"/>
                <w:szCs w:val="24"/>
                <w:u w:val="none"/>
                <w:lang w:val="en-US" w:eastAsia="zh-CN" w:bidi="ar"/>
              </w:rPr>
              <w:t>湖南子江环境科技有限公司（</w:t>
            </w:r>
            <w:r>
              <w:rPr>
                <w:rFonts w:hint="eastAsia" w:ascii="仿宋" w:hAnsi="仿宋" w:eastAsia="仿宋" w:cs="仿宋"/>
                <w:i w:val="0"/>
                <w:iCs w:val="0"/>
                <w:color w:val="auto"/>
                <w:kern w:val="0"/>
                <w:sz w:val="24"/>
                <w:szCs w:val="24"/>
                <w:u w:val="none"/>
                <w:lang w:val="en-US" w:eastAsia="zh-CN" w:bidi="ar"/>
              </w:rPr>
              <w:t>91431000MADJWRG833</w:t>
            </w:r>
            <w:r>
              <w:rPr>
                <w:rFonts w:hint="eastAsia" w:ascii="仿宋" w:hAnsi="仿宋" w:eastAsia="仿宋" w:cs="仿宋"/>
                <w:b w:val="0"/>
                <w:bCs w:val="0"/>
                <w:i w:val="0"/>
                <w:iCs w:val="0"/>
                <w:color w:val="auto"/>
                <w:kern w:val="0"/>
                <w:sz w:val="24"/>
                <w:szCs w:val="24"/>
                <w:u w:val="none"/>
                <w:lang w:val="en-US" w:eastAsia="zh-CN" w:bidi="ar"/>
              </w:rPr>
              <w:t>）</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《监管办法》第二十六条第一款第五、七、十项，第三十一条、第三十二条第九项；《记分办法（试行）》第七条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b w:val="0"/>
                <w:bCs w:val="0"/>
                <w:i w:val="0"/>
                <w:iCs w:val="0"/>
                <w:color w:val="auto"/>
                <w:kern w:val="0"/>
                <w:sz w:val="24"/>
                <w:szCs w:val="24"/>
                <w:u w:val="none"/>
                <w:lang w:val="en-US" w:eastAsia="zh-CN" w:bidi="ar"/>
              </w:rPr>
              <w:t>杨瑞</w:t>
            </w:r>
            <w:r>
              <w:rPr>
                <w:rFonts w:hint="eastAsia" w:ascii="仿宋" w:hAnsi="仿宋" w:eastAsia="仿宋" w:cs="仿宋"/>
                <w:i w:val="0"/>
                <w:iCs w:val="0"/>
                <w:color w:val="auto"/>
                <w:kern w:val="0"/>
                <w:sz w:val="24"/>
                <w:szCs w:val="24"/>
                <w:u w:val="none"/>
                <w:lang w:val="en-US" w:eastAsia="zh-CN" w:bidi="ar"/>
              </w:rPr>
              <w:t>（BH078821）、</w:t>
            </w:r>
            <w:r>
              <w:rPr>
                <w:rFonts w:hint="eastAsia" w:ascii="仿宋" w:hAnsi="仿宋" w:eastAsia="仿宋" w:cs="仿宋"/>
                <w:b w:val="0"/>
                <w:bCs w:val="0"/>
                <w:i w:val="0"/>
                <w:iCs w:val="0"/>
                <w:color w:val="auto"/>
                <w:kern w:val="0"/>
                <w:sz w:val="24"/>
                <w:szCs w:val="24"/>
                <w:u w:val="none"/>
                <w:lang w:val="en-US" w:eastAsia="zh-CN" w:bidi="ar"/>
              </w:rPr>
              <w:t>马丽</w:t>
            </w:r>
            <w:r>
              <w:rPr>
                <w:rFonts w:hint="eastAsia" w:ascii="仿宋" w:hAnsi="仿宋" w:eastAsia="仿宋" w:cs="仿宋"/>
                <w:i w:val="0"/>
                <w:iCs w:val="0"/>
                <w:color w:val="auto"/>
                <w:kern w:val="0"/>
                <w:sz w:val="24"/>
                <w:szCs w:val="24"/>
                <w:u w:val="none"/>
                <w:lang w:val="en-US" w:eastAsia="zh-CN" w:bidi="ar"/>
              </w:rPr>
              <w:t>（BH065524）</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 xml:space="preserve">《监管办法》第二十六条第一款第五、七、十项，第三十一条、第三十二条第九项；《记分办法（试行）》第七条 </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郴州市生态环境局苏仙分局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2025年12月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7"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8</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sz w:val="24"/>
                <w:szCs w:val="24"/>
                <w:u w:val="none"/>
              </w:rPr>
              <w:t>郴州市苏仙区栖凤渡镇星鑫五金材料厂年产吊顶用一体钉3亿颗建设项目环境影响报告表</w:t>
            </w:r>
          </w:p>
        </w:tc>
        <w:tc>
          <w:tcPr>
            <w:tcW w:w="148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kern w:val="0"/>
                <w:sz w:val="24"/>
                <w:szCs w:val="24"/>
                <w:u w:val="none"/>
                <w:lang w:val="en-US" w:eastAsia="zh-CN"/>
              </w:rPr>
              <w:t>1.</w:t>
            </w:r>
            <w:r>
              <w:rPr>
                <w:rFonts w:hint="eastAsia" w:ascii="方正仿宋_GB2312" w:hAnsi="方正仿宋_GB2312" w:eastAsia="方正仿宋_GB2312" w:cs="方正仿宋_GB2312"/>
                <w:kern w:val="0"/>
                <w:sz w:val="24"/>
                <w:szCs w:val="24"/>
                <w:u w:val="none"/>
              </w:rPr>
              <w:t>遗漏评价因子。项目原料使用1.2t/a硝酸镍，涉及颗粒物的排放，评价因子遗漏《大气污染物综合排放标准》（GB16297-1996）中的镍及其化合物。</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b w:val="0"/>
                <w:bCs w:val="0"/>
                <w:i w:val="0"/>
                <w:iCs w:val="0"/>
                <w:color w:val="auto"/>
                <w:kern w:val="0"/>
                <w:sz w:val="24"/>
                <w:szCs w:val="24"/>
                <w:u w:val="none"/>
                <w:lang w:val="en-US" w:eastAsia="zh-CN" w:bidi="ar"/>
              </w:rPr>
              <w:t>郴州市苏仙区栖凤渡镇星鑫五金材料厂（</w:t>
            </w:r>
            <w:r>
              <w:rPr>
                <w:rFonts w:hint="eastAsia" w:ascii="仿宋" w:hAnsi="仿宋" w:eastAsia="仿宋" w:cs="仿宋"/>
                <w:i w:val="0"/>
                <w:iCs w:val="0"/>
                <w:color w:val="auto"/>
                <w:kern w:val="0"/>
                <w:sz w:val="24"/>
                <w:szCs w:val="24"/>
                <w:u w:val="none"/>
                <w:lang w:val="en-US" w:eastAsia="zh-CN" w:bidi="ar"/>
              </w:rPr>
              <w:t>92431003MA4TGJ43X0</w:t>
            </w:r>
            <w:r>
              <w:rPr>
                <w:rFonts w:hint="eastAsia" w:ascii="仿宋" w:hAnsi="仿宋" w:eastAsia="仿宋" w:cs="仿宋"/>
                <w:b w:val="0"/>
                <w:bCs w:val="0"/>
                <w:i w:val="0"/>
                <w:iCs w:val="0"/>
                <w:color w:val="auto"/>
                <w:kern w:val="0"/>
                <w:sz w:val="24"/>
                <w:szCs w:val="24"/>
                <w:u w:val="none"/>
                <w:lang w:val="en-US" w:eastAsia="zh-CN" w:bidi="ar"/>
              </w:rPr>
              <w:t>）</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《监管办法》第二十六条第一款第一项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b w:val="0"/>
                <w:bCs w:val="0"/>
                <w:i w:val="0"/>
                <w:iCs w:val="0"/>
                <w:color w:val="auto"/>
                <w:kern w:val="0"/>
                <w:sz w:val="24"/>
                <w:szCs w:val="24"/>
                <w:u w:val="none"/>
                <w:lang w:val="en-US" w:eastAsia="zh-CN" w:bidi="ar"/>
              </w:rPr>
              <w:t>湖南子江环境科技有限公司</w:t>
            </w:r>
            <w:r>
              <w:rPr>
                <w:rFonts w:hint="eastAsia" w:ascii="仿宋" w:hAnsi="仿宋" w:eastAsia="仿宋" w:cs="仿宋"/>
                <w:i w:val="0"/>
                <w:iCs w:val="0"/>
                <w:color w:val="auto"/>
                <w:kern w:val="0"/>
                <w:sz w:val="24"/>
                <w:szCs w:val="24"/>
                <w:u w:val="none"/>
                <w:lang w:val="en-US" w:eastAsia="zh-CN" w:bidi="ar"/>
              </w:rPr>
              <w:t>（91431000MADJWRG833）</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《监管办法》第二十六条第一款第一项，第三十一条、第三十二条第九项；《记分办法（试行）》第七条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b w:val="0"/>
                <w:bCs w:val="0"/>
                <w:i w:val="0"/>
                <w:iCs w:val="0"/>
                <w:color w:val="auto"/>
                <w:kern w:val="0"/>
                <w:sz w:val="24"/>
                <w:szCs w:val="24"/>
                <w:u w:val="none"/>
                <w:lang w:val="en-US" w:eastAsia="zh-CN" w:bidi="ar"/>
              </w:rPr>
              <w:t>桑甜</w:t>
            </w:r>
            <w:r>
              <w:rPr>
                <w:rFonts w:hint="eastAsia" w:ascii="仿宋" w:hAnsi="仿宋" w:eastAsia="仿宋" w:cs="仿宋"/>
                <w:i w:val="0"/>
                <w:iCs w:val="0"/>
                <w:color w:val="auto"/>
                <w:kern w:val="0"/>
                <w:sz w:val="24"/>
                <w:szCs w:val="24"/>
                <w:u w:val="none"/>
                <w:lang w:val="en-US" w:eastAsia="zh-CN" w:bidi="ar"/>
              </w:rPr>
              <w:t>（BH079035）</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 xml:space="preserve">《监管办法》第二十六条第一款第一项，第三十一条、第三十二条第九项；《记分办法（试行）》第七条 </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郴州市生态环境局苏仙分局</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2026年3月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61"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9</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sz w:val="24"/>
                <w:szCs w:val="24"/>
                <w:u w:val="none"/>
              </w:rPr>
              <w:t>安仁县福磊石业碎石加工项目环境影响报告表</w:t>
            </w:r>
          </w:p>
        </w:tc>
        <w:tc>
          <w:tcPr>
            <w:tcW w:w="148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kern w:val="0"/>
                <w:sz w:val="24"/>
                <w:szCs w:val="24"/>
                <w:u w:val="none"/>
              </w:rPr>
              <w:t>污染源源强核算内容不全，核算方法或者结果错误的：（1）破碎粉尘来源于人工破碎和机械破碎筛分，报告中遗漏人工破碎过程中产生的粉尘；（2）报告未说明投料的方式，未计算破碎机投料入口中产生粉尘。</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i w:val="0"/>
                <w:iCs w:val="0"/>
                <w:color w:val="auto"/>
                <w:kern w:val="0"/>
                <w:sz w:val="24"/>
                <w:szCs w:val="24"/>
                <w:u w:val="none"/>
                <w:lang w:val="en-US" w:eastAsia="zh-CN" w:bidi="ar"/>
              </w:rPr>
              <w:t>安仁县福磊石业有限公司（91431028584936741L）</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《监管办法》第二十六条第一款第五项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i w:val="0"/>
                <w:iCs w:val="0"/>
                <w:color w:val="auto"/>
                <w:kern w:val="0"/>
                <w:sz w:val="24"/>
                <w:szCs w:val="24"/>
                <w:u w:val="none"/>
                <w:lang w:val="en-US" w:eastAsia="zh-CN" w:bidi="ar"/>
              </w:rPr>
              <w:t>湖南子江环境科技有限公司（91431000MADJWRG833）</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《监管办法》第二十六条第一款第五项，第三十一条、第三十二条第九项；《记分办法（试行）》第七条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方正仿宋_GBK" w:hAnsi="方正仿宋_GBK" w:eastAsia="方正仿宋_GBK" w:cs="方正仿宋_GBK"/>
                <w:color w:val="auto"/>
                <w:kern w:val="21"/>
                <w:sz w:val="24"/>
                <w:szCs w:val="24"/>
                <w:u w:val="none"/>
              </w:rPr>
              <w:t>桂要好</w:t>
            </w:r>
            <w:r>
              <w:rPr>
                <w:rFonts w:hint="eastAsia" w:ascii="方正仿宋_GBK" w:hAnsi="方正仿宋_GBK" w:eastAsia="方正仿宋_GBK" w:cs="方正仿宋_GBK"/>
                <w:color w:val="auto"/>
                <w:kern w:val="21"/>
                <w:sz w:val="24"/>
                <w:szCs w:val="24"/>
                <w:u w:val="none"/>
                <w:lang w:eastAsia="zh-CN"/>
              </w:rPr>
              <w:t>（</w:t>
            </w:r>
            <w:r>
              <w:rPr>
                <w:rFonts w:hint="eastAsia" w:ascii="仿宋" w:hAnsi="仿宋" w:eastAsia="仿宋" w:cs="仿宋"/>
                <w:color w:val="auto"/>
                <w:kern w:val="0"/>
                <w:sz w:val="24"/>
                <w:szCs w:val="24"/>
                <w:u w:val="none"/>
                <w:lang w:bidi="ar"/>
              </w:rPr>
              <w:t>BH060765</w:t>
            </w:r>
            <w:r>
              <w:rPr>
                <w:rFonts w:hint="eastAsia" w:ascii="方正仿宋_GBK" w:hAnsi="方正仿宋_GBK" w:eastAsia="方正仿宋_GBK" w:cs="方正仿宋_GBK"/>
                <w:color w:val="auto"/>
                <w:kern w:val="21"/>
                <w:sz w:val="24"/>
                <w:szCs w:val="24"/>
                <w:u w:val="none"/>
                <w:lang w:eastAsia="zh-CN"/>
              </w:rPr>
              <w:t>）</w:t>
            </w:r>
            <w:r>
              <w:rPr>
                <w:rFonts w:hint="eastAsia" w:ascii="仿宋" w:hAnsi="仿宋" w:eastAsia="仿宋" w:cs="仿宋"/>
                <w:i w:val="0"/>
                <w:iCs w:val="0"/>
                <w:color w:val="auto"/>
                <w:kern w:val="0"/>
                <w:sz w:val="24"/>
                <w:szCs w:val="24"/>
                <w:u w:val="none"/>
                <w:lang w:val="en-US" w:eastAsia="zh-CN" w:bidi="ar"/>
              </w:rPr>
              <w:t>、马丽（BH065524）)</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 xml:space="preserve">《监管办法》第二十六条第一款第五项，第三十一条、第三十二条第九项；《记分办法（试行）》第七条 </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郴州市生态环境局安仁分局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2025年8月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10</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kern w:val="2"/>
                <w:sz w:val="24"/>
                <w:szCs w:val="24"/>
                <w:u w:val="none"/>
                <w:lang w:val="en-US" w:eastAsia="zh-CN" w:bidi="ar-SA"/>
              </w:rPr>
            </w:pPr>
            <w:r>
              <w:rPr>
                <w:rFonts w:hint="eastAsia" w:ascii="方正仿宋_GB2312" w:hAnsi="方正仿宋_GB2312" w:eastAsia="方正仿宋_GB2312" w:cs="方正仿宋_GB2312"/>
                <w:sz w:val="24"/>
                <w:szCs w:val="24"/>
                <w:u w:val="none"/>
              </w:rPr>
              <w:t>溆浦县金中定点屠宰场升级改造建设项目环境影响报告表</w:t>
            </w:r>
          </w:p>
        </w:tc>
        <w:tc>
          <w:tcPr>
            <w:tcW w:w="1486" w:type="pct"/>
            <w:tcBorders>
              <w:tl2br w:val="nil"/>
              <w:tr2bl w:val="nil"/>
            </w:tcBorders>
            <w:shd w:val="clear" w:color="auto" w:fill="auto"/>
            <w:vAlign w:val="center"/>
          </w:tcPr>
          <w:p>
            <w:pPr>
              <w:numPr>
                <w:ilvl w:val="0"/>
                <w:numId w:val="0"/>
              </w:numPr>
              <w:adjustRightInd w:val="0"/>
              <w:snapToGrid w:val="0"/>
              <w:jc w:val="left"/>
              <w:rPr>
                <w:rFonts w:hint="eastAsia" w:ascii="方正仿宋_GB2312" w:hAnsi="方正仿宋_GB2312" w:eastAsia="方正仿宋_GB2312" w:cs="方正仿宋_GB2312"/>
                <w:spacing w:val="-11"/>
                <w:kern w:val="0"/>
                <w:sz w:val="24"/>
                <w:szCs w:val="24"/>
                <w:u w:val="none"/>
              </w:rPr>
            </w:pPr>
            <w:r>
              <w:rPr>
                <w:rFonts w:hint="eastAsia" w:ascii="方正仿宋_GB2312" w:hAnsi="方正仿宋_GB2312" w:eastAsia="方正仿宋_GB2312" w:cs="方正仿宋_GB2312"/>
                <w:spacing w:val="-11"/>
                <w:kern w:val="0"/>
                <w:sz w:val="24"/>
                <w:szCs w:val="24"/>
                <w:u w:val="none"/>
                <w:lang w:val="en-US" w:eastAsia="zh-CN"/>
              </w:rPr>
              <w:t>1.</w:t>
            </w:r>
            <w:r>
              <w:rPr>
                <w:rFonts w:hint="eastAsia" w:ascii="方正仿宋_GB2312" w:hAnsi="方正仿宋_GB2312" w:eastAsia="方正仿宋_GB2312" w:cs="方正仿宋_GB2312"/>
                <w:spacing w:val="-11"/>
                <w:kern w:val="0"/>
                <w:sz w:val="24"/>
                <w:szCs w:val="24"/>
                <w:u w:val="none"/>
              </w:rPr>
              <w:t>建设项目概况描述错误的：（1）报告中P3表4中本项目设计规模为年屠宰生猪99273 头、年屠宰肉牛6064 头、年屠宰肉鸡1000 只、年屠宰肉鸭1000只、年屠宰肉鹅1000只；而报告P26表2.2-2中年屠宰生猪89733 头、年屠宰肉牛1000头、年屠宰肉鸡1000 只、年屠宰肉鸭1000只、年屠宰肉鹅1000只；报告P48本项目年屠宰生猪26273头、肉牛9040头、年屠宰肉鸡1000只、年屠宰肉鸭1000只、年屠宰肉鹅1000只；</w:t>
            </w:r>
            <w:r>
              <w:rPr>
                <w:rFonts w:hint="eastAsia" w:ascii="方正仿宋_GB2312" w:hAnsi="方正仿宋_GB2312" w:eastAsia="方正仿宋_GB2312" w:cs="方正仿宋_GB2312"/>
                <w:spacing w:val="-11"/>
                <w:kern w:val="0"/>
                <w:sz w:val="24"/>
                <w:szCs w:val="24"/>
                <w:u w:val="none"/>
                <w:lang w:eastAsia="zh-CN"/>
              </w:rPr>
              <w:t>多处</w:t>
            </w:r>
            <w:r>
              <w:rPr>
                <w:rFonts w:hint="eastAsia" w:ascii="方正仿宋_GB2312" w:hAnsi="方正仿宋_GB2312" w:eastAsia="方正仿宋_GB2312" w:cs="方正仿宋_GB2312"/>
                <w:spacing w:val="-11"/>
                <w:kern w:val="0"/>
                <w:sz w:val="24"/>
                <w:szCs w:val="24"/>
                <w:u w:val="none"/>
              </w:rPr>
              <w:t>前后不一致。</w:t>
            </w:r>
          </w:p>
          <w:p>
            <w:pPr>
              <w:numPr>
                <w:ilvl w:val="0"/>
                <w:numId w:val="0"/>
              </w:numPr>
              <w:adjustRightInd w:val="0"/>
              <w:snapToGrid w:val="0"/>
              <w:jc w:val="left"/>
              <w:rPr>
                <w:rFonts w:hint="eastAsia" w:ascii="方正仿宋_GB2312" w:hAnsi="方正仿宋_GB2312" w:eastAsia="方正仿宋_GB2312" w:cs="方正仿宋_GB2312"/>
                <w:spacing w:val="-11"/>
                <w:kern w:val="0"/>
                <w:sz w:val="24"/>
                <w:szCs w:val="24"/>
                <w:u w:val="none"/>
              </w:rPr>
            </w:pPr>
            <w:r>
              <w:rPr>
                <w:rFonts w:hint="eastAsia" w:ascii="方正仿宋_GB2312" w:hAnsi="方正仿宋_GB2312" w:eastAsia="方正仿宋_GB2312" w:cs="方正仿宋_GB2312"/>
                <w:spacing w:val="-11"/>
                <w:kern w:val="0"/>
                <w:sz w:val="24"/>
                <w:szCs w:val="24"/>
                <w:u w:val="none"/>
                <w:lang w:val="en-US" w:eastAsia="zh-CN"/>
              </w:rPr>
              <w:t>2.</w:t>
            </w:r>
            <w:r>
              <w:rPr>
                <w:rFonts w:hint="eastAsia" w:ascii="方正仿宋_GB2312" w:hAnsi="方正仿宋_GB2312" w:eastAsia="方正仿宋_GB2312" w:cs="方正仿宋_GB2312"/>
                <w:spacing w:val="-11"/>
                <w:kern w:val="0"/>
                <w:sz w:val="24"/>
                <w:szCs w:val="24"/>
                <w:u w:val="none"/>
              </w:rPr>
              <w:t>污染源源强核算内容不全，核算方法或者结果错误的：（1）根据《排放源统计调查产排污核算方法和系数手册》中的屠宰及肉类加工行业系数手册，“1351 牲畜屠宰行业产污系数表”中屠宰活牛工业废水量为0.941t/头，而报告中屠宰肉牛的废水产生系数为0.27t/只，此系数为羊。（</w:t>
            </w:r>
            <w:r>
              <w:rPr>
                <w:rFonts w:hint="eastAsia" w:ascii="方正仿宋_GB2312" w:hAnsi="方正仿宋_GB2312" w:eastAsia="方正仿宋_GB2312" w:cs="方正仿宋_GB2312"/>
                <w:spacing w:val="-11"/>
                <w:kern w:val="0"/>
                <w:sz w:val="24"/>
                <w:szCs w:val="24"/>
                <w:u w:val="none"/>
                <w:lang w:val="en-US" w:eastAsia="zh-CN"/>
              </w:rPr>
              <w:t>2</w:t>
            </w:r>
            <w:r>
              <w:rPr>
                <w:rFonts w:hint="eastAsia" w:ascii="方正仿宋_GB2312" w:hAnsi="方正仿宋_GB2312" w:eastAsia="方正仿宋_GB2312" w:cs="方正仿宋_GB2312"/>
                <w:spacing w:val="-11"/>
                <w:kern w:val="0"/>
                <w:sz w:val="24"/>
                <w:szCs w:val="24"/>
                <w:u w:val="none"/>
              </w:rPr>
              <w:t>）现有工程废水产生量为53433.06 t/a，年运行天数365天，合计146.4m</w:t>
            </w:r>
            <w:r>
              <w:rPr>
                <w:rFonts w:hint="eastAsia" w:ascii="方正仿宋_GB2312" w:hAnsi="方正仿宋_GB2312" w:eastAsia="方正仿宋_GB2312" w:cs="方正仿宋_GB2312"/>
                <w:spacing w:val="-11"/>
                <w:kern w:val="0"/>
                <w:sz w:val="24"/>
                <w:szCs w:val="24"/>
                <w:u w:val="none"/>
                <w:vertAlign w:val="superscript"/>
              </w:rPr>
              <w:t>3</w:t>
            </w:r>
            <w:r>
              <w:rPr>
                <w:rFonts w:hint="eastAsia" w:ascii="方正仿宋_GB2312" w:hAnsi="方正仿宋_GB2312" w:eastAsia="方正仿宋_GB2312" w:cs="方正仿宋_GB2312"/>
                <w:spacing w:val="-11"/>
                <w:kern w:val="0"/>
                <w:sz w:val="24"/>
                <w:szCs w:val="24"/>
                <w:u w:val="none"/>
              </w:rPr>
              <w:t>/d，根据城镇污水排入排水管网许可证（副本），排水量为100m</w:t>
            </w:r>
            <w:r>
              <w:rPr>
                <w:rFonts w:hint="eastAsia" w:ascii="方正仿宋_GB2312" w:hAnsi="方正仿宋_GB2312" w:eastAsia="方正仿宋_GB2312" w:cs="方正仿宋_GB2312"/>
                <w:spacing w:val="-11"/>
                <w:kern w:val="0"/>
                <w:sz w:val="24"/>
                <w:szCs w:val="24"/>
                <w:u w:val="none"/>
                <w:vertAlign w:val="superscript"/>
              </w:rPr>
              <w:t>3</w:t>
            </w:r>
            <w:r>
              <w:rPr>
                <w:rFonts w:hint="eastAsia" w:ascii="方正仿宋_GB2312" w:hAnsi="方正仿宋_GB2312" w:eastAsia="方正仿宋_GB2312" w:cs="方正仿宋_GB2312"/>
                <w:spacing w:val="-11"/>
                <w:kern w:val="0"/>
                <w:sz w:val="24"/>
                <w:szCs w:val="24"/>
                <w:u w:val="none"/>
              </w:rPr>
              <w:t>/d，项目废水产生量大于污水处理厂允许接纳水量，报告未提出现有工程废水去向存在的问题及以新带老措施。</w:t>
            </w:r>
          </w:p>
          <w:p>
            <w:pPr>
              <w:numPr>
                <w:ilvl w:val="0"/>
                <w:numId w:val="0"/>
              </w:numPr>
              <w:adjustRightInd w:val="0"/>
              <w:snapToGrid w:val="0"/>
              <w:jc w:val="left"/>
              <w:rPr>
                <w:rFonts w:hint="eastAsia" w:ascii="方正仿宋_GB2312" w:hAnsi="方正仿宋_GB2312" w:eastAsia="方正仿宋_GB2312" w:cs="方正仿宋_GB2312"/>
                <w:spacing w:val="-11"/>
                <w:kern w:val="0"/>
                <w:sz w:val="24"/>
                <w:szCs w:val="24"/>
                <w:u w:val="none"/>
              </w:rPr>
            </w:pPr>
            <w:r>
              <w:rPr>
                <w:rFonts w:hint="eastAsia" w:ascii="方正仿宋_GB2312" w:hAnsi="方正仿宋_GB2312" w:eastAsia="方正仿宋_GB2312" w:cs="方正仿宋_GB2312"/>
                <w:spacing w:val="-11"/>
                <w:kern w:val="0"/>
                <w:sz w:val="24"/>
                <w:szCs w:val="24"/>
                <w:u w:val="none"/>
                <w:lang w:val="en-US" w:eastAsia="zh-CN"/>
              </w:rPr>
              <w:t>3.</w:t>
            </w:r>
            <w:r>
              <w:rPr>
                <w:rFonts w:hint="eastAsia" w:ascii="方正仿宋_GB2312" w:hAnsi="方正仿宋_GB2312" w:eastAsia="方正仿宋_GB2312" w:cs="方正仿宋_GB2312"/>
                <w:spacing w:val="-11"/>
                <w:kern w:val="0"/>
                <w:sz w:val="24"/>
                <w:szCs w:val="24"/>
                <w:u w:val="none"/>
              </w:rPr>
              <w:t>环境质量现状数据来源、监测因子、监测频次或者布点等不符合相关规定：厂界50m内存在多处声环境保护目标，最近距离有4m，但现状监测中未进行该敏感点的监测，不符合《建设项目环境影响报告表编制技术指南（污染影响类）（试行）》的要求。</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kern w:val="0"/>
                <w:sz w:val="24"/>
                <w:szCs w:val="24"/>
                <w:u w:val="none"/>
                <w:lang w:val="en-US" w:eastAsia="zh-CN" w:bidi="ar-SA"/>
              </w:rPr>
            </w:pPr>
            <w:r>
              <w:rPr>
                <w:rFonts w:hint="eastAsia" w:ascii="方正仿宋_GB2312" w:hAnsi="方正仿宋_GB2312" w:eastAsia="方正仿宋_GB2312" w:cs="方正仿宋_GB2312"/>
                <w:spacing w:val="-11"/>
                <w:kern w:val="0"/>
                <w:sz w:val="24"/>
                <w:szCs w:val="24"/>
                <w:u w:val="none"/>
                <w:lang w:val="en-US" w:eastAsia="zh-CN"/>
              </w:rPr>
              <w:t>4.</w:t>
            </w:r>
            <w:r>
              <w:rPr>
                <w:rFonts w:hint="eastAsia" w:ascii="方正仿宋_GB2312" w:hAnsi="方正仿宋_GB2312" w:eastAsia="方正仿宋_GB2312" w:cs="方正仿宋_GB2312"/>
                <w:spacing w:val="-11"/>
                <w:kern w:val="0"/>
                <w:sz w:val="24"/>
                <w:szCs w:val="24"/>
                <w:u w:val="none"/>
              </w:rPr>
              <w:t>未按相关规定提出环境保护措施，所提环境保护措施或者其可行性论证不符合相关规定的：项目设置500m卫生防护距离，但500m范围存在较多的环境保护目标，报告未提相应的防护措施。</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i w:val="0"/>
                <w:iCs w:val="0"/>
                <w:color w:val="auto"/>
                <w:kern w:val="0"/>
                <w:sz w:val="24"/>
                <w:szCs w:val="24"/>
                <w:u w:val="none"/>
                <w:lang w:val="en-US" w:eastAsia="zh-CN" w:bidi="ar"/>
              </w:rPr>
              <w:t>溆浦县金中定点屠宰场（91431224MA4L61FQ73）</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《监管办法》第二十六条第一款第三、五、六、十项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i w:val="0"/>
                <w:iCs w:val="0"/>
                <w:color w:val="auto"/>
                <w:kern w:val="0"/>
                <w:sz w:val="24"/>
                <w:szCs w:val="24"/>
                <w:u w:val="none"/>
                <w:lang w:val="en-US" w:eastAsia="zh-CN" w:bidi="ar"/>
              </w:rPr>
              <w:t>湖南然田环境评估有限公司（91430104MAEWK9MH45）</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w:t>
            </w:r>
            <w:r>
              <w:rPr>
                <w:rFonts w:hint="eastAsia" w:ascii="仿宋" w:hAnsi="仿宋" w:eastAsia="仿宋" w:cs="仿宋"/>
                <w:b w:val="0"/>
                <w:bCs w:val="0"/>
                <w:i w:val="0"/>
                <w:iCs w:val="0"/>
                <w:color w:val="auto"/>
                <w:kern w:val="0"/>
                <w:sz w:val="24"/>
                <w:szCs w:val="24"/>
                <w:u w:val="none"/>
                <w:lang w:val="en-US" w:eastAsia="zh-CN" w:bidi="ar"/>
              </w:rPr>
              <w:t>第二十六条第一款第三、五、六、十项</w:t>
            </w:r>
            <w:r>
              <w:rPr>
                <w:rFonts w:hint="eastAsia" w:ascii="仿宋" w:hAnsi="仿宋" w:eastAsia="仿宋" w:cs="仿宋"/>
                <w:i w:val="0"/>
                <w:iCs w:val="0"/>
                <w:color w:val="auto"/>
                <w:kern w:val="0"/>
                <w:sz w:val="24"/>
                <w:szCs w:val="24"/>
                <w:u w:val="none"/>
                <w:lang w:val="en-US" w:eastAsia="zh-CN" w:bidi="ar"/>
              </w:rPr>
              <w:t>，第三十一条、第三十二条第九项；《记分办法（试行）》第七条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b w:val="0"/>
                <w:bCs w:val="0"/>
                <w:i w:val="0"/>
                <w:iCs w:val="0"/>
                <w:color w:val="auto"/>
                <w:kern w:val="0"/>
                <w:sz w:val="24"/>
                <w:szCs w:val="24"/>
                <w:u w:val="none"/>
                <w:lang w:val="en-US" w:eastAsia="zh-CN" w:bidi="ar"/>
              </w:rPr>
              <w:t>赵义发</w:t>
            </w:r>
            <w:r>
              <w:rPr>
                <w:rFonts w:hint="eastAsia" w:ascii="仿宋" w:hAnsi="仿宋" w:eastAsia="仿宋" w:cs="仿宋"/>
                <w:i w:val="0"/>
                <w:iCs w:val="0"/>
                <w:color w:val="auto"/>
                <w:kern w:val="0"/>
                <w:sz w:val="24"/>
                <w:szCs w:val="24"/>
                <w:u w:val="none"/>
                <w:lang w:val="en-US" w:eastAsia="zh-CN" w:bidi="ar"/>
              </w:rPr>
              <w:t>（BH027756）</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 xml:space="preserve">《监管办法》第二十六条第一款第三、五、六、十项，第三十一条、第三十二条第九项；《记分办法（试行）》第七条 </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怀化市生态环境局溆浦分局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2026年2月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0"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11</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sz w:val="24"/>
                <w:szCs w:val="24"/>
                <w:u w:val="none"/>
              </w:rPr>
              <w:t>湖南荣光箱包配件有限公司箱包配件生产项目环境影响报告</w:t>
            </w:r>
            <w:r>
              <w:rPr>
                <w:rFonts w:hint="eastAsia" w:ascii="方正仿宋_GB2312" w:hAnsi="方正仿宋_GB2312" w:eastAsia="方正仿宋_GB2312" w:cs="方正仿宋_GB2312"/>
                <w:sz w:val="24"/>
                <w:szCs w:val="24"/>
                <w:u w:val="none"/>
                <w:lang w:eastAsia="zh-CN"/>
              </w:rPr>
              <w:t>表</w:t>
            </w:r>
          </w:p>
        </w:tc>
        <w:tc>
          <w:tcPr>
            <w:tcW w:w="148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kern w:val="0"/>
                <w:sz w:val="24"/>
                <w:szCs w:val="24"/>
                <w:u w:val="none"/>
                <w:lang w:val="en-US" w:eastAsia="zh-CN"/>
              </w:rPr>
              <w:t>遗漏特征因子。</w:t>
            </w:r>
            <w:r>
              <w:rPr>
                <w:rFonts w:hint="eastAsia" w:ascii="方正仿宋_GB2312" w:hAnsi="方正仿宋_GB2312" w:eastAsia="方正仿宋_GB2312" w:cs="方正仿宋_GB2312"/>
                <w:kern w:val="0"/>
                <w:sz w:val="24"/>
                <w:szCs w:val="24"/>
                <w:u w:val="none"/>
              </w:rPr>
              <w:t>项目涉及聚氨酯泡沫发泡工艺，聚氨酯树脂为A料（异氰酸酯）和B料（多元醇）反应的产品，由于《合成树脂工业污染物排放标准》（GB 31572-2015，含2024年修改单）大气污染物排放限值中对于聚氨酯塑料（泡沫）的生产产生的污染物有MDI、TDI、IPDI、PAPI等因子，报告未考虑MDI、TDI、IPDI、PAPI；项目原辅料使用PA（尼龙，聚酰胺树脂），根据《合成树脂工业污染物排放标准》（GB 31572-2015，含2024年修改单）大气污染物排放限值中，聚酰胺树脂（PA）产生的污染物有氨等因子，报告未考虑氨。不符合《建设项目环境影响评价技术导则总纲》(HJ2.1-2016)：“3.5.2评价因子筛选：根据建设项目的特点、环境影响的主要特征，结合区域环境功能要求、环境保护目标、评价标准和环境制约因素，筛选确定评价因子。”要求。</w:t>
            </w:r>
            <w:r>
              <w:rPr>
                <w:rFonts w:hint="eastAsia" w:ascii="方正仿宋_GB2312" w:hAnsi="方正仿宋_GB2312" w:eastAsia="方正仿宋_GB2312" w:cs="方正仿宋_GB2312"/>
                <w:kern w:val="0"/>
                <w:sz w:val="24"/>
                <w:szCs w:val="24"/>
                <w:u w:val="none"/>
              </w:rPr>
              <w:br w:type="textWrapping"/>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i w:val="0"/>
                <w:iCs w:val="0"/>
                <w:color w:val="auto"/>
                <w:kern w:val="0"/>
                <w:sz w:val="24"/>
                <w:szCs w:val="24"/>
                <w:u w:val="none"/>
                <w:lang w:val="en-US" w:eastAsia="zh-CN" w:bidi="ar"/>
              </w:rPr>
              <w:t>湖南荣光箱包配件有限公司（91431200MAD5YJD80E）</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《监管办法》第二十六条第一款第一项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i w:val="0"/>
                <w:iCs w:val="0"/>
                <w:color w:val="auto"/>
                <w:kern w:val="0"/>
                <w:sz w:val="24"/>
                <w:szCs w:val="24"/>
                <w:u w:val="none"/>
                <w:lang w:val="en-US" w:eastAsia="zh-CN" w:bidi="ar"/>
              </w:rPr>
              <w:t>湖南小蜜蜂生态环境科技有限公司（91430100MAEM8LX38Y）</w:t>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w:t>
            </w:r>
            <w:r>
              <w:rPr>
                <w:rFonts w:hint="eastAsia" w:ascii="仿宋" w:hAnsi="仿宋" w:eastAsia="仿宋" w:cs="仿宋"/>
                <w:b w:val="0"/>
                <w:bCs w:val="0"/>
                <w:i w:val="0"/>
                <w:iCs w:val="0"/>
                <w:color w:val="auto"/>
                <w:kern w:val="0"/>
                <w:sz w:val="24"/>
                <w:szCs w:val="24"/>
                <w:u w:val="none"/>
                <w:lang w:val="en-US" w:eastAsia="zh-CN" w:bidi="ar"/>
              </w:rPr>
              <w:t>第二十六条第一款第一项</w:t>
            </w:r>
            <w:r>
              <w:rPr>
                <w:rFonts w:hint="eastAsia" w:ascii="仿宋" w:hAnsi="仿宋" w:eastAsia="仿宋" w:cs="仿宋"/>
                <w:i w:val="0"/>
                <w:iCs w:val="0"/>
                <w:color w:val="auto"/>
                <w:kern w:val="0"/>
                <w:sz w:val="24"/>
                <w:szCs w:val="24"/>
                <w:u w:val="none"/>
                <w:lang w:val="en-US" w:eastAsia="zh-CN" w:bidi="ar"/>
              </w:rPr>
              <w:t>，第三十一条、第三十二条第九项；《记分办法（试行）》第七条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b w:val="0"/>
                <w:bCs w:val="0"/>
                <w:i w:val="0"/>
                <w:iCs w:val="0"/>
                <w:color w:val="auto"/>
                <w:kern w:val="0"/>
                <w:sz w:val="24"/>
                <w:szCs w:val="24"/>
                <w:u w:val="none"/>
                <w:lang w:val="en-US" w:eastAsia="zh-CN" w:bidi="ar"/>
              </w:rPr>
              <w:t>卜敏</w:t>
            </w:r>
            <w:r>
              <w:rPr>
                <w:rFonts w:hint="eastAsia" w:ascii="仿宋" w:hAnsi="仿宋" w:eastAsia="仿宋" w:cs="仿宋"/>
                <w:i w:val="0"/>
                <w:iCs w:val="0"/>
                <w:color w:val="auto"/>
                <w:kern w:val="0"/>
                <w:sz w:val="24"/>
                <w:szCs w:val="24"/>
                <w:u w:val="none"/>
                <w:lang w:val="en-US" w:eastAsia="zh-CN" w:bidi="ar"/>
              </w:rPr>
              <w:t>（BH021644）</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 xml:space="preserve">《监管办法》第二十六条第一款第一项，第三十一条、第三十二条第九项；《记分办法（试行）》第七条 </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怀化市生态环境局直属一局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2025年11月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12</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kern w:val="2"/>
                <w:sz w:val="24"/>
                <w:szCs w:val="24"/>
                <w:u w:val="none"/>
                <w:lang w:val="en-US" w:eastAsia="zh-CN" w:bidi="ar-SA"/>
              </w:rPr>
            </w:pPr>
            <w:r>
              <w:rPr>
                <w:rFonts w:hint="eastAsia" w:ascii="方正仿宋_GB2312" w:hAnsi="方正仿宋_GB2312" w:eastAsia="方正仿宋_GB2312" w:cs="方正仿宋_GB2312"/>
                <w:sz w:val="24"/>
                <w:szCs w:val="24"/>
                <w:u w:val="none"/>
              </w:rPr>
              <w:t>张家界市武陵源区文丰路、画卷路、宝峰路等排水防涝工程项目环境影响报告</w:t>
            </w:r>
            <w:r>
              <w:rPr>
                <w:rFonts w:hint="eastAsia" w:ascii="方正仿宋_GB2312" w:hAnsi="方正仿宋_GB2312" w:eastAsia="方正仿宋_GB2312" w:cs="方正仿宋_GB2312"/>
                <w:sz w:val="24"/>
                <w:szCs w:val="24"/>
                <w:u w:val="none"/>
                <w:lang w:eastAsia="zh-CN"/>
              </w:rPr>
              <w:t>表</w:t>
            </w:r>
          </w:p>
        </w:tc>
        <w:tc>
          <w:tcPr>
            <w:tcW w:w="148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kern w:val="0"/>
                <w:sz w:val="24"/>
                <w:szCs w:val="24"/>
                <w:u w:val="none"/>
                <w:lang w:val="en-US" w:eastAsia="zh-CN" w:bidi="ar-SA"/>
              </w:rPr>
            </w:pPr>
            <w:r>
              <w:rPr>
                <w:rFonts w:hint="eastAsia" w:ascii="方正仿宋_GB2312" w:hAnsi="方正仿宋_GB2312" w:eastAsia="方正仿宋_GB2312" w:cs="方正仿宋_GB2312"/>
                <w:kern w:val="0"/>
                <w:sz w:val="24"/>
                <w:szCs w:val="24"/>
                <w:u w:val="none"/>
              </w:rPr>
              <w:t>生态环境影响评价不符合一级评价要求。本项目未对陆生生态、水生生态分别定级，生态评价等级统一定为一级（涉及自然保护区、世界自然遗产），炭门垭溪防洪除涝工程长度约为400m，工程内容包括：清障清违、河道向南拓宽2m、拓宽长度283m，工程下游440m为湖南张家界大鲵国家级自然保护区索溪实验区，属于涉水工程；宝峰溪防洪除涝工程长度约为650m，工程内容包括：河床进行恢复、修整，工程下游660m为湖南张家界大鲵国家级自然保护区索溪实验区，属于涉水工程</w:t>
            </w:r>
            <w:r>
              <w:rPr>
                <w:rFonts w:hint="eastAsia" w:ascii="方正仿宋_GB2312" w:hAnsi="方正仿宋_GB2312" w:eastAsia="方正仿宋_GB2312" w:cs="方正仿宋_GB2312"/>
                <w:kern w:val="0"/>
                <w:sz w:val="24"/>
                <w:szCs w:val="24"/>
                <w:u w:val="none"/>
                <w:lang w:eastAsia="zh-CN"/>
              </w:rPr>
              <w:t>。</w:t>
            </w:r>
            <w:r>
              <w:rPr>
                <w:rFonts w:hint="eastAsia" w:ascii="方正仿宋_GB2312" w:hAnsi="方正仿宋_GB2312" w:eastAsia="方正仿宋_GB2312" w:cs="方正仿宋_GB2312"/>
                <w:kern w:val="0"/>
                <w:sz w:val="24"/>
                <w:szCs w:val="24"/>
                <w:u w:val="none"/>
              </w:rPr>
              <w:t>但水生生态影响分析定性分析，不符合《生态导则》（HJ 19-2022）7.3.5关于一级评价应开展深入生态影响预测的要求。</w:t>
            </w:r>
            <w:r>
              <w:rPr>
                <w:rFonts w:hint="eastAsia" w:ascii="方正仿宋_GB2312" w:hAnsi="方正仿宋_GB2312" w:eastAsia="方正仿宋_GB2312" w:cs="方正仿宋_GB2312"/>
                <w:kern w:val="0"/>
                <w:sz w:val="24"/>
                <w:szCs w:val="24"/>
                <w:u w:val="none"/>
              </w:rPr>
              <w:br w:type="textWrapping"/>
            </w:r>
            <w:r>
              <w:rPr>
                <w:rFonts w:hint="eastAsia" w:ascii="方正仿宋_GB2312" w:hAnsi="方正仿宋_GB2312" w:eastAsia="方正仿宋_GB2312" w:cs="方正仿宋_GB2312"/>
                <w:kern w:val="0"/>
                <w:sz w:val="24"/>
                <w:szCs w:val="24"/>
                <w:u w:val="none"/>
              </w:rPr>
              <w:br w:type="textWrapping"/>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i w:val="0"/>
                <w:iCs w:val="0"/>
                <w:color w:val="auto"/>
                <w:kern w:val="0"/>
                <w:sz w:val="24"/>
                <w:szCs w:val="24"/>
                <w:u w:val="none"/>
                <w:lang w:val="en-US" w:eastAsia="zh-CN" w:bidi="ar"/>
              </w:rPr>
              <w:t>张家界市武陵源区城乡建设和交通运输局（11430811MB0941054E）</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《监管办法》第二十六条第一款第八项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i w:val="0"/>
                <w:iCs w:val="0"/>
                <w:color w:val="auto"/>
                <w:kern w:val="0"/>
                <w:sz w:val="24"/>
                <w:szCs w:val="24"/>
                <w:u w:val="none"/>
                <w:lang w:val="en-US" w:eastAsia="zh-CN" w:bidi="ar"/>
              </w:rPr>
              <w:t>湖南新瑞智环境科技有限责任公司（91430111MA4RA3TU10）</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w:t>
            </w:r>
            <w:r>
              <w:rPr>
                <w:rFonts w:hint="eastAsia" w:ascii="仿宋" w:hAnsi="仿宋" w:eastAsia="仿宋" w:cs="仿宋"/>
                <w:b w:val="0"/>
                <w:bCs w:val="0"/>
                <w:i w:val="0"/>
                <w:iCs w:val="0"/>
                <w:color w:val="auto"/>
                <w:kern w:val="0"/>
                <w:sz w:val="24"/>
                <w:szCs w:val="24"/>
                <w:u w:val="none"/>
                <w:lang w:val="en-US" w:eastAsia="zh-CN" w:bidi="ar"/>
              </w:rPr>
              <w:t>第二十六条第一款第八项</w:t>
            </w:r>
            <w:r>
              <w:rPr>
                <w:rFonts w:hint="eastAsia" w:ascii="仿宋" w:hAnsi="仿宋" w:eastAsia="仿宋" w:cs="仿宋"/>
                <w:i w:val="0"/>
                <w:iCs w:val="0"/>
                <w:color w:val="auto"/>
                <w:kern w:val="0"/>
                <w:sz w:val="24"/>
                <w:szCs w:val="24"/>
                <w:u w:val="none"/>
                <w:lang w:val="en-US" w:eastAsia="zh-CN" w:bidi="ar"/>
              </w:rPr>
              <w:t>，第三十一条、第三十二条第九项；《记分办法（试行）》第七条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b w:val="0"/>
                <w:bCs w:val="0"/>
                <w:i w:val="0"/>
                <w:iCs w:val="0"/>
                <w:color w:val="auto"/>
                <w:kern w:val="0"/>
                <w:sz w:val="24"/>
                <w:szCs w:val="24"/>
                <w:u w:val="none"/>
                <w:lang w:val="en-US" w:eastAsia="zh-CN" w:bidi="ar"/>
              </w:rPr>
              <w:t>彭韬</w:t>
            </w:r>
            <w:r>
              <w:rPr>
                <w:rFonts w:hint="eastAsia" w:ascii="仿宋" w:hAnsi="仿宋" w:eastAsia="仿宋" w:cs="仿宋"/>
                <w:i w:val="0"/>
                <w:iCs w:val="0"/>
                <w:color w:val="auto"/>
                <w:kern w:val="0"/>
                <w:sz w:val="24"/>
                <w:szCs w:val="24"/>
                <w:u w:val="none"/>
                <w:lang w:val="en-US" w:eastAsia="zh-CN" w:bidi="ar"/>
              </w:rPr>
              <w:t>（BH014602）</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 xml:space="preserve">《监管办法》第二十六条第一款第八项，第三十一条、第三十二条第九项；《记分办法（试行）》第七条 </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张家界市生态环境局武陵源分局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2025年11月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13</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kern w:val="2"/>
                <w:sz w:val="24"/>
                <w:szCs w:val="24"/>
                <w:u w:val="none"/>
                <w:lang w:val="en-US" w:eastAsia="zh-CN" w:bidi="ar-SA"/>
              </w:rPr>
            </w:pPr>
            <w:r>
              <w:rPr>
                <w:rFonts w:hint="eastAsia" w:ascii="方正仿宋_GB2312" w:hAnsi="方正仿宋_GB2312" w:eastAsia="方正仿宋_GB2312" w:cs="方正仿宋_GB2312"/>
                <w:sz w:val="24"/>
                <w:szCs w:val="24"/>
                <w:u w:val="none"/>
              </w:rPr>
              <w:t>张家界市永定区农村供水总站永定区新建马头溪水库工程建设项目环境影响报告表</w:t>
            </w:r>
          </w:p>
        </w:tc>
        <w:tc>
          <w:tcPr>
            <w:tcW w:w="1486" w:type="pct"/>
            <w:tcBorders>
              <w:tl2br w:val="nil"/>
              <w:tr2bl w:val="nil"/>
            </w:tcBorders>
            <w:shd w:val="clear" w:color="auto" w:fill="auto"/>
            <w:vAlign w:val="center"/>
          </w:tcPr>
          <w:p>
            <w:pPr>
              <w:numPr>
                <w:ilvl w:val="0"/>
                <w:numId w:val="0"/>
              </w:numPr>
              <w:adjustRightInd w:val="0"/>
              <w:snapToGrid w:val="0"/>
              <w:spacing w:line="320" w:lineRule="exact"/>
              <w:jc w:val="left"/>
              <w:rPr>
                <w:rFonts w:hint="eastAsia" w:ascii="方正仿宋_GB2312" w:hAnsi="方正仿宋_GB2312" w:eastAsia="方正仿宋_GB2312" w:cs="方正仿宋_GB2312"/>
                <w:kern w:val="0"/>
                <w:sz w:val="24"/>
                <w:szCs w:val="24"/>
                <w:u w:val="none"/>
              </w:rPr>
            </w:pPr>
            <w:r>
              <w:rPr>
                <w:rFonts w:hint="eastAsia" w:ascii="方正仿宋_GB2312" w:hAnsi="方正仿宋_GB2312" w:eastAsia="方正仿宋_GB2312" w:cs="方正仿宋_GB2312"/>
                <w:kern w:val="0"/>
                <w:sz w:val="24"/>
                <w:szCs w:val="24"/>
                <w:u w:val="none"/>
                <w:lang w:val="en-US" w:eastAsia="zh-CN"/>
              </w:rPr>
              <w:t>1.</w:t>
            </w:r>
            <w:r>
              <w:rPr>
                <w:rFonts w:hint="eastAsia" w:ascii="方正仿宋_GB2312" w:hAnsi="方正仿宋_GB2312" w:eastAsia="方正仿宋_GB2312" w:cs="方正仿宋_GB2312"/>
                <w:kern w:val="0"/>
                <w:sz w:val="24"/>
                <w:szCs w:val="24"/>
                <w:u w:val="none"/>
              </w:rPr>
              <w:t>监测频次不符合要求。报告表地表水环境评价为一级评价，仅监测枯水期（2026年1月），缺少丰水期。不符合《环境影响评价技术导则 地表水环境》（HJ 2.3-2018），水环境一级评价应开展丰水期、平水期、枯水期监测，至少丰水期和枯水期的要求。</w:t>
            </w:r>
          </w:p>
          <w:p>
            <w:pPr>
              <w:keepNext w:val="0"/>
              <w:keepLines w:val="0"/>
              <w:pageBreakBefore w:val="0"/>
              <w:widowControl/>
              <w:suppressLineNumbers w:val="0"/>
              <w:kinsoku/>
              <w:wordWrap/>
              <w:overflowPunct/>
              <w:topLinePunct w:val="0"/>
              <w:autoSpaceDE/>
              <w:autoSpaceDN/>
              <w:bidi w:val="0"/>
              <w:adjustRightInd w:val="0"/>
              <w:snapToGrid w:val="0"/>
              <w:spacing w:line="320" w:lineRule="exact"/>
              <w:jc w:val="left"/>
              <w:textAlignment w:val="center"/>
              <w:rPr>
                <w:rFonts w:hint="eastAsia" w:ascii="方正仿宋_GB2312" w:hAnsi="方正仿宋_GB2312" w:eastAsia="方正仿宋_GB2312" w:cs="方正仿宋_GB2312"/>
                <w:kern w:val="0"/>
                <w:sz w:val="24"/>
                <w:szCs w:val="24"/>
                <w:u w:val="none"/>
                <w:lang w:val="en-US" w:eastAsia="zh-CN" w:bidi="ar-SA"/>
              </w:rPr>
            </w:pPr>
            <w:r>
              <w:rPr>
                <w:rFonts w:hint="eastAsia" w:ascii="方正仿宋_GB2312" w:hAnsi="方正仿宋_GB2312" w:eastAsia="方正仿宋_GB2312" w:cs="方正仿宋_GB2312"/>
                <w:kern w:val="0"/>
                <w:sz w:val="24"/>
                <w:szCs w:val="24"/>
                <w:u w:val="none"/>
                <w:lang w:val="en-US" w:eastAsia="zh-CN"/>
              </w:rPr>
              <w:t>2.</w:t>
            </w:r>
            <w:r>
              <w:rPr>
                <w:rFonts w:hint="eastAsia" w:ascii="方正仿宋_GB2312" w:hAnsi="方正仿宋_GB2312" w:eastAsia="方正仿宋_GB2312" w:cs="方正仿宋_GB2312"/>
                <w:kern w:val="0"/>
                <w:sz w:val="24"/>
                <w:szCs w:val="24"/>
                <w:u w:val="none"/>
              </w:rPr>
              <w:t>区域环境现状调查内容不全。水生生态调查范围不足，仅限3.47km，未覆盖水库淹没范围（回水长度3.1km）和减水河段全段（11.279km），总长14.379km；根据《建设项目环境影响报告表编制技术指南（生态环境影响类）》水利水电等涉及河流的项目应说明所在流域现状及影响区域的水生生物现状，根据《环境影响评价技术导则 生态影响》（HJ19-2022）评级范围的确定6.2.4 水利水电项目评价范围应涵盖枢纽工程建筑物、水库淹没、移民安置等永久占地、施工临时占地以及库区坝上、坝下地表水、水文地质影响河段及区域、受水区、退水影响区、输水沿线影响区等；根据生态环境现状调查与评价的要求7.1.1生态现状调查范围应不小于评级范围。本工程水生生态调查范围不足，仅限3.47km，未覆盖水库淹没范围（回水长度3.1km）和减水河段全段（11.279km），总长14.379km。</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i w:val="0"/>
                <w:iCs w:val="0"/>
                <w:color w:val="auto"/>
                <w:kern w:val="0"/>
                <w:sz w:val="24"/>
                <w:szCs w:val="24"/>
                <w:u w:val="none"/>
                <w:lang w:val="en-US" w:eastAsia="zh-CN" w:bidi="ar"/>
              </w:rPr>
              <w:t>张家界市永定区农村供水总站（12430802089747150W）</w:t>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《监管办法》第二十六条第一款第六、八项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i w:val="0"/>
                <w:iCs w:val="0"/>
                <w:color w:val="auto"/>
                <w:kern w:val="0"/>
                <w:sz w:val="24"/>
                <w:szCs w:val="24"/>
                <w:u w:val="none"/>
                <w:lang w:val="en-US" w:eastAsia="zh-CN" w:bidi="ar"/>
              </w:rPr>
              <w:t>湖南然田环境评估有限公司（91430104MAEWK9MH45）</w:t>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w:t>
            </w:r>
            <w:r>
              <w:rPr>
                <w:rFonts w:hint="eastAsia" w:ascii="仿宋" w:hAnsi="仿宋" w:eastAsia="仿宋" w:cs="仿宋"/>
                <w:b w:val="0"/>
                <w:bCs w:val="0"/>
                <w:i w:val="0"/>
                <w:iCs w:val="0"/>
                <w:color w:val="auto"/>
                <w:kern w:val="0"/>
                <w:sz w:val="24"/>
                <w:szCs w:val="24"/>
                <w:u w:val="none"/>
                <w:lang w:val="en-US" w:eastAsia="zh-CN" w:bidi="ar"/>
              </w:rPr>
              <w:t>第二十六条第一款第六、八项</w:t>
            </w:r>
            <w:r>
              <w:rPr>
                <w:rFonts w:hint="eastAsia" w:ascii="仿宋" w:hAnsi="仿宋" w:eastAsia="仿宋" w:cs="仿宋"/>
                <w:i w:val="0"/>
                <w:iCs w:val="0"/>
                <w:color w:val="auto"/>
                <w:kern w:val="0"/>
                <w:sz w:val="24"/>
                <w:szCs w:val="24"/>
                <w:u w:val="none"/>
                <w:lang w:val="en-US" w:eastAsia="zh-CN" w:bidi="ar"/>
              </w:rPr>
              <w:t>，第三十一条、第三十二条第九项；《记分办法（试行）》第七条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b w:val="0"/>
                <w:bCs w:val="0"/>
                <w:i w:val="0"/>
                <w:iCs w:val="0"/>
                <w:color w:val="auto"/>
                <w:kern w:val="0"/>
                <w:sz w:val="24"/>
                <w:szCs w:val="24"/>
                <w:u w:val="none"/>
                <w:lang w:val="en-US" w:eastAsia="zh-CN" w:bidi="ar"/>
              </w:rPr>
              <w:t>赵义发</w:t>
            </w:r>
            <w:r>
              <w:rPr>
                <w:rFonts w:hint="eastAsia" w:ascii="仿宋" w:hAnsi="仿宋" w:eastAsia="仿宋" w:cs="仿宋"/>
                <w:i w:val="0"/>
                <w:iCs w:val="0"/>
                <w:color w:val="auto"/>
                <w:kern w:val="0"/>
                <w:sz w:val="24"/>
                <w:szCs w:val="24"/>
                <w:u w:val="none"/>
                <w:lang w:val="en-US" w:eastAsia="zh-CN" w:bidi="ar"/>
              </w:rPr>
              <w:t>（BH027756）</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 xml:space="preserve">《监管办法》第二十六条第一款第六、八项，第三十一条、第三十二条第九项；《记分办法（试行）》第七条 </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张家界市生态环境局永定分局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2026年2月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14</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kern w:val="2"/>
                <w:sz w:val="24"/>
                <w:szCs w:val="24"/>
                <w:u w:val="none"/>
                <w:lang w:val="en-US" w:eastAsia="zh-CN" w:bidi="ar-SA"/>
              </w:rPr>
            </w:pPr>
            <w:r>
              <w:rPr>
                <w:rFonts w:hint="eastAsia" w:ascii="方正仿宋_GB2312" w:hAnsi="方正仿宋_GB2312" w:eastAsia="方正仿宋_GB2312" w:cs="方正仿宋_GB2312"/>
                <w:sz w:val="24"/>
                <w:szCs w:val="24"/>
                <w:u w:val="none"/>
              </w:rPr>
              <w:t>耒阳市导子镇浔江卫生院门诊综合大楼及职工周转宿舍项目环境影响报告</w:t>
            </w:r>
            <w:r>
              <w:rPr>
                <w:rFonts w:hint="eastAsia" w:ascii="方正仿宋_GB2312" w:hAnsi="方正仿宋_GB2312" w:eastAsia="方正仿宋_GB2312" w:cs="方正仿宋_GB2312"/>
                <w:sz w:val="24"/>
                <w:szCs w:val="24"/>
                <w:u w:val="none"/>
                <w:lang w:eastAsia="zh-CN"/>
              </w:rPr>
              <w:t>表</w:t>
            </w:r>
          </w:p>
        </w:tc>
        <w:tc>
          <w:tcPr>
            <w:tcW w:w="148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320" w:lineRule="exact"/>
              <w:jc w:val="left"/>
              <w:textAlignment w:val="center"/>
              <w:rPr>
                <w:rFonts w:hint="eastAsia" w:ascii="方正仿宋_GB2312" w:hAnsi="方正仿宋_GB2312" w:eastAsia="方正仿宋_GB2312" w:cs="方正仿宋_GB2312"/>
                <w:kern w:val="0"/>
                <w:sz w:val="24"/>
                <w:szCs w:val="24"/>
                <w:u w:val="none"/>
                <w:lang w:val="en-US" w:eastAsia="zh-CN" w:bidi="ar-SA"/>
              </w:rPr>
            </w:pPr>
            <w:r>
              <w:rPr>
                <w:rFonts w:hint="eastAsia" w:ascii="方正仿宋_GB2312" w:hAnsi="方正仿宋_GB2312" w:eastAsia="方正仿宋_GB2312" w:cs="方正仿宋_GB2312"/>
                <w:kern w:val="0"/>
                <w:sz w:val="24"/>
                <w:szCs w:val="24"/>
                <w:u w:val="none"/>
                <w:lang w:val="en-US" w:eastAsia="zh-CN"/>
              </w:rPr>
              <w:t>废水处理措施不符合相关规定。</w:t>
            </w:r>
            <w:r>
              <w:rPr>
                <w:rFonts w:hint="eastAsia" w:ascii="方正仿宋_GB2312" w:hAnsi="方正仿宋_GB2312" w:eastAsia="方正仿宋_GB2312" w:cs="方正仿宋_GB2312"/>
                <w:kern w:val="0"/>
                <w:sz w:val="24"/>
                <w:szCs w:val="24"/>
                <w:u w:val="none"/>
              </w:rPr>
              <w:t>根据《医疗机构污水处理工程技术标准》（GB 51459-2024）第8.1.2条，"医疗机构污水处理出水排入地表水体时，宜采用臭氧消毒或紫外线消毒，当采用含氯消毒剂消毒时，应采取脱氯处理"；本项目使用二氧化氯消毒剂，标准第8.4.1条明确二氧化氯属于含氯消毒剂。项目废水经处理后直排敖河（第21页），属于排入地表水体，</w:t>
            </w:r>
            <w:r>
              <w:rPr>
                <w:rFonts w:hint="eastAsia" w:ascii="方正仿宋_GB2312" w:hAnsi="方正仿宋_GB2312" w:eastAsia="方正仿宋_GB2312" w:cs="方正仿宋_GB2312"/>
                <w:kern w:val="0"/>
                <w:sz w:val="24"/>
                <w:szCs w:val="24"/>
                <w:u w:val="none"/>
                <w:lang w:eastAsia="zh-CN"/>
              </w:rPr>
              <w:t>并</w:t>
            </w:r>
            <w:r>
              <w:rPr>
                <w:rFonts w:hint="eastAsia" w:ascii="方正仿宋_GB2312" w:hAnsi="方正仿宋_GB2312" w:eastAsia="方正仿宋_GB2312" w:cs="方正仿宋_GB2312"/>
                <w:kern w:val="0"/>
                <w:sz w:val="24"/>
                <w:szCs w:val="24"/>
                <w:u w:val="none"/>
              </w:rPr>
              <w:t>采用二氧化氯消毒（第24页表8），应采取脱氯处理。且标准的第3.0.7条“对排入地表水体的医疗机构污水处理工程应去除有毒有害物质，控制处理过程中消毒副产物的产生”</w:t>
            </w:r>
            <w:r>
              <w:rPr>
                <w:rFonts w:hint="eastAsia" w:ascii="方正仿宋_GB2312" w:hAnsi="方正仿宋_GB2312" w:eastAsia="方正仿宋_GB2312" w:cs="方正仿宋_GB2312"/>
                <w:kern w:val="0"/>
                <w:sz w:val="24"/>
                <w:szCs w:val="24"/>
                <w:u w:val="none"/>
                <w:lang w:eastAsia="zh-CN"/>
              </w:rPr>
              <w:t>，</w:t>
            </w:r>
            <w:r>
              <w:rPr>
                <w:rFonts w:hint="eastAsia" w:ascii="方正仿宋_GB2312" w:hAnsi="方正仿宋_GB2312" w:eastAsia="方正仿宋_GB2312" w:cs="方正仿宋_GB2312"/>
                <w:kern w:val="0"/>
                <w:sz w:val="24"/>
                <w:szCs w:val="24"/>
                <w:u w:val="none"/>
              </w:rPr>
              <w:t>二氧化氯溶于水会产生亚氯酸盐副产物，因此，需要脱氯</w:t>
            </w:r>
            <w:r>
              <w:rPr>
                <w:rFonts w:hint="eastAsia" w:ascii="方正仿宋_GB2312" w:hAnsi="方正仿宋_GB2312" w:eastAsia="方正仿宋_GB2312" w:cs="方正仿宋_GB2312"/>
                <w:kern w:val="0"/>
                <w:sz w:val="24"/>
                <w:szCs w:val="24"/>
                <w:u w:val="none"/>
                <w:lang w:eastAsia="zh-CN"/>
              </w:rPr>
              <w:t>，</w:t>
            </w:r>
            <w:r>
              <w:rPr>
                <w:rFonts w:hint="eastAsia" w:ascii="方正仿宋_GB2312" w:hAnsi="方正仿宋_GB2312" w:eastAsia="方正仿宋_GB2312" w:cs="方正仿宋_GB2312"/>
                <w:kern w:val="0"/>
                <w:sz w:val="24"/>
                <w:szCs w:val="24"/>
                <w:u w:val="none"/>
              </w:rPr>
              <w:t>去除二氧化氯残余及亚氯酸盐等。但报告表第24页表8描述的废水治理工艺为"调节+缺氧+好氧+沉淀+消毒"，未包含脱氯工艺，也未提出其他脱氯措施。</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b w:val="0"/>
                <w:bCs w:val="0"/>
                <w:i w:val="0"/>
                <w:iCs w:val="0"/>
                <w:color w:val="auto"/>
                <w:kern w:val="0"/>
                <w:sz w:val="24"/>
                <w:szCs w:val="24"/>
                <w:u w:val="none"/>
                <w:lang w:val="en-US" w:eastAsia="zh-CN" w:bidi="ar"/>
              </w:rPr>
              <w:t>耒阳市导子镇浔江卫生院</w:t>
            </w:r>
            <w:r>
              <w:rPr>
                <w:rFonts w:hint="eastAsia" w:ascii="仿宋" w:hAnsi="仿宋" w:eastAsia="仿宋" w:cs="仿宋"/>
                <w:i w:val="0"/>
                <w:iCs w:val="0"/>
                <w:color w:val="auto"/>
                <w:kern w:val="0"/>
                <w:sz w:val="24"/>
                <w:szCs w:val="24"/>
                <w:u w:val="none"/>
                <w:lang w:val="en-US" w:eastAsia="zh-CN" w:bidi="ar"/>
              </w:rPr>
              <w:t>（12430481687419229B）</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《监管办法》第二十六条第一款第十项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i w:val="0"/>
                <w:iCs w:val="0"/>
                <w:color w:val="auto"/>
                <w:kern w:val="0"/>
                <w:sz w:val="24"/>
                <w:szCs w:val="24"/>
                <w:u w:val="none"/>
                <w:lang w:val="en-US" w:eastAsia="zh-CN" w:bidi="ar"/>
              </w:rPr>
              <w:t>湖南皓晟环保科技有限责任公司（91431000MA4R82FB3R）</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w:t>
            </w:r>
            <w:r>
              <w:rPr>
                <w:rFonts w:hint="eastAsia" w:ascii="仿宋" w:hAnsi="仿宋" w:eastAsia="仿宋" w:cs="仿宋"/>
                <w:b w:val="0"/>
                <w:bCs w:val="0"/>
                <w:i w:val="0"/>
                <w:iCs w:val="0"/>
                <w:color w:val="auto"/>
                <w:kern w:val="0"/>
                <w:sz w:val="24"/>
                <w:szCs w:val="24"/>
                <w:u w:val="none"/>
                <w:lang w:val="en-US" w:eastAsia="zh-CN" w:bidi="ar"/>
              </w:rPr>
              <w:t>第二十六条第一款第十项</w:t>
            </w:r>
            <w:r>
              <w:rPr>
                <w:rFonts w:hint="eastAsia" w:ascii="仿宋" w:hAnsi="仿宋" w:eastAsia="仿宋" w:cs="仿宋"/>
                <w:i w:val="0"/>
                <w:iCs w:val="0"/>
                <w:color w:val="auto"/>
                <w:kern w:val="0"/>
                <w:sz w:val="24"/>
                <w:szCs w:val="24"/>
                <w:u w:val="none"/>
                <w:lang w:val="en-US" w:eastAsia="zh-CN" w:bidi="ar"/>
              </w:rPr>
              <w:t>，第三十一条、第三十二条第九项；《记分办法（试行）》第七条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b w:val="0"/>
                <w:bCs w:val="0"/>
                <w:i w:val="0"/>
                <w:iCs w:val="0"/>
                <w:color w:val="auto"/>
                <w:kern w:val="0"/>
                <w:sz w:val="24"/>
                <w:szCs w:val="24"/>
                <w:u w:val="none"/>
                <w:lang w:val="en-US" w:eastAsia="zh-CN" w:bidi="ar"/>
              </w:rPr>
              <w:t>袁（</w:t>
            </w:r>
            <w:r>
              <w:rPr>
                <w:rFonts w:hint="eastAsia" w:ascii="仿宋" w:hAnsi="仿宋" w:eastAsia="仿宋" w:cs="仿宋"/>
                <w:i w:val="0"/>
                <w:iCs w:val="0"/>
                <w:color w:val="auto"/>
                <w:kern w:val="0"/>
                <w:sz w:val="24"/>
                <w:szCs w:val="24"/>
                <w:u w:val="none"/>
                <w:lang w:val="en-US" w:eastAsia="zh-CN" w:bidi="ar"/>
              </w:rPr>
              <w:t>BH002240</w:t>
            </w:r>
            <w:r>
              <w:rPr>
                <w:rFonts w:hint="eastAsia" w:ascii="仿宋" w:hAnsi="仿宋" w:eastAsia="仿宋" w:cs="仿宋"/>
                <w:b w:val="0"/>
                <w:bCs w:val="0"/>
                <w:i w:val="0"/>
                <w:iCs w:val="0"/>
                <w:color w:val="auto"/>
                <w:kern w:val="0"/>
                <w:sz w:val="24"/>
                <w:szCs w:val="24"/>
                <w:u w:val="none"/>
                <w:lang w:val="en-US" w:eastAsia="zh-CN" w:bidi="ar"/>
              </w:rPr>
              <w:t>）皓</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 xml:space="preserve">《监管办法》第二十六条第一款第十项，第三十一条、第三十二条第九项；《记分办法（试行）》第七条 </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衡阳市生态环境局耒阳分局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2025年10月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05"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15</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sz w:val="24"/>
                <w:szCs w:val="24"/>
                <w:u w:val="none"/>
              </w:rPr>
              <w:t>湖南正鑫三樟黄贡椒食品有限公司黄贡椒生产加工基地建设项目（一期）环境影响报告</w:t>
            </w:r>
            <w:r>
              <w:rPr>
                <w:rFonts w:hint="eastAsia" w:ascii="方正仿宋_GB2312" w:hAnsi="方正仿宋_GB2312" w:eastAsia="方正仿宋_GB2312" w:cs="方正仿宋_GB2312"/>
                <w:sz w:val="24"/>
                <w:szCs w:val="24"/>
                <w:u w:val="none"/>
                <w:lang w:eastAsia="zh-CN"/>
              </w:rPr>
              <w:t>表</w:t>
            </w:r>
          </w:p>
        </w:tc>
        <w:tc>
          <w:tcPr>
            <w:tcW w:w="1486" w:type="pct"/>
            <w:tcBorders>
              <w:tl2br w:val="nil"/>
              <w:tr2bl w:val="nil"/>
            </w:tcBorders>
            <w:shd w:val="clear" w:color="auto" w:fill="auto"/>
            <w:vAlign w:val="center"/>
          </w:tcPr>
          <w:p>
            <w:pPr>
              <w:numPr>
                <w:ilvl w:val="0"/>
                <w:numId w:val="0"/>
              </w:numPr>
              <w:adjustRightInd w:val="0"/>
              <w:snapToGrid w:val="0"/>
              <w:jc w:val="left"/>
              <w:rPr>
                <w:rFonts w:hint="eastAsia" w:ascii="方正仿宋_GB2312" w:hAnsi="方正仿宋_GB2312" w:eastAsia="方正仿宋_GB2312" w:cs="方正仿宋_GB2312"/>
                <w:kern w:val="0"/>
                <w:sz w:val="24"/>
                <w:szCs w:val="24"/>
                <w:u w:val="none"/>
              </w:rPr>
            </w:pPr>
            <w:r>
              <w:rPr>
                <w:rFonts w:hint="eastAsia" w:ascii="方正仿宋_GB2312" w:hAnsi="方正仿宋_GB2312" w:eastAsia="方正仿宋_GB2312" w:cs="方正仿宋_GB2312"/>
                <w:kern w:val="0"/>
                <w:sz w:val="24"/>
                <w:szCs w:val="24"/>
                <w:u w:val="none"/>
                <w:lang w:val="en-US" w:eastAsia="zh-CN"/>
              </w:rPr>
              <w:t>1.</w:t>
            </w:r>
            <w:r>
              <w:rPr>
                <w:rFonts w:hint="eastAsia" w:ascii="方正仿宋_GB2312" w:hAnsi="方正仿宋_GB2312" w:eastAsia="方正仿宋_GB2312" w:cs="方正仿宋_GB2312"/>
                <w:kern w:val="0"/>
                <w:sz w:val="24"/>
                <w:szCs w:val="24"/>
                <w:u w:val="none"/>
              </w:rPr>
              <w:t>遗漏评价因子。根据《排污许可证申请与核发技术规范 食品制造工业—调味品、发酵制品制造工业》（HJ 1030.2—2019），生活污水、生产废水污染因子缺少pH值、总磷、色度。</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kern w:val="0"/>
                <w:sz w:val="24"/>
                <w:szCs w:val="24"/>
                <w:u w:val="none"/>
                <w:lang w:val="en-US" w:eastAsia="zh-CN"/>
              </w:rPr>
              <w:t>2.</w:t>
            </w:r>
            <w:r>
              <w:rPr>
                <w:rFonts w:hint="eastAsia" w:ascii="方正仿宋_GB2312" w:hAnsi="方正仿宋_GB2312" w:eastAsia="方正仿宋_GB2312" w:cs="方正仿宋_GB2312"/>
                <w:kern w:val="0"/>
                <w:sz w:val="24"/>
                <w:szCs w:val="24"/>
                <w:u w:val="none"/>
              </w:rPr>
              <w:t>根据《排污单位自行监测技术指南 食品制造》（HJ 1084—2020），厂界废气无组织监测计划中缺少硫化氢、氨自行监测要求。废水监测因子缺少总磷、色度。</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i w:val="0"/>
                <w:iCs w:val="0"/>
                <w:color w:val="auto"/>
                <w:kern w:val="0"/>
                <w:sz w:val="24"/>
                <w:szCs w:val="24"/>
                <w:u w:val="none"/>
                <w:lang w:val="en-US" w:eastAsia="zh-CN" w:bidi="ar"/>
              </w:rPr>
              <w:t>湖南正鑫三樟黄贡椒食品有限公司（91430424MA4PL1C51X）</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《监管办法》第二十六条第一款第一、四项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i w:val="0"/>
                <w:iCs w:val="0"/>
                <w:color w:val="auto"/>
                <w:kern w:val="0"/>
                <w:sz w:val="24"/>
                <w:szCs w:val="24"/>
                <w:u w:val="none"/>
                <w:lang w:val="en-US" w:eastAsia="zh-CN" w:bidi="ar"/>
              </w:rPr>
              <w:t>湖南易恒环保科技有限公司（91430401MA7HM5TP8Y）</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w:t>
            </w:r>
            <w:r>
              <w:rPr>
                <w:rFonts w:hint="eastAsia" w:ascii="仿宋" w:hAnsi="仿宋" w:eastAsia="仿宋" w:cs="仿宋"/>
                <w:b w:val="0"/>
                <w:bCs w:val="0"/>
                <w:i w:val="0"/>
                <w:iCs w:val="0"/>
                <w:color w:val="auto"/>
                <w:kern w:val="0"/>
                <w:sz w:val="24"/>
                <w:szCs w:val="24"/>
                <w:u w:val="none"/>
                <w:lang w:val="en-US" w:eastAsia="zh-CN" w:bidi="ar"/>
              </w:rPr>
              <w:t>第二十六条第一款</w:t>
            </w:r>
            <w:r>
              <w:rPr>
                <w:rFonts w:hint="eastAsia" w:ascii="仿宋" w:hAnsi="仿宋" w:eastAsia="仿宋" w:cs="仿宋"/>
                <w:i w:val="0"/>
                <w:iCs w:val="0"/>
                <w:color w:val="auto"/>
                <w:kern w:val="0"/>
                <w:sz w:val="24"/>
                <w:szCs w:val="24"/>
                <w:u w:val="none"/>
                <w:lang w:val="en-US" w:eastAsia="zh-CN" w:bidi="ar"/>
              </w:rPr>
              <w:t>第一、四项，第三十一条、第三十二条第九项；《记分办法（试行）》第七条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b w:val="0"/>
                <w:bCs w:val="0"/>
                <w:i w:val="0"/>
                <w:iCs w:val="0"/>
                <w:color w:val="auto"/>
                <w:kern w:val="0"/>
                <w:sz w:val="24"/>
                <w:szCs w:val="24"/>
                <w:u w:val="none"/>
                <w:lang w:val="en-US" w:eastAsia="zh-CN" w:bidi="ar"/>
              </w:rPr>
              <w:t>曾旺兴（</w:t>
            </w:r>
            <w:r>
              <w:rPr>
                <w:rFonts w:hint="eastAsia" w:ascii="仿宋" w:hAnsi="仿宋" w:eastAsia="仿宋" w:cs="仿宋"/>
                <w:i w:val="0"/>
                <w:iCs w:val="0"/>
                <w:color w:val="auto"/>
                <w:kern w:val="0"/>
                <w:sz w:val="24"/>
                <w:szCs w:val="24"/>
                <w:u w:val="none"/>
                <w:lang w:val="en-US" w:eastAsia="zh-CN" w:bidi="ar"/>
              </w:rPr>
              <w:t>BH022172</w:t>
            </w:r>
            <w:r>
              <w:rPr>
                <w:rFonts w:hint="eastAsia" w:ascii="仿宋" w:hAnsi="仿宋" w:eastAsia="仿宋" w:cs="仿宋"/>
                <w:b w:val="0"/>
                <w:bCs w:val="0"/>
                <w:i w:val="0"/>
                <w:iCs w:val="0"/>
                <w:color w:val="auto"/>
                <w:kern w:val="0"/>
                <w:sz w:val="24"/>
                <w:szCs w:val="24"/>
                <w:u w:val="none"/>
                <w:lang w:val="en-US" w:eastAsia="zh-CN" w:bidi="ar"/>
              </w:rPr>
              <w:t>）</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 xml:space="preserve">《监管办法》第二十六条第一款第一、四项，第三十一条、第三十二条第九项；《记分办法（试行）》第七条 </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衡阳市生态环境局衡东分局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2026年1月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16</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sz w:val="24"/>
                <w:szCs w:val="24"/>
                <w:u w:val="none"/>
              </w:rPr>
              <w:t>桃江县欧筑建材有限公司水泥制品制造项目环境影响报告</w:t>
            </w:r>
            <w:r>
              <w:rPr>
                <w:rFonts w:hint="eastAsia" w:ascii="方正仿宋_GB2312" w:hAnsi="方正仿宋_GB2312" w:eastAsia="方正仿宋_GB2312" w:cs="方正仿宋_GB2312"/>
                <w:sz w:val="24"/>
                <w:szCs w:val="24"/>
                <w:u w:val="none"/>
                <w:lang w:eastAsia="zh-CN"/>
              </w:rPr>
              <w:t>表</w:t>
            </w:r>
          </w:p>
        </w:tc>
        <w:tc>
          <w:tcPr>
            <w:tcW w:w="148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spacing w:val="-11"/>
                <w:kern w:val="0"/>
                <w:sz w:val="24"/>
                <w:szCs w:val="24"/>
                <w:u w:val="none"/>
              </w:rPr>
              <w:t>污染防治措施可行性论证不充分。项目建设与《益阳市绿色环保型混凝土搅拌站场建设规定》（益经信(2015)16号）存在多项不符合情形：（1）该规定要求“二、搅拌站场地建设规划4、站场内应设置数量不少于3个、单个容积不小于30m³的沉淀水池进行污水分级沉淀；应设置数量不小于40m³的清水池1个，设置数量不少于3个单个容积不小于20m³的浆水搅拌池，对浆水进行处理利用。”本项目仅设置一个54m</w:t>
            </w:r>
            <w:r>
              <w:rPr>
                <w:rFonts w:hint="eastAsia" w:ascii="方正仿宋_GB2312" w:hAnsi="方正仿宋_GB2312" w:eastAsia="方正仿宋_GB2312" w:cs="方正仿宋_GB2312"/>
                <w:spacing w:val="-11"/>
                <w:kern w:val="0"/>
                <w:sz w:val="24"/>
                <w:szCs w:val="24"/>
                <w:u w:val="none"/>
                <w:vertAlign w:val="superscript"/>
              </w:rPr>
              <w:t>3</w:t>
            </w:r>
            <w:r>
              <w:rPr>
                <w:rFonts w:hint="eastAsia" w:ascii="方正仿宋_GB2312" w:hAnsi="方正仿宋_GB2312" w:eastAsia="方正仿宋_GB2312" w:cs="方正仿宋_GB2312"/>
                <w:spacing w:val="-11"/>
                <w:kern w:val="0"/>
                <w:sz w:val="24"/>
                <w:szCs w:val="24"/>
                <w:u w:val="none"/>
              </w:rPr>
              <w:t>三级沉淀池，未设置回用清水池、浆水搅拌池，不符合规定要求。（2）该规定要求“五、环境保护3、搅拌站应采取有效的收尘措施，主机应设置收尘设备（如负压阀配合</w:t>
            </w:r>
            <w:r>
              <w:rPr>
                <w:rFonts w:hint="eastAsia" w:ascii="方正仿宋_GB2312" w:hAnsi="方正仿宋_GB2312" w:eastAsia="方正仿宋_GB2312" w:cs="方正仿宋_GB2312"/>
                <w:spacing w:val="-11"/>
                <w:kern w:val="0"/>
                <w:sz w:val="24"/>
                <w:szCs w:val="24"/>
                <w:u w:val="none"/>
                <w:lang w:val="en-US" w:eastAsia="zh-CN"/>
              </w:rPr>
              <w:t>布袋</w:t>
            </w:r>
            <w:r>
              <w:rPr>
                <w:rFonts w:hint="eastAsia" w:ascii="方正仿宋_GB2312" w:hAnsi="方正仿宋_GB2312" w:eastAsia="方正仿宋_GB2312" w:cs="方正仿宋_GB2312"/>
                <w:spacing w:val="-11"/>
                <w:kern w:val="0"/>
                <w:sz w:val="24"/>
                <w:szCs w:val="24"/>
                <w:u w:val="none"/>
              </w:rPr>
              <w:t>除尘器），待料斗处应设置脉冲反吹收尘机。”项目搅拌房经采取全封闭式搅拌主楼+进出口安装电动门、高压喷淋降尘设施抑尘等措施后进行无组织排放，报告未对搅拌主机、待料斗处粉尘提出针对性控制和收集处理措施。</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b w:val="0"/>
                <w:bCs w:val="0"/>
                <w:i w:val="0"/>
                <w:iCs w:val="0"/>
                <w:color w:val="auto"/>
                <w:kern w:val="0"/>
                <w:sz w:val="24"/>
                <w:szCs w:val="24"/>
                <w:u w:val="none"/>
                <w:lang w:val="en-US" w:eastAsia="zh-CN" w:bidi="ar"/>
              </w:rPr>
              <w:t>桃江县欧筑建材有限公司</w:t>
            </w:r>
            <w:r>
              <w:rPr>
                <w:rFonts w:hint="eastAsia" w:ascii="仿宋" w:hAnsi="仿宋" w:eastAsia="仿宋" w:cs="仿宋"/>
                <w:i w:val="0"/>
                <w:iCs w:val="0"/>
                <w:color w:val="auto"/>
                <w:kern w:val="0"/>
                <w:sz w:val="24"/>
                <w:szCs w:val="24"/>
                <w:u w:val="none"/>
                <w:lang w:val="en-US" w:eastAsia="zh-CN" w:bidi="ar"/>
              </w:rPr>
              <w:t>（91430922MAEM5GPE76）</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《监管办法》第二十六条第一款第十项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b w:val="0"/>
                <w:bCs w:val="0"/>
                <w:i w:val="0"/>
                <w:iCs w:val="0"/>
                <w:color w:val="auto"/>
                <w:kern w:val="0"/>
                <w:sz w:val="24"/>
                <w:szCs w:val="24"/>
                <w:u w:val="none"/>
                <w:lang w:val="en-US" w:eastAsia="zh-CN" w:bidi="ar"/>
              </w:rPr>
              <w:t>湖南沐程生态环境工程有限公司</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（91430900MA4Q6G91X3）</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《监管办法》第二十六条第一款第十项，第三十一条、第三十二条第九项；《记分办法（试行）》第七条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b w:val="0"/>
                <w:bCs w:val="0"/>
                <w:i w:val="0"/>
                <w:iCs w:val="0"/>
                <w:color w:val="auto"/>
                <w:kern w:val="0"/>
                <w:sz w:val="24"/>
                <w:szCs w:val="24"/>
                <w:u w:val="none"/>
                <w:lang w:val="en-US" w:eastAsia="zh-CN" w:bidi="ar"/>
              </w:rPr>
              <w:t>蔡敏（</w:t>
            </w:r>
            <w:r>
              <w:rPr>
                <w:rFonts w:hint="eastAsia" w:ascii="仿宋" w:hAnsi="仿宋" w:eastAsia="仿宋" w:cs="仿宋"/>
                <w:i w:val="0"/>
                <w:iCs w:val="0"/>
                <w:color w:val="auto"/>
                <w:kern w:val="0"/>
                <w:sz w:val="24"/>
                <w:szCs w:val="24"/>
                <w:u w:val="none"/>
                <w:lang w:val="en-US" w:eastAsia="zh-CN" w:bidi="ar"/>
              </w:rPr>
              <w:t>BH032056</w:t>
            </w:r>
            <w:r>
              <w:rPr>
                <w:rFonts w:hint="eastAsia" w:ascii="仿宋" w:hAnsi="仿宋" w:eastAsia="仿宋" w:cs="仿宋"/>
                <w:b w:val="0"/>
                <w:bCs w:val="0"/>
                <w:i w:val="0"/>
                <w:iCs w:val="0"/>
                <w:color w:val="auto"/>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 xml:space="preserve">《监管办法》第二十六条第一款第十项，第三十一条、第三十二条第九项；《记分办法（试行）》第七条 </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益阳市生态环境局桃江分局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2025年11月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17</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kern w:val="2"/>
                <w:sz w:val="24"/>
                <w:szCs w:val="24"/>
                <w:u w:val="none"/>
                <w:lang w:val="en-US" w:eastAsia="zh-CN" w:bidi="ar-SA"/>
              </w:rPr>
            </w:pPr>
            <w:r>
              <w:rPr>
                <w:rFonts w:hint="eastAsia" w:ascii="方正仿宋_GB2312" w:hAnsi="方正仿宋_GB2312" w:eastAsia="方正仿宋_GB2312" w:cs="方正仿宋_GB2312"/>
                <w:sz w:val="24"/>
                <w:szCs w:val="24"/>
                <w:u w:val="none"/>
              </w:rPr>
              <w:t>湖南万骏船舶有限公司新能源船舶基地建设项目（重新报批）环境影响报告</w:t>
            </w:r>
            <w:r>
              <w:rPr>
                <w:rFonts w:hint="eastAsia" w:ascii="方正仿宋_GB2312" w:hAnsi="方正仿宋_GB2312" w:eastAsia="方正仿宋_GB2312" w:cs="方正仿宋_GB2312"/>
                <w:sz w:val="24"/>
                <w:szCs w:val="24"/>
                <w:u w:val="none"/>
                <w:lang w:eastAsia="zh-CN"/>
              </w:rPr>
              <w:t>书</w:t>
            </w:r>
          </w:p>
        </w:tc>
        <w:tc>
          <w:tcPr>
            <w:tcW w:w="148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kern w:val="0"/>
                <w:sz w:val="24"/>
                <w:szCs w:val="24"/>
                <w:u w:val="none"/>
                <w:lang w:val="en-US" w:eastAsia="zh-CN" w:bidi="ar-SA"/>
              </w:rPr>
            </w:pPr>
            <w:r>
              <w:rPr>
                <w:rFonts w:hint="eastAsia" w:ascii="方正仿宋_GB2312" w:hAnsi="方正仿宋_GB2312" w:eastAsia="方正仿宋_GB2312" w:cs="方正仿宋_GB2312"/>
                <w:kern w:val="0"/>
                <w:sz w:val="24"/>
                <w:szCs w:val="24"/>
                <w:u w:val="none"/>
              </w:rPr>
              <w:t>降低环境影响评价工作等级，降低环境影响评价标准。（1）报告执行《环境空气质量标准》（GB3095-2012）二级标准错误。根据《环境空气质量标准》（GB3095-2012），“环境空气功能区分为二类：一类区为自然保护区、风景名胜区和其他需要特殊保护的区域”，报告P39生态保护目标有湖南南洞庭湖省级自然保护区等，项目南侧396.4m湖南南洞庭湖省级自然保护区、南洞庭湖风景名胜区这类环境空气敏感目标应还需执行一类标准。（2）根据《环境影响评价技术导则 生态影响》（HJ 19—2022）“根据HJ 610、HJ 964判断地下水水位或土壤影响范围内分布有天然林、公益林、湿地等生态保护目标的建设项目，生态影响评价等级不低于二级”。本项目土壤评价范围“占地范围外的1km”涉及湿地自然保护区，生态评价等级应不低于二级。报告P40“生态影响评价工作等级划分为三级”错误。</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b w:val="0"/>
                <w:bCs w:val="0"/>
                <w:i w:val="0"/>
                <w:iCs w:val="0"/>
                <w:color w:val="auto"/>
                <w:kern w:val="0"/>
                <w:sz w:val="24"/>
                <w:szCs w:val="24"/>
                <w:u w:val="none"/>
                <w:lang w:val="en-US" w:eastAsia="zh-CN" w:bidi="ar"/>
              </w:rPr>
              <w:t>湖南万骏船舶有限公司（</w:t>
            </w:r>
            <w:r>
              <w:rPr>
                <w:rFonts w:hint="eastAsia" w:ascii="仿宋" w:hAnsi="仿宋" w:eastAsia="仿宋" w:cs="仿宋"/>
                <w:i w:val="0"/>
                <w:iCs w:val="0"/>
                <w:color w:val="auto"/>
                <w:kern w:val="0"/>
                <w:sz w:val="24"/>
                <w:szCs w:val="24"/>
                <w:u w:val="none"/>
                <w:lang w:val="en-US" w:eastAsia="zh-CN" w:bidi="ar"/>
              </w:rPr>
              <w:t>9143102674839656XB</w:t>
            </w:r>
            <w:r>
              <w:rPr>
                <w:rFonts w:hint="eastAsia" w:ascii="仿宋" w:hAnsi="仿宋" w:eastAsia="仿宋" w:cs="仿宋"/>
                <w:b w:val="0"/>
                <w:bCs w:val="0"/>
                <w:i w:val="0"/>
                <w:iCs w:val="0"/>
                <w:color w:val="auto"/>
                <w:kern w:val="0"/>
                <w:sz w:val="24"/>
                <w:szCs w:val="24"/>
                <w:u w:val="none"/>
                <w:lang w:val="en-US" w:eastAsia="zh-CN" w:bidi="ar"/>
              </w:rPr>
              <w:t>）</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《监管办法》第二十六条第一款第二项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仿宋" w:hAnsi="仿宋" w:eastAsia="仿宋" w:cs="仿宋"/>
                <w:b w:val="0"/>
                <w:bCs w:val="0"/>
                <w:i w:val="0"/>
                <w:iCs w:val="0"/>
                <w:color w:val="auto"/>
                <w:kern w:val="0"/>
                <w:sz w:val="24"/>
                <w:szCs w:val="24"/>
                <w:u w:val="none"/>
                <w:lang w:val="en-US" w:eastAsia="zh-CN" w:bidi="ar"/>
              </w:rPr>
              <w:t>湖南中璟太禹环保科技有限公司（</w:t>
            </w:r>
            <w:r>
              <w:rPr>
                <w:rFonts w:hint="eastAsia" w:ascii="仿宋" w:hAnsi="仿宋" w:eastAsia="仿宋" w:cs="仿宋"/>
                <w:i w:val="0"/>
                <w:iCs w:val="0"/>
                <w:color w:val="auto"/>
                <w:kern w:val="0"/>
                <w:sz w:val="24"/>
                <w:szCs w:val="24"/>
                <w:u w:val="none"/>
                <w:lang w:val="en-US" w:eastAsia="zh-CN" w:bidi="ar"/>
              </w:rPr>
              <w:t>91430111MABPUQNR1Q</w:t>
            </w:r>
            <w:r>
              <w:rPr>
                <w:rFonts w:hint="eastAsia" w:ascii="仿宋" w:hAnsi="仿宋" w:eastAsia="仿宋" w:cs="仿宋"/>
                <w:b w:val="0"/>
                <w:bCs w:val="0"/>
                <w:i w:val="0"/>
                <w:iCs w:val="0"/>
                <w:color w:val="auto"/>
                <w:kern w:val="0"/>
                <w:sz w:val="24"/>
                <w:szCs w:val="24"/>
                <w:u w:val="none"/>
                <w:lang w:val="en-US" w:eastAsia="zh-CN" w:bidi="ar"/>
              </w:rPr>
              <w:t>）</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《监管办法》第二十六条第一款第二项，第三十一条、第三十二条第九项；《记分办法（试行）》第七条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b w:val="0"/>
                <w:bCs w:val="0"/>
                <w:i w:val="0"/>
                <w:iCs w:val="0"/>
                <w:color w:val="auto"/>
                <w:kern w:val="0"/>
                <w:sz w:val="24"/>
                <w:szCs w:val="24"/>
                <w:u w:val="none"/>
                <w:lang w:val="en-US" w:eastAsia="zh-CN" w:bidi="ar"/>
              </w:rPr>
              <w:t>刘兆伟（</w:t>
            </w:r>
            <w:r>
              <w:rPr>
                <w:rFonts w:hint="eastAsia" w:ascii="仿宋" w:hAnsi="仿宋" w:eastAsia="仿宋" w:cs="仿宋"/>
                <w:i w:val="0"/>
                <w:iCs w:val="0"/>
                <w:color w:val="auto"/>
                <w:kern w:val="0"/>
                <w:sz w:val="24"/>
                <w:szCs w:val="24"/>
                <w:u w:val="none"/>
                <w:lang w:val="en-US" w:eastAsia="zh-CN" w:bidi="ar"/>
              </w:rPr>
              <w:t>BH013555</w:t>
            </w:r>
            <w:r>
              <w:rPr>
                <w:rFonts w:hint="eastAsia" w:ascii="仿宋" w:hAnsi="仿宋" w:eastAsia="仿宋" w:cs="仿宋"/>
                <w:b w:val="0"/>
                <w:bCs w:val="0"/>
                <w:i w:val="0"/>
                <w:iCs w:val="0"/>
                <w:color w:val="auto"/>
                <w:kern w:val="0"/>
                <w:sz w:val="24"/>
                <w:szCs w:val="24"/>
                <w:u w:val="none"/>
                <w:lang w:val="en-US" w:eastAsia="zh-CN" w:bidi="ar"/>
              </w:rPr>
              <w:t>）</w:t>
            </w:r>
            <w:r>
              <w:rPr>
                <w:rFonts w:hint="eastAsia" w:ascii="仿宋" w:hAnsi="仿宋" w:eastAsia="仿宋" w:cs="仿宋"/>
                <w:i w:val="0"/>
                <w:iCs w:val="0"/>
                <w:color w:val="auto"/>
                <w:kern w:val="0"/>
                <w:sz w:val="24"/>
                <w:szCs w:val="24"/>
                <w:u w:val="none"/>
                <w:lang w:val="en-US" w:eastAsia="zh-CN" w:bidi="ar"/>
              </w:rPr>
              <w:t>、宋思敏（BH036316）</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《监管办法》第二十六条第一款第二项，第三十一条、第三十二条第九项；《记分办法（试行）》第七条</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益阳市生态环境局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2026年2月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76"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18</w:t>
            </w:r>
          </w:p>
        </w:tc>
        <w:tc>
          <w:tcPr>
            <w:tcW w:w="362"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方正仿宋_GB2312" w:hAnsi="方正仿宋_GB2312" w:eastAsia="方正仿宋_GB2312" w:cs="方正仿宋_GB2312"/>
                <w:sz w:val="24"/>
                <w:szCs w:val="24"/>
                <w:u w:val="none"/>
              </w:rPr>
              <w:t>湖南艾硅特新材料有限公司年产15000吨UV丙烯酸酯单体和树脂改扩建项目环境影响报告</w:t>
            </w:r>
            <w:r>
              <w:rPr>
                <w:rFonts w:hint="eastAsia" w:ascii="方正仿宋_GB2312" w:hAnsi="方正仿宋_GB2312" w:eastAsia="方正仿宋_GB2312" w:cs="方正仿宋_GB2312"/>
                <w:sz w:val="24"/>
                <w:szCs w:val="24"/>
                <w:u w:val="none"/>
                <w:lang w:eastAsia="zh-CN"/>
              </w:rPr>
              <w:t>书</w:t>
            </w:r>
          </w:p>
        </w:tc>
        <w:tc>
          <w:tcPr>
            <w:tcW w:w="1486" w:type="pct"/>
            <w:tcBorders>
              <w:tl2br w:val="nil"/>
              <w:tr2bl w:val="nil"/>
            </w:tcBorders>
            <w:shd w:val="clear" w:color="auto" w:fill="auto"/>
            <w:vAlign w:val="center"/>
          </w:tcPr>
          <w:p>
            <w:pPr>
              <w:numPr>
                <w:ilvl w:val="0"/>
                <w:numId w:val="0"/>
              </w:numPr>
              <w:adjustRightInd w:val="0"/>
              <w:snapToGrid w:val="0"/>
              <w:jc w:val="left"/>
              <w:rPr>
                <w:rFonts w:hint="eastAsia" w:ascii="方正仿宋_GB2312" w:hAnsi="方正仿宋_GB2312" w:eastAsia="方正仿宋_GB2312" w:cs="方正仿宋_GB2312"/>
                <w:kern w:val="0"/>
                <w:sz w:val="24"/>
                <w:szCs w:val="24"/>
                <w:u w:val="none"/>
              </w:rPr>
            </w:pPr>
            <w:r>
              <w:rPr>
                <w:rFonts w:hint="eastAsia" w:ascii="方正仿宋_GB2312" w:hAnsi="方正仿宋_GB2312" w:eastAsia="方正仿宋_GB2312" w:cs="方正仿宋_GB2312"/>
                <w:kern w:val="0"/>
                <w:sz w:val="24"/>
                <w:szCs w:val="24"/>
                <w:u w:val="none"/>
                <w:lang w:val="en-US" w:eastAsia="zh-CN"/>
              </w:rPr>
              <w:t>1.</w:t>
            </w:r>
            <w:r>
              <w:rPr>
                <w:rFonts w:hint="eastAsia" w:ascii="方正仿宋_GB2312" w:hAnsi="方正仿宋_GB2312" w:eastAsia="方正仿宋_GB2312" w:cs="方正仿宋_GB2312"/>
                <w:kern w:val="0"/>
                <w:sz w:val="24"/>
                <w:szCs w:val="24"/>
                <w:u w:val="none"/>
              </w:rPr>
              <w:t>（1）废气特征污染物分析有误。该项目排放丙烯酸废气，丙烯酸属于《石油化学工业污染物排放标准》（GB31571-2015，含2024年修改单）、《合成树脂工业污染物排放标准》（GB31572-2015，含2024年修改单)规定的特征污染物，</w:t>
            </w:r>
            <w:r>
              <w:rPr>
                <w:rFonts w:hint="eastAsia" w:ascii="方正仿宋_GB2312" w:hAnsi="方正仿宋_GB2312" w:eastAsia="方正仿宋_GB2312" w:cs="方正仿宋_GB2312"/>
                <w:kern w:val="0"/>
                <w:sz w:val="24"/>
                <w:szCs w:val="24"/>
                <w:u w:val="none"/>
                <w:lang w:eastAsia="zh-CN"/>
              </w:rPr>
              <w:t>报告未将其</w:t>
            </w:r>
            <w:r>
              <w:rPr>
                <w:rFonts w:hint="eastAsia" w:ascii="方正仿宋_GB2312" w:hAnsi="方正仿宋_GB2312" w:eastAsia="方正仿宋_GB2312" w:cs="方正仿宋_GB2312"/>
                <w:kern w:val="0"/>
                <w:sz w:val="24"/>
                <w:szCs w:val="24"/>
                <w:u w:val="none"/>
              </w:rPr>
              <w:t>纳入本项目废气评价污染物</w:t>
            </w:r>
            <w:r>
              <w:rPr>
                <w:rFonts w:hint="eastAsia" w:ascii="方正仿宋_GB2312" w:hAnsi="方正仿宋_GB2312" w:eastAsia="方正仿宋_GB2312" w:cs="方正仿宋_GB2312"/>
                <w:kern w:val="0"/>
                <w:sz w:val="24"/>
                <w:szCs w:val="24"/>
                <w:u w:val="none"/>
                <w:lang w:eastAsia="zh-CN"/>
              </w:rPr>
              <w:t>，</w:t>
            </w:r>
            <w:r>
              <w:rPr>
                <w:rFonts w:hint="eastAsia" w:ascii="方正仿宋_GB2312" w:hAnsi="方正仿宋_GB2312" w:eastAsia="方正仿宋_GB2312" w:cs="方正仿宋_GB2312"/>
                <w:kern w:val="0"/>
                <w:sz w:val="24"/>
                <w:szCs w:val="24"/>
                <w:u w:val="none"/>
              </w:rPr>
              <w:t>不符合《建设项目环境影响评价技术导则总纲》（HJ2.1-2016）3.5.2</w:t>
            </w:r>
            <w:r>
              <w:rPr>
                <w:rFonts w:hint="eastAsia" w:ascii="方正仿宋_GB2312" w:hAnsi="方正仿宋_GB2312" w:eastAsia="方正仿宋_GB2312" w:cs="方正仿宋_GB2312"/>
                <w:kern w:val="0"/>
                <w:sz w:val="24"/>
                <w:szCs w:val="24"/>
                <w:u w:val="none"/>
                <w:lang w:eastAsia="zh-CN"/>
              </w:rPr>
              <w:t>的</w:t>
            </w:r>
            <w:r>
              <w:rPr>
                <w:rFonts w:hint="eastAsia" w:ascii="方正仿宋_GB2312" w:hAnsi="方正仿宋_GB2312" w:eastAsia="方正仿宋_GB2312" w:cs="方正仿宋_GB2312"/>
                <w:kern w:val="0"/>
                <w:sz w:val="24"/>
                <w:szCs w:val="24"/>
                <w:u w:val="none"/>
              </w:rPr>
              <w:t xml:space="preserve">管理要求。（2）污染排放标准遗漏单位产品非甲烷总烃排放量、基准废水排放量等指标。该项目涉及合成树脂生产工序，执行《合成树脂工业污染物排放标准》（GB31572-2015，含2024年修改单)，但报告未提及《合成树脂工业污染物排放标准》（GB31572-2015，含2024年修改单)单位产品非甲烷总烃排放量、基准废水排放量等指标。（3）大气污染物排放标准遗漏环氧氯丙烷。报告P115明确本项目使用环氧氯丙烷，用于聚酯丙烯酸酯生产，应执行《合成树脂行业污染物排放标准》（GB37823-2015），环氧氯丙烷属于《合成树脂行业污染物排放标准》（GB37823-2015）规定的有污染物排放标准的因子，报告未考虑环氧氯丙烷。                                                                                                                                                                                                                                                                                      </w:t>
            </w:r>
          </w:p>
          <w:p>
            <w:pPr>
              <w:numPr>
                <w:ilvl w:val="0"/>
                <w:numId w:val="0"/>
              </w:numPr>
              <w:adjustRightInd w:val="0"/>
              <w:snapToGrid w:val="0"/>
              <w:jc w:val="left"/>
              <w:rPr>
                <w:rFonts w:hint="eastAsia" w:ascii="方正仿宋_GB2312" w:hAnsi="方正仿宋_GB2312" w:eastAsia="方正仿宋_GB2312" w:cs="方正仿宋_GB2312"/>
                <w:kern w:val="0"/>
                <w:sz w:val="24"/>
                <w:szCs w:val="24"/>
                <w:u w:val="none"/>
              </w:rPr>
            </w:pPr>
            <w:r>
              <w:rPr>
                <w:rFonts w:hint="eastAsia" w:ascii="方正仿宋_GB2312" w:hAnsi="方正仿宋_GB2312" w:eastAsia="方正仿宋_GB2312" w:cs="方正仿宋_GB2312"/>
                <w:kern w:val="0"/>
                <w:sz w:val="24"/>
                <w:szCs w:val="24"/>
                <w:u w:val="none"/>
                <w:lang w:val="en-US" w:eastAsia="zh-CN"/>
              </w:rPr>
              <w:t>2.</w:t>
            </w:r>
            <w:r>
              <w:rPr>
                <w:rFonts w:hint="eastAsia" w:ascii="方正仿宋_GB2312" w:hAnsi="方正仿宋_GB2312" w:eastAsia="方正仿宋_GB2312" w:cs="方正仿宋_GB2312"/>
                <w:kern w:val="0"/>
                <w:sz w:val="24"/>
                <w:szCs w:val="24"/>
                <w:u w:val="none"/>
              </w:rPr>
              <w:t>污水站废气特征污染物氨、硫化氢</w:t>
            </w:r>
            <w:r>
              <w:rPr>
                <w:rFonts w:hint="eastAsia" w:ascii="方正仿宋_GB2312" w:hAnsi="方正仿宋_GB2312" w:eastAsia="方正仿宋_GB2312" w:cs="方正仿宋_GB2312"/>
                <w:kern w:val="0"/>
                <w:sz w:val="24"/>
                <w:szCs w:val="24"/>
                <w:u w:val="none"/>
                <w:lang w:eastAsia="zh-CN"/>
              </w:rPr>
              <w:t>未分析及预测</w:t>
            </w:r>
            <w:r>
              <w:rPr>
                <w:rFonts w:hint="eastAsia" w:ascii="方正仿宋_GB2312" w:hAnsi="方正仿宋_GB2312" w:eastAsia="方正仿宋_GB2312" w:cs="方正仿宋_GB2312"/>
                <w:kern w:val="0"/>
                <w:sz w:val="24"/>
                <w:szCs w:val="24"/>
                <w:u w:val="none"/>
              </w:rPr>
              <w:t>。P206明确该项目增加废水排放量1558.292t/a，该项目使用多种含氮原料（如二异氰酸酯）、含硫原料（对甲基苯磺酸），则本项目污水站必然增加氨、硫化氢等废气，但报告未分析新增废水排放导致的氨、硫化氢排放情况，未开展影响预测。不符合《合成树脂工业污染物排放标准》（GB31572-2015）“前言 合成树脂工业企业排放恶臭污染物、环境噪声适用相应的国家污染物排放标准”。</w:t>
            </w:r>
          </w:p>
          <w:p>
            <w:pPr>
              <w:numPr>
                <w:ilvl w:val="0"/>
                <w:numId w:val="0"/>
              </w:numPr>
              <w:adjustRightInd w:val="0"/>
              <w:snapToGrid w:val="0"/>
              <w:jc w:val="left"/>
              <w:rPr>
                <w:rFonts w:hint="eastAsia" w:ascii="方正仿宋_GB2312" w:hAnsi="方正仿宋_GB2312" w:eastAsia="方正仿宋_GB2312" w:cs="方正仿宋_GB2312"/>
                <w:kern w:val="0"/>
                <w:sz w:val="24"/>
                <w:szCs w:val="24"/>
                <w:u w:val="none"/>
              </w:rPr>
            </w:pPr>
            <w:r>
              <w:rPr>
                <w:rFonts w:hint="eastAsia" w:ascii="方正仿宋_GB2312" w:hAnsi="方正仿宋_GB2312" w:eastAsia="方正仿宋_GB2312" w:cs="方正仿宋_GB2312"/>
                <w:kern w:val="0"/>
                <w:sz w:val="24"/>
                <w:szCs w:val="24"/>
                <w:u w:val="none"/>
                <w:lang w:val="en-US" w:eastAsia="zh-CN"/>
              </w:rPr>
              <w:t>3.</w:t>
            </w:r>
            <w:r>
              <w:rPr>
                <w:rFonts w:hint="eastAsia" w:ascii="方正仿宋_GB2312" w:hAnsi="方正仿宋_GB2312" w:eastAsia="方正仿宋_GB2312" w:cs="方正仿宋_GB2312"/>
                <w:kern w:val="0"/>
                <w:sz w:val="24"/>
                <w:szCs w:val="24"/>
                <w:u w:val="none"/>
              </w:rPr>
              <w:t>土壤特征因子锑</w:t>
            </w:r>
            <w:r>
              <w:rPr>
                <w:rFonts w:hint="eastAsia" w:ascii="方正仿宋_GB2312" w:hAnsi="方正仿宋_GB2312" w:eastAsia="方正仿宋_GB2312" w:cs="方正仿宋_GB2312"/>
                <w:kern w:val="0"/>
                <w:sz w:val="24"/>
                <w:szCs w:val="24"/>
                <w:u w:val="none"/>
                <w:lang w:eastAsia="zh-CN"/>
              </w:rPr>
              <w:t>未监测</w:t>
            </w:r>
            <w:r>
              <w:rPr>
                <w:rFonts w:hint="eastAsia" w:ascii="方正仿宋_GB2312" w:hAnsi="方正仿宋_GB2312" w:eastAsia="方正仿宋_GB2312" w:cs="方正仿宋_GB2312"/>
                <w:kern w:val="0"/>
                <w:sz w:val="24"/>
                <w:szCs w:val="24"/>
                <w:u w:val="none"/>
              </w:rPr>
              <w:t>。该项目P126明确使用三氧化二锑，锑属于土壤环境质量建设用地土壤污染风险管控标准(试行)(GB36600-2018)表2规定的污染因子，但土壤特征因子识别中未将锑作为特征因子，未开展监测</w:t>
            </w:r>
            <w:r>
              <w:rPr>
                <w:rFonts w:hint="eastAsia" w:ascii="方正仿宋_GB2312" w:hAnsi="方正仿宋_GB2312" w:eastAsia="方正仿宋_GB2312" w:cs="方正仿宋_GB2312"/>
                <w:kern w:val="0"/>
                <w:sz w:val="24"/>
                <w:szCs w:val="24"/>
                <w:u w:val="none"/>
                <w:lang w:eastAsia="zh-CN"/>
              </w:rPr>
              <w:t>，</w:t>
            </w:r>
            <w:r>
              <w:rPr>
                <w:rFonts w:hint="eastAsia" w:ascii="方正仿宋_GB2312" w:hAnsi="方正仿宋_GB2312" w:eastAsia="方正仿宋_GB2312" w:cs="方正仿宋_GB2312"/>
                <w:kern w:val="0"/>
                <w:sz w:val="24"/>
                <w:szCs w:val="24"/>
                <w:u w:val="none"/>
              </w:rPr>
              <w:t>不符合《环境影响评价技术导则 土壤环境》（HJ964-2018）中7.4.5</w:t>
            </w:r>
            <w:r>
              <w:rPr>
                <w:rFonts w:hint="eastAsia" w:ascii="方正仿宋_GB2312" w:hAnsi="方正仿宋_GB2312" w:eastAsia="方正仿宋_GB2312" w:cs="方正仿宋_GB2312"/>
                <w:kern w:val="0"/>
                <w:sz w:val="24"/>
                <w:szCs w:val="24"/>
                <w:u w:val="none"/>
                <w:lang w:eastAsia="zh-CN"/>
              </w:rPr>
              <w:t>的要求</w:t>
            </w:r>
            <w:r>
              <w:rPr>
                <w:rFonts w:hint="eastAsia" w:ascii="方正仿宋_GB2312" w:hAnsi="方正仿宋_GB2312" w:eastAsia="方正仿宋_GB2312" w:cs="方正仿宋_GB2312"/>
                <w:kern w:val="0"/>
                <w:sz w:val="24"/>
                <w:szCs w:val="24"/>
                <w:u w:val="none"/>
              </w:rPr>
              <w:t xml:space="preserve"> ；</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kern w:val="0"/>
                <w:sz w:val="24"/>
                <w:szCs w:val="24"/>
                <w:u w:val="none"/>
                <w:lang w:val="en-US" w:eastAsia="zh-CN" w:bidi="ar-SA"/>
              </w:rPr>
            </w:pPr>
            <w:r>
              <w:rPr>
                <w:rFonts w:hint="eastAsia" w:ascii="方正仿宋_GB2312" w:hAnsi="方正仿宋_GB2312" w:eastAsia="方正仿宋_GB2312" w:cs="方正仿宋_GB2312"/>
                <w:kern w:val="0"/>
                <w:sz w:val="24"/>
                <w:szCs w:val="24"/>
                <w:u w:val="none"/>
                <w:lang w:val="en-US" w:eastAsia="zh-CN"/>
              </w:rPr>
              <w:t>4.</w:t>
            </w:r>
            <w:r>
              <w:rPr>
                <w:rFonts w:hint="eastAsia" w:ascii="方正仿宋_GB2312" w:hAnsi="方正仿宋_GB2312" w:eastAsia="方正仿宋_GB2312" w:cs="方正仿宋_GB2312"/>
                <w:kern w:val="0"/>
                <w:sz w:val="24"/>
                <w:szCs w:val="24"/>
                <w:u w:val="none"/>
              </w:rPr>
              <w:t>地下水影响预测因子遗漏甲苯.报告中多处提及本项目废水中含有甲苯，甲苯属于《关于加强重点行业涉新污染物建设项目环境影响评价工作的意见》(环环评〔2025〕28号)规定的新污染物范畴，且甲苯属于《地下水质量标准》（GB/T 14848-2017）规定有环境质量标准的污染物，但在地下水预测中未将甲苯作为特征因子进行预测分析</w:t>
            </w:r>
            <w:r>
              <w:rPr>
                <w:rFonts w:hint="eastAsia" w:ascii="方正仿宋_GB2312" w:hAnsi="方正仿宋_GB2312" w:eastAsia="方正仿宋_GB2312" w:cs="方正仿宋_GB2312"/>
                <w:kern w:val="0"/>
                <w:sz w:val="24"/>
                <w:szCs w:val="24"/>
                <w:u w:val="none"/>
                <w:lang w:eastAsia="zh-CN"/>
              </w:rPr>
              <w:t>，</w:t>
            </w:r>
            <w:r>
              <w:rPr>
                <w:rFonts w:hint="eastAsia" w:ascii="方正仿宋_GB2312" w:hAnsi="方正仿宋_GB2312" w:eastAsia="方正仿宋_GB2312" w:cs="方正仿宋_GB2312"/>
                <w:kern w:val="0"/>
                <w:sz w:val="24"/>
                <w:szCs w:val="24"/>
                <w:u w:val="none"/>
              </w:rPr>
              <w:t>不符合《关于加强重点行业涉新污染物建设项目环境影响评价工作的意见》(环环评〔2025〕28号)“将相应已有环境质量标准的新污染物纳入环境影响预测因子并预测评价其环境影响”。</w:t>
            </w:r>
          </w:p>
        </w:tc>
        <w:tc>
          <w:tcPr>
            <w:tcW w:w="64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建设单位：</w:t>
            </w:r>
            <w:r>
              <w:rPr>
                <w:rFonts w:hint="eastAsia" w:ascii="仿宋" w:hAnsi="仿宋" w:eastAsia="仿宋" w:cs="仿宋"/>
                <w:b w:val="0"/>
                <w:bCs w:val="0"/>
                <w:i w:val="0"/>
                <w:iCs w:val="0"/>
                <w:color w:val="auto"/>
                <w:kern w:val="0"/>
                <w:sz w:val="24"/>
                <w:szCs w:val="24"/>
                <w:u w:val="none"/>
                <w:lang w:val="en-US" w:eastAsia="zh-CN" w:bidi="ar"/>
              </w:rPr>
              <w:t>湖南艾硅特新材料有限公司</w:t>
            </w:r>
            <w:r>
              <w:rPr>
                <w:rFonts w:hint="eastAsia" w:ascii="仿宋" w:hAnsi="仿宋" w:eastAsia="仿宋" w:cs="仿宋"/>
                <w:i w:val="0"/>
                <w:iCs w:val="0"/>
                <w:color w:val="auto"/>
                <w:kern w:val="0"/>
                <w:sz w:val="24"/>
                <w:szCs w:val="24"/>
                <w:u w:val="none"/>
                <w:lang w:val="en-US" w:eastAsia="zh-CN" w:bidi="ar"/>
              </w:rPr>
              <w:t>（91430223MA7BE1W023）</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《监管办法》第二十六条第一款第一、四、六、九项</w:t>
            </w:r>
          </w:p>
        </w:tc>
        <w:tc>
          <w:tcPr>
            <w:tcW w:w="624"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编制单位：</w:t>
            </w:r>
            <w:r>
              <w:rPr>
                <w:rFonts w:hint="eastAsia" w:ascii="方正仿宋_GBK" w:hAnsi="方正仿宋_GBK" w:eastAsia="方正仿宋_GBK" w:cs="方正仿宋_GBK"/>
                <w:color w:val="auto"/>
                <w:kern w:val="21"/>
                <w:sz w:val="24"/>
                <w:szCs w:val="24"/>
                <w:u w:val="none"/>
              </w:rPr>
              <w:t>湖南景玺环保科技有限公司</w:t>
            </w:r>
            <w:r>
              <w:rPr>
                <w:rFonts w:hint="eastAsia" w:ascii="仿宋" w:hAnsi="仿宋" w:eastAsia="仿宋" w:cs="仿宋"/>
                <w:i w:val="0"/>
                <w:iCs w:val="0"/>
                <w:color w:val="auto"/>
                <w:kern w:val="0"/>
                <w:sz w:val="24"/>
                <w:szCs w:val="24"/>
                <w:u w:val="none"/>
                <w:lang w:val="en-US" w:eastAsia="zh-CN" w:bidi="ar"/>
              </w:rPr>
              <w:t>（91430200MA4L2WHBX4）</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《监管办法》第二十六条第一款第一、四、六、九项，第三十一条、第三十二条第九项；《记分办法（试行）》第七条</w:t>
            </w:r>
          </w:p>
        </w:tc>
        <w:tc>
          <w:tcPr>
            <w:tcW w:w="619"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编制人员：</w:t>
            </w:r>
            <w:r>
              <w:rPr>
                <w:rFonts w:hint="eastAsia" w:ascii="仿宋" w:hAnsi="仿宋" w:eastAsia="仿宋" w:cs="仿宋"/>
                <w:b w:val="0"/>
                <w:bCs w:val="0"/>
                <w:i w:val="0"/>
                <w:iCs w:val="0"/>
                <w:color w:val="auto"/>
                <w:kern w:val="0"/>
                <w:sz w:val="24"/>
                <w:szCs w:val="24"/>
                <w:u w:val="none"/>
                <w:lang w:val="en-US" w:eastAsia="zh-CN" w:bidi="ar"/>
              </w:rPr>
              <w:t>罗志刚（</w:t>
            </w:r>
            <w:r>
              <w:rPr>
                <w:rFonts w:hint="eastAsia" w:ascii="仿宋" w:hAnsi="仿宋" w:eastAsia="仿宋" w:cs="仿宋"/>
                <w:i w:val="0"/>
                <w:iCs w:val="0"/>
                <w:color w:val="auto"/>
                <w:kern w:val="0"/>
                <w:sz w:val="24"/>
                <w:szCs w:val="24"/>
                <w:u w:val="none"/>
                <w:lang w:val="en-US" w:eastAsia="zh-CN" w:bidi="ar"/>
              </w:rPr>
              <w:t>BH014167</w:t>
            </w:r>
            <w:r>
              <w:rPr>
                <w:rFonts w:hint="eastAsia" w:ascii="仿宋" w:hAnsi="仿宋" w:eastAsia="仿宋" w:cs="仿宋"/>
                <w:b w:val="0"/>
                <w:bCs w:val="0"/>
                <w:i w:val="0"/>
                <w:iCs w:val="0"/>
                <w:color w:val="auto"/>
                <w:kern w:val="0"/>
                <w:sz w:val="24"/>
                <w:szCs w:val="24"/>
                <w:u w:val="none"/>
                <w:lang w:val="en-US" w:eastAsia="zh-CN" w:bidi="ar"/>
              </w:rPr>
              <w:t>）</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通报并失信记分5分</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处理依据：</w:t>
            </w:r>
            <w:r>
              <w:rPr>
                <w:rFonts w:hint="eastAsia" w:ascii="仿宋" w:hAnsi="仿宋" w:eastAsia="仿宋" w:cs="仿宋"/>
                <w:i w:val="0"/>
                <w:iCs w:val="0"/>
                <w:color w:val="auto"/>
                <w:kern w:val="0"/>
                <w:sz w:val="24"/>
                <w:szCs w:val="24"/>
                <w:u w:val="none"/>
                <w:lang w:val="en-US" w:eastAsia="zh-CN" w:bidi="ar"/>
              </w:rPr>
              <w:t xml:space="preserve">《监管办法》第二十六条第一款第一、四、六、九项，第三十一条、第三十二条第九项；《记分办法（试行）》第七条 </w:t>
            </w:r>
          </w:p>
        </w:tc>
        <w:tc>
          <w:tcPr>
            <w:tcW w:w="57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审批部门:</w:t>
            </w:r>
            <w:r>
              <w:rPr>
                <w:rFonts w:hint="eastAsia" w:ascii="仿宋" w:hAnsi="仿宋" w:eastAsia="仿宋" w:cs="仿宋"/>
                <w:b w:val="0"/>
                <w:bCs w:val="0"/>
                <w:i w:val="0"/>
                <w:iCs w:val="0"/>
                <w:color w:val="auto"/>
                <w:kern w:val="0"/>
                <w:sz w:val="24"/>
                <w:szCs w:val="24"/>
                <w:u w:val="none"/>
                <w:lang w:val="en-US" w:eastAsia="zh-CN" w:bidi="ar"/>
              </w:rPr>
              <w:t>株洲市生态环境局</w:t>
            </w:r>
          </w:p>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b/>
                <w:bCs/>
                <w:i w:val="0"/>
                <w:iCs w:val="0"/>
                <w:color w:val="auto"/>
                <w:kern w:val="0"/>
                <w:sz w:val="24"/>
                <w:szCs w:val="24"/>
                <w:u w:val="none"/>
                <w:lang w:val="en-US" w:eastAsia="zh-CN" w:bidi="ar"/>
              </w:rPr>
              <w:t>审批时间：</w:t>
            </w:r>
            <w:r>
              <w:rPr>
                <w:rFonts w:hint="eastAsia" w:ascii="仿宋" w:hAnsi="仿宋" w:eastAsia="仿宋" w:cs="仿宋"/>
                <w:i w:val="0"/>
                <w:iCs w:val="0"/>
                <w:color w:val="auto"/>
                <w:kern w:val="0"/>
                <w:sz w:val="24"/>
                <w:szCs w:val="24"/>
                <w:u w:val="none"/>
                <w:lang w:val="en-US" w:eastAsia="zh-CN" w:bidi="ar"/>
              </w:rPr>
              <w:t>2026年1月</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i w:val="0"/>
                <w:iCs w:val="0"/>
                <w:color w:val="auto"/>
                <w:kern w:val="0"/>
                <w:sz w:val="24"/>
                <w:szCs w:val="24"/>
                <w:u w:val="none"/>
                <w:lang w:val="en-US" w:eastAsia="zh-CN" w:bidi="ar"/>
              </w:rPr>
              <w:t>处理意见：</w:t>
            </w:r>
            <w:r>
              <w:rPr>
                <w:rFonts w:hint="eastAsia" w:ascii="仿宋" w:hAnsi="仿宋" w:eastAsia="仿宋" w:cs="仿宋"/>
                <w:i w:val="0"/>
                <w:iCs w:val="0"/>
                <w:color w:val="auto"/>
                <w:kern w:val="0"/>
                <w:sz w:val="24"/>
                <w:szCs w:val="24"/>
                <w:u w:val="none"/>
                <w:lang w:val="en-US" w:eastAsia="zh-CN" w:bidi="ar"/>
              </w:rPr>
              <w:t>通报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b/>
                <w:bCs/>
                <w:i w:val="0"/>
                <w:iCs w:val="0"/>
                <w:color w:val="auto"/>
                <w:kern w:val="0"/>
                <w:sz w:val="24"/>
                <w:szCs w:val="24"/>
                <w:u w:val="none"/>
                <w:lang w:val="en-US" w:eastAsia="zh-CN" w:bidi="ar"/>
              </w:rPr>
              <w:t>处罚依据：</w:t>
            </w:r>
            <w:r>
              <w:rPr>
                <w:rFonts w:hint="eastAsia" w:ascii="仿宋" w:hAnsi="仿宋" w:eastAsia="仿宋" w:cs="仿宋"/>
                <w:i w:val="0"/>
                <w:iCs w:val="0"/>
                <w:color w:val="auto"/>
                <w:kern w:val="0"/>
                <w:sz w:val="24"/>
                <w:szCs w:val="24"/>
                <w:u w:val="none"/>
                <w:lang w:val="en-US" w:eastAsia="zh-CN" w:bidi="ar"/>
              </w:rPr>
              <w:t>《监管办法》第三十条第四款</w:t>
            </w:r>
          </w:p>
        </w:tc>
        <w:tc>
          <w:tcPr>
            <w:tcW w:w="513" w:type="pc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w:t>
            </w:r>
          </w:p>
        </w:tc>
      </w:tr>
    </w:tbl>
    <w:p>
      <w:pPr>
        <w:rPr>
          <w:rFonts w:hint="eastAsia"/>
          <w:lang w:val="en-US" w:eastAsia="zh-CN"/>
        </w:rPr>
      </w:pPr>
    </w:p>
    <w:sectPr>
      <w:pgSz w:w="23811" w:h="16838" w:orient="landscape"/>
      <w:pgMar w:top="1800" w:right="1440" w:bottom="1800" w:left="144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modern"/>
    <w:pitch w:val="default"/>
    <w:sig w:usb0="00000000" w:usb1="0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2312">
    <w:altName w:val="方正仿宋_GBK"/>
    <w:panose1 w:val="02000000000000000000"/>
    <w:charset w:val="00"/>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Arial">
    <w:altName w:val="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2ZjFjMzc0Y2ZkY2FmYTEyYzRmZTZhMjJmNGY2NjQifQ=="/>
  </w:docVars>
  <w:rsids>
    <w:rsidRoot w:val="00172A27"/>
    <w:rsid w:val="0005057E"/>
    <w:rsid w:val="0063598E"/>
    <w:rsid w:val="00D902D5"/>
    <w:rsid w:val="00F907CF"/>
    <w:rsid w:val="0111567D"/>
    <w:rsid w:val="013900FC"/>
    <w:rsid w:val="014F40B3"/>
    <w:rsid w:val="015E7901"/>
    <w:rsid w:val="01B91D0C"/>
    <w:rsid w:val="02A53725"/>
    <w:rsid w:val="02B32C00"/>
    <w:rsid w:val="0372342D"/>
    <w:rsid w:val="03813664"/>
    <w:rsid w:val="0385459C"/>
    <w:rsid w:val="03B62386"/>
    <w:rsid w:val="03C944F7"/>
    <w:rsid w:val="049256AF"/>
    <w:rsid w:val="04DD39AC"/>
    <w:rsid w:val="04E023C1"/>
    <w:rsid w:val="04F157E7"/>
    <w:rsid w:val="05085EC9"/>
    <w:rsid w:val="050E236F"/>
    <w:rsid w:val="050E411D"/>
    <w:rsid w:val="050F027A"/>
    <w:rsid w:val="051001BD"/>
    <w:rsid w:val="05261AED"/>
    <w:rsid w:val="05432019"/>
    <w:rsid w:val="054443FA"/>
    <w:rsid w:val="05553313"/>
    <w:rsid w:val="0575419C"/>
    <w:rsid w:val="05FE0636"/>
    <w:rsid w:val="06136326"/>
    <w:rsid w:val="06394B98"/>
    <w:rsid w:val="064D6E08"/>
    <w:rsid w:val="06892B9E"/>
    <w:rsid w:val="0697649C"/>
    <w:rsid w:val="06DF0467"/>
    <w:rsid w:val="0720143E"/>
    <w:rsid w:val="07924F95"/>
    <w:rsid w:val="07CA6A21"/>
    <w:rsid w:val="08460E87"/>
    <w:rsid w:val="08AF47BC"/>
    <w:rsid w:val="08F5187C"/>
    <w:rsid w:val="090146C5"/>
    <w:rsid w:val="090B10A0"/>
    <w:rsid w:val="0924787F"/>
    <w:rsid w:val="092E2FE0"/>
    <w:rsid w:val="092F0D9F"/>
    <w:rsid w:val="09371E95"/>
    <w:rsid w:val="09512AB5"/>
    <w:rsid w:val="09BC683E"/>
    <w:rsid w:val="09BE6112"/>
    <w:rsid w:val="0A0535A1"/>
    <w:rsid w:val="0A122902"/>
    <w:rsid w:val="0A187F18"/>
    <w:rsid w:val="0A42789B"/>
    <w:rsid w:val="0A7E7AD2"/>
    <w:rsid w:val="0AA653AC"/>
    <w:rsid w:val="0B3E1577"/>
    <w:rsid w:val="0B4A2F9E"/>
    <w:rsid w:val="0B8E420A"/>
    <w:rsid w:val="0BA80E28"/>
    <w:rsid w:val="0BBC48D3"/>
    <w:rsid w:val="0BCB720C"/>
    <w:rsid w:val="0BDF6813"/>
    <w:rsid w:val="0C0B7590"/>
    <w:rsid w:val="0CBF6693"/>
    <w:rsid w:val="0D241B5B"/>
    <w:rsid w:val="0D49677B"/>
    <w:rsid w:val="0D5A7612"/>
    <w:rsid w:val="0D681FD9"/>
    <w:rsid w:val="0D79215F"/>
    <w:rsid w:val="0DC12675"/>
    <w:rsid w:val="0E051E1D"/>
    <w:rsid w:val="0E16079F"/>
    <w:rsid w:val="0E553D22"/>
    <w:rsid w:val="0E597BFE"/>
    <w:rsid w:val="0E5C239D"/>
    <w:rsid w:val="0E6F2CAF"/>
    <w:rsid w:val="0EC67532"/>
    <w:rsid w:val="0EE04D7C"/>
    <w:rsid w:val="0EE33669"/>
    <w:rsid w:val="0EF458F3"/>
    <w:rsid w:val="0F19115A"/>
    <w:rsid w:val="0F497A29"/>
    <w:rsid w:val="0F5010EA"/>
    <w:rsid w:val="0F6509BC"/>
    <w:rsid w:val="0F7F3364"/>
    <w:rsid w:val="0FFE3057"/>
    <w:rsid w:val="103242E0"/>
    <w:rsid w:val="105E11DF"/>
    <w:rsid w:val="10795489"/>
    <w:rsid w:val="10B1482D"/>
    <w:rsid w:val="10CC4918"/>
    <w:rsid w:val="110A108B"/>
    <w:rsid w:val="110B7DFF"/>
    <w:rsid w:val="112656E9"/>
    <w:rsid w:val="114F5F91"/>
    <w:rsid w:val="11553800"/>
    <w:rsid w:val="117D5636"/>
    <w:rsid w:val="11925E2D"/>
    <w:rsid w:val="11BA2319"/>
    <w:rsid w:val="11C11DDF"/>
    <w:rsid w:val="12203B86"/>
    <w:rsid w:val="12332A45"/>
    <w:rsid w:val="12802AFE"/>
    <w:rsid w:val="128844C6"/>
    <w:rsid w:val="12F157AA"/>
    <w:rsid w:val="13517FF7"/>
    <w:rsid w:val="13A43DB5"/>
    <w:rsid w:val="13D34EB0"/>
    <w:rsid w:val="1468384A"/>
    <w:rsid w:val="14A979BF"/>
    <w:rsid w:val="14BD7C2F"/>
    <w:rsid w:val="14EF7AC7"/>
    <w:rsid w:val="150B11C2"/>
    <w:rsid w:val="153657EB"/>
    <w:rsid w:val="156B2B3E"/>
    <w:rsid w:val="159E5049"/>
    <w:rsid w:val="166101A0"/>
    <w:rsid w:val="169A3A63"/>
    <w:rsid w:val="17052A3A"/>
    <w:rsid w:val="171E4694"/>
    <w:rsid w:val="17487963"/>
    <w:rsid w:val="17774F8B"/>
    <w:rsid w:val="17BC155E"/>
    <w:rsid w:val="17DB8BFB"/>
    <w:rsid w:val="17E556BC"/>
    <w:rsid w:val="17E6592F"/>
    <w:rsid w:val="189A5025"/>
    <w:rsid w:val="18A8690B"/>
    <w:rsid w:val="18C96881"/>
    <w:rsid w:val="18DE69AC"/>
    <w:rsid w:val="19033B4D"/>
    <w:rsid w:val="197F87B0"/>
    <w:rsid w:val="199B4335"/>
    <w:rsid w:val="19B17A41"/>
    <w:rsid w:val="19B456E6"/>
    <w:rsid w:val="1A2C4C30"/>
    <w:rsid w:val="1A2D56A6"/>
    <w:rsid w:val="1A5D1653"/>
    <w:rsid w:val="1A78230D"/>
    <w:rsid w:val="1A9D57AF"/>
    <w:rsid w:val="1AA650CC"/>
    <w:rsid w:val="1B4F4F69"/>
    <w:rsid w:val="1B950C9D"/>
    <w:rsid w:val="1BA3160C"/>
    <w:rsid w:val="1BCF247A"/>
    <w:rsid w:val="1BD56A88"/>
    <w:rsid w:val="1BDF0E87"/>
    <w:rsid w:val="1BFB3900"/>
    <w:rsid w:val="1C4A0DCE"/>
    <w:rsid w:val="1C5841A4"/>
    <w:rsid w:val="1CA7512B"/>
    <w:rsid w:val="1CFE77DB"/>
    <w:rsid w:val="1D06786E"/>
    <w:rsid w:val="1D25756C"/>
    <w:rsid w:val="1D371859"/>
    <w:rsid w:val="1D444A6C"/>
    <w:rsid w:val="1D994A74"/>
    <w:rsid w:val="1DA358F3"/>
    <w:rsid w:val="1DFAFA32"/>
    <w:rsid w:val="1E320A25"/>
    <w:rsid w:val="1E365E19"/>
    <w:rsid w:val="1E831280"/>
    <w:rsid w:val="1EF359F0"/>
    <w:rsid w:val="1F214596"/>
    <w:rsid w:val="1F3BCE76"/>
    <w:rsid w:val="1F405B93"/>
    <w:rsid w:val="1F624023"/>
    <w:rsid w:val="1F6B0692"/>
    <w:rsid w:val="1F81413C"/>
    <w:rsid w:val="1FB90623"/>
    <w:rsid w:val="1FF47B49"/>
    <w:rsid w:val="1FFFD3A7"/>
    <w:rsid w:val="2003323B"/>
    <w:rsid w:val="202F739F"/>
    <w:rsid w:val="205172BA"/>
    <w:rsid w:val="20745786"/>
    <w:rsid w:val="2090230B"/>
    <w:rsid w:val="20D668DF"/>
    <w:rsid w:val="20F67538"/>
    <w:rsid w:val="21264564"/>
    <w:rsid w:val="21385C53"/>
    <w:rsid w:val="216C24A0"/>
    <w:rsid w:val="216C2F03"/>
    <w:rsid w:val="21A165ED"/>
    <w:rsid w:val="21A34113"/>
    <w:rsid w:val="21BC38FE"/>
    <w:rsid w:val="21D544E9"/>
    <w:rsid w:val="2210107D"/>
    <w:rsid w:val="22251E44"/>
    <w:rsid w:val="22317971"/>
    <w:rsid w:val="223C1866"/>
    <w:rsid w:val="223F124B"/>
    <w:rsid w:val="225503EC"/>
    <w:rsid w:val="22D42CBF"/>
    <w:rsid w:val="230C5CE8"/>
    <w:rsid w:val="23ADE5E6"/>
    <w:rsid w:val="23E66539"/>
    <w:rsid w:val="24315EC9"/>
    <w:rsid w:val="24417C14"/>
    <w:rsid w:val="246B3B15"/>
    <w:rsid w:val="254C2D14"/>
    <w:rsid w:val="2558532C"/>
    <w:rsid w:val="25787665"/>
    <w:rsid w:val="260401B7"/>
    <w:rsid w:val="26235823"/>
    <w:rsid w:val="262B46D7"/>
    <w:rsid w:val="262C26F8"/>
    <w:rsid w:val="26372B99"/>
    <w:rsid w:val="26CA2142"/>
    <w:rsid w:val="26D20FF7"/>
    <w:rsid w:val="26D75FDD"/>
    <w:rsid w:val="26D827E6"/>
    <w:rsid w:val="27090EBD"/>
    <w:rsid w:val="27280C17"/>
    <w:rsid w:val="27702CEA"/>
    <w:rsid w:val="277D3801"/>
    <w:rsid w:val="27C052F3"/>
    <w:rsid w:val="27C1174C"/>
    <w:rsid w:val="27DD2B2D"/>
    <w:rsid w:val="27F86DBC"/>
    <w:rsid w:val="282C65C1"/>
    <w:rsid w:val="28517E0E"/>
    <w:rsid w:val="28AD57F3"/>
    <w:rsid w:val="29046458"/>
    <w:rsid w:val="291B7A7E"/>
    <w:rsid w:val="291E0523"/>
    <w:rsid w:val="29325B8A"/>
    <w:rsid w:val="29363D15"/>
    <w:rsid w:val="29403E3D"/>
    <w:rsid w:val="29433B83"/>
    <w:rsid w:val="29453653"/>
    <w:rsid w:val="29940991"/>
    <w:rsid w:val="29A05C0E"/>
    <w:rsid w:val="2A165605"/>
    <w:rsid w:val="2A5B45C6"/>
    <w:rsid w:val="2A636B36"/>
    <w:rsid w:val="2A6B588A"/>
    <w:rsid w:val="2B165956"/>
    <w:rsid w:val="2B323D76"/>
    <w:rsid w:val="2B6C6D2C"/>
    <w:rsid w:val="2B7F799F"/>
    <w:rsid w:val="2BA54F2C"/>
    <w:rsid w:val="2BD84552"/>
    <w:rsid w:val="2C0B2FE1"/>
    <w:rsid w:val="2C8903AA"/>
    <w:rsid w:val="2C974875"/>
    <w:rsid w:val="2CAD4098"/>
    <w:rsid w:val="2CB75511"/>
    <w:rsid w:val="2D0C66DC"/>
    <w:rsid w:val="2D7B23E8"/>
    <w:rsid w:val="2DC72F38"/>
    <w:rsid w:val="2DE72EEA"/>
    <w:rsid w:val="2DED5346"/>
    <w:rsid w:val="2E163EBF"/>
    <w:rsid w:val="2E7DC5B8"/>
    <w:rsid w:val="2EF989C3"/>
    <w:rsid w:val="2F010C48"/>
    <w:rsid w:val="2F0DFD1E"/>
    <w:rsid w:val="2F176141"/>
    <w:rsid w:val="2F2D7712"/>
    <w:rsid w:val="2F3960B7"/>
    <w:rsid w:val="2F4050A6"/>
    <w:rsid w:val="2F50065F"/>
    <w:rsid w:val="2F557976"/>
    <w:rsid w:val="2F7640A4"/>
    <w:rsid w:val="2F962E2C"/>
    <w:rsid w:val="2FEFDA32"/>
    <w:rsid w:val="306D4E35"/>
    <w:rsid w:val="30845386"/>
    <w:rsid w:val="30961954"/>
    <w:rsid w:val="30C55BCA"/>
    <w:rsid w:val="30D70848"/>
    <w:rsid w:val="30F93D50"/>
    <w:rsid w:val="30FC592B"/>
    <w:rsid w:val="3145279C"/>
    <w:rsid w:val="315F344A"/>
    <w:rsid w:val="318A49A8"/>
    <w:rsid w:val="31C53B5D"/>
    <w:rsid w:val="31DE5761"/>
    <w:rsid w:val="31E3230A"/>
    <w:rsid w:val="328B50C9"/>
    <w:rsid w:val="329270BF"/>
    <w:rsid w:val="33784CD4"/>
    <w:rsid w:val="337F74E0"/>
    <w:rsid w:val="33827EC9"/>
    <w:rsid w:val="33863895"/>
    <w:rsid w:val="3390414A"/>
    <w:rsid w:val="34360E17"/>
    <w:rsid w:val="3462271F"/>
    <w:rsid w:val="34DB551B"/>
    <w:rsid w:val="34FDC832"/>
    <w:rsid w:val="35040F15"/>
    <w:rsid w:val="350420B3"/>
    <w:rsid w:val="35862521"/>
    <w:rsid w:val="35BB6B61"/>
    <w:rsid w:val="35F63A78"/>
    <w:rsid w:val="368102B8"/>
    <w:rsid w:val="36A53164"/>
    <w:rsid w:val="36B81FB7"/>
    <w:rsid w:val="36C05E9A"/>
    <w:rsid w:val="36C97D20"/>
    <w:rsid w:val="36DFDE48"/>
    <w:rsid w:val="36E903C3"/>
    <w:rsid w:val="36EC1C61"/>
    <w:rsid w:val="376B702A"/>
    <w:rsid w:val="37D3697D"/>
    <w:rsid w:val="37F17BA0"/>
    <w:rsid w:val="380F47DD"/>
    <w:rsid w:val="38213B8C"/>
    <w:rsid w:val="38413CE4"/>
    <w:rsid w:val="38432110"/>
    <w:rsid w:val="384A30E3"/>
    <w:rsid w:val="3851621F"/>
    <w:rsid w:val="38A07F81"/>
    <w:rsid w:val="38B22A36"/>
    <w:rsid w:val="38B36EDA"/>
    <w:rsid w:val="38B50826"/>
    <w:rsid w:val="38BB2649"/>
    <w:rsid w:val="38ED5D90"/>
    <w:rsid w:val="38FF1050"/>
    <w:rsid w:val="39276F80"/>
    <w:rsid w:val="392C530A"/>
    <w:rsid w:val="392C6FDC"/>
    <w:rsid w:val="394A2C6F"/>
    <w:rsid w:val="39AD7FF2"/>
    <w:rsid w:val="39B41179"/>
    <w:rsid w:val="39CE3E34"/>
    <w:rsid w:val="39E64D86"/>
    <w:rsid w:val="39FC665F"/>
    <w:rsid w:val="3A173499"/>
    <w:rsid w:val="3A3D4E27"/>
    <w:rsid w:val="3A4B3142"/>
    <w:rsid w:val="3A84217E"/>
    <w:rsid w:val="3A8D375B"/>
    <w:rsid w:val="3A9E42B6"/>
    <w:rsid w:val="3AA50CE4"/>
    <w:rsid w:val="3B163750"/>
    <w:rsid w:val="3B1E1335"/>
    <w:rsid w:val="3B292D63"/>
    <w:rsid w:val="3B563B4D"/>
    <w:rsid w:val="3B984165"/>
    <w:rsid w:val="3BC7FF04"/>
    <w:rsid w:val="3BD85E6E"/>
    <w:rsid w:val="3BDA477E"/>
    <w:rsid w:val="3BDF3B42"/>
    <w:rsid w:val="3BF5031D"/>
    <w:rsid w:val="3BF5780A"/>
    <w:rsid w:val="3BFB25BA"/>
    <w:rsid w:val="3C394090"/>
    <w:rsid w:val="3C522566"/>
    <w:rsid w:val="3C5F05C7"/>
    <w:rsid w:val="3C795D45"/>
    <w:rsid w:val="3C8B40FB"/>
    <w:rsid w:val="3CD17D5E"/>
    <w:rsid w:val="3D0A1093"/>
    <w:rsid w:val="3D257C7B"/>
    <w:rsid w:val="3D4445A5"/>
    <w:rsid w:val="3D4F6AA6"/>
    <w:rsid w:val="3D622C7D"/>
    <w:rsid w:val="3D6407A3"/>
    <w:rsid w:val="3D6A7D83"/>
    <w:rsid w:val="3D8B21D4"/>
    <w:rsid w:val="3DA84A04"/>
    <w:rsid w:val="3E014244"/>
    <w:rsid w:val="3E105FA2"/>
    <w:rsid w:val="3E7115EB"/>
    <w:rsid w:val="3ECA520E"/>
    <w:rsid w:val="3ED51DAB"/>
    <w:rsid w:val="3ED74FA5"/>
    <w:rsid w:val="3EF21DDE"/>
    <w:rsid w:val="3EFAB226"/>
    <w:rsid w:val="3EFEC317"/>
    <w:rsid w:val="3F1DB077"/>
    <w:rsid w:val="3F1F45A7"/>
    <w:rsid w:val="3F30BCC0"/>
    <w:rsid w:val="3F3EE65B"/>
    <w:rsid w:val="3F4ED781"/>
    <w:rsid w:val="3F5D1CBF"/>
    <w:rsid w:val="3F847A8B"/>
    <w:rsid w:val="3FBD12AF"/>
    <w:rsid w:val="3FCC5B47"/>
    <w:rsid w:val="3FCE7C01"/>
    <w:rsid w:val="3FD2C3D0"/>
    <w:rsid w:val="40880C4C"/>
    <w:rsid w:val="409E221E"/>
    <w:rsid w:val="40A4535A"/>
    <w:rsid w:val="40E13EB9"/>
    <w:rsid w:val="40F2256A"/>
    <w:rsid w:val="40F27761"/>
    <w:rsid w:val="413761CE"/>
    <w:rsid w:val="417C254A"/>
    <w:rsid w:val="4202058A"/>
    <w:rsid w:val="423738B9"/>
    <w:rsid w:val="428B56F3"/>
    <w:rsid w:val="429F402B"/>
    <w:rsid w:val="42C83582"/>
    <w:rsid w:val="42CC7AEA"/>
    <w:rsid w:val="430622FC"/>
    <w:rsid w:val="431C742A"/>
    <w:rsid w:val="433A18EB"/>
    <w:rsid w:val="43601A0D"/>
    <w:rsid w:val="439043ED"/>
    <w:rsid w:val="439E5FF9"/>
    <w:rsid w:val="43AA712C"/>
    <w:rsid w:val="43F403A7"/>
    <w:rsid w:val="44676D8D"/>
    <w:rsid w:val="44953FF7"/>
    <w:rsid w:val="44D84AEE"/>
    <w:rsid w:val="45463A46"/>
    <w:rsid w:val="45465391"/>
    <w:rsid w:val="454B7948"/>
    <w:rsid w:val="45B359DC"/>
    <w:rsid w:val="45EF54C0"/>
    <w:rsid w:val="46804174"/>
    <w:rsid w:val="4749062D"/>
    <w:rsid w:val="477F4A01"/>
    <w:rsid w:val="478B2DD0"/>
    <w:rsid w:val="47B4046D"/>
    <w:rsid w:val="47F941DE"/>
    <w:rsid w:val="48165280"/>
    <w:rsid w:val="481D611E"/>
    <w:rsid w:val="4841510F"/>
    <w:rsid w:val="48474A35"/>
    <w:rsid w:val="48732D18"/>
    <w:rsid w:val="48904B42"/>
    <w:rsid w:val="48C403F2"/>
    <w:rsid w:val="48F37D6B"/>
    <w:rsid w:val="49261002"/>
    <w:rsid w:val="49B64751"/>
    <w:rsid w:val="4A3D46E0"/>
    <w:rsid w:val="4A8D6A30"/>
    <w:rsid w:val="4AB90E13"/>
    <w:rsid w:val="4AC110F9"/>
    <w:rsid w:val="4ACB00B3"/>
    <w:rsid w:val="4ADB7BCB"/>
    <w:rsid w:val="4B0F90DC"/>
    <w:rsid w:val="4B327199"/>
    <w:rsid w:val="4B5C51AF"/>
    <w:rsid w:val="4B5F5480"/>
    <w:rsid w:val="4B6E6C91"/>
    <w:rsid w:val="4BB072A9"/>
    <w:rsid w:val="4BD1575C"/>
    <w:rsid w:val="4C2848AF"/>
    <w:rsid w:val="4C3C0B3D"/>
    <w:rsid w:val="4CEFCF80"/>
    <w:rsid w:val="4D142001"/>
    <w:rsid w:val="4DBB20E6"/>
    <w:rsid w:val="4E296E9F"/>
    <w:rsid w:val="4E4D0DDF"/>
    <w:rsid w:val="4E7D5250"/>
    <w:rsid w:val="4E8C0DCA"/>
    <w:rsid w:val="4EAF2572"/>
    <w:rsid w:val="4EFFC9B1"/>
    <w:rsid w:val="4EFFE7B6"/>
    <w:rsid w:val="4F0B0BB5"/>
    <w:rsid w:val="4F290FCF"/>
    <w:rsid w:val="4F3A7A89"/>
    <w:rsid w:val="4F471FD8"/>
    <w:rsid w:val="4F8E1DF9"/>
    <w:rsid w:val="4FD01CC8"/>
    <w:rsid w:val="4FDC2281"/>
    <w:rsid w:val="4FE63299"/>
    <w:rsid w:val="4FEA0AB3"/>
    <w:rsid w:val="4FF71DF3"/>
    <w:rsid w:val="5004142B"/>
    <w:rsid w:val="504B7C7D"/>
    <w:rsid w:val="50587D9D"/>
    <w:rsid w:val="506A211C"/>
    <w:rsid w:val="50830AE8"/>
    <w:rsid w:val="51121E6C"/>
    <w:rsid w:val="51625641"/>
    <w:rsid w:val="516D7022"/>
    <w:rsid w:val="51844B18"/>
    <w:rsid w:val="51A41094"/>
    <w:rsid w:val="51D676CF"/>
    <w:rsid w:val="51DB1177"/>
    <w:rsid w:val="51DD29B5"/>
    <w:rsid w:val="51F608CF"/>
    <w:rsid w:val="5229216C"/>
    <w:rsid w:val="52860D64"/>
    <w:rsid w:val="52CD0741"/>
    <w:rsid w:val="530C1F25"/>
    <w:rsid w:val="53454A40"/>
    <w:rsid w:val="53512B2B"/>
    <w:rsid w:val="54295D01"/>
    <w:rsid w:val="5479407D"/>
    <w:rsid w:val="548060F2"/>
    <w:rsid w:val="54C30118"/>
    <w:rsid w:val="54C67144"/>
    <w:rsid w:val="54F40207"/>
    <w:rsid w:val="557430F6"/>
    <w:rsid w:val="557D489D"/>
    <w:rsid w:val="55805CCC"/>
    <w:rsid w:val="55DDA985"/>
    <w:rsid w:val="56015421"/>
    <w:rsid w:val="569E4A86"/>
    <w:rsid w:val="56A0056E"/>
    <w:rsid w:val="56B45E9F"/>
    <w:rsid w:val="56C96E79"/>
    <w:rsid w:val="56D6361D"/>
    <w:rsid w:val="56EC30AA"/>
    <w:rsid w:val="5765164D"/>
    <w:rsid w:val="57735E96"/>
    <w:rsid w:val="57A777B2"/>
    <w:rsid w:val="57ED2D97"/>
    <w:rsid w:val="582858AD"/>
    <w:rsid w:val="583A0626"/>
    <w:rsid w:val="58871392"/>
    <w:rsid w:val="58F33051"/>
    <w:rsid w:val="58F73B11"/>
    <w:rsid w:val="59061604"/>
    <w:rsid w:val="5943175D"/>
    <w:rsid w:val="59613991"/>
    <w:rsid w:val="59AC4047"/>
    <w:rsid w:val="59C77C98"/>
    <w:rsid w:val="59D625D1"/>
    <w:rsid w:val="59ED177C"/>
    <w:rsid w:val="5A0A7BC0"/>
    <w:rsid w:val="5A0C5FF2"/>
    <w:rsid w:val="5A0E3B19"/>
    <w:rsid w:val="5A552BB9"/>
    <w:rsid w:val="5AFACDFC"/>
    <w:rsid w:val="5AFE3574"/>
    <w:rsid w:val="5B5E63DA"/>
    <w:rsid w:val="5B6B4F9B"/>
    <w:rsid w:val="5B7D20CC"/>
    <w:rsid w:val="5B7F1847"/>
    <w:rsid w:val="5B81625A"/>
    <w:rsid w:val="5BC1568D"/>
    <w:rsid w:val="5BCE4B77"/>
    <w:rsid w:val="5BD26526"/>
    <w:rsid w:val="5BFF93D0"/>
    <w:rsid w:val="5C0056E3"/>
    <w:rsid w:val="5C4C5087"/>
    <w:rsid w:val="5C5D4602"/>
    <w:rsid w:val="5CA02A22"/>
    <w:rsid w:val="5CB67D6F"/>
    <w:rsid w:val="5CC52489"/>
    <w:rsid w:val="5CDD3093"/>
    <w:rsid w:val="5CE87F84"/>
    <w:rsid w:val="5CF2BD23"/>
    <w:rsid w:val="5CF33DFD"/>
    <w:rsid w:val="5CF54B1C"/>
    <w:rsid w:val="5CFF2336"/>
    <w:rsid w:val="5D371EBA"/>
    <w:rsid w:val="5D483205"/>
    <w:rsid w:val="5D5A52C7"/>
    <w:rsid w:val="5D5A7A9D"/>
    <w:rsid w:val="5D95C23B"/>
    <w:rsid w:val="5DC866D4"/>
    <w:rsid w:val="5E2C6C63"/>
    <w:rsid w:val="5E9842F9"/>
    <w:rsid w:val="5EFE317C"/>
    <w:rsid w:val="5F39654D"/>
    <w:rsid w:val="5F5F9215"/>
    <w:rsid w:val="5F6B8E58"/>
    <w:rsid w:val="5F7F2F6F"/>
    <w:rsid w:val="5F7FB1F0"/>
    <w:rsid w:val="5F903222"/>
    <w:rsid w:val="5F924DA5"/>
    <w:rsid w:val="5F955859"/>
    <w:rsid w:val="5F9D47FA"/>
    <w:rsid w:val="5FBD6555"/>
    <w:rsid w:val="5FE7F1F8"/>
    <w:rsid w:val="5FED41D0"/>
    <w:rsid w:val="5FEF8E43"/>
    <w:rsid w:val="5FEFA5DD"/>
    <w:rsid w:val="5FF4754D"/>
    <w:rsid w:val="5FFFAC7E"/>
    <w:rsid w:val="60007DF3"/>
    <w:rsid w:val="60067D12"/>
    <w:rsid w:val="602A7F48"/>
    <w:rsid w:val="603C0CB4"/>
    <w:rsid w:val="60742441"/>
    <w:rsid w:val="60884033"/>
    <w:rsid w:val="60C307F5"/>
    <w:rsid w:val="6146003C"/>
    <w:rsid w:val="6186668A"/>
    <w:rsid w:val="618943CD"/>
    <w:rsid w:val="619C16DE"/>
    <w:rsid w:val="619E609D"/>
    <w:rsid w:val="61AD3E5A"/>
    <w:rsid w:val="62072527"/>
    <w:rsid w:val="620D500D"/>
    <w:rsid w:val="620E13C4"/>
    <w:rsid w:val="6267026A"/>
    <w:rsid w:val="627B3990"/>
    <w:rsid w:val="627E03FC"/>
    <w:rsid w:val="62A143AB"/>
    <w:rsid w:val="62AD3261"/>
    <w:rsid w:val="62E01DCA"/>
    <w:rsid w:val="62EF5263"/>
    <w:rsid w:val="63283717"/>
    <w:rsid w:val="63405D18"/>
    <w:rsid w:val="63421E54"/>
    <w:rsid w:val="63544033"/>
    <w:rsid w:val="635E6902"/>
    <w:rsid w:val="636A7EA0"/>
    <w:rsid w:val="639873C4"/>
    <w:rsid w:val="63C022E9"/>
    <w:rsid w:val="63C11065"/>
    <w:rsid w:val="63DC07E4"/>
    <w:rsid w:val="63E625F4"/>
    <w:rsid w:val="63FA510E"/>
    <w:rsid w:val="642E6AF8"/>
    <w:rsid w:val="642F4DB7"/>
    <w:rsid w:val="6454442A"/>
    <w:rsid w:val="648B728E"/>
    <w:rsid w:val="649012EF"/>
    <w:rsid w:val="649E1F3D"/>
    <w:rsid w:val="64B97B46"/>
    <w:rsid w:val="64C7586C"/>
    <w:rsid w:val="64D516FB"/>
    <w:rsid w:val="64D616D7"/>
    <w:rsid w:val="64E827B7"/>
    <w:rsid w:val="65705687"/>
    <w:rsid w:val="66036C36"/>
    <w:rsid w:val="660C3C04"/>
    <w:rsid w:val="663568D1"/>
    <w:rsid w:val="66361ED5"/>
    <w:rsid w:val="668F1B3D"/>
    <w:rsid w:val="66AE6C05"/>
    <w:rsid w:val="66F24B6A"/>
    <w:rsid w:val="676236F6"/>
    <w:rsid w:val="677B7393"/>
    <w:rsid w:val="67FF2CF3"/>
    <w:rsid w:val="67FFA973"/>
    <w:rsid w:val="686C1C68"/>
    <w:rsid w:val="68A8680D"/>
    <w:rsid w:val="690E274E"/>
    <w:rsid w:val="69792996"/>
    <w:rsid w:val="699B5627"/>
    <w:rsid w:val="6A4D41E9"/>
    <w:rsid w:val="6AA162E3"/>
    <w:rsid w:val="6AC10733"/>
    <w:rsid w:val="6AD83DF0"/>
    <w:rsid w:val="6AFC5C0F"/>
    <w:rsid w:val="6AFF954D"/>
    <w:rsid w:val="6B534390"/>
    <w:rsid w:val="6B7C4BE9"/>
    <w:rsid w:val="6B960F84"/>
    <w:rsid w:val="6B9B71D6"/>
    <w:rsid w:val="6BF53556"/>
    <w:rsid w:val="6C44786E"/>
    <w:rsid w:val="6C4D03E3"/>
    <w:rsid w:val="6C575266"/>
    <w:rsid w:val="6CF3094C"/>
    <w:rsid w:val="6D5E2269"/>
    <w:rsid w:val="6D603EEF"/>
    <w:rsid w:val="6DB95430"/>
    <w:rsid w:val="6DD30EA9"/>
    <w:rsid w:val="6DDD21E1"/>
    <w:rsid w:val="6E162B44"/>
    <w:rsid w:val="6E2A65EF"/>
    <w:rsid w:val="6E2C3A33"/>
    <w:rsid w:val="6E3A2CD6"/>
    <w:rsid w:val="6E3F0EDD"/>
    <w:rsid w:val="6E494CC8"/>
    <w:rsid w:val="6E4A31D2"/>
    <w:rsid w:val="6E622A13"/>
    <w:rsid w:val="6EA130C5"/>
    <w:rsid w:val="6EA41474"/>
    <w:rsid w:val="6EF03395"/>
    <w:rsid w:val="6F0532E4"/>
    <w:rsid w:val="6F173018"/>
    <w:rsid w:val="6F285225"/>
    <w:rsid w:val="6F4E540E"/>
    <w:rsid w:val="6F4F67E9"/>
    <w:rsid w:val="6F5F22E0"/>
    <w:rsid w:val="6F6E79B3"/>
    <w:rsid w:val="6F7193C8"/>
    <w:rsid w:val="6F7B1426"/>
    <w:rsid w:val="6F817794"/>
    <w:rsid w:val="6FBAA850"/>
    <w:rsid w:val="6FDBF8A1"/>
    <w:rsid w:val="6FDE9753"/>
    <w:rsid w:val="700871D0"/>
    <w:rsid w:val="702B381A"/>
    <w:rsid w:val="707107A6"/>
    <w:rsid w:val="71693B86"/>
    <w:rsid w:val="716B13F9"/>
    <w:rsid w:val="71754026"/>
    <w:rsid w:val="71BD702D"/>
    <w:rsid w:val="71D17DCA"/>
    <w:rsid w:val="722717C4"/>
    <w:rsid w:val="724F15B6"/>
    <w:rsid w:val="726227FC"/>
    <w:rsid w:val="72636D4D"/>
    <w:rsid w:val="72DF3E4C"/>
    <w:rsid w:val="72EB62E3"/>
    <w:rsid w:val="72F32B7A"/>
    <w:rsid w:val="733046A8"/>
    <w:rsid w:val="73C179F6"/>
    <w:rsid w:val="73CF1690"/>
    <w:rsid w:val="73DF4E68"/>
    <w:rsid w:val="73FB8A9D"/>
    <w:rsid w:val="74033B6B"/>
    <w:rsid w:val="7427628E"/>
    <w:rsid w:val="744866F9"/>
    <w:rsid w:val="74730AE2"/>
    <w:rsid w:val="74B530B7"/>
    <w:rsid w:val="74E128A7"/>
    <w:rsid w:val="74E34916"/>
    <w:rsid w:val="750000AA"/>
    <w:rsid w:val="751B67DB"/>
    <w:rsid w:val="75719B0B"/>
    <w:rsid w:val="75A1761E"/>
    <w:rsid w:val="75BF08E5"/>
    <w:rsid w:val="75CB690A"/>
    <w:rsid w:val="75DE488F"/>
    <w:rsid w:val="75FB8F49"/>
    <w:rsid w:val="75FD0C7A"/>
    <w:rsid w:val="764D33E1"/>
    <w:rsid w:val="764F3097"/>
    <w:rsid w:val="766703E1"/>
    <w:rsid w:val="767A07BC"/>
    <w:rsid w:val="76C9109B"/>
    <w:rsid w:val="76CB76A7"/>
    <w:rsid w:val="76CBAE1C"/>
    <w:rsid w:val="76D07FF9"/>
    <w:rsid w:val="76D31D01"/>
    <w:rsid w:val="76D81A6A"/>
    <w:rsid w:val="775B360F"/>
    <w:rsid w:val="777C4360"/>
    <w:rsid w:val="777FE6DA"/>
    <w:rsid w:val="77B348F3"/>
    <w:rsid w:val="77B358A8"/>
    <w:rsid w:val="77BC3053"/>
    <w:rsid w:val="77BF376F"/>
    <w:rsid w:val="77CA96AB"/>
    <w:rsid w:val="77E3EDC9"/>
    <w:rsid w:val="77EFF09E"/>
    <w:rsid w:val="77F7C0D3"/>
    <w:rsid w:val="77FB5834"/>
    <w:rsid w:val="77FF8747"/>
    <w:rsid w:val="77FFC453"/>
    <w:rsid w:val="78373CAD"/>
    <w:rsid w:val="788D434B"/>
    <w:rsid w:val="78A376CA"/>
    <w:rsid w:val="78A70F68"/>
    <w:rsid w:val="78A90B44"/>
    <w:rsid w:val="794828BB"/>
    <w:rsid w:val="794D7F30"/>
    <w:rsid w:val="794E3B10"/>
    <w:rsid w:val="79702FCE"/>
    <w:rsid w:val="799D4077"/>
    <w:rsid w:val="79CF5607"/>
    <w:rsid w:val="79DDF3C2"/>
    <w:rsid w:val="7A0D7D5A"/>
    <w:rsid w:val="7A200327"/>
    <w:rsid w:val="7A4B1A17"/>
    <w:rsid w:val="7A6A6B87"/>
    <w:rsid w:val="7AA527AA"/>
    <w:rsid w:val="7AA716F4"/>
    <w:rsid w:val="7AAD2A82"/>
    <w:rsid w:val="7AAD6673"/>
    <w:rsid w:val="7ACF6D77"/>
    <w:rsid w:val="7ADA7084"/>
    <w:rsid w:val="7B1225B0"/>
    <w:rsid w:val="7B270665"/>
    <w:rsid w:val="7B2A40D3"/>
    <w:rsid w:val="7B456FD3"/>
    <w:rsid w:val="7B5569A4"/>
    <w:rsid w:val="7B9F997C"/>
    <w:rsid w:val="7BC77B74"/>
    <w:rsid w:val="7BCB368A"/>
    <w:rsid w:val="7BDC466D"/>
    <w:rsid w:val="7BFD3D45"/>
    <w:rsid w:val="7BFF47B4"/>
    <w:rsid w:val="7C052B77"/>
    <w:rsid w:val="7C133D05"/>
    <w:rsid w:val="7C156B31"/>
    <w:rsid w:val="7C7E452F"/>
    <w:rsid w:val="7CB5516E"/>
    <w:rsid w:val="7CB637BD"/>
    <w:rsid w:val="7CBD0A2C"/>
    <w:rsid w:val="7CC055E5"/>
    <w:rsid w:val="7D0A7D18"/>
    <w:rsid w:val="7D67516A"/>
    <w:rsid w:val="7D6F3E6A"/>
    <w:rsid w:val="7D752B42"/>
    <w:rsid w:val="7D7F0361"/>
    <w:rsid w:val="7D7F24B4"/>
    <w:rsid w:val="7DA0067C"/>
    <w:rsid w:val="7DCB65FD"/>
    <w:rsid w:val="7DFE48E7"/>
    <w:rsid w:val="7E289AF3"/>
    <w:rsid w:val="7E2FA2D6"/>
    <w:rsid w:val="7E8353C7"/>
    <w:rsid w:val="7E9F2254"/>
    <w:rsid w:val="7EF41C7F"/>
    <w:rsid w:val="7EF9E71E"/>
    <w:rsid w:val="7EFEF195"/>
    <w:rsid w:val="7F231565"/>
    <w:rsid w:val="7F4A4D43"/>
    <w:rsid w:val="7F713E17"/>
    <w:rsid w:val="7F7B43E3"/>
    <w:rsid w:val="7F7F5BA1"/>
    <w:rsid w:val="7F7FE591"/>
    <w:rsid w:val="7FA33549"/>
    <w:rsid w:val="7FA9C056"/>
    <w:rsid w:val="7FCF1AEB"/>
    <w:rsid w:val="7FDADF42"/>
    <w:rsid w:val="7FDB8869"/>
    <w:rsid w:val="7FDF3F93"/>
    <w:rsid w:val="7FE798CB"/>
    <w:rsid w:val="7FF7A3BE"/>
    <w:rsid w:val="7FFB3E97"/>
    <w:rsid w:val="7FFFECF5"/>
    <w:rsid w:val="8FCDB2D7"/>
    <w:rsid w:val="95BAF259"/>
    <w:rsid w:val="9DC9846E"/>
    <w:rsid w:val="9F7D7256"/>
    <w:rsid w:val="9FEF6B24"/>
    <w:rsid w:val="9FF74721"/>
    <w:rsid w:val="9FFF4A85"/>
    <w:rsid w:val="A2BBA660"/>
    <w:rsid w:val="A6ED7254"/>
    <w:rsid w:val="AEEB6351"/>
    <w:rsid w:val="AEEF365F"/>
    <w:rsid w:val="AEFDBF85"/>
    <w:rsid w:val="AF5DC022"/>
    <w:rsid w:val="AF7DD725"/>
    <w:rsid w:val="AFCDFA80"/>
    <w:rsid w:val="AFEC9806"/>
    <w:rsid w:val="B4775EE7"/>
    <w:rsid w:val="B5BD65F1"/>
    <w:rsid w:val="B7F7EDE4"/>
    <w:rsid w:val="B7F92683"/>
    <w:rsid w:val="B7F9FBF8"/>
    <w:rsid w:val="BAED27A0"/>
    <w:rsid w:val="BB5DC218"/>
    <w:rsid w:val="BB9F4CE3"/>
    <w:rsid w:val="BBF61E1E"/>
    <w:rsid w:val="BBFA14E0"/>
    <w:rsid w:val="BBFE955F"/>
    <w:rsid w:val="BC7F18F2"/>
    <w:rsid w:val="BDF544F8"/>
    <w:rsid w:val="BECDC09D"/>
    <w:rsid w:val="BEF72977"/>
    <w:rsid w:val="BEFCDAD5"/>
    <w:rsid w:val="BF2B08A6"/>
    <w:rsid w:val="BF4F9D7A"/>
    <w:rsid w:val="BFAF17A0"/>
    <w:rsid w:val="BFAFBE9D"/>
    <w:rsid w:val="BFDACFF2"/>
    <w:rsid w:val="BFFD8518"/>
    <w:rsid w:val="BFFFF244"/>
    <w:rsid w:val="C5FEBAB7"/>
    <w:rsid w:val="CBE74AE2"/>
    <w:rsid w:val="CF373157"/>
    <w:rsid w:val="CFBF752C"/>
    <w:rsid w:val="CFFE9599"/>
    <w:rsid w:val="D1FC46F1"/>
    <w:rsid w:val="D2F25B92"/>
    <w:rsid w:val="D7F9DDCD"/>
    <w:rsid w:val="DA8F27C0"/>
    <w:rsid w:val="DA9FC26E"/>
    <w:rsid w:val="DAEE1246"/>
    <w:rsid w:val="DAF7C83F"/>
    <w:rsid w:val="DBFD8365"/>
    <w:rsid w:val="DC6FAFD2"/>
    <w:rsid w:val="DDAD514C"/>
    <w:rsid w:val="DDEB1553"/>
    <w:rsid w:val="DE57096E"/>
    <w:rsid w:val="DEE7D215"/>
    <w:rsid w:val="DEFF265B"/>
    <w:rsid w:val="DF1E1AEF"/>
    <w:rsid w:val="DF36BD7C"/>
    <w:rsid w:val="DF7FB823"/>
    <w:rsid w:val="DF9B80C2"/>
    <w:rsid w:val="DFB3A475"/>
    <w:rsid w:val="DFFC1EB0"/>
    <w:rsid w:val="DFFFC783"/>
    <w:rsid w:val="E3BB25C2"/>
    <w:rsid w:val="E58FEE68"/>
    <w:rsid w:val="E6FF347A"/>
    <w:rsid w:val="E7BD8A51"/>
    <w:rsid w:val="E7C62415"/>
    <w:rsid w:val="E7F3E86E"/>
    <w:rsid w:val="E8DEF112"/>
    <w:rsid w:val="E97F0000"/>
    <w:rsid w:val="EBBE48C1"/>
    <w:rsid w:val="EBDF21B4"/>
    <w:rsid w:val="EBDFF5EF"/>
    <w:rsid w:val="EBFDAA61"/>
    <w:rsid w:val="ECBE0483"/>
    <w:rsid w:val="EEDF9707"/>
    <w:rsid w:val="EEFDD733"/>
    <w:rsid w:val="EEFF682B"/>
    <w:rsid w:val="EF77FD93"/>
    <w:rsid w:val="EFA2FA5B"/>
    <w:rsid w:val="EFBC89E8"/>
    <w:rsid w:val="EFF63E86"/>
    <w:rsid w:val="EFF93650"/>
    <w:rsid w:val="EFFF15FA"/>
    <w:rsid w:val="EFFF42F5"/>
    <w:rsid w:val="EFFFD304"/>
    <w:rsid w:val="F37B0AF5"/>
    <w:rsid w:val="F37FCAC3"/>
    <w:rsid w:val="F3AF70EA"/>
    <w:rsid w:val="F3F7F85A"/>
    <w:rsid w:val="F4C6CF0E"/>
    <w:rsid w:val="F5A9F18A"/>
    <w:rsid w:val="F67F5BCC"/>
    <w:rsid w:val="F6DFC897"/>
    <w:rsid w:val="F6EF39B4"/>
    <w:rsid w:val="F717DB3D"/>
    <w:rsid w:val="F7CCFAF3"/>
    <w:rsid w:val="F7CE6849"/>
    <w:rsid w:val="F7DF181C"/>
    <w:rsid w:val="F7EEFCCB"/>
    <w:rsid w:val="F8D65764"/>
    <w:rsid w:val="F9E72CDA"/>
    <w:rsid w:val="FA3F25E6"/>
    <w:rsid w:val="FA573B22"/>
    <w:rsid w:val="FA7F578C"/>
    <w:rsid w:val="FADD31DC"/>
    <w:rsid w:val="FAE49D7B"/>
    <w:rsid w:val="FB250FF8"/>
    <w:rsid w:val="FB5BAF6E"/>
    <w:rsid w:val="FB6FCACF"/>
    <w:rsid w:val="FBB59775"/>
    <w:rsid w:val="FBB5D107"/>
    <w:rsid w:val="FBBF96B7"/>
    <w:rsid w:val="FBCF1666"/>
    <w:rsid w:val="FBCFAEE4"/>
    <w:rsid w:val="FBD31D51"/>
    <w:rsid w:val="FBDD810B"/>
    <w:rsid w:val="FBDFD95D"/>
    <w:rsid w:val="FBEF2EA2"/>
    <w:rsid w:val="FBFFF855"/>
    <w:rsid w:val="FCF594D6"/>
    <w:rsid w:val="FCFF0910"/>
    <w:rsid w:val="FDAF02E3"/>
    <w:rsid w:val="FDBF73E7"/>
    <w:rsid w:val="FDD59544"/>
    <w:rsid w:val="FDD78F3F"/>
    <w:rsid w:val="FDF59F7C"/>
    <w:rsid w:val="FDFBD1FB"/>
    <w:rsid w:val="FE9FE1FC"/>
    <w:rsid w:val="FEBF4F52"/>
    <w:rsid w:val="FEBFCE4B"/>
    <w:rsid w:val="FECECCFA"/>
    <w:rsid w:val="FEDB628D"/>
    <w:rsid w:val="FEFFD165"/>
    <w:rsid w:val="FEFFD524"/>
    <w:rsid w:val="FF1C6682"/>
    <w:rsid w:val="FF3EF351"/>
    <w:rsid w:val="FF3F71E1"/>
    <w:rsid w:val="FF4FC6BF"/>
    <w:rsid w:val="FF5C2719"/>
    <w:rsid w:val="FF5F7552"/>
    <w:rsid w:val="FF67B3D2"/>
    <w:rsid w:val="FF7C1582"/>
    <w:rsid w:val="FF7C5EE8"/>
    <w:rsid w:val="FFB72269"/>
    <w:rsid w:val="FFBB966B"/>
    <w:rsid w:val="FFBD86F0"/>
    <w:rsid w:val="FFBD8F09"/>
    <w:rsid w:val="FFC5908F"/>
    <w:rsid w:val="FFCFC853"/>
    <w:rsid w:val="FFD588BE"/>
    <w:rsid w:val="FFD9CA8E"/>
    <w:rsid w:val="FFDEE5CB"/>
    <w:rsid w:val="FFF78E47"/>
    <w:rsid w:val="FFFAEB90"/>
    <w:rsid w:val="FFFEFC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qFormat/>
    <w:uiPriority w:val="0"/>
    <w:rPr>
      <w:rFonts w:ascii="宋体" w:hAnsi="Courier New"/>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21869</Words>
  <Characters>24636</Characters>
  <Lines>0</Lines>
  <Paragraphs>0</Paragraphs>
  <TotalTime>12</TotalTime>
  <ScaleCrop>false</ScaleCrop>
  <LinksUpToDate>false</LinksUpToDate>
  <CharactersWithSpaces>24794</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2024-11-15T02:43:00Z</dcterms:created>
  <dc:creator>杨阳</dc:creator>
  <cp:lastModifiedBy>kylin</cp:lastModifiedBy>
  <dcterms:modified xsi:type="dcterms:W3CDTF">2026-10-10T16:20:45Z</dcterms:modified>
  <dc:title>附件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40FC4214C977285DCAEDC96ACC714921</vt:lpwstr>
  </property>
  <property fmtid="{D5CDD505-2E9C-101B-9397-08002B2CF9AE}" pid="4" name="KSOTemplateDocerSaveRecord">
    <vt:lpwstr>eyJoZGlkIjoiMGNlODBiNDQ2MDI0YTFiYWU4ZDVmNjlkY2M5MTA1MmIiLCJ1c2VySWQiOiI0MzA4MTU4NzMifQ==</vt:lpwstr>
  </property>
</Properties>
</file>