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微软雅黑" w:hAnsi="微软雅黑" w:eastAsia="微软雅黑" w:cs="微软雅黑"/>
          <w:b/>
          <w:color w:val="333333"/>
          <w:kern w:val="0"/>
          <w:sz w:val="36"/>
          <w:szCs w:val="36"/>
          <w:shd w:val="clear" w:color="auto" w:fill="FFFFFF"/>
          <w:lang w:bidi="ar"/>
        </w:rPr>
      </w:pPr>
      <w:bookmarkStart w:id="0" w:name="OLE_LINK1"/>
      <w:r>
        <w:rPr>
          <w:rFonts w:hint="eastAsia" w:ascii="微软雅黑" w:hAnsi="微软雅黑" w:eastAsia="微软雅黑" w:cs="微软雅黑"/>
          <w:b/>
          <w:color w:val="333333"/>
          <w:kern w:val="0"/>
          <w:sz w:val="36"/>
          <w:szCs w:val="36"/>
          <w:shd w:val="clear" w:color="auto" w:fill="FFFFFF"/>
          <w:lang w:bidi="ar"/>
        </w:rPr>
        <w:t>郴州市汝城县郴州祺祥矿业有限公司</w:t>
      </w:r>
      <w:bookmarkEnd w:id="0"/>
      <w:r>
        <w:rPr>
          <w:rFonts w:hint="eastAsia" w:ascii="微软雅黑" w:hAnsi="微软雅黑" w:eastAsia="微软雅黑" w:cs="微软雅黑"/>
          <w:b/>
          <w:color w:val="333333"/>
          <w:kern w:val="0"/>
          <w:sz w:val="36"/>
          <w:szCs w:val="36"/>
          <w:shd w:val="clear" w:color="auto" w:fill="FFFFFF"/>
          <w:lang w:val="en-US" w:eastAsia="zh-CN" w:bidi="ar"/>
        </w:rPr>
        <w:t>入河</w:t>
      </w:r>
      <w:r>
        <w:rPr>
          <w:rFonts w:hint="eastAsia" w:ascii="微软雅黑" w:hAnsi="微软雅黑" w:eastAsia="微软雅黑" w:cs="微软雅黑"/>
          <w:b/>
          <w:color w:val="333333"/>
          <w:kern w:val="0"/>
          <w:sz w:val="36"/>
          <w:szCs w:val="36"/>
          <w:shd w:val="clear" w:color="auto" w:fill="FFFFFF"/>
          <w:lang w:bidi="ar"/>
        </w:rPr>
        <w:t>排污口设置拟审批公示</w:t>
      </w:r>
    </w:p>
    <w:p>
      <w:pPr>
        <w:pStyle w:val="15"/>
        <w:shd w:val="clear" w:color="auto" w:fill="FFFFFF"/>
        <w:spacing w:before="0" w:beforeAutospacing="0" w:after="0" w:afterAutospacing="0" w:line="450" w:lineRule="atLeast"/>
        <w:rPr>
          <w:rFonts w:hint="eastAsia"/>
          <w:color w:val="333333"/>
          <w:sz w:val="28"/>
          <w:szCs w:val="28"/>
        </w:rPr>
      </w:pPr>
      <w:r>
        <w:rPr>
          <w:rFonts w:hint="eastAsia"/>
          <w:color w:val="333333"/>
          <w:sz w:val="28"/>
          <w:szCs w:val="28"/>
          <w:shd w:val="clear" w:color="auto" w:fill="FFFFFF"/>
        </w:rPr>
        <w:t>经审议,我厅拟于近日内批准郴州市汝城县郴州祺祥矿业有限公司入河排污口设置,现就论证报告相关情况予以公示5个工作日。如有意见,请在公示期内向我厅来信来电进行反映。</w:t>
      </w:r>
    </w:p>
    <w:p>
      <w:pPr>
        <w:pStyle w:val="15"/>
        <w:shd w:val="clear" w:color="auto" w:fill="FFFFFF"/>
        <w:spacing w:before="0" w:beforeAutospacing="0" w:after="0" w:afterAutospacing="0" w:line="450" w:lineRule="atLeast"/>
        <w:rPr>
          <w:rFonts w:hint="eastAsia"/>
          <w:color w:val="333333"/>
          <w:sz w:val="28"/>
          <w:szCs w:val="28"/>
        </w:rPr>
      </w:pPr>
      <w:r>
        <w:rPr>
          <w:rFonts w:hint="eastAsia"/>
          <w:color w:val="333333"/>
          <w:sz w:val="28"/>
          <w:szCs w:val="28"/>
          <w:shd w:val="clear" w:color="auto" w:fill="FFFFFF"/>
        </w:rPr>
        <w:t>联系地址:长沙市万家丽中路三段118号 邮编:410014</w:t>
      </w:r>
    </w:p>
    <w:p>
      <w:pPr>
        <w:pStyle w:val="15"/>
        <w:shd w:val="clear" w:color="auto" w:fill="FFFFFF"/>
        <w:spacing w:before="0" w:beforeAutospacing="0" w:after="0" w:afterAutospacing="0" w:line="450" w:lineRule="atLeast"/>
        <w:rPr>
          <w:rFonts w:hint="eastAsia"/>
          <w:color w:val="333333"/>
          <w:sz w:val="28"/>
          <w:szCs w:val="28"/>
        </w:rPr>
      </w:pPr>
      <w:r>
        <w:rPr>
          <w:rFonts w:hint="eastAsia"/>
          <w:color w:val="333333"/>
          <w:sz w:val="28"/>
          <w:szCs w:val="28"/>
          <w:shd w:val="clear" w:color="auto" w:fill="FFFFFF"/>
        </w:rPr>
        <w:t>联系电话:0731-85698079</w:t>
      </w:r>
    </w:p>
    <w:p>
      <w:pPr>
        <w:rPr>
          <w:color w:val="333333"/>
          <w:sz w:val="28"/>
          <w:szCs w:val="28"/>
          <w:shd w:val="clear" w:color="auto" w:fill="FFFFFF"/>
        </w:rPr>
      </w:pPr>
    </w:p>
    <w:p>
      <w:pPr>
        <w:rPr>
          <w:color w:val="333333"/>
          <w:sz w:val="28"/>
          <w:szCs w:val="28"/>
          <w:shd w:val="clear" w:color="auto" w:fill="FFFFFF"/>
        </w:rPr>
      </w:pPr>
      <w:r>
        <w:rPr>
          <w:rFonts w:hint="eastAsia"/>
          <w:color w:val="333333"/>
          <w:sz w:val="28"/>
          <w:szCs w:val="28"/>
          <w:shd w:val="clear" w:color="auto" w:fill="FFFFFF"/>
        </w:rPr>
        <w:t>听证告知</w:t>
      </w:r>
      <w:r>
        <w:rPr>
          <w:rFonts w:hint="eastAsia"/>
          <w:color w:val="333333"/>
          <w:sz w:val="28"/>
          <w:szCs w:val="28"/>
        </w:rPr>
        <w:t>:</w:t>
      </w:r>
      <w:r>
        <w:rPr>
          <w:rFonts w:hint="eastAsia"/>
          <w:color w:val="333333"/>
          <w:sz w:val="28"/>
          <w:szCs w:val="28"/>
          <w:shd w:val="clear" w:color="auto" w:fill="FFFFFF"/>
        </w:rPr>
        <w:t>依据《中华人民共和国行政许可法》</w:t>
      </w:r>
      <w:r>
        <w:rPr>
          <w:rFonts w:hint="eastAsia"/>
          <w:color w:val="333333"/>
          <w:sz w:val="28"/>
          <w:szCs w:val="28"/>
        </w:rPr>
        <w:t>,</w:t>
      </w:r>
      <w:r>
        <w:rPr>
          <w:rFonts w:hint="eastAsia"/>
          <w:color w:val="333333"/>
          <w:sz w:val="28"/>
          <w:szCs w:val="28"/>
          <w:shd w:val="clear" w:color="auto" w:fill="FFFFFF"/>
        </w:rPr>
        <w:t>自公示之日起五个工作日内申请人、利害关系人可对以下拟作出的入河排污口设置批复决定提出听证申请。</w:t>
      </w:r>
    </w:p>
    <w:p>
      <w:pPr>
        <w:rPr>
          <w:color w:val="333333"/>
          <w:sz w:val="28"/>
          <w:szCs w:val="28"/>
          <w:shd w:val="clear" w:color="auto" w:fill="FFFFFF"/>
        </w:rPr>
      </w:pPr>
    </w:p>
    <w:tbl>
      <w:tblPr>
        <w:tblStyle w:val="18"/>
        <w:tblW w:w="10064"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30" w:type="dxa"/>
          <w:left w:w="30" w:type="dxa"/>
          <w:bottom w:w="30" w:type="dxa"/>
          <w:right w:w="30" w:type="dxa"/>
        </w:tblCellMar>
      </w:tblPr>
      <w:tblGrid>
        <w:gridCol w:w="2544"/>
        <w:gridCol w:w="7520"/>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jc w:val="center"/>
        </w:trPr>
        <w:tc>
          <w:tcPr>
            <w:tcW w:w="2544"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pStyle w:val="15"/>
              <w:spacing w:before="0" w:beforeAutospacing="0" w:after="0" w:afterAutospacing="0" w:line="30" w:lineRule="atLeast"/>
              <w:jc w:val="center"/>
              <w:rPr>
                <w:rFonts w:hint="eastAsia"/>
                <w:color w:val="333333"/>
                <w:sz w:val="21"/>
                <w:szCs w:val="21"/>
                <w:lang w:bidi="ar"/>
              </w:rPr>
            </w:pPr>
            <w:r>
              <w:rPr>
                <w:rFonts w:hint="eastAsia"/>
                <w:b/>
                <w:sz w:val="21"/>
                <w:szCs w:val="21"/>
              </w:rPr>
              <w:t>项目名称 </w:t>
            </w:r>
          </w:p>
        </w:tc>
        <w:tc>
          <w:tcPr>
            <w:tcW w:w="7520"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widowControl/>
              <w:jc w:val="left"/>
              <w:rPr>
                <w:rFonts w:hint="eastAsia" w:ascii="宋体" w:hAnsi="宋体" w:cs="宋体"/>
                <w:color w:val="333333"/>
                <w:kern w:val="0"/>
                <w:szCs w:val="21"/>
                <w:lang w:bidi="ar"/>
              </w:rPr>
            </w:pPr>
            <w:r>
              <w:rPr>
                <w:rFonts w:hint="eastAsia" w:ascii="宋体" w:hAnsi="宋体"/>
                <w:szCs w:val="21"/>
              </w:rPr>
              <w:t>郴州市汝城县郴州祺祥矿业有限公司入河排污口设置论证</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jc w:val="center"/>
        </w:trPr>
        <w:tc>
          <w:tcPr>
            <w:tcW w:w="2544"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pStyle w:val="15"/>
              <w:spacing w:before="0" w:beforeAutospacing="0" w:after="0" w:afterAutospacing="0" w:line="30" w:lineRule="atLeast"/>
              <w:jc w:val="center"/>
              <w:rPr>
                <w:rFonts w:hint="eastAsia"/>
                <w:sz w:val="21"/>
                <w:szCs w:val="21"/>
              </w:rPr>
            </w:pPr>
            <w:r>
              <w:rPr>
                <w:rFonts w:hint="eastAsia"/>
                <w:b/>
                <w:sz w:val="21"/>
                <w:szCs w:val="21"/>
              </w:rPr>
              <w:t>设置地点</w:t>
            </w:r>
            <w:r>
              <w:rPr>
                <w:rFonts w:hint="eastAsia"/>
                <w:sz w:val="21"/>
                <w:szCs w:val="21"/>
              </w:rPr>
              <w:t> </w:t>
            </w:r>
          </w:p>
        </w:tc>
        <w:tc>
          <w:tcPr>
            <w:tcW w:w="7520"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widowControl/>
              <w:jc w:val="both"/>
              <w:rPr>
                <w:rFonts w:hint="eastAsia" w:ascii="宋体" w:hAnsi="宋体" w:cs="宋体"/>
                <w:color w:val="333333"/>
                <w:kern w:val="0"/>
                <w:szCs w:val="21"/>
                <w:lang w:bidi="ar"/>
              </w:rPr>
            </w:pPr>
            <w:r>
              <w:rPr>
                <w:rFonts w:hint="eastAsia" w:ascii="宋体" w:hAnsi="宋体"/>
                <w:szCs w:val="21"/>
              </w:rPr>
              <w:t>郴州市汝城县延寿瑶族乡延寿河清江段右岸</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jc w:val="center"/>
        </w:trPr>
        <w:tc>
          <w:tcPr>
            <w:tcW w:w="2544"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pStyle w:val="15"/>
              <w:spacing w:before="0" w:beforeAutospacing="0" w:after="0" w:afterAutospacing="0" w:line="30" w:lineRule="atLeast"/>
              <w:jc w:val="center"/>
              <w:rPr>
                <w:rFonts w:hint="eastAsia"/>
                <w:color w:val="333333"/>
                <w:sz w:val="21"/>
                <w:szCs w:val="21"/>
              </w:rPr>
            </w:pPr>
            <w:r>
              <w:rPr>
                <w:rFonts w:hint="eastAsia"/>
                <w:b/>
                <w:color w:val="333333"/>
                <w:sz w:val="21"/>
                <w:szCs w:val="21"/>
              </w:rPr>
              <w:t>建设单位</w:t>
            </w:r>
            <w:r>
              <w:rPr>
                <w:rFonts w:hint="eastAsia"/>
                <w:color w:val="333333"/>
                <w:sz w:val="21"/>
                <w:szCs w:val="21"/>
              </w:rPr>
              <w:t> </w:t>
            </w:r>
          </w:p>
        </w:tc>
        <w:tc>
          <w:tcPr>
            <w:tcW w:w="7520"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widowControl/>
              <w:jc w:val="left"/>
              <w:rPr>
                <w:rFonts w:hint="eastAsia" w:ascii="宋体" w:hAnsi="宋体" w:cs="宋体"/>
                <w:color w:val="333333"/>
                <w:kern w:val="0"/>
                <w:szCs w:val="21"/>
                <w:lang w:bidi="ar"/>
              </w:rPr>
            </w:pPr>
            <w:r>
              <w:rPr>
                <w:rFonts w:hint="eastAsia" w:ascii="宋体" w:hAnsi="宋体"/>
                <w:szCs w:val="21"/>
              </w:rPr>
              <w:t>郴州祺祥矿业有限公司</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jc w:val="center"/>
        </w:trPr>
        <w:tc>
          <w:tcPr>
            <w:tcW w:w="2544"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pStyle w:val="15"/>
              <w:spacing w:before="0" w:beforeAutospacing="0" w:after="0" w:afterAutospacing="0" w:line="30" w:lineRule="atLeast"/>
              <w:jc w:val="center"/>
              <w:rPr>
                <w:rFonts w:hint="eastAsia"/>
                <w:color w:val="333333"/>
                <w:sz w:val="21"/>
                <w:szCs w:val="21"/>
              </w:rPr>
            </w:pPr>
            <w:r>
              <w:rPr>
                <w:rFonts w:hint="eastAsia"/>
                <w:b/>
                <w:color w:val="333333"/>
                <w:sz w:val="21"/>
                <w:szCs w:val="21"/>
              </w:rPr>
              <w:t>论证单位</w:t>
            </w:r>
          </w:p>
        </w:tc>
        <w:tc>
          <w:tcPr>
            <w:tcW w:w="7520"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widowControl/>
              <w:jc w:val="left"/>
              <w:rPr>
                <w:rFonts w:hint="eastAsia" w:ascii="宋体" w:hAnsi="宋体" w:cs="宋体"/>
                <w:color w:val="333333"/>
                <w:szCs w:val="21"/>
              </w:rPr>
            </w:pPr>
            <w:r>
              <w:rPr>
                <w:rFonts w:hint="eastAsia"/>
              </w:rPr>
              <w:t>湖南蓝环科技有限公司</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jc w:val="center"/>
        </w:trPr>
        <w:tc>
          <w:tcPr>
            <w:tcW w:w="2544"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pStyle w:val="15"/>
              <w:spacing w:before="0" w:beforeAutospacing="0" w:after="0" w:afterAutospacing="0" w:line="30" w:lineRule="atLeast"/>
              <w:jc w:val="center"/>
              <w:rPr>
                <w:rFonts w:hint="eastAsia"/>
                <w:color w:val="333333"/>
                <w:sz w:val="21"/>
                <w:szCs w:val="21"/>
              </w:rPr>
            </w:pPr>
            <w:r>
              <w:rPr>
                <w:rFonts w:hint="eastAsia"/>
                <w:b/>
                <w:color w:val="333333"/>
                <w:sz w:val="21"/>
                <w:szCs w:val="21"/>
              </w:rPr>
              <w:t>入河排污口概况</w:t>
            </w:r>
          </w:p>
        </w:tc>
        <w:tc>
          <w:tcPr>
            <w:tcW w:w="7520"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pStyle w:val="15"/>
              <w:keepNext w:val="0"/>
              <w:keepLines w:val="0"/>
              <w:pageBreakBefore w:val="0"/>
              <w:kinsoku/>
              <w:wordWrap/>
              <w:overflowPunct/>
              <w:topLinePunct w:val="0"/>
              <w:autoSpaceDE/>
              <w:autoSpaceDN/>
              <w:bidi w:val="0"/>
              <w:adjustRightInd/>
              <w:spacing w:before="0" w:beforeAutospacing="0" w:after="0" w:afterAutospacing="0" w:line="360" w:lineRule="auto"/>
              <w:textAlignment w:val="auto"/>
              <w:rPr>
                <w:rFonts w:hint="eastAsia" w:cs="仿宋_GB2312"/>
                <w:kern w:val="2"/>
                <w:sz w:val="21"/>
                <w:szCs w:val="21"/>
              </w:rPr>
            </w:pPr>
            <w:r>
              <w:rPr>
                <w:rFonts w:hint="eastAsia" w:cs="仿宋_GB2312"/>
                <w:kern w:val="2"/>
                <w:sz w:val="21"/>
                <w:szCs w:val="21"/>
              </w:rPr>
              <w:t>1、排污口坐标：</w:t>
            </w:r>
            <w:r>
              <w:rPr>
                <w:rFonts w:hint="eastAsia"/>
                <w:szCs w:val="21"/>
              </w:rPr>
              <w:t>E113.499399、N25.392860</w:t>
            </w:r>
          </w:p>
          <w:p>
            <w:pPr>
              <w:pStyle w:val="15"/>
              <w:keepNext w:val="0"/>
              <w:keepLines w:val="0"/>
              <w:pageBreakBefore w:val="0"/>
              <w:kinsoku/>
              <w:wordWrap/>
              <w:overflowPunct/>
              <w:topLinePunct w:val="0"/>
              <w:autoSpaceDE/>
              <w:autoSpaceDN/>
              <w:bidi w:val="0"/>
              <w:adjustRightInd/>
              <w:spacing w:before="0" w:beforeAutospacing="0" w:after="0" w:afterAutospacing="0" w:line="360" w:lineRule="auto"/>
              <w:textAlignment w:val="auto"/>
              <w:rPr>
                <w:rFonts w:hint="eastAsia"/>
                <w:color w:val="333333"/>
                <w:sz w:val="21"/>
                <w:szCs w:val="21"/>
              </w:rPr>
            </w:pPr>
            <w:r>
              <w:rPr>
                <w:rFonts w:hint="eastAsia"/>
                <w:color w:val="333333"/>
                <w:sz w:val="21"/>
                <w:szCs w:val="21"/>
              </w:rPr>
              <w:t>2、排污口设置类型：新建；</w:t>
            </w:r>
          </w:p>
          <w:p>
            <w:pPr>
              <w:pStyle w:val="15"/>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color w:val="333333"/>
                <w:sz w:val="21"/>
                <w:szCs w:val="21"/>
              </w:rPr>
            </w:pPr>
            <w:r>
              <w:rPr>
                <w:rFonts w:hint="eastAsia"/>
                <w:color w:val="333333"/>
                <w:sz w:val="21"/>
                <w:szCs w:val="21"/>
              </w:rPr>
              <w:t>3、排污口分类：工矿企业入河排污口；</w:t>
            </w:r>
          </w:p>
          <w:p>
            <w:pPr>
              <w:pStyle w:val="15"/>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color w:val="333333"/>
                <w:sz w:val="21"/>
                <w:szCs w:val="21"/>
              </w:rPr>
            </w:pPr>
            <w:r>
              <w:rPr>
                <w:rFonts w:hint="eastAsia"/>
                <w:color w:val="333333"/>
                <w:sz w:val="21"/>
                <w:szCs w:val="21"/>
              </w:rPr>
              <w:t>4、排放方式：</w:t>
            </w:r>
            <w:r>
              <w:rPr>
                <w:color w:val="333333"/>
                <w:sz w:val="21"/>
                <w:szCs w:val="21"/>
              </w:rPr>
              <w:t>连续排放</w:t>
            </w:r>
            <w:r>
              <w:rPr>
                <w:rFonts w:hint="eastAsia"/>
                <w:color w:val="333333"/>
                <w:sz w:val="21"/>
                <w:szCs w:val="21"/>
              </w:rPr>
              <w:t>；</w:t>
            </w:r>
          </w:p>
          <w:p>
            <w:pPr>
              <w:pStyle w:val="11"/>
              <w:keepNext w:val="0"/>
              <w:keepLines w:val="0"/>
              <w:pageBreakBefore w:val="0"/>
              <w:kinsoku/>
              <w:wordWrap/>
              <w:overflowPunct/>
              <w:topLinePunct w:val="0"/>
              <w:autoSpaceDE/>
              <w:autoSpaceDN/>
              <w:bidi w:val="0"/>
              <w:adjustRightInd/>
              <w:snapToGrid w:val="0"/>
              <w:spacing w:after="0" w:line="360" w:lineRule="auto"/>
              <w:textAlignment w:val="auto"/>
              <w:rPr>
                <w:rFonts w:hint="eastAsia" w:ascii="宋体" w:hAnsi="宋体"/>
                <w:szCs w:val="21"/>
              </w:rPr>
            </w:pPr>
            <w:r>
              <w:rPr>
                <w:rFonts w:hint="eastAsia" w:ascii="宋体" w:hAnsi="宋体" w:cs="仿宋_GB2312"/>
                <w:szCs w:val="21"/>
              </w:rPr>
              <w:t>5、排污口入河</w:t>
            </w:r>
            <w:r>
              <w:rPr>
                <w:rFonts w:hint="eastAsia" w:ascii="宋体" w:hAnsi="宋体" w:cs="宋体"/>
                <w:color w:val="333333"/>
                <w:kern w:val="0"/>
                <w:szCs w:val="21"/>
              </w:rPr>
              <w:t>方式：管道（采用DN500的PE管）。</w:t>
            </w:r>
          </w:p>
          <w:p>
            <w:pPr>
              <w:pStyle w:val="11"/>
              <w:keepNext w:val="0"/>
              <w:keepLines w:val="0"/>
              <w:pageBreakBefore w:val="0"/>
              <w:kinsoku/>
              <w:wordWrap/>
              <w:overflowPunct/>
              <w:topLinePunct w:val="0"/>
              <w:autoSpaceDE/>
              <w:autoSpaceDN/>
              <w:bidi w:val="0"/>
              <w:adjustRightInd/>
              <w:snapToGrid w:val="0"/>
              <w:spacing w:after="0" w:line="360" w:lineRule="auto"/>
              <w:textAlignment w:val="auto"/>
              <w:rPr>
                <w:rFonts w:hint="eastAsia" w:ascii="宋体" w:hAnsi="宋体" w:cs="仿宋_GB2312"/>
                <w:szCs w:val="21"/>
              </w:rPr>
            </w:pPr>
            <w:r>
              <w:rPr>
                <w:rFonts w:hint="eastAsia" w:ascii="宋体" w:hAnsi="宋体" w:cs="仿宋_GB2312"/>
                <w:szCs w:val="21"/>
              </w:rPr>
              <w:t>6、排污口论证范围：项目延寿河入河排污口上游500m至下游9.5km处，共计10.0km。</w:t>
            </w:r>
          </w:p>
          <w:p>
            <w:pPr>
              <w:pStyle w:val="11"/>
              <w:keepNext w:val="0"/>
              <w:keepLines w:val="0"/>
              <w:pageBreakBefore w:val="0"/>
              <w:kinsoku/>
              <w:wordWrap/>
              <w:overflowPunct/>
              <w:topLinePunct w:val="0"/>
              <w:autoSpaceDE/>
              <w:autoSpaceDN/>
              <w:bidi w:val="0"/>
              <w:adjustRightInd/>
              <w:snapToGrid w:val="0"/>
              <w:spacing w:after="0" w:line="360" w:lineRule="auto"/>
              <w:textAlignment w:val="auto"/>
              <w:rPr>
                <w:color w:val="333333"/>
                <w:szCs w:val="21"/>
              </w:rPr>
            </w:pPr>
            <w:r>
              <w:rPr>
                <w:rFonts w:hint="eastAsia" w:ascii="宋体" w:hAnsi="宋体" w:cs="仿宋_GB2312"/>
                <w:szCs w:val="21"/>
              </w:rPr>
              <w:t>7、排污口</w:t>
            </w:r>
            <w:bookmarkStart w:id="1" w:name="OLE_LINK2"/>
            <w:r>
              <w:rPr>
                <w:rFonts w:hint="eastAsia" w:ascii="宋体" w:hAnsi="宋体" w:cs="仿宋_GB2312"/>
                <w:szCs w:val="21"/>
              </w:rPr>
              <w:t>排污限值</w:t>
            </w:r>
            <w:bookmarkEnd w:id="1"/>
            <w:r>
              <w:rPr>
                <w:rFonts w:hint="eastAsia" w:ascii="宋体" w:hAnsi="宋体" w:cs="仿宋_GB2312"/>
                <w:szCs w:val="21"/>
              </w:rPr>
              <w:t>：</w:t>
            </w:r>
            <w:r>
              <w:rPr>
                <w:rFonts w:hint="default"/>
                <w:szCs w:val="21"/>
                <w:lang w:val="en"/>
              </w:rPr>
              <w:t>重金属铅、汞、镉、铬（六价）、砷执行《农田灌溉水质标准》（GB 5084-2021）表1“水田作物”排放标准、锑执行《工业废水中锑污染物排放标准》（DB43/350-2007）、铊执行《工业废水铊污染物排放标准》（DB43/968-2021），其余污染因子执行《铜、镍、钴工业污染物排放标准》（GB 25467-2010）表2直接排放及修改单限值要求</w:t>
            </w:r>
            <w:bookmarkStart w:id="17" w:name="_GoBack"/>
            <w:bookmarkEnd w:id="17"/>
            <w:r>
              <w:rPr>
                <w:rFonts w:hint="eastAsia"/>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jc w:val="center"/>
        </w:trPr>
        <w:tc>
          <w:tcPr>
            <w:tcW w:w="2544"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pStyle w:val="15"/>
              <w:spacing w:before="0" w:beforeAutospacing="0" w:after="0" w:afterAutospacing="0" w:line="30" w:lineRule="atLeast"/>
              <w:jc w:val="center"/>
              <w:rPr>
                <w:rFonts w:hint="eastAsia"/>
                <w:color w:val="333333"/>
                <w:sz w:val="21"/>
                <w:szCs w:val="21"/>
                <w:shd w:val="clear" w:color="auto" w:fill="FFFFFF"/>
                <w:lang w:val="en-US" w:eastAsia="zh-CN"/>
              </w:rPr>
            </w:pPr>
            <w:r>
              <w:rPr>
                <w:rFonts w:hint="eastAsia"/>
                <w:color w:val="333333"/>
                <w:sz w:val="21"/>
                <w:szCs w:val="21"/>
                <w:shd w:val="clear" w:color="auto" w:fill="FFFFFF"/>
                <w:lang w:val="en-US" w:eastAsia="zh-CN"/>
              </w:rPr>
              <w:t>入河排污口论证主要内容</w:t>
            </w:r>
          </w:p>
          <w:p>
            <w:pPr>
              <w:pStyle w:val="15"/>
              <w:spacing w:before="0" w:beforeAutospacing="0" w:after="0" w:afterAutospacing="0" w:line="30" w:lineRule="atLeast"/>
              <w:jc w:val="center"/>
              <w:rPr>
                <w:rFonts w:hint="default" w:eastAsia="宋体"/>
                <w:color w:val="333333"/>
                <w:sz w:val="21"/>
                <w:szCs w:val="21"/>
                <w:lang w:val="en-US" w:eastAsia="zh-CN"/>
              </w:rPr>
            </w:pPr>
            <w:r>
              <w:rPr>
                <w:rFonts w:hint="eastAsia"/>
                <w:color w:val="333333"/>
                <w:sz w:val="21"/>
                <w:szCs w:val="21"/>
                <w:shd w:val="clear" w:color="auto" w:fill="FFFFFF"/>
                <w:lang w:val="en-US" w:eastAsia="zh-CN"/>
              </w:rPr>
              <w:t>公示</w:t>
            </w:r>
          </w:p>
        </w:tc>
        <w:tc>
          <w:tcPr>
            <w:tcW w:w="7520" w:type="dxa"/>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keepNext w:val="0"/>
              <w:keepLines w:val="0"/>
              <w:pageBreakBefore w:val="0"/>
              <w:widowControl/>
              <w:shd w:val="clear" w:color="auto" w:fill="FFFFFF"/>
              <w:kinsoku/>
              <w:wordWrap/>
              <w:overflowPunct/>
              <w:topLinePunct w:val="0"/>
              <w:autoSpaceDE/>
              <w:autoSpaceDN/>
              <w:bidi w:val="0"/>
              <w:adjustRightInd/>
              <w:spacing w:line="360" w:lineRule="auto"/>
              <w:ind w:left="0" w:leftChars="0" w:firstLine="0" w:firstLineChars="0"/>
              <w:jc w:val="center"/>
              <w:textAlignment w:val="auto"/>
              <w:outlineLvl w:val="1"/>
              <w:rPr>
                <w:rFonts w:hint="eastAsia" w:ascii="宋体" w:hAnsi="宋体" w:eastAsia="宋体" w:cs="宋体"/>
                <w:b/>
                <w:bCs/>
                <w:color w:val="333333"/>
                <w:kern w:val="0"/>
                <w:sz w:val="21"/>
                <w:szCs w:val="21"/>
                <w:lang w:val="en-US" w:eastAsia="zh-CN"/>
              </w:rPr>
            </w:pPr>
            <w:r>
              <w:rPr>
                <w:rFonts w:hint="eastAsia" w:ascii="宋体" w:hAnsi="宋体" w:cs="宋体"/>
                <w:b/>
                <w:bCs/>
                <w:color w:val="333333"/>
                <w:kern w:val="0"/>
                <w:sz w:val="21"/>
                <w:szCs w:val="21"/>
                <w:lang w:val="en-US" w:eastAsia="zh-CN"/>
              </w:rPr>
              <w:t>一、</w:t>
            </w:r>
            <w:r>
              <w:rPr>
                <w:b/>
                <w:bCs/>
              </w:rPr>
              <w:t>论证范围</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cs="宋体"/>
                <w:b w:val="0"/>
                <w:bCs w:val="0"/>
                <w:color w:val="333333"/>
                <w:kern w:val="0"/>
                <w:sz w:val="21"/>
                <w:szCs w:val="21"/>
              </w:rPr>
            </w:pPr>
            <w:r>
              <w:rPr>
                <w:rFonts w:hint="eastAsia" w:ascii="宋体" w:hAnsi="宋体" w:cs="宋体"/>
                <w:b w:val="0"/>
                <w:bCs w:val="0"/>
                <w:color w:val="333333"/>
                <w:kern w:val="0"/>
                <w:sz w:val="21"/>
                <w:szCs w:val="21"/>
              </w:rPr>
              <w:t>根据《入河入海排污口监督管理技术指南入河排污口设置》（HJ 1386-2024）：““6.2.2入河排污口设置在未明确功能的水体（水域）的，其论证范围延伸到下游临近已明确功能的水体（水域），受纳水体水质目标可按照水体实际使用功能或参考其下游临近的水体（水域）水质目标确定。”</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cs="宋体"/>
                <w:b w:val="0"/>
                <w:bCs w:val="0"/>
                <w:color w:val="333333"/>
                <w:kern w:val="0"/>
                <w:sz w:val="21"/>
                <w:szCs w:val="21"/>
              </w:rPr>
            </w:pPr>
            <w:r>
              <w:rPr>
                <w:rFonts w:hint="eastAsia" w:ascii="宋体" w:hAnsi="宋体" w:cs="宋体"/>
                <w:b w:val="0"/>
                <w:bCs w:val="0"/>
                <w:color w:val="333333"/>
                <w:kern w:val="0"/>
                <w:sz w:val="21"/>
                <w:szCs w:val="21"/>
              </w:rPr>
              <w:t>项目入河排污口位于延寿河清江段，属于山店江支流，根据《郴州市水功能区划（2018年修编版）》及其批复（郴政办函〔2019]36号），延寿河清江段未划定水功能区。下游临近的山店江水功能区划为“山店江汝城县延寿瑶族乡-山店江水库保留区”，水质目标为III类。</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cs="宋体"/>
                <w:b w:val="0"/>
                <w:bCs w:val="0"/>
                <w:color w:val="333333"/>
                <w:kern w:val="0"/>
                <w:sz w:val="21"/>
                <w:szCs w:val="21"/>
              </w:rPr>
            </w:pPr>
            <w:r>
              <w:rPr>
                <w:rFonts w:hint="eastAsia" w:ascii="宋体" w:hAnsi="宋体" w:cs="宋体"/>
                <w:b w:val="0"/>
                <w:bCs w:val="0"/>
                <w:color w:val="333333"/>
                <w:kern w:val="0"/>
                <w:sz w:val="21"/>
                <w:szCs w:val="21"/>
              </w:rPr>
              <w:t>项目废水从入河排污口向北流经约5.6km后与走马河汇合，再流经3.9km汇入山店江，该汇合口为山店江水功能区划分界线，且该处水系汇合后，其下游河流水文情势明显发生改变。因此，本项目以下游水功能区分界线为论证终点，论证河段终点确定为延寿河与山店江汇合口处。</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cs="宋体"/>
                <w:b w:val="0"/>
                <w:bCs w:val="0"/>
                <w:color w:val="333333"/>
                <w:kern w:val="0"/>
                <w:sz w:val="21"/>
                <w:szCs w:val="21"/>
              </w:rPr>
            </w:pPr>
            <w:r>
              <w:rPr>
                <w:rFonts w:hint="eastAsia" w:ascii="宋体" w:hAnsi="宋体" w:cs="宋体"/>
                <w:b w:val="0"/>
                <w:bCs w:val="0"/>
                <w:color w:val="333333"/>
                <w:kern w:val="0"/>
                <w:sz w:val="21"/>
                <w:szCs w:val="21"/>
              </w:rPr>
              <w:t>则项目设立的入河排污口影响论证范围为：项目延寿河入河排污口上游500m至下游9.5km处，共计10.0km（III类水质目标）。项目论证范围示意图详见附图6。</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cs="宋体"/>
                <w:b w:val="0"/>
                <w:bCs w:val="0"/>
                <w:color w:val="333333"/>
                <w:kern w:val="0"/>
                <w:sz w:val="21"/>
                <w:szCs w:val="21"/>
              </w:rPr>
            </w:pPr>
            <w:r>
              <w:rPr>
                <w:rFonts w:hint="eastAsia" w:ascii="宋体" w:hAnsi="宋体" w:cs="宋体"/>
                <w:b w:val="0"/>
                <w:bCs w:val="0"/>
                <w:color w:val="333333"/>
                <w:kern w:val="0"/>
                <w:sz w:val="21"/>
                <w:szCs w:val="21"/>
              </w:rPr>
              <w:t>项目各污染因子排放量均未超过延寿河论证段的纳污能力值，纳污河段有充足的环境剩余容量。且根据预测分析，项目废水在排入河流后，在达到论证河段终点前，废水与延寿河水体已完全均匀混合，且混合后地表水水质可满足《地表水环境质量标准》（GB3838-2002）III类标准。因此，在该影响论证河段内废水可达到均匀分布、污水污染物边界浓度达到设定目标值要求。</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cs="宋体"/>
                <w:b w:val="0"/>
                <w:bCs w:val="0"/>
                <w:color w:val="333333"/>
                <w:kern w:val="0"/>
                <w:sz w:val="21"/>
                <w:szCs w:val="21"/>
              </w:rPr>
            </w:pPr>
            <w:r>
              <w:rPr>
                <w:rFonts w:hint="eastAsia" w:ascii="宋体" w:hAnsi="宋体" w:cs="宋体"/>
                <w:b w:val="0"/>
                <w:bCs w:val="0"/>
                <w:color w:val="333333"/>
                <w:kern w:val="0"/>
                <w:sz w:val="21"/>
                <w:szCs w:val="21"/>
              </w:rPr>
              <w:t>综上，本次入河排污口设置影响范围合理。</w:t>
            </w:r>
          </w:p>
          <w:p>
            <w:pPr>
              <w:keepNext w:val="0"/>
              <w:keepLines w:val="0"/>
              <w:pageBreakBefore w:val="0"/>
              <w:widowControl/>
              <w:shd w:val="clear" w:color="auto" w:fill="FFFFFF"/>
              <w:kinsoku/>
              <w:wordWrap/>
              <w:overflowPunct/>
              <w:topLinePunct w:val="0"/>
              <w:autoSpaceDE/>
              <w:autoSpaceDN/>
              <w:bidi w:val="0"/>
              <w:adjustRightInd/>
              <w:spacing w:line="360" w:lineRule="auto"/>
              <w:ind w:left="0" w:leftChars="0" w:firstLine="0" w:firstLineChars="0"/>
              <w:jc w:val="center"/>
              <w:textAlignment w:val="auto"/>
              <w:outlineLvl w:val="1"/>
              <w:rPr>
                <w:rFonts w:hint="eastAsia" w:ascii="宋体" w:hAnsi="宋体" w:eastAsia="宋体" w:cs="宋体"/>
                <w:b/>
                <w:bCs/>
                <w:color w:val="333333"/>
                <w:kern w:val="0"/>
                <w:sz w:val="21"/>
                <w:szCs w:val="21"/>
                <w:lang w:val="en-US" w:eastAsia="zh-CN"/>
              </w:rPr>
            </w:pPr>
            <w:r>
              <w:rPr>
                <w:rFonts w:hint="eastAsia" w:ascii="宋体" w:hAnsi="宋体" w:cs="宋体"/>
                <w:b/>
                <w:bCs/>
                <w:color w:val="333333"/>
                <w:kern w:val="0"/>
                <w:sz w:val="21"/>
                <w:szCs w:val="21"/>
                <w:lang w:val="en-US" w:eastAsia="zh-CN"/>
              </w:rPr>
              <w:t>二、</w:t>
            </w:r>
            <w:r>
              <w:rPr>
                <w:rFonts w:hint="eastAsia"/>
                <w:b/>
                <w:bCs/>
              </w:rPr>
              <w:t>责任主体基本情况</w:t>
            </w:r>
          </w:p>
          <w:p>
            <w:pPr>
              <w:rPr>
                <w:lang w:val="zh-CN"/>
              </w:rPr>
            </w:pPr>
            <w:r>
              <w:rPr>
                <w:rFonts w:hint="eastAsia"/>
                <w:lang w:val="zh-CN"/>
              </w:rPr>
              <w:t>（</w:t>
            </w:r>
            <w:r>
              <w:rPr>
                <w:rFonts w:hint="eastAsia"/>
                <w:lang w:val="en-US" w:eastAsia="zh-CN"/>
              </w:rPr>
              <w:t>一</w:t>
            </w:r>
            <w:r>
              <w:rPr>
                <w:rFonts w:hint="eastAsia"/>
                <w:lang w:val="zh-CN"/>
              </w:rPr>
              <w:t>）项目入河排污口责任主体基本情况如下表所示：</w:t>
            </w:r>
          </w:p>
          <w:p>
            <w:pPr>
              <w:pStyle w:val="53"/>
              <w:numPr>
                <w:ilvl w:val="4"/>
                <w:numId w:val="0"/>
              </w:numPr>
              <w:spacing w:before="163" w:after="163"/>
              <w:ind w:leftChars="0"/>
              <w:rPr>
                <w:lang w:val="zh-CN"/>
              </w:rPr>
            </w:pPr>
            <w:r>
              <w:rPr>
                <w:rFonts w:hint="eastAsia"/>
                <w:lang w:val="en-US" w:eastAsia="zh-CN"/>
              </w:rPr>
              <w:t xml:space="preserve">表2.1 </w:t>
            </w:r>
            <w:r>
              <w:rPr>
                <w:rFonts w:hint="eastAsia"/>
                <w:lang w:val="zh-CN"/>
              </w:rPr>
              <w:t>项目入河排污口责任主体基本情况</w:t>
            </w:r>
          </w:p>
          <w:tbl>
            <w:tblPr>
              <w:tblStyle w:val="20"/>
              <w:tblW w:w="717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63"/>
              <w:gridCol w:w="2302"/>
              <w:gridCol w:w="1440"/>
              <w:gridCol w:w="187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1" w:hRule="atLeast"/>
                <w:tblHeader/>
                <w:jc w:val="center"/>
              </w:trPr>
              <w:tc>
                <w:tcPr>
                  <w:tcW w:w="1563" w:type="dxa"/>
                  <w:shd w:val="clear" w:color="auto" w:fill="D8D8D8" w:themeFill="background1" w:themeFillShade="D9"/>
                  <w:vAlign w:val="center"/>
                </w:tcPr>
                <w:p>
                  <w:pPr>
                    <w:pStyle w:val="52"/>
                    <w:rPr>
                      <w:rFonts w:hint="eastAsia" w:ascii="宋体" w:hAnsi="宋体" w:eastAsia="宋体" w:cs="宋体"/>
                      <w:b/>
                      <w:color w:val="auto"/>
                      <w:sz w:val="20"/>
                      <w:szCs w:val="52"/>
                    </w:rPr>
                  </w:pPr>
                  <w:r>
                    <w:rPr>
                      <w:rFonts w:hint="eastAsia" w:ascii="宋体" w:hAnsi="宋体" w:eastAsia="宋体" w:cs="宋体"/>
                      <w:b w:val="0"/>
                      <w:color w:val="auto"/>
                      <w:sz w:val="20"/>
                      <w:szCs w:val="52"/>
                    </w:rPr>
                    <w:t>责任主体</w:t>
                  </w:r>
                </w:p>
              </w:tc>
              <w:tc>
                <w:tcPr>
                  <w:tcW w:w="2302" w:type="dxa"/>
                  <w:vAlign w:val="center"/>
                </w:tcPr>
                <w:p>
                  <w:pPr>
                    <w:pStyle w:val="52"/>
                    <w:rPr>
                      <w:rFonts w:hint="eastAsia" w:ascii="宋体" w:hAnsi="宋体" w:eastAsia="宋体" w:cs="宋体"/>
                      <w:b/>
                      <w:color w:val="auto"/>
                      <w:sz w:val="20"/>
                      <w:szCs w:val="52"/>
                    </w:rPr>
                  </w:pPr>
                  <w:r>
                    <w:rPr>
                      <w:rFonts w:hint="eastAsia" w:ascii="宋体" w:hAnsi="宋体" w:eastAsia="宋体" w:cs="宋体"/>
                      <w:b w:val="0"/>
                      <w:color w:val="auto"/>
                      <w:sz w:val="20"/>
                      <w:szCs w:val="52"/>
                    </w:rPr>
                    <w:t>郴州祺祥矿业有限公司</w:t>
                  </w:r>
                </w:p>
              </w:tc>
              <w:tc>
                <w:tcPr>
                  <w:tcW w:w="1440" w:type="dxa"/>
                  <w:shd w:val="clear" w:color="auto" w:fill="D8D8D8" w:themeFill="background1" w:themeFillShade="D9"/>
                  <w:vAlign w:val="center"/>
                </w:tcPr>
                <w:p>
                  <w:pPr>
                    <w:pStyle w:val="52"/>
                    <w:rPr>
                      <w:rFonts w:hint="eastAsia" w:ascii="宋体" w:hAnsi="宋体" w:eastAsia="宋体" w:cs="宋体"/>
                      <w:b/>
                      <w:color w:val="auto"/>
                      <w:sz w:val="20"/>
                      <w:szCs w:val="52"/>
                    </w:rPr>
                  </w:pPr>
                  <w:r>
                    <w:rPr>
                      <w:rFonts w:hint="eastAsia" w:ascii="宋体" w:hAnsi="宋体" w:eastAsia="宋体" w:cs="宋体"/>
                      <w:b w:val="0"/>
                      <w:color w:val="auto"/>
                      <w:sz w:val="20"/>
                      <w:szCs w:val="52"/>
                    </w:rPr>
                    <w:t>单位性质</w:t>
                  </w:r>
                </w:p>
              </w:tc>
              <w:tc>
                <w:tcPr>
                  <w:tcW w:w="1871" w:type="dxa"/>
                  <w:vAlign w:val="center"/>
                </w:tcPr>
                <w:p>
                  <w:pPr>
                    <w:pStyle w:val="52"/>
                    <w:rPr>
                      <w:rFonts w:hint="eastAsia" w:ascii="宋体" w:hAnsi="宋体" w:eastAsia="宋体" w:cs="宋体"/>
                      <w:b/>
                      <w:color w:val="auto"/>
                      <w:sz w:val="20"/>
                      <w:szCs w:val="52"/>
                    </w:rPr>
                  </w:pPr>
                  <w:r>
                    <w:rPr>
                      <w:rFonts w:hint="eastAsia" w:ascii="宋体" w:hAnsi="宋体" w:eastAsia="宋体" w:cs="宋体"/>
                      <w:b w:val="0"/>
                      <w:color w:val="auto"/>
                      <w:sz w:val="20"/>
                      <w:szCs w:val="52"/>
                    </w:rPr>
                    <w:t>民营企业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1" w:hRule="atLeast"/>
                <w:jc w:val="center"/>
              </w:trPr>
              <w:tc>
                <w:tcPr>
                  <w:tcW w:w="1563" w:type="dxa"/>
                  <w:shd w:val="clear" w:color="auto" w:fill="D8D8D8" w:themeFill="background1" w:themeFillShade="D9"/>
                  <w:vAlign w:val="center"/>
                </w:tcPr>
                <w:p>
                  <w:pPr>
                    <w:pStyle w:val="52"/>
                    <w:rPr>
                      <w:rFonts w:hint="eastAsia" w:ascii="宋体" w:hAnsi="宋体" w:eastAsia="宋体" w:cs="宋体"/>
                      <w:color w:val="auto"/>
                      <w:sz w:val="20"/>
                      <w:szCs w:val="52"/>
                    </w:rPr>
                  </w:pPr>
                  <w:r>
                    <w:rPr>
                      <w:rFonts w:hint="eastAsia" w:ascii="宋体" w:hAnsi="宋体" w:eastAsia="宋体" w:cs="宋体"/>
                      <w:color w:val="auto"/>
                      <w:sz w:val="20"/>
                      <w:szCs w:val="52"/>
                    </w:rPr>
                    <w:t>法人代表</w:t>
                  </w:r>
                </w:p>
              </w:tc>
              <w:tc>
                <w:tcPr>
                  <w:tcW w:w="2302" w:type="dxa"/>
                  <w:vAlign w:val="center"/>
                </w:tcPr>
                <w:p>
                  <w:pPr>
                    <w:pStyle w:val="52"/>
                    <w:rPr>
                      <w:rFonts w:hint="eastAsia" w:ascii="宋体" w:hAnsi="宋体" w:eastAsia="宋体" w:cs="宋体"/>
                      <w:color w:val="auto"/>
                      <w:sz w:val="20"/>
                      <w:szCs w:val="52"/>
                    </w:rPr>
                  </w:pPr>
                  <w:r>
                    <w:rPr>
                      <w:rFonts w:hint="eastAsia" w:ascii="宋体" w:hAnsi="宋体" w:eastAsia="宋体" w:cs="宋体"/>
                      <w:color w:val="auto"/>
                      <w:sz w:val="20"/>
                      <w:szCs w:val="52"/>
                    </w:rPr>
                    <w:t>钱勇</w:t>
                  </w:r>
                </w:p>
              </w:tc>
              <w:tc>
                <w:tcPr>
                  <w:tcW w:w="1440" w:type="dxa"/>
                  <w:shd w:val="clear" w:color="auto" w:fill="D8D8D8" w:themeFill="background1" w:themeFillShade="D9"/>
                  <w:vAlign w:val="center"/>
                </w:tcPr>
                <w:p>
                  <w:pPr>
                    <w:pStyle w:val="52"/>
                    <w:rPr>
                      <w:rFonts w:hint="eastAsia" w:ascii="宋体" w:hAnsi="宋体" w:eastAsia="宋体" w:cs="宋体"/>
                      <w:color w:val="auto"/>
                      <w:sz w:val="20"/>
                      <w:szCs w:val="52"/>
                    </w:rPr>
                  </w:pPr>
                  <w:r>
                    <w:rPr>
                      <w:rFonts w:hint="eastAsia" w:ascii="宋体" w:hAnsi="宋体" w:eastAsia="宋体" w:cs="宋体"/>
                      <w:color w:val="auto"/>
                      <w:sz w:val="20"/>
                      <w:szCs w:val="52"/>
                    </w:rPr>
                    <w:t>联系人</w:t>
                  </w:r>
                </w:p>
              </w:tc>
              <w:tc>
                <w:tcPr>
                  <w:tcW w:w="1871" w:type="dxa"/>
                  <w:vAlign w:val="center"/>
                </w:tcPr>
                <w:p>
                  <w:pPr>
                    <w:pStyle w:val="52"/>
                    <w:rPr>
                      <w:rFonts w:hint="eastAsia" w:ascii="宋体" w:hAnsi="宋体" w:eastAsia="宋体" w:cs="宋体"/>
                      <w:color w:val="auto"/>
                      <w:sz w:val="20"/>
                      <w:szCs w:val="52"/>
                    </w:rPr>
                  </w:pPr>
                  <w:r>
                    <w:rPr>
                      <w:rFonts w:hint="eastAsia" w:ascii="宋体" w:hAnsi="宋体" w:eastAsia="宋体" w:cs="宋体"/>
                      <w:color w:val="auto"/>
                      <w:sz w:val="20"/>
                      <w:szCs w:val="52"/>
                    </w:rPr>
                    <w:t>唐红生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1" w:hRule="atLeast"/>
                <w:jc w:val="center"/>
              </w:trPr>
              <w:tc>
                <w:tcPr>
                  <w:tcW w:w="1563" w:type="dxa"/>
                  <w:shd w:val="clear" w:color="auto" w:fill="D8D8D8" w:themeFill="background1" w:themeFillShade="D9"/>
                  <w:vAlign w:val="center"/>
                </w:tcPr>
                <w:p>
                  <w:pPr>
                    <w:pStyle w:val="52"/>
                    <w:rPr>
                      <w:rFonts w:hint="eastAsia" w:ascii="宋体" w:hAnsi="宋体" w:eastAsia="宋体" w:cs="宋体"/>
                      <w:color w:val="auto"/>
                      <w:sz w:val="20"/>
                      <w:szCs w:val="52"/>
                    </w:rPr>
                  </w:pPr>
                  <w:r>
                    <w:rPr>
                      <w:rFonts w:hint="eastAsia" w:ascii="宋体" w:hAnsi="宋体" w:eastAsia="宋体" w:cs="宋体"/>
                      <w:color w:val="auto"/>
                      <w:sz w:val="20"/>
                      <w:szCs w:val="52"/>
                    </w:rPr>
                    <w:t>详细地址</w:t>
                  </w:r>
                </w:p>
              </w:tc>
              <w:tc>
                <w:tcPr>
                  <w:tcW w:w="2302" w:type="dxa"/>
                  <w:vAlign w:val="center"/>
                </w:tcPr>
                <w:p>
                  <w:pPr>
                    <w:pStyle w:val="52"/>
                    <w:rPr>
                      <w:rFonts w:hint="eastAsia" w:ascii="宋体" w:hAnsi="宋体" w:eastAsia="宋体" w:cs="宋体"/>
                      <w:color w:val="auto"/>
                      <w:sz w:val="20"/>
                      <w:szCs w:val="52"/>
                    </w:rPr>
                  </w:pPr>
                  <w:r>
                    <w:rPr>
                      <w:rFonts w:hint="eastAsia" w:ascii="宋体" w:hAnsi="宋体" w:eastAsia="宋体" w:cs="宋体"/>
                      <w:color w:val="auto"/>
                      <w:sz w:val="20"/>
                      <w:szCs w:val="52"/>
                    </w:rPr>
                    <w:t>汝城县延寿瑶族乡冬芒村</w:t>
                  </w:r>
                </w:p>
              </w:tc>
              <w:tc>
                <w:tcPr>
                  <w:tcW w:w="1440" w:type="dxa"/>
                  <w:shd w:val="clear" w:color="auto" w:fill="D8D8D8" w:themeFill="background1" w:themeFillShade="D9"/>
                  <w:vAlign w:val="center"/>
                </w:tcPr>
                <w:p>
                  <w:pPr>
                    <w:pStyle w:val="52"/>
                    <w:rPr>
                      <w:rFonts w:hint="eastAsia" w:ascii="宋体" w:hAnsi="宋体" w:eastAsia="宋体" w:cs="宋体"/>
                      <w:color w:val="auto"/>
                      <w:sz w:val="20"/>
                      <w:szCs w:val="52"/>
                    </w:rPr>
                  </w:pPr>
                  <w:r>
                    <w:rPr>
                      <w:rFonts w:hint="eastAsia" w:ascii="宋体" w:hAnsi="宋体" w:eastAsia="宋体" w:cs="宋体"/>
                      <w:color w:val="auto"/>
                      <w:sz w:val="20"/>
                      <w:szCs w:val="52"/>
                    </w:rPr>
                    <w:t>联系电话</w:t>
                  </w:r>
                </w:p>
              </w:tc>
              <w:tc>
                <w:tcPr>
                  <w:tcW w:w="1871" w:type="dxa"/>
                  <w:vAlign w:val="center"/>
                </w:tcPr>
                <w:p>
                  <w:pPr>
                    <w:pStyle w:val="52"/>
                    <w:rPr>
                      <w:rFonts w:hint="eastAsia" w:ascii="宋体" w:hAnsi="宋体" w:eastAsia="宋体" w:cs="宋体"/>
                      <w:color w:val="auto"/>
                      <w:sz w:val="20"/>
                      <w:szCs w:val="52"/>
                    </w:rPr>
                  </w:pPr>
                  <w:r>
                    <w:rPr>
                      <w:rFonts w:hint="eastAsia" w:ascii="宋体" w:hAnsi="宋体" w:eastAsia="宋体" w:cs="宋体"/>
                      <w:color w:val="auto"/>
                      <w:sz w:val="20"/>
                      <w:szCs w:val="52"/>
                    </w:rPr>
                    <w:t>13873513248</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b/>
              </w:rPr>
            </w:pPr>
            <w:r>
              <w:rPr>
                <w:rFonts w:hint="eastAsia"/>
                <w:b/>
                <w:lang w:eastAsia="zh-CN"/>
              </w:rPr>
              <w:t>（</w:t>
            </w:r>
            <w:r>
              <w:rPr>
                <w:rFonts w:hint="eastAsia"/>
                <w:b/>
                <w:lang w:val="en-US" w:eastAsia="zh-CN"/>
              </w:rPr>
              <w:t>二</w:t>
            </w:r>
            <w:r>
              <w:rPr>
                <w:rFonts w:hint="eastAsia"/>
                <w:b/>
                <w:lang w:eastAsia="zh-CN"/>
              </w:rPr>
              <w:t>）</w:t>
            </w:r>
            <w:r>
              <w:rPr>
                <w:rFonts w:hint="eastAsia"/>
                <w:b/>
              </w:rPr>
              <w:t>责任主体生产经营状况</w:t>
            </w:r>
          </w:p>
          <w:p>
            <w:pPr>
              <w:pStyle w:val="51"/>
              <w:keepNext w:val="0"/>
              <w:keepLines w:val="0"/>
              <w:pageBreakBefore w:val="0"/>
              <w:widowControl w:val="0"/>
              <w:kinsoku/>
              <w:wordWrap/>
              <w:overflowPunct/>
              <w:topLinePunct w:val="0"/>
              <w:autoSpaceDE/>
              <w:autoSpaceDN/>
              <w:bidi w:val="0"/>
              <w:adjustRightInd/>
              <w:snapToGrid/>
              <w:spacing w:line="360" w:lineRule="auto"/>
              <w:ind w:firstLine="421" w:firstLineChars="200"/>
              <w:textAlignment w:val="auto"/>
              <w:rPr>
                <w:b/>
              </w:rPr>
            </w:pPr>
            <w:r>
              <w:rPr>
                <w:rFonts w:hint="eastAsia"/>
                <w:b/>
                <w:lang w:val="en-US" w:eastAsia="zh-CN"/>
              </w:rPr>
              <w:t>1.</w:t>
            </w:r>
            <w:r>
              <w:rPr>
                <w:rFonts w:hint="eastAsia"/>
                <w:b/>
              </w:rPr>
              <w:t>新建工程</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项目为新建工程，目前企业主体工程及入河排污口均未</w:t>
            </w:r>
            <w:r>
              <w:t>建成运营</w:t>
            </w:r>
            <w:r>
              <w:rPr>
                <w:rFonts w:hint="eastAsia"/>
              </w:rPr>
              <w:t>，暂无生产经营情况。</w:t>
            </w:r>
          </w:p>
          <w:p>
            <w:pPr>
              <w:pStyle w:val="51"/>
              <w:keepNext w:val="0"/>
              <w:keepLines w:val="0"/>
              <w:pageBreakBefore w:val="0"/>
              <w:widowControl w:val="0"/>
              <w:kinsoku/>
              <w:wordWrap/>
              <w:overflowPunct/>
              <w:topLinePunct w:val="0"/>
              <w:autoSpaceDE/>
              <w:autoSpaceDN/>
              <w:bidi w:val="0"/>
              <w:adjustRightInd/>
              <w:snapToGrid/>
              <w:spacing w:line="360" w:lineRule="auto"/>
              <w:ind w:firstLine="421" w:firstLineChars="200"/>
              <w:textAlignment w:val="auto"/>
              <w:rPr>
                <w:b/>
              </w:rPr>
            </w:pPr>
            <w:r>
              <w:rPr>
                <w:rFonts w:hint="eastAsia"/>
                <w:b/>
                <w:lang w:val="en-US" w:eastAsia="zh-CN"/>
              </w:rPr>
              <w:t>2.</w:t>
            </w:r>
            <w:r>
              <w:rPr>
                <w:rFonts w:hint="eastAsia"/>
                <w:b/>
              </w:rPr>
              <w:t>现有工程</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u w:val="single"/>
              </w:rPr>
            </w:pPr>
            <w:r>
              <w:rPr>
                <w:rFonts w:hint="eastAsia"/>
                <w:u w:val="none"/>
              </w:rPr>
              <w:t>小垣矿山开采区：从20</w:t>
            </w:r>
            <w:r>
              <w:rPr>
                <w:u w:val="none"/>
              </w:rPr>
              <w:t>13</w:t>
            </w:r>
            <w:r>
              <w:rPr>
                <w:rFonts w:hint="eastAsia"/>
                <w:u w:val="none"/>
              </w:rPr>
              <w:t>年到至今一直处于停产状态，无生产经营情况。根据《湖南鑫矿矿业集团有限公司小垣钨多金属矿采矿项目环境影响报告书》，小垣矿山开采井下涌水排放口位于</w:t>
            </w:r>
            <w:r>
              <w:rPr>
                <w:u w:val="none"/>
              </w:rPr>
              <w:t>项目新建排污口下游约</w:t>
            </w:r>
            <w:r>
              <w:rPr>
                <w:rFonts w:hint="eastAsia"/>
                <w:u w:val="none"/>
              </w:rPr>
              <w:t>400</w:t>
            </w:r>
            <w:r>
              <w:rPr>
                <w:u w:val="none"/>
              </w:rPr>
              <w:t>m</w:t>
            </w:r>
            <w:r>
              <w:rPr>
                <w:rFonts w:hint="eastAsia"/>
                <w:u w:val="none"/>
              </w:rPr>
              <w:t>处，该排放口为小垣矿山历史开采遗留的井下涌水排放口，现状矿山未建设生产但该排口有少量井下涌水流出。根据原环评报告，该井下涌水水质可达到《地表水环境质量标准》（GB3838-2002）中的III类标准，可作为新鲜水用于选矿。企业为节约水资源，同时减少废水排放，项目拟通过“以新带老”措施，将井下涌水通过管道（约400m）自留引至项目污水处理站的回水池，随同项目本身处理后的废水一起通过泵加压输送至选厂回水池，再回用于选矿工序。因此，项目建成后，项目矿区下游的井下涌水排放口的废水全部回用于选厂，不外排，不单独再设入河排污口。</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小垣</w:t>
            </w:r>
            <w:r>
              <w:t>矿区</w:t>
            </w:r>
            <w:r>
              <w:rPr>
                <w:rFonts w:hint="eastAsia"/>
              </w:rPr>
              <w:t>2</w:t>
            </w:r>
            <w:r>
              <w:t>0</w:t>
            </w:r>
            <w:r>
              <w:rPr>
                <w:rFonts w:hint="eastAsia"/>
              </w:rPr>
              <w:t>家老选厂：停产待整合，无生产经营情况，</w:t>
            </w:r>
            <w:r>
              <w:t>也</w:t>
            </w:r>
            <w:r>
              <w:rPr>
                <w:rFonts w:hint="eastAsia"/>
              </w:rPr>
              <w:t>无废水</w:t>
            </w:r>
            <w:r>
              <w:t>排放</w:t>
            </w:r>
            <w:r>
              <w:rPr>
                <w:rFonts w:hint="eastAsia"/>
              </w:rPr>
              <w:t>。</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清江尾矿库：未运行，无废水、尾砂排入，无生产经营情况。尾矿库无废水收集池及处理设施，雨季库区汇集的废水从尾矿库直接散排入延寿河清江段，未设置废水排放口。</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红卫一期尾矿库：于2014年9月已完成闭库，并进行了生态恢复，无生产经营情况。尾矿库未建设渗滤液收集处置设施，其渗滤液散排污染地下水和周边水体，未设置废水排放口。</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1</w:t>
            </w:r>
            <w:r>
              <w:t>#</w:t>
            </w:r>
            <w:r>
              <w:rPr>
                <w:rFonts w:hint="eastAsia"/>
              </w:rPr>
              <w:t>、2</w:t>
            </w:r>
            <w:r>
              <w:t>#</w:t>
            </w:r>
            <w:r>
              <w:rPr>
                <w:rFonts w:hint="eastAsia"/>
              </w:rPr>
              <w:t>废石堆场：为原小垣矿山开采历史遗留的废石堆场，无生产经营情况。废石堆场现状无导排水沟及淋溶水收集处置设施，雨季渗透形成的淋溶水散排至周边自然沟渠，未设置废水排放口。</w:t>
            </w:r>
          </w:p>
          <w:p>
            <w:pPr>
              <w:keepNext w:val="0"/>
              <w:keepLines w:val="0"/>
              <w:pageBreakBefore w:val="0"/>
              <w:widowControl/>
              <w:shd w:val="clear" w:color="auto" w:fill="FFFFFF"/>
              <w:kinsoku/>
              <w:wordWrap/>
              <w:overflowPunct/>
              <w:topLinePunct w:val="0"/>
              <w:autoSpaceDE/>
              <w:autoSpaceDN/>
              <w:bidi w:val="0"/>
              <w:adjustRightInd/>
              <w:spacing w:line="360" w:lineRule="auto"/>
              <w:ind w:left="0" w:leftChars="0" w:firstLine="0" w:firstLineChars="0"/>
              <w:jc w:val="center"/>
              <w:textAlignment w:val="auto"/>
              <w:outlineLvl w:val="1"/>
              <w:rPr>
                <w:b/>
                <w:bCs/>
              </w:rPr>
            </w:pPr>
            <w:r>
              <w:rPr>
                <w:rFonts w:hint="eastAsia" w:ascii="宋体" w:hAnsi="宋体" w:cs="宋体"/>
                <w:b/>
                <w:bCs/>
                <w:color w:val="333333"/>
                <w:kern w:val="0"/>
                <w:sz w:val="21"/>
                <w:szCs w:val="21"/>
                <w:lang w:val="en-US" w:eastAsia="zh-CN"/>
              </w:rPr>
              <w:t>三、</w:t>
            </w:r>
            <w:bookmarkStart w:id="2" w:name="_Toc195277004"/>
            <w:bookmarkStart w:id="3" w:name="_Toc164176052"/>
            <w:r>
              <w:rPr>
                <w:rFonts w:hint="eastAsia"/>
                <w:b/>
                <w:bCs/>
              </w:rPr>
              <w:t>项目</w:t>
            </w:r>
            <w:r>
              <w:rPr>
                <w:b/>
                <w:bCs/>
              </w:rPr>
              <w:t>基本情况及产排污分析</w:t>
            </w:r>
            <w:bookmarkEnd w:id="2"/>
          </w:p>
          <w:p>
            <w:pPr>
              <w:pStyle w:val="4"/>
              <w:rPr>
                <w:rFonts w:hint="eastAsia" w:ascii="宋体" w:hAnsi="宋体" w:eastAsia="宋体" w:cs="宋体"/>
                <w:b/>
                <w:bCs/>
                <w:color w:val="auto"/>
                <w:sz w:val="21"/>
                <w:szCs w:val="21"/>
              </w:rPr>
            </w:pPr>
            <w:r>
              <w:rPr>
                <w:rFonts w:hint="default" w:ascii="宋体" w:hAnsi="宋体" w:eastAsia="宋体" w:cs="宋体"/>
                <w:b/>
                <w:bCs/>
                <w:color w:val="auto"/>
                <w:sz w:val="21"/>
                <w:szCs w:val="21"/>
              </w:rPr>
              <w:t>（一）</w:t>
            </w:r>
            <w:r>
              <w:rPr>
                <w:rFonts w:hint="eastAsia" w:ascii="宋体" w:hAnsi="宋体" w:eastAsia="宋体" w:cs="宋体"/>
                <w:b/>
                <w:bCs/>
                <w:color w:val="auto"/>
                <w:sz w:val="21"/>
                <w:szCs w:val="21"/>
              </w:rPr>
              <w:t>项目</w:t>
            </w:r>
            <w:bookmarkEnd w:id="3"/>
            <w:r>
              <w:rPr>
                <w:rFonts w:hint="eastAsia" w:ascii="宋体" w:hAnsi="宋体" w:eastAsia="宋体" w:cs="宋体"/>
                <w:b/>
                <w:bCs/>
                <w:color w:val="auto"/>
                <w:sz w:val="21"/>
                <w:szCs w:val="21"/>
              </w:rPr>
              <w:t>基本情况</w:t>
            </w:r>
          </w:p>
          <w:p>
            <w:pPr>
              <w:pStyle w:val="51"/>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本项目建设内容为整合新建3000t/d选厂及配套设施，对小垣矿区清理的废石、尾砂进行综合回收利用，并对清江尾矿库进行扩容提质改造工程。</w:t>
            </w:r>
          </w:p>
          <w:p>
            <w:pPr>
              <w:pStyle w:val="51"/>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项目综合利用废石堆场、红卫一期尾矿库中的废石、尾砂后，场内废石、尾砂已全部清空处理，且场地并进行了覆土复绿，废石堆场、红卫一期尾矿库将不复存在，也不在会有渗滤液、淋溶水产生。</w:t>
            </w:r>
          </w:p>
          <w:p>
            <w:pPr>
              <w:pStyle w:val="51"/>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清江尾矿库进行提质改造，设置库内排水系统、库外截洪系统、废水收集系统及废水处理站。库内溢流水经排水井、排水隧洞，渗滤液经导渗管、坝坡排水沟排至坝下废水收集池，最终渗滤液、库内溢流水混合进入废水处理站处理达标后部分泵回选厂回用于生产，其余达标排入延寿河清江段。</w:t>
            </w:r>
          </w:p>
          <w:p>
            <w:pPr>
              <w:pStyle w:val="51"/>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u w:val="none"/>
              </w:rPr>
            </w:pPr>
            <w:r>
              <w:rPr>
                <w:rFonts w:hint="eastAsia" w:ascii="宋体" w:hAnsi="宋体" w:eastAsia="宋体" w:cs="宋体"/>
                <w:b w:val="0"/>
                <w:bCs w:val="0"/>
                <w:color w:val="auto"/>
                <w:sz w:val="21"/>
                <w:szCs w:val="21"/>
                <w:u w:val="none"/>
              </w:rPr>
              <w:t>同时项目建成后，项目矿区下游的井下涌水排放口的废水全部回用于选厂，不外排。</w:t>
            </w:r>
          </w:p>
          <w:p>
            <w:pPr>
              <w:pStyle w:val="51"/>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u w:val="none"/>
              </w:rPr>
              <w:t>综上，项目建成后，企业只有一个入河排放口，即本次项目新建的入河排污口。</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二</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项目建设及运行情况</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根据现场调查，建设单位动工实施了该项目防汛（洪）基础设施建设，对应急道路进行了“复绿”，完善了挡渣坝、防洪排水涵洞，修复道河堤档墙等建设（3个月），确保了2024年安全度汛，未发环境影响事件，未造成环境污染后果，目前未投入生产并处于停止施工状态。</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三</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项目水平衡及废污水排放分析</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rPr>
              <w:t>根据</w:t>
            </w:r>
            <w:r>
              <w:rPr>
                <w:rFonts w:hint="eastAsia" w:ascii="宋体" w:hAnsi="宋体" w:cs="宋体"/>
                <w:color w:val="auto"/>
                <w:sz w:val="21"/>
                <w:szCs w:val="21"/>
                <w:lang w:val="en-US" w:eastAsia="zh-CN"/>
              </w:rPr>
              <w:t>本项目环评报告中</w:t>
            </w:r>
            <w:r>
              <w:rPr>
                <w:rFonts w:hint="eastAsia" w:ascii="宋体" w:hAnsi="宋体" w:eastAsia="宋体" w:cs="宋体"/>
                <w:color w:val="auto"/>
                <w:sz w:val="21"/>
                <w:szCs w:val="21"/>
              </w:rPr>
              <w:t>原料尾砂、废石辐射检测结果，原料尾砂、废石铀（钍）系单个核素活度浓度最大值为0.596Bq/g，均未超过1贝可/克（Bq/g），本项目无需编制辐射环境影响评价专篇，且本项目不涉及铀矿和伴生放射性矿，因此项目无放射性物质排放。</w:t>
            </w:r>
          </w:p>
          <w:p>
            <w:pPr>
              <w:pStyle w:val="51"/>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cs="宋体"/>
                <w:color w:val="auto"/>
                <w:sz w:val="21"/>
                <w:szCs w:val="21"/>
                <w:lang w:val="en-US" w:eastAsia="zh-CN"/>
              </w:rPr>
              <w:t>本项目环评报告中</w:t>
            </w:r>
            <w:r>
              <w:rPr>
                <w:rFonts w:hint="eastAsia" w:ascii="宋体" w:hAnsi="宋体" w:eastAsia="宋体" w:cs="宋体"/>
                <w:color w:val="auto"/>
                <w:sz w:val="21"/>
                <w:szCs w:val="21"/>
              </w:rPr>
              <w:t>水平衡分析，项目尾砂综合利用阶段废水年总排放量为163621m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/a（818.1m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/d），项目废石综合利用阶段废水年总排放量为198674m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/a</w:t>
            </w:r>
            <w:r>
              <w:rPr>
                <w:rStyle w:val="54"/>
                <w:rFonts w:hint="eastAsia" w:ascii="宋体" w:hAnsi="宋体" w:eastAsia="宋体" w:cs="宋体"/>
                <w:color w:val="auto"/>
                <w:sz w:val="21"/>
                <w:szCs w:val="21"/>
              </w:rPr>
              <w:t>（662.2m</w:t>
            </w:r>
            <w:r>
              <w:rPr>
                <w:rStyle w:val="54"/>
                <w:rFonts w:hint="eastAsia" w:ascii="宋体" w:hAnsi="宋体" w:eastAsia="宋体" w:cs="宋体"/>
                <w:color w:val="auto"/>
                <w:sz w:val="21"/>
                <w:szCs w:val="21"/>
                <w:vertAlign w:val="superscript"/>
              </w:rPr>
              <w:t>3</w:t>
            </w:r>
            <w:r>
              <w:rPr>
                <w:rStyle w:val="54"/>
                <w:rFonts w:hint="eastAsia" w:ascii="宋体" w:hAnsi="宋体" w:eastAsia="宋体" w:cs="宋体"/>
                <w:color w:val="auto"/>
                <w:sz w:val="21"/>
                <w:szCs w:val="21"/>
              </w:rPr>
              <w:t>/d）。</w:t>
            </w:r>
            <w:r>
              <w:rPr>
                <w:rFonts w:hint="eastAsia" w:ascii="宋体" w:hAnsi="宋体" w:eastAsia="宋体" w:cs="宋体"/>
                <w:color w:val="auto"/>
                <w:sz w:val="21"/>
                <w:szCs w:val="21"/>
              </w:rPr>
              <w:t>本项目废水排放情况如下表所示。</w:t>
            </w:r>
          </w:p>
          <w:p>
            <w:pPr>
              <w:pStyle w:val="53"/>
              <w:numPr>
                <w:ilvl w:val="4"/>
                <w:numId w:val="0"/>
              </w:numPr>
              <w:spacing w:before="163" w:after="163"/>
              <w:ind w:left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 xml:space="preserve">表3.1 </w:t>
            </w:r>
            <w:r>
              <w:rPr>
                <w:rFonts w:hint="eastAsia" w:ascii="宋体" w:hAnsi="宋体" w:eastAsia="宋体" w:cs="宋体"/>
                <w:color w:val="auto"/>
                <w:sz w:val="21"/>
                <w:szCs w:val="21"/>
              </w:rPr>
              <w:t>项目废水排放情况一览表</w:t>
            </w:r>
          </w:p>
          <w:tbl>
            <w:tblPr>
              <w:tblStyle w:val="55"/>
              <w:tblW w:w="721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20"/>
              <w:gridCol w:w="1725"/>
              <w:gridCol w:w="1438"/>
              <w:gridCol w:w="1725"/>
              <w:gridCol w:w="131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2" w:hRule="atLeast"/>
                <w:tblHeader/>
                <w:jc w:val="center"/>
              </w:trPr>
              <w:tc>
                <w:tcPr>
                  <w:tcW w:w="1020" w:type="dxa"/>
                  <w:vMerge w:val="restart"/>
                  <w:noWrap/>
                  <w:vAlign w:val="center"/>
                </w:tcPr>
                <w:p>
                  <w:pPr>
                    <w:pStyle w:val="52"/>
                    <w:rPr>
                      <w:rFonts w:hint="eastAsia" w:ascii="宋体" w:hAnsi="宋体" w:eastAsia="宋体" w:cs="宋体"/>
                      <w:b w:val="0"/>
                      <w:color w:val="auto"/>
                    </w:rPr>
                  </w:pPr>
                  <w:r>
                    <w:rPr>
                      <w:rFonts w:hint="eastAsia" w:ascii="宋体" w:hAnsi="宋体" w:eastAsia="宋体" w:cs="宋体"/>
                      <w:b/>
                      <w:color w:val="auto"/>
                    </w:rPr>
                    <w:t>污染因子</w:t>
                  </w:r>
                </w:p>
              </w:tc>
              <w:tc>
                <w:tcPr>
                  <w:tcW w:w="3163" w:type="dxa"/>
                  <w:gridSpan w:val="2"/>
                  <w:noWrap/>
                  <w:vAlign w:val="center"/>
                </w:tcPr>
                <w:p>
                  <w:pPr>
                    <w:pStyle w:val="52"/>
                    <w:rPr>
                      <w:rFonts w:hint="eastAsia" w:ascii="宋体" w:hAnsi="宋体" w:eastAsia="宋体" w:cs="宋体"/>
                      <w:b w:val="0"/>
                      <w:color w:val="auto"/>
                    </w:rPr>
                  </w:pPr>
                  <w:r>
                    <w:rPr>
                      <w:rFonts w:hint="eastAsia" w:ascii="宋体" w:hAnsi="宋体" w:eastAsia="宋体" w:cs="宋体"/>
                      <w:b/>
                      <w:color w:val="auto"/>
                    </w:rPr>
                    <w:t>尾砂综合利用阶段</w:t>
                  </w:r>
                </w:p>
              </w:tc>
              <w:tc>
                <w:tcPr>
                  <w:tcW w:w="3035" w:type="dxa"/>
                  <w:gridSpan w:val="2"/>
                  <w:vAlign w:val="center"/>
                </w:tcPr>
                <w:p>
                  <w:pPr>
                    <w:pStyle w:val="52"/>
                    <w:rPr>
                      <w:rFonts w:hint="eastAsia" w:ascii="宋体" w:hAnsi="宋体" w:eastAsia="宋体" w:cs="宋体"/>
                      <w:b w:val="0"/>
                      <w:color w:val="auto"/>
                    </w:rPr>
                  </w:pPr>
                  <w:r>
                    <w:rPr>
                      <w:rFonts w:hint="eastAsia" w:ascii="宋体" w:hAnsi="宋体" w:eastAsia="宋体" w:cs="宋体"/>
                      <w:b/>
                      <w:color w:val="auto"/>
                    </w:rPr>
                    <w:t>废石综合利用阶段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2" w:hRule="atLeast"/>
                <w:jc w:val="center"/>
              </w:trPr>
              <w:tc>
                <w:tcPr>
                  <w:tcW w:w="1020" w:type="dxa"/>
                  <w:vMerge w:val="continue"/>
                  <w:vAlign w:val="center"/>
                </w:tcPr>
                <w:p>
                  <w:pPr>
                    <w:pStyle w:val="52"/>
                    <w:rPr>
                      <w:rFonts w:hint="eastAsia" w:ascii="宋体" w:hAnsi="宋体" w:eastAsia="宋体" w:cs="宋体"/>
                      <w:color w:val="auto"/>
                    </w:rPr>
                  </w:pP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rPr>
                    <w:t>排放浓度mg/L</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rPr>
                    <w:t>排放量t/a</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rPr>
                    <w:t>排放浓度mg/L</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rPr>
                    <w:t>排放量t/a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2" w:hRule="atLeast"/>
                <w:jc w:val="center"/>
              </w:trPr>
              <w:tc>
                <w:tcPr>
                  <w:tcW w:w="1020" w:type="dxa"/>
                  <w:vAlign w:val="center"/>
                </w:tcPr>
                <w:p>
                  <w:pPr>
                    <w:pStyle w:val="52"/>
                    <w:rPr>
                      <w:rFonts w:hint="eastAsia" w:ascii="宋体" w:hAnsi="宋体" w:eastAsia="宋体" w:cs="宋体"/>
                      <w:color w:val="auto"/>
                    </w:rPr>
                  </w:pPr>
                  <w:r>
                    <w:rPr>
                      <w:rFonts w:hint="eastAsia" w:ascii="宋体" w:hAnsi="宋体" w:eastAsia="宋体" w:cs="宋体"/>
                      <w:color w:val="auto"/>
                    </w:rPr>
                    <w:t>废水量</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rPr>
                    <w:t>/</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163621</w:t>
                  </w:r>
                  <w:r>
                    <w:rPr>
                      <w:rFonts w:hint="eastAsia" w:ascii="宋体" w:hAnsi="宋体" w:eastAsia="宋体" w:cs="宋体"/>
                      <w:color w:val="auto"/>
                    </w:rPr>
                    <w:t xml:space="preserve">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rPr>
                    <w:t>/</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szCs w:val="21"/>
                      <w:u w:val="single"/>
                    </w:rPr>
                    <w:t>198674</w:t>
                  </w:r>
                  <w:r>
                    <w:rPr>
                      <w:rFonts w:hint="eastAsia" w:ascii="宋体" w:hAnsi="宋体" w:eastAsia="宋体" w:cs="宋体"/>
                      <w:color w:val="auto"/>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pH</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6~9</w:t>
                  </w:r>
                </w:p>
              </w:tc>
              <w:tc>
                <w:tcPr>
                  <w:tcW w:w="1438"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szCs w:val="21"/>
                    </w:rPr>
                    <w:t>6~9</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COD</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60</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9.817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60</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11.920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氨氮</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2</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0.327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2</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0.397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SS</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30</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4.909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30</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5.960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总磷</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0.5</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0.082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0.5</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硫化物</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0.2</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0.033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0.2</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0.040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氟化物</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1</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0.164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1</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0.199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总镉</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0.005</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0.00082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0.005</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总铅</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0.05</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0.00818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0.05</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0.00993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总砷</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0.05</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0.00818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0.05</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0.00993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总汞</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0.0001</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0.00002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0.0001</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0.00002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铬（六价）</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0.005</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0.00082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0.005</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总锌</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0.017</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0.00278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0.017</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0.00338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总铜</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0.012</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0.00196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0.012</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0.00238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锑</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 xml:space="preserve">0.0009 </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0.00015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0.0009 </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0.00018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020"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总铊</w:t>
                  </w:r>
                </w:p>
              </w:tc>
              <w:tc>
                <w:tcPr>
                  <w:tcW w:w="1725" w:type="dxa"/>
                  <w:vAlign w:val="center"/>
                </w:tcPr>
                <w:p>
                  <w:pPr>
                    <w:pStyle w:val="52"/>
                    <w:rPr>
                      <w:rFonts w:hint="eastAsia" w:ascii="宋体" w:hAnsi="宋体" w:eastAsia="宋体" w:cs="宋体"/>
                      <w:color w:val="auto"/>
                      <w:szCs w:val="21"/>
                    </w:rPr>
                  </w:pPr>
                  <w:r>
                    <w:rPr>
                      <w:rFonts w:hint="eastAsia" w:ascii="宋体" w:hAnsi="宋体" w:eastAsia="宋体" w:cs="宋体"/>
                      <w:color w:val="auto"/>
                      <w:u w:val="single"/>
                    </w:rPr>
                    <w:t xml:space="preserve">0.00006 </w:t>
                  </w:r>
                </w:p>
              </w:tc>
              <w:tc>
                <w:tcPr>
                  <w:tcW w:w="1438"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0.00001 </w:t>
                  </w:r>
                </w:p>
              </w:tc>
              <w:tc>
                <w:tcPr>
                  <w:tcW w:w="1725"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0.00006 </w:t>
                  </w:r>
                </w:p>
              </w:tc>
              <w:tc>
                <w:tcPr>
                  <w:tcW w:w="1310" w:type="dxa"/>
                  <w:vAlign w:val="center"/>
                </w:tcPr>
                <w:p>
                  <w:pPr>
                    <w:pStyle w:val="52"/>
                    <w:rPr>
                      <w:rFonts w:hint="eastAsia" w:ascii="宋体" w:hAnsi="宋体" w:eastAsia="宋体" w:cs="宋体"/>
                      <w:color w:val="auto"/>
                    </w:rPr>
                  </w:pPr>
                  <w:r>
                    <w:rPr>
                      <w:rFonts w:hint="eastAsia" w:ascii="宋体" w:hAnsi="宋体" w:eastAsia="宋体" w:cs="宋体"/>
                      <w:color w:val="auto"/>
                      <w:u w:val="single"/>
                    </w:rPr>
                    <w:t xml:space="preserve">0.00001 </w:t>
                  </w:r>
                </w:p>
              </w:tc>
            </w:tr>
          </w:tbl>
          <w:p>
            <w:pPr>
              <w:keepNext w:val="0"/>
              <w:keepLines w:val="0"/>
              <w:pageBreakBefore w:val="0"/>
              <w:widowControl/>
              <w:numPr>
                <w:ilvl w:val="0"/>
                <w:numId w:val="2"/>
              </w:numPr>
              <w:shd w:val="clear" w:color="auto" w:fill="FFFFFF"/>
              <w:kinsoku/>
              <w:wordWrap/>
              <w:overflowPunct/>
              <w:topLinePunct w:val="0"/>
              <w:autoSpaceDE/>
              <w:autoSpaceDN/>
              <w:bidi w:val="0"/>
              <w:adjustRightInd/>
              <w:spacing w:line="360" w:lineRule="auto"/>
              <w:ind w:left="0" w:leftChars="0" w:firstLine="0" w:firstLineChars="0"/>
              <w:jc w:val="center"/>
              <w:textAlignment w:val="auto"/>
              <w:outlineLvl w:val="1"/>
              <w:rPr>
                <w:rFonts w:hint="eastAsia"/>
                <w:b/>
                <w:bCs/>
              </w:rPr>
            </w:pPr>
            <w:r>
              <w:rPr>
                <w:rFonts w:hint="eastAsia"/>
                <w:b/>
                <w:bCs/>
              </w:rPr>
              <w:t>水生态环境现状调查分析</w:t>
            </w:r>
          </w:p>
          <w:p>
            <w:pPr>
              <w:keepNext w:val="0"/>
              <w:keepLines w:val="0"/>
              <w:pageBreakBefore w:val="0"/>
              <w:widowControl/>
              <w:numPr>
                <w:ilvl w:val="0"/>
                <w:numId w:val="0"/>
              </w:numPr>
              <w:shd w:val="clear" w:color="auto" w:fill="FFFFFF"/>
              <w:kinsoku/>
              <w:wordWrap/>
              <w:overflowPunct/>
              <w:topLinePunct w:val="0"/>
              <w:autoSpaceDE/>
              <w:autoSpaceDN/>
              <w:bidi w:val="0"/>
              <w:adjustRightInd/>
              <w:spacing w:line="360" w:lineRule="auto"/>
              <w:ind w:leftChars="0"/>
              <w:jc w:val="both"/>
              <w:textAlignment w:val="auto"/>
              <w:outlineLvl w:val="1"/>
              <w:rPr>
                <w:rFonts w:hint="eastAsia"/>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现有入河排污口调查分析</w:t>
            </w:r>
          </w:p>
          <w:p>
            <w:pPr>
              <w:keepNext w:val="0"/>
              <w:keepLines w:val="0"/>
              <w:pageBreakBefore w:val="0"/>
              <w:widowControl/>
              <w:numPr>
                <w:ilvl w:val="0"/>
                <w:numId w:val="0"/>
              </w:numPr>
              <w:shd w:val="clear" w:color="auto" w:fill="FFFFFF"/>
              <w:kinsoku/>
              <w:wordWrap/>
              <w:overflowPunct/>
              <w:topLinePunct w:val="0"/>
              <w:autoSpaceDE/>
              <w:autoSpaceDN/>
              <w:bidi w:val="0"/>
              <w:adjustRightInd/>
              <w:spacing w:line="360" w:lineRule="auto"/>
              <w:ind w:leftChars="0"/>
              <w:jc w:val="both"/>
              <w:textAlignment w:val="auto"/>
              <w:outlineLvl w:val="1"/>
              <w:rPr>
                <w:rFonts w:hint="eastAsia"/>
                <w:b w:val="0"/>
                <w:bCs w:val="0"/>
              </w:rPr>
            </w:pPr>
            <w:r>
              <w:rPr>
                <w:rFonts w:hint="eastAsia"/>
                <w:b w:val="0"/>
                <w:bCs w:val="0"/>
              </w:rPr>
              <w:t>根据现场调查，项目论证范围内无集中养殖场，汝城县融德矿业有限公司五指峰萤石矿选厂入河排污口位于项目清江尾矿库扩建库区范围内。根据双方协调，项目清江尾矿库扩建时，萤石矿选厂入河排污口迁移至扩建后尾矿库西侧的1#拦洪坝上游，迁移后的废水依托项目库外排水隧道汇入延寿河清江段，该汇合口位于项目入河排污口上游50m处。</w:t>
            </w:r>
          </w:p>
          <w:p>
            <w:pPr>
              <w:pStyle w:val="53"/>
              <w:numPr>
                <w:ilvl w:val="4"/>
                <w:numId w:val="0"/>
              </w:numPr>
              <w:spacing w:before="163" w:after="163"/>
              <w:ind w:leftChars="0"/>
              <w:jc w:val="center"/>
            </w:pPr>
            <w:r>
              <w:rPr>
                <w:rFonts w:hint="eastAsia"/>
                <w:lang w:val="en-US" w:eastAsia="zh-CN"/>
              </w:rPr>
              <w:t xml:space="preserve">表4.1.1 </w:t>
            </w:r>
            <w:r>
              <w:rPr>
                <w:rFonts w:hint="eastAsia"/>
              </w:rPr>
              <w:t>论证河段排水</w:t>
            </w:r>
            <w:r>
              <w:t>调查情况一览表</w:t>
            </w:r>
          </w:p>
          <w:tbl>
            <w:tblPr>
              <w:tblStyle w:val="20"/>
              <w:tblW w:w="714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20"/>
              <w:gridCol w:w="1020"/>
              <w:gridCol w:w="1020"/>
              <w:gridCol w:w="1020"/>
              <w:gridCol w:w="1020"/>
              <w:gridCol w:w="1231"/>
              <w:gridCol w:w="80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7" w:hRule="atLeast"/>
                <w:tblHeader/>
                <w:jc w:val="center"/>
              </w:trPr>
              <w:tc>
                <w:tcPr>
                  <w:tcW w:w="1020" w:type="dxa"/>
                  <w:vAlign w:val="center"/>
                </w:tcPr>
                <w:p>
                  <w:pPr>
                    <w:pStyle w:val="52"/>
                    <w:rPr>
                      <w:rFonts w:hint="eastAsia" w:ascii="宋体" w:hAnsi="宋体" w:eastAsia="宋体" w:cs="宋体"/>
                      <w:b w:val="0"/>
                      <w:color w:val="auto"/>
                    </w:rPr>
                  </w:pPr>
                  <w:r>
                    <w:rPr>
                      <w:rFonts w:hint="eastAsia" w:ascii="宋体" w:hAnsi="宋体" w:eastAsia="宋体" w:cs="宋体"/>
                      <w:b/>
                      <w:color w:val="auto"/>
                    </w:rPr>
                    <w:t>排污</w:t>
                  </w:r>
                </w:p>
                <w:p>
                  <w:pPr>
                    <w:pStyle w:val="52"/>
                    <w:rPr>
                      <w:rFonts w:hint="eastAsia" w:ascii="宋体" w:hAnsi="宋体" w:eastAsia="宋体" w:cs="宋体"/>
                      <w:b w:val="0"/>
                      <w:color w:val="auto"/>
                    </w:rPr>
                  </w:pPr>
                  <w:r>
                    <w:rPr>
                      <w:rFonts w:hint="eastAsia" w:ascii="宋体" w:hAnsi="宋体" w:eastAsia="宋体" w:cs="宋体"/>
                      <w:b/>
                      <w:color w:val="auto"/>
                    </w:rPr>
                    <w:t>单位</w:t>
                  </w:r>
                </w:p>
              </w:tc>
              <w:tc>
                <w:tcPr>
                  <w:tcW w:w="1020" w:type="dxa"/>
                  <w:vAlign w:val="center"/>
                </w:tcPr>
                <w:p>
                  <w:pPr>
                    <w:pStyle w:val="52"/>
                    <w:rPr>
                      <w:rFonts w:hint="eastAsia" w:ascii="宋体" w:hAnsi="宋体" w:eastAsia="宋体" w:cs="宋体"/>
                      <w:b w:val="0"/>
                      <w:color w:val="auto"/>
                    </w:rPr>
                  </w:pPr>
                  <w:r>
                    <w:rPr>
                      <w:rFonts w:hint="eastAsia" w:ascii="宋体" w:hAnsi="宋体" w:eastAsia="宋体" w:cs="宋体"/>
                      <w:b/>
                      <w:color w:val="auto"/>
                    </w:rPr>
                    <w:t>污染源</w:t>
                  </w:r>
                </w:p>
              </w:tc>
              <w:tc>
                <w:tcPr>
                  <w:tcW w:w="1020" w:type="dxa"/>
                  <w:vAlign w:val="center"/>
                </w:tcPr>
                <w:p>
                  <w:pPr>
                    <w:pStyle w:val="52"/>
                    <w:rPr>
                      <w:rFonts w:hint="eastAsia" w:ascii="宋体" w:hAnsi="宋体" w:eastAsia="宋体" w:cs="宋体"/>
                      <w:b w:val="0"/>
                      <w:color w:val="auto"/>
                    </w:rPr>
                  </w:pPr>
                  <w:r>
                    <w:rPr>
                      <w:rFonts w:hint="eastAsia" w:ascii="宋体" w:hAnsi="宋体" w:eastAsia="宋体" w:cs="宋体"/>
                      <w:b/>
                      <w:color w:val="auto"/>
                    </w:rPr>
                    <w:t>污染物</w:t>
                  </w:r>
                </w:p>
              </w:tc>
              <w:tc>
                <w:tcPr>
                  <w:tcW w:w="1020" w:type="dxa"/>
                  <w:vAlign w:val="center"/>
                </w:tcPr>
                <w:p>
                  <w:pPr>
                    <w:pStyle w:val="52"/>
                    <w:rPr>
                      <w:rFonts w:hint="eastAsia" w:ascii="宋体" w:hAnsi="宋体" w:eastAsia="宋体" w:cs="宋体"/>
                      <w:b w:val="0"/>
                      <w:color w:val="auto"/>
                    </w:rPr>
                  </w:pPr>
                  <w:r>
                    <w:rPr>
                      <w:rFonts w:hint="eastAsia" w:ascii="宋体" w:hAnsi="宋体" w:eastAsia="宋体" w:cs="宋体"/>
                      <w:b/>
                      <w:color w:val="auto"/>
                    </w:rPr>
                    <w:t>排放方式</w:t>
                  </w:r>
                </w:p>
              </w:tc>
              <w:tc>
                <w:tcPr>
                  <w:tcW w:w="1020" w:type="dxa"/>
                  <w:vAlign w:val="center"/>
                </w:tcPr>
                <w:p>
                  <w:pPr>
                    <w:pStyle w:val="52"/>
                    <w:rPr>
                      <w:rFonts w:hint="eastAsia" w:ascii="宋体" w:hAnsi="宋体" w:eastAsia="宋体" w:cs="宋体"/>
                      <w:b w:val="0"/>
                      <w:color w:val="auto"/>
                    </w:rPr>
                  </w:pPr>
                  <w:r>
                    <w:rPr>
                      <w:rFonts w:hint="eastAsia" w:ascii="宋体" w:hAnsi="宋体" w:eastAsia="宋体" w:cs="宋体"/>
                      <w:b/>
                      <w:color w:val="auto"/>
                    </w:rPr>
                    <w:t>纳污</w:t>
                  </w:r>
                </w:p>
                <w:p>
                  <w:pPr>
                    <w:pStyle w:val="52"/>
                    <w:rPr>
                      <w:rFonts w:hint="eastAsia" w:ascii="宋体" w:hAnsi="宋体" w:eastAsia="宋体" w:cs="宋体"/>
                      <w:b w:val="0"/>
                      <w:color w:val="auto"/>
                    </w:rPr>
                  </w:pPr>
                  <w:r>
                    <w:rPr>
                      <w:rFonts w:hint="eastAsia" w:ascii="宋体" w:hAnsi="宋体" w:eastAsia="宋体" w:cs="宋体"/>
                      <w:b/>
                      <w:color w:val="auto"/>
                    </w:rPr>
                    <w:t>水体</w:t>
                  </w:r>
                </w:p>
              </w:tc>
              <w:tc>
                <w:tcPr>
                  <w:tcW w:w="1231" w:type="dxa"/>
                  <w:vAlign w:val="center"/>
                </w:tcPr>
                <w:p>
                  <w:pPr>
                    <w:pStyle w:val="52"/>
                    <w:rPr>
                      <w:rFonts w:hint="eastAsia" w:ascii="宋体" w:hAnsi="宋体" w:eastAsia="宋体" w:cs="宋体"/>
                      <w:b w:val="0"/>
                      <w:color w:val="auto"/>
                    </w:rPr>
                  </w:pPr>
                  <w:r>
                    <w:rPr>
                      <w:rFonts w:hint="eastAsia" w:ascii="宋体" w:hAnsi="宋体" w:eastAsia="宋体" w:cs="宋体"/>
                      <w:b/>
                      <w:color w:val="auto"/>
                    </w:rPr>
                    <w:t xml:space="preserve">排污口位置 </w:t>
                  </w:r>
                </w:p>
                <w:p>
                  <w:pPr>
                    <w:pStyle w:val="52"/>
                    <w:rPr>
                      <w:rFonts w:hint="eastAsia" w:ascii="宋体" w:hAnsi="宋体" w:eastAsia="宋体" w:cs="宋体"/>
                      <w:b w:val="0"/>
                      <w:color w:val="auto"/>
                    </w:rPr>
                  </w:pPr>
                  <w:r>
                    <w:rPr>
                      <w:rFonts w:hint="eastAsia" w:ascii="宋体" w:hAnsi="宋体" w:eastAsia="宋体" w:cs="宋体"/>
                      <w:b/>
                      <w:color w:val="auto"/>
                    </w:rPr>
                    <w:t>（经纬度）</w:t>
                  </w:r>
                </w:p>
              </w:tc>
              <w:tc>
                <w:tcPr>
                  <w:tcW w:w="809" w:type="dxa"/>
                  <w:vAlign w:val="center"/>
                </w:tcPr>
                <w:p>
                  <w:pPr>
                    <w:pStyle w:val="52"/>
                    <w:rPr>
                      <w:rFonts w:hint="eastAsia" w:ascii="宋体" w:hAnsi="宋体" w:eastAsia="宋体" w:cs="宋体"/>
                      <w:b w:val="0"/>
                      <w:color w:val="auto"/>
                    </w:rPr>
                  </w:pPr>
                  <w:r>
                    <w:rPr>
                      <w:rFonts w:hint="eastAsia" w:ascii="宋体" w:hAnsi="宋体" w:eastAsia="宋体" w:cs="宋体"/>
                      <w:b/>
                      <w:color w:val="auto"/>
                    </w:rPr>
                    <w:t>入河</w:t>
                  </w:r>
                </w:p>
                <w:p>
                  <w:pPr>
                    <w:pStyle w:val="52"/>
                    <w:rPr>
                      <w:rFonts w:hint="eastAsia" w:ascii="宋体" w:hAnsi="宋体" w:eastAsia="宋体" w:cs="宋体"/>
                      <w:b w:val="0"/>
                      <w:color w:val="auto"/>
                    </w:rPr>
                  </w:pPr>
                  <w:r>
                    <w:rPr>
                      <w:rFonts w:hint="eastAsia" w:ascii="宋体" w:hAnsi="宋体" w:eastAsia="宋体" w:cs="宋体"/>
                      <w:b/>
                      <w:color w:val="auto"/>
                    </w:rPr>
                    <w:t>方式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7" w:hRule="atLeast"/>
                <w:jc w:val="center"/>
              </w:trPr>
              <w:tc>
                <w:tcPr>
                  <w:tcW w:w="1020" w:type="dxa"/>
                  <w:vAlign w:val="center"/>
                </w:tcPr>
                <w:p>
                  <w:pPr>
                    <w:pStyle w:val="52"/>
                    <w:rPr>
                      <w:rFonts w:hint="eastAsia" w:ascii="宋体" w:hAnsi="宋体" w:eastAsia="宋体" w:cs="宋体"/>
                      <w:color w:val="auto"/>
                    </w:rPr>
                  </w:pPr>
                  <w:r>
                    <w:rPr>
                      <w:rFonts w:hint="eastAsia" w:ascii="宋体" w:hAnsi="宋体" w:eastAsia="宋体" w:cs="宋体"/>
                      <w:color w:val="auto"/>
                    </w:rPr>
                    <w:t>汝城县融德矿业有限公司</w:t>
                  </w:r>
                </w:p>
              </w:tc>
              <w:tc>
                <w:tcPr>
                  <w:tcW w:w="1020" w:type="dxa"/>
                  <w:vAlign w:val="center"/>
                </w:tcPr>
                <w:p>
                  <w:pPr>
                    <w:pStyle w:val="52"/>
                    <w:rPr>
                      <w:rFonts w:hint="eastAsia" w:ascii="宋体" w:hAnsi="宋体" w:eastAsia="宋体" w:cs="宋体"/>
                      <w:color w:val="auto"/>
                    </w:rPr>
                  </w:pPr>
                  <w:r>
                    <w:rPr>
                      <w:rFonts w:hint="eastAsia" w:ascii="宋体" w:hAnsi="宋体" w:eastAsia="宋体" w:cs="宋体"/>
                      <w:color w:val="auto"/>
                    </w:rPr>
                    <w:t>萤石矿选厂</w:t>
                  </w:r>
                </w:p>
              </w:tc>
              <w:tc>
                <w:tcPr>
                  <w:tcW w:w="1020" w:type="dxa"/>
                  <w:vAlign w:val="center"/>
                </w:tcPr>
                <w:p>
                  <w:pPr>
                    <w:pStyle w:val="52"/>
                    <w:rPr>
                      <w:rFonts w:hint="eastAsia" w:ascii="宋体" w:hAnsi="宋体" w:eastAsia="宋体" w:cs="宋体"/>
                      <w:color w:val="auto"/>
                    </w:rPr>
                  </w:pPr>
                  <w:r>
                    <w:rPr>
                      <w:rFonts w:hint="eastAsia" w:ascii="宋体" w:hAnsi="宋体" w:eastAsia="宋体" w:cs="宋体"/>
                      <w:color w:val="auto"/>
                    </w:rPr>
                    <w:t>废水量：23.835万t/a</w:t>
                  </w:r>
                </w:p>
                <w:p>
                  <w:pPr>
                    <w:pStyle w:val="52"/>
                    <w:rPr>
                      <w:rFonts w:hint="eastAsia" w:ascii="宋体" w:hAnsi="宋体" w:eastAsia="宋体" w:cs="宋体"/>
                      <w:color w:val="auto"/>
                    </w:rPr>
                  </w:pPr>
                  <w:r>
                    <w:rPr>
                      <w:rFonts w:hint="eastAsia" w:ascii="宋体" w:hAnsi="宋体" w:eastAsia="宋体" w:cs="宋体"/>
                      <w:color w:val="auto"/>
                    </w:rPr>
                    <w:t>COD：3.05t/a</w:t>
                  </w:r>
                </w:p>
                <w:p>
                  <w:pPr>
                    <w:pStyle w:val="52"/>
                    <w:rPr>
                      <w:rFonts w:hint="eastAsia" w:ascii="宋体" w:hAnsi="宋体" w:eastAsia="宋体" w:cs="宋体"/>
                      <w:color w:val="auto"/>
                    </w:rPr>
                  </w:pPr>
                  <w:r>
                    <w:rPr>
                      <w:rFonts w:hint="eastAsia" w:ascii="宋体" w:hAnsi="宋体" w:eastAsia="宋体" w:cs="宋体"/>
                      <w:color w:val="auto"/>
                    </w:rPr>
                    <w:t>氨氮：0.15t/a</w:t>
                  </w:r>
                </w:p>
                <w:p>
                  <w:pPr>
                    <w:pStyle w:val="52"/>
                    <w:rPr>
                      <w:rFonts w:hint="eastAsia" w:ascii="宋体" w:hAnsi="宋体" w:eastAsia="宋体" w:cs="宋体"/>
                      <w:color w:val="auto"/>
                    </w:rPr>
                  </w:pPr>
                  <w:r>
                    <w:rPr>
                      <w:rFonts w:hint="eastAsia" w:ascii="宋体" w:hAnsi="宋体" w:eastAsia="宋体" w:cs="宋体"/>
                      <w:color w:val="auto"/>
                    </w:rPr>
                    <w:t>氟化物：0.15t/a</w:t>
                  </w:r>
                </w:p>
              </w:tc>
              <w:tc>
                <w:tcPr>
                  <w:tcW w:w="1020" w:type="dxa"/>
                  <w:vAlign w:val="center"/>
                </w:tcPr>
                <w:p>
                  <w:pPr>
                    <w:pStyle w:val="52"/>
                    <w:rPr>
                      <w:rFonts w:hint="eastAsia" w:ascii="宋体" w:hAnsi="宋体" w:eastAsia="宋体" w:cs="宋体"/>
                      <w:color w:val="auto"/>
                    </w:rPr>
                  </w:pPr>
                  <w:r>
                    <w:rPr>
                      <w:rFonts w:hint="eastAsia" w:ascii="宋体" w:hAnsi="宋体" w:eastAsia="宋体" w:cs="宋体"/>
                      <w:color w:val="auto"/>
                    </w:rPr>
                    <w:t>连续</w:t>
                  </w:r>
                </w:p>
              </w:tc>
              <w:tc>
                <w:tcPr>
                  <w:tcW w:w="1020" w:type="dxa"/>
                  <w:vAlign w:val="center"/>
                </w:tcPr>
                <w:p>
                  <w:pPr>
                    <w:pStyle w:val="52"/>
                    <w:rPr>
                      <w:rFonts w:hint="eastAsia" w:ascii="宋体" w:hAnsi="宋体" w:eastAsia="宋体" w:cs="宋体"/>
                      <w:color w:val="auto"/>
                    </w:rPr>
                  </w:pPr>
                  <w:r>
                    <w:rPr>
                      <w:rFonts w:hint="eastAsia" w:ascii="宋体" w:hAnsi="宋体" w:eastAsia="宋体" w:cs="宋体"/>
                      <w:color w:val="auto"/>
                    </w:rPr>
                    <w:t>延寿河清江段</w:t>
                  </w:r>
                </w:p>
              </w:tc>
              <w:tc>
                <w:tcPr>
                  <w:tcW w:w="1231" w:type="dxa"/>
                  <w:vAlign w:val="center"/>
                </w:tcPr>
                <w:p>
                  <w:pPr>
                    <w:pStyle w:val="52"/>
                    <w:rPr>
                      <w:rFonts w:hint="eastAsia" w:ascii="宋体" w:hAnsi="宋体" w:eastAsia="宋体" w:cs="宋体"/>
                      <w:color w:val="auto"/>
                    </w:rPr>
                  </w:pPr>
                  <w:r>
                    <w:rPr>
                      <w:rFonts w:hint="eastAsia" w:ascii="宋体" w:hAnsi="宋体" w:eastAsia="宋体" w:cs="宋体"/>
                      <w:color w:val="auto"/>
                    </w:rPr>
                    <w:t>E113°30′13.466″</w:t>
                  </w:r>
                </w:p>
                <w:p>
                  <w:pPr>
                    <w:pStyle w:val="52"/>
                    <w:rPr>
                      <w:rFonts w:hint="eastAsia" w:ascii="宋体" w:hAnsi="宋体" w:eastAsia="宋体" w:cs="宋体"/>
                      <w:color w:val="auto"/>
                    </w:rPr>
                  </w:pPr>
                  <w:r>
                    <w:rPr>
                      <w:rFonts w:hint="eastAsia" w:ascii="宋体" w:hAnsi="宋体" w:eastAsia="宋体" w:cs="宋体"/>
                      <w:color w:val="auto"/>
                    </w:rPr>
                    <w:t>N25°23′17.379″</w:t>
                  </w:r>
                </w:p>
              </w:tc>
              <w:tc>
                <w:tcPr>
                  <w:tcW w:w="809" w:type="dxa"/>
                  <w:vAlign w:val="center"/>
                </w:tcPr>
                <w:p>
                  <w:pPr>
                    <w:pStyle w:val="52"/>
                    <w:rPr>
                      <w:rFonts w:hint="eastAsia" w:ascii="宋体" w:hAnsi="宋体" w:eastAsia="宋体" w:cs="宋体"/>
                      <w:color w:val="auto"/>
                    </w:rPr>
                  </w:pPr>
                  <w:r>
                    <w:rPr>
                      <w:rFonts w:hint="eastAsia" w:ascii="宋体" w:hAnsi="宋体" w:eastAsia="宋体" w:cs="宋体"/>
                      <w:color w:val="auto"/>
                    </w:rPr>
                    <w:t>管道</w:t>
                  </w:r>
                </w:p>
              </w:tc>
            </w:tr>
          </w:tbl>
          <w:p>
            <w:pPr>
              <w:keepNext w:val="0"/>
              <w:keepLines w:val="0"/>
              <w:pageBreakBefore w:val="0"/>
              <w:widowControl/>
              <w:shd w:val="clear" w:color="auto" w:fill="FFFFFF"/>
              <w:kinsoku/>
              <w:wordWrap/>
              <w:overflowPunct/>
              <w:topLinePunct w:val="0"/>
              <w:autoSpaceDE/>
              <w:autoSpaceDN/>
              <w:bidi w:val="0"/>
              <w:adjustRightInd/>
              <w:spacing w:line="360" w:lineRule="auto"/>
              <w:ind w:left="0" w:leftChars="0" w:firstLine="0" w:firstLineChars="0"/>
              <w:jc w:val="center"/>
              <w:textAlignment w:val="auto"/>
              <w:outlineLvl w:val="1"/>
            </w:pPr>
            <w:r>
              <w:drawing>
                <wp:inline distT="0" distB="0" distL="0" distR="0">
                  <wp:extent cx="4497705" cy="4888230"/>
                  <wp:effectExtent l="0" t="0" r="3810" b="190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4"/>
                          <a:srcRect l="3690" t="5000"/>
                          <a:stretch>
                            <a:fillRect/>
                          </a:stretch>
                        </pic:blipFill>
                        <pic:spPr>
                          <a:xfrm>
                            <a:off x="0" y="0"/>
                            <a:ext cx="4497705" cy="4888230"/>
                          </a:xfrm>
                          <a:prstGeom prst="rect">
                            <a:avLst/>
                          </a:prstGeom>
                          <a:ln>
                            <a:noFill/>
                          </a:ln>
                        </pic:spPr>
                      </pic:pic>
                    </a:graphicData>
                  </a:graphic>
                </wp:inline>
              </w:drawing>
            </w:r>
          </w:p>
          <w:p>
            <w:pPr>
              <w:pStyle w:val="56"/>
              <w:numPr>
                <w:ilvl w:val="5"/>
                <w:numId w:val="0"/>
              </w:numPr>
              <w:spacing w:before="163" w:after="163"/>
              <w:ind w:leftChars="0"/>
              <w:jc w:val="center"/>
            </w:pPr>
            <w:r>
              <w:rPr>
                <w:rFonts w:hint="eastAsia"/>
                <w:lang w:val="en-US" w:eastAsia="zh-CN"/>
              </w:rPr>
              <w:t xml:space="preserve">图4.1.1 </w:t>
            </w:r>
            <w:r>
              <w:rPr>
                <w:rFonts w:hint="eastAsia"/>
              </w:rPr>
              <w:t>项目论证范围内排污口设置及现有排污口分布情况</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水环境状况调查分析</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1" w:firstLineChars="200"/>
              <w:jc w:val="both"/>
              <w:textAlignment w:val="auto"/>
              <w:outlineLvl w:val="1"/>
              <w:rPr>
                <w:rFonts w:hint="eastAsia"/>
                <w:b/>
                <w:bCs/>
              </w:rPr>
            </w:pPr>
            <w:r>
              <w:rPr>
                <w:rFonts w:hint="eastAsia"/>
                <w:b/>
                <w:bCs/>
                <w:lang w:val="en-US" w:eastAsia="zh-CN"/>
              </w:rPr>
              <w:t>1.</w:t>
            </w:r>
            <w:r>
              <w:rPr>
                <w:rFonts w:hint="eastAsia"/>
                <w:b/>
                <w:bCs/>
              </w:rPr>
              <w:t>水质管理目标与要求</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pPr>
            <w:r>
              <w:rPr>
                <w:rFonts w:hint="eastAsia"/>
              </w:rPr>
              <w:t>项目入河排污口位于延寿河清江段，属于山店江支流，根据《郴州市水功能区划（2018年修编版）》及其批复（郴政办函〔2019]36号），山店江划分为两段水功能区，具体如下图、下表所示。</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0" w:firstLineChars="0"/>
              <w:jc w:val="center"/>
              <w:textAlignment w:val="auto"/>
              <w:outlineLvl w:val="1"/>
              <w:rPr>
                <w:lang w:val="en-US"/>
              </w:rPr>
            </w:pPr>
            <w:r>
              <w:rPr>
                <w:lang w:val="en-US"/>
              </w:rPr>
              <w:drawing>
                <wp:inline distT="0" distB="0" distL="0" distR="0">
                  <wp:extent cx="4356735" cy="3832225"/>
                  <wp:effectExtent l="0" t="0" r="4445"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5"/>
                          <a:srcRect t="15146" b="2894"/>
                          <a:stretch>
                            <a:fillRect/>
                          </a:stretch>
                        </pic:blipFill>
                        <pic:spPr>
                          <a:xfrm>
                            <a:off x="0" y="0"/>
                            <a:ext cx="4356735" cy="3832225"/>
                          </a:xfrm>
                          <a:prstGeom prst="rect">
                            <a:avLst/>
                          </a:prstGeom>
                          <a:ln>
                            <a:noFill/>
                          </a:ln>
                        </pic:spPr>
                      </pic:pic>
                    </a:graphicData>
                  </a:graphic>
                </wp:inline>
              </w:drawing>
            </w:r>
          </w:p>
          <w:p>
            <w:pPr>
              <w:pStyle w:val="56"/>
              <w:pageBreakBefore w:val="0"/>
              <w:numPr>
                <w:ilvl w:val="5"/>
                <w:numId w:val="0"/>
              </w:numPr>
              <w:kinsoku/>
              <w:overflowPunct/>
              <w:topLinePunct w:val="0"/>
              <w:autoSpaceDE/>
              <w:autoSpaceDN/>
              <w:bidi w:val="0"/>
              <w:adjustRightInd/>
              <w:snapToGrid/>
              <w:spacing w:before="0" w:beforeLines="0" w:after="0" w:afterLines="0" w:line="360" w:lineRule="auto"/>
              <w:ind w:leftChars="0"/>
              <w:jc w:val="center"/>
              <w:textAlignment w:val="auto"/>
            </w:pPr>
            <w:r>
              <w:rPr>
                <w:rFonts w:hint="eastAsia"/>
                <w:lang w:val="en-US" w:eastAsia="zh-CN"/>
              </w:rPr>
              <w:t xml:space="preserve">图4.2.1 </w:t>
            </w:r>
            <w:r>
              <w:rPr>
                <w:rFonts w:hint="eastAsia"/>
              </w:rPr>
              <w:t>郴州市水功能区划图（部分区域）</w:t>
            </w:r>
          </w:p>
          <w:p>
            <w:pPr>
              <w:pStyle w:val="53"/>
              <w:pageBreakBefore w:val="0"/>
              <w:numPr>
                <w:ilvl w:val="4"/>
                <w:numId w:val="0"/>
              </w:numPr>
              <w:kinsoku/>
              <w:overflowPunct/>
              <w:topLinePunct w:val="0"/>
              <w:autoSpaceDE/>
              <w:autoSpaceDN/>
              <w:bidi w:val="0"/>
              <w:adjustRightInd/>
              <w:snapToGrid/>
              <w:spacing w:before="0" w:beforeLines="0" w:after="0" w:afterLines="0" w:line="360" w:lineRule="auto"/>
              <w:ind w:leftChars="0"/>
              <w:jc w:val="center"/>
              <w:textAlignment w:val="auto"/>
            </w:pPr>
            <w:r>
              <w:rPr>
                <w:rFonts w:hint="eastAsia"/>
                <w:lang w:val="en-US" w:eastAsia="zh-CN"/>
              </w:rPr>
              <w:t xml:space="preserve">表4.2.1 </w:t>
            </w:r>
            <w:r>
              <w:rPr>
                <w:rFonts w:hint="eastAsia"/>
              </w:rPr>
              <w:t>山店江水功能区划分一览表</w:t>
            </w:r>
          </w:p>
          <w:tbl>
            <w:tblPr>
              <w:tblStyle w:val="20"/>
              <w:tblW w:w="736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70"/>
              <w:gridCol w:w="1020"/>
              <w:gridCol w:w="1928"/>
              <w:gridCol w:w="1785"/>
              <w:gridCol w:w="892"/>
              <w:gridCol w:w="86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 w:hRule="atLeast"/>
                <w:tblHeader/>
                <w:jc w:val="center"/>
              </w:trPr>
              <w:tc>
                <w:tcPr>
                  <w:tcW w:w="870" w:type="dxa"/>
                  <w:vMerge w:val="restart"/>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val="0"/>
                      <w:color w:val="auto"/>
                    </w:rPr>
                  </w:pPr>
                  <w:r>
                    <w:rPr>
                      <w:rFonts w:hint="eastAsia" w:ascii="宋体" w:hAnsi="宋体" w:eastAsia="宋体" w:cs="宋体"/>
                      <w:b/>
                      <w:color w:val="auto"/>
                    </w:rPr>
                    <w:t>河流</w:t>
                  </w:r>
                </w:p>
              </w:tc>
              <w:tc>
                <w:tcPr>
                  <w:tcW w:w="1020" w:type="dxa"/>
                  <w:vMerge w:val="restart"/>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val="0"/>
                      <w:color w:val="auto"/>
                    </w:rPr>
                  </w:pPr>
                  <w:r>
                    <w:rPr>
                      <w:rFonts w:hint="eastAsia" w:ascii="宋体" w:hAnsi="宋体" w:eastAsia="宋体" w:cs="宋体"/>
                      <w:b/>
                      <w:color w:val="auto"/>
                    </w:rPr>
                    <w:t>功能区名称</w:t>
                  </w:r>
                </w:p>
              </w:tc>
              <w:tc>
                <w:tcPr>
                  <w:tcW w:w="3713" w:type="dxa"/>
                  <w:gridSpan w:val="2"/>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val="0"/>
                      <w:color w:val="auto"/>
                    </w:rPr>
                  </w:pPr>
                  <w:r>
                    <w:rPr>
                      <w:rFonts w:hint="eastAsia" w:ascii="宋体" w:hAnsi="宋体" w:eastAsia="宋体" w:cs="宋体"/>
                      <w:b/>
                      <w:color w:val="auto"/>
                    </w:rPr>
                    <w:t>范围</w:t>
                  </w:r>
                </w:p>
              </w:tc>
              <w:tc>
                <w:tcPr>
                  <w:tcW w:w="892" w:type="dxa"/>
                  <w:vMerge w:val="restart"/>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val="0"/>
                      <w:color w:val="auto"/>
                    </w:rPr>
                  </w:pPr>
                  <w:r>
                    <w:rPr>
                      <w:rFonts w:hint="eastAsia" w:ascii="宋体" w:hAnsi="宋体" w:eastAsia="宋体" w:cs="宋体"/>
                      <w:b/>
                      <w:color w:val="auto"/>
                    </w:rPr>
                    <w:t>长度</w:t>
                  </w:r>
                </w:p>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val="0"/>
                      <w:color w:val="auto"/>
                    </w:rPr>
                  </w:pPr>
                  <w:r>
                    <w:rPr>
                      <w:rFonts w:hint="eastAsia" w:ascii="宋体" w:hAnsi="宋体" w:eastAsia="宋体" w:cs="宋体"/>
                      <w:b/>
                      <w:color w:val="auto"/>
                    </w:rPr>
                    <w:t>km</w:t>
                  </w:r>
                </w:p>
              </w:tc>
              <w:tc>
                <w:tcPr>
                  <w:tcW w:w="869" w:type="dxa"/>
                  <w:vMerge w:val="restart"/>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val="0"/>
                      <w:color w:val="auto"/>
                    </w:rPr>
                  </w:pPr>
                  <w:r>
                    <w:rPr>
                      <w:rFonts w:hint="eastAsia" w:ascii="宋体" w:hAnsi="宋体" w:eastAsia="宋体" w:cs="宋体"/>
                      <w:b/>
                      <w:color w:val="auto"/>
                    </w:rPr>
                    <w:t>水质</w:t>
                  </w:r>
                </w:p>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val="0"/>
                      <w:color w:val="auto"/>
                    </w:rPr>
                  </w:pPr>
                  <w:r>
                    <w:rPr>
                      <w:rFonts w:hint="eastAsia" w:ascii="宋体" w:hAnsi="宋体" w:eastAsia="宋体" w:cs="宋体"/>
                      <w:b/>
                      <w:color w:val="auto"/>
                    </w:rPr>
                    <w:t>目标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 w:hRule="atLeast"/>
                <w:jc w:val="center"/>
              </w:trPr>
              <w:tc>
                <w:tcPr>
                  <w:tcW w:w="870" w:type="dxa"/>
                  <w:vMerge w:val="continue"/>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p>
              </w:tc>
              <w:tc>
                <w:tcPr>
                  <w:tcW w:w="1020" w:type="dxa"/>
                  <w:vMerge w:val="continue"/>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p>
              </w:tc>
              <w:tc>
                <w:tcPr>
                  <w:tcW w:w="1928"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起始段面</w:t>
                  </w:r>
                </w:p>
              </w:tc>
              <w:tc>
                <w:tcPr>
                  <w:tcW w:w="1785"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终止断面</w:t>
                  </w:r>
                </w:p>
              </w:tc>
              <w:tc>
                <w:tcPr>
                  <w:tcW w:w="892" w:type="dxa"/>
                  <w:vMerge w:val="continue"/>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p>
              </w:tc>
              <w:tc>
                <w:tcPr>
                  <w:tcW w:w="869" w:type="dxa"/>
                  <w:vMerge w:val="continue"/>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 w:hRule="atLeast"/>
                <w:jc w:val="center"/>
              </w:trPr>
              <w:tc>
                <w:tcPr>
                  <w:tcW w:w="870" w:type="dxa"/>
                  <w:vMerge w:val="restart"/>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山店江</w:t>
                  </w:r>
                </w:p>
              </w:tc>
              <w:tc>
                <w:tcPr>
                  <w:tcW w:w="1020"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bookmarkStart w:id="4" w:name="_Hlk166517486"/>
                  <w:r>
                    <w:rPr>
                      <w:rFonts w:hint="eastAsia" w:ascii="宋体" w:hAnsi="宋体" w:eastAsia="宋体" w:cs="宋体"/>
                      <w:color w:val="auto"/>
                    </w:rPr>
                    <w:t>山店江汝城源头水保护区</w:t>
                  </w:r>
                  <w:bookmarkEnd w:id="4"/>
                </w:p>
              </w:tc>
              <w:tc>
                <w:tcPr>
                  <w:tcW w:w="1928"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汝城县白云仙山脉西麓延寿瑶族乡大塘村</w:t>
                  </w:r>
                </w:p>
              </w:tc>
              <w:tc>
                <w:tcPr>
                  <w:tcW w:w="1785"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汝城县延寿瑶族乡</w:t>
                  </w:r>
                </w:p>
              </w:tc>
              <w:tc>
                <w:tcPr>
                  <w:tcW w:w="892"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 xml:space="preserve">11.7 </w:t>
                  </w:r>
                </w:p>
              </w:tc>
              <w:tc>
                <w:tcPr>
                  <w:tcW w:w="869"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II</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 w:hRule="atLeast"/>
                <w:jc w:val="center"/>
              </w:trPr>
              <w:tc>
                <w:tcPr>
                  <w:tcW w:w="870" w:type="dxa"/>
                  <w:vMerge w:val="continue"/>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p>
              </w:tc>
              <w:tc>
                <w:tcPr>
                  <w:tcW w:w="1020"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山店江汝城县延寿瑶族乡-山店江水库保留区</w:t>
                  </w:r>
                </w:p>
              </w:tc>
              <w:tc>
                <w:tcPr>
                  <w:tcW w:w="1928"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汝城县延寿瑶族乡</w:t>
                  </w:r>
                </w:p>
              </w:tc>
              <w:tc>
                <w:tcPr>
                  <w:tcW w:w="1785"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汝城县文明瑶族乡香岭村</w:t>
                  </w:r>
                </w:p>
              </w:tc>
              <w:tc>
                <w:tcPr>
                  <w:tcW w:w="892"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 xml:space="preserve">23.5 </w:t>
                  </w:r>
                </w:p>
              </w:tc>
              <w:tc>
                <w:tcPr>
                  <w:tcW w:w="869" w:type="dxa"/>
                  <w:vAlign w:val="center"/>
                </w:tcPr>
                <w:p>
                  <w:pPr>
                    <w:pStyle w:val="52"/>
                    <w:pageBreakBefore w:val="0"/>
                    <w:kinsoku/>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rPr>
                  </w:pPr>
                  <w:r>
                    <w:rPr>
                      <w:rFonts w:hint="eastAsia" w:ascii="宋体" w:hAnsi="宋体" w:eastAsia="宋体" w:cs="宋体"/>
                      <w:color w:val="auto"/>
                    </w:rPr>
                    <w:t>III</w:t>
                  </w:r>
                </w:p>
              </w:tc>
            </w:tr>
          </w:tbl>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lang w:val="en-US"/>
              </w:rPr>
            </w:pPr>
            <w:r>
              <w:rPr>
                <w:rFonts w:hint="eastAsia"/>
                <w:lang w:val="en-US"/>
              </w:rPr>
              <w:t>根据调查，项目位于延寿河清江段，源头位于延寿瑶族乡白云村，不在山店江划分水功能区范围内，项目受纳水体延寿河未划定水功能区划，主要排洪功能。</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lang w:val="en-US"/>
              </w:rPr>
            </w:pPr>
            <w:r>
              <w:rPr>
                <w:rFonts w:hint="eastAsia"/>
                <w:lang w:val="en-US"/>
              </w:rPr>
              <w:t>根据郴州市生态环境局出具的《关于郴州祺祥矿业有限公司清江尾矿库扩容提质改造及尾矿库资源综合回收利用项目环境影响评价执行标准的函》，延寿河清江段地表水水质执行《地表水环境质量标准》（GB3838-2002）Ⅲ类标准，水质目标为III类。</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1" w:firstLineChars="200"/>
              <w:jc w:val="both"/>
              <w:textAlignment w:val="auto"/>
              <w:outlineLvl w:val="1"/>
              <w:rPr>
                <w:rFonts w:hint="eastAsia"/>
                <w:b/>
                <w:bCs/>
                <w:lang w:val="en-US"/>
              </w:rPr>
            </w:pPr>
            <w:r>
              <w:rPr>
                <w:rFonts w:hint="eastAsia" w:ascii="Calibri" w:hAnsi="Calibri" w:eastAsia="宋体" w:cs="Times New Roman"/>
                <w:b/>
                <w:bCs/>
                <w:kern w:val="2"/>
                <w:sz w:val="21"/>
                <w:szCs w:val="24"/>
                <w:lang w:val="en-US" w:eastAsia="zh-CN" w:bidi="ar-SA"/>
                <w14:ligatures w14:val="none"/>
              </w:rPr>
              <w:t>2.</w:t>
            </w:r>
            <w:r>
              <w:rPr>
                <w:rFonts w:hint="eastAsia"/>
                <w:b/>
                <w:bCs/>
                <w:lang w:val="en-US"/>
              </w:rPr>
              <w:t>水环境状况及变化特征</w:t>
            </w:r>
          </w:p>
          <w:p>
            <w:pPr>
              <w:pStyle w:val="51"/>
              <w:ind w:firstLine="482"/>
              <w:rPr>
                <w:b/>
              </w:rPr>
            </w:pPr>
            <w:r>
              <w:rPr>
                <w:rFonts w:hint="eastAsia"/>
                <w:b/>
              </w:rPr>
              <w:t>（1）水环境状况</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u w:val="none"/>
              </w:rPr>
            </w:pPr>
            <w:r>
              <w:rPr>
                <w:rFonts w:hint="eastAsia"/>
                <w:u w:val="none"/>
              </w:rPr>
              <w:t>根据</w:t>
            </w:r>
            <w:r>
              <w:rPr>
                <w:rFonts w:hint="eastAsia"/>
                <w:u w:val="none"/>
                <w:lang w:val="en-US" w:eastAsia="zh-CN"/>
              </w:rPr>
              <w:t>本项目环评报告</w:t>
            </w:r>
            <w:r>
              <w:rPr>
                <w:rFonts w:hint="eastAsia"/>
                <w:u w:val="none"/>
              </w:rPr>
              <w:t>中监测数据统计可知，延寿河清江段枯水期和丰水期各监测断面中各因子浓度值均能够满足《地表水环境质量标准》（GB3838-2002）Ⅲ类标准要求。</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u w:val="none"/>
              </w:rPr>
            </w:pPr>
            <w:r>
              <w:rPr>
                <w:rFonts w:hint="eastAsia"/>
                <w:u w:val="none"/>
              </w:rPr>
              <w:t>同时，本项目收集了汝城县环境监测站提供的山店江2024年6月</w:t>
            </w:r>
            <w:r>
              <w:rPr>
                <w:u w:val="none"/>
              </w:rPr>
              <w:t>~8</w:t>
            </w:r>
            <w:r>
              <w:rPr>
                <w:rFonts w:hint="eastAsia"/>
                <w:u w:val="none"/>
              </w:rPr>
              <w:t>月的水质水质监测数据，以及郴州市东江湖水环境保护局近2</w:t>
            </w:r>
            <w:r>
              <w:rPr>
                <w:u w:val="none"/>
              </w:rPr>
              <w:t>024</w:t>
            </w:r>
            <w:r>
              <w:rPr>
                <w:rFonts w:hint="eastAsia"/>
                <w:u w:val="none"/>
              </w:rPr>
              <w:t>年、2</w:t>
            </w:r>
            <w:r>
              <w:rPr>
                <w:u w:val="none"/>
              </w:rPr>
              <w:t>025</w:t>
            </w:r>
            <w:r>
              <w:rPr>
                <w:rFonts w:hint="eastAsia"/>
                <w:u w:val="none"/>
              </w:rPr>
              <w:t>年抽检的汝城县三店江（三合村）河段水质指标数据，其监测结果如下所示。</w:t>
            </w:r>
          </w:p>
          <w:p>
            <w:pPr>
              <w:pStyle w:val="53"/>
              <w:numPr>
                <w:ilvl w:val="4"/>
                <w:numId w:val="0"/>
              </w:numPr>
              <w:spacing w:before="163" w:after="163"/>
              <w:ind w:left="0" w:leftChars="0" w:firstLine="0" w:firstLineChars="0"/>
              <w:rPr>
                <w:b w:val="0"/>
                <w:bCs/>
                <w:u w:val="single"/>
              </w:rPr>
            </w:pPr>
            <w:r>
              <w:rPr>
                <w:rFonts w:hint="default" w:ascii="Times New Roman" w:hAnsi="Times New Roman" w:eastAsia="宋体" w:cs="Times New Roman"/>
                <w:b w:val="0"/>
                <w:bCs/>
                <w:i w:val="0"/>
                <w:iCs w:val="0"/>
                <w:caps w:val="0"/>
                <w:strike w:val="0"/>
                <w:dstrike w:val="0"/>
                <w:vanish w:val="0"/>
                <w:color w:val="000000"/>
                <w:spacing w:val="0"/>
                <w:kern w:val="2"/>
                <w:position w:val="0"/>
                <w:sz w:val="21"/>
                <w:szCs w:val="32"/>
                <w:u w:val="none"/>
                <w:vertAlign w:val="baseline"/>
                <w:lang w:val="zh-CN" w:eastAsia="zh-CN" w:bidi="ar-SA"/>
                <w14:shadow w14:blurRad="0" w14:dist="0" w14:dir="0" w14:sx="0" w14:sy="0" w14:kx="0" w14:ky="0" w14:algn="none">
                  <w14:srgbClr w14:val="000000"/>
                </w14:shadow>
              </w:rPr>
              <w:t>表</w:t>
            </w:r>
            <w:r>
              <w:rPr>
                <w:rFonts w:hint="eastAsia" w:cs="Times New Roman"/>
                <w:b w:val="0"/>
                <w:bCs/>
                <w:i w:val="0"/>
                <w:iCs w:val="0"/>
                <w:caps w:val="0"/>
                <w:strike w:val="0"/>
                <w:dstrike w:val="0"/>
                <w:vanish w:val="0"/>
                <w:color w:val="000000"/>
                <w:spacing w:val="0"/>
                <w:kern w:val="2"/>
                <w:position w:val="0"/>
                <w:sz w:val="21"/>
                <w:szCs w:val="32"/>
                <w:u w:val="none"/>
                <w:vertAlign w:val="baseline"/>
                <w:lang w:val="en-US" w:eastAsia="zh-CN" w:bidi="ar-SA"/>
                <w14:shadow w14:blurRad="0" w14:dist="0" w14:dir="0" w14:sx="0" w14:sy="0" w14:kx="0" w14:ky="0" w14:algn="none">
                  <w14:srgbClr w14:val="000000"/>
                </w14:shadow>
              </w:rPr>
              <w:t>4.2.2</w:t>
            </w:r>
            <w:r>
              <w:rPr>
                <w:rFonts w:hint="eastAsia"/>
                <w:b w:val="0"/>
                <w:bCs/>
                <w:u w:val="none"/>
              </w:rPr>
              <w:t>山店江（山店江桥）水质监测结果   单位：mg</w:t>
            </w:r>
            <w:r>
              <w:rPr>
                <w:b w:val="0"/>
                <w:bCs/>
                <w:u w:val="none"/>
              </w:rPr>
              <w:t>/L</w:t>
            </w:r>
          </w:p>
          <w:tbl>
            <w:tblPr>
              <w:tblStyle w:val="20"/>
              <w:tblW w:w="728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54"/>
              <w:gridCol w:w="794"/>
              <w:gridCol w:w="1181"/>
              <w:gridCol w:w="1181"/>
              <w:gridCol w:w="1182"/>
              <w:gridCol w:w="624"/>
              <w:gridCol w:w="624"/>
              <w:gridCol w:w="624"/>
              <w:gridCol w:w="62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454" w:type="dxa"/>
                  <w:vMerge w:val="restart"/>
                  <w:noWrap/>
                  <w:vAlign w:val="center"/>
                </w:tcPr>
                <w:p>
                  <w:pPr>
                    <w:pStyle w:val="52"/>
                    <w:rPr>
                      <w:rFonts w:hint="eastAsia" w:ascii="宋体" w:hAnsi="宋体" w:eastAsia="宋体" w:cs="宋体"/>
                      <w:b/>
                      <w:color w:val="auto"/>
                      <w:sz w:val="18"/>
                      <w:szCs w:val="18"/>
                      <w:u w:val="single"/>
                    </w:rPr>
                  </w:pPr>
                  <w:r>
                    <w:rPr>
                      <w:rFonts w:hint="eastAsia" w:ascii="宋体" w:hAnsi="宋体" w:eastAsia="宋体" w:cs="宋体"/>
                      <w:b/>
                      <w:color w:val="auto"/>
                      <w:sz w:val="18"/>
                      <w:szCs w:val="18"/>
                      <w:u w:val="single"/>
                    </w:rPr>
                    <w:t>断面</w:t>
                  </w:r>
                </w:p>
              </w:tc>
              <w:tc>
                <w:tcPr>
                  <w:tcW w:w="794" w:type="dxa"/>
                  <w:vMerge w:val="restart"/>
                  <w:vAlign w:val="center"/>
                </w:tcPr>
                <w:p>
                  <w:pPr>
                    <w:pStyle w:val="52"/>
                    <w:rPr>
                      <w:rFonts w:hint="eastAsia" w:ascii="宋体" w:hAnsi="宋体" w:eastAsia="宋体" w:cs="宋体"/>
                      <w:b/>
                      <w:color w:val="auto"/>
                      <w:sz w:val="18"/>
                      <w:szCs w:val="18"/>
                      <w:u w:val="single"/>
                    </w:rPr>
                  </w:pPr>
                  <w:r>
                    <w:rPr>
                      <w:rFonts w:hint="eastAsia" w:ascii="宋体" w:hAnsi="宋体" w:eastAsia="宋体" w:cs="宋体"/>
                      <w:b/>
                      <w:color w:val="auto"/>
                      <w:sz w:val="18"/>
                      <w:szCs w:val="18"/>
                      <w:u w:val="single"/>
                    </w:rPr>
                    <w:t>监测因子</w:t>
                  </w:r>
                </w:p>
              </w:tc>
              <w:tc>
                <w:tcPr>
                  <w:tcW w:w="3544" w:type="dxa"/>
                  <w:gridSpan w:val="3"/>
                  <w:vAlign w:val="center"/>
                </w:tcPr>
                <w:p>
                  <w:pPr>
                    <w:pStyle w:val="52"/>
                    <w:rPr>
                      <w:rFonts w:hint="eastAsia" w:ascii="宋体" w:hAnsi="宋体" w:eastAsia="宋体" w:cs="宋体"/>
                      <w:b w:val="0"/>
                      <w:color w:val="auto"/>
                      <w:sz w:val="18"/>
                      <w:szCs w:val="18"/>
                      <w:u w:val="single"/>
                    </w:rPr>
                  </w:pPr>
                  <w:r>
                    <w:rPr>
                      <w:rFonts w:hint="eastAsia" w:ascii="宋体" w:hAnsi="宋体" w:eastAsia="宋体" w:cs="宋体"/>
                      <w:b/>
                      <w:color w:val="auto"/>
                      <w:sz w:val="18"/>
                      <w:szCs w:val="18"/>
                      <w:u w:val="single"/>
                    </w:rPr>
                    <w:t>监测结果范围</w:t>
                  </w:r>
                </w:p>
              </w:tc>
              <w:tc>
                <w:tcPr>
                  <w:tcW w:w="624" w:type="dxa"/>
                  <w:vMerge w:val="restart"/>
                  <w:vAlign w:val="center"/>
                </w:tcPr>
                <w:p>
                  <w:pPr>
                    <w:pStyle w:val="52"/>
                    <w:rPr>
                      <w:rFonts w:hint="eastAsia" w:ascii="宋体" w:hAnsi="宋体" w:eastAsia="宋体" w:cs="宋体"/>
                      <w:b/>
                      <w:color w:val="auto"/>
                      <w:sz w:val="18"/>
                      <w:szCs w:val="18"/>
                      <w:u w:val="single"/>
                    </w:rPr>
                  </w:pPr>
                  <w:r>
                    <w:rPr>
                      <w:rFonts w:hint="eastAsia" w:ascii="宋体" w:hAnsi="宋体" w:eastAsia="宋体" w:cs="宋体"/>
                      <w:b/>
                      <w:color w:val="auto"/>
                      <w:sz w:val="18"/>
                      <w:szCs w:val="18"/>
                      <w:u w:val="single"/>
                    </w:rPr>
                    <w:t>超标率%</w:t>
                  </w:r>
                </w:p>
              </w:tc>
              <w:tc>
                <w:tcPr>
                  <w:tcW w:w="624" w:type="dxa"/>
                  <w:vMerge w:val="restart"/>
                  <w:vAlign w:val="center"/>
                </w:tcPr>
                <w:p>
                  <w:pPr>
                    <w:pStyle w:val="52"/>
                    <w:rPr>
                      <w:rFonts w:hint="eastAsia" w:ascii="宋体" w:hAnsi="宋体" w:eastAsia="宋体" w:cs="宋体"/>
                      <w:b/>
                      <w:color w:val="auto"/>
                      <w:sz w:val="18"/>
                      <w:szCs w:val="18"/>
                      <w:u w:val="single"/>
                    </w:rPr>
                  </w:pPr>
                  <w:r>
                    <w:rPr>
                      <w:rFonts w:hint="eastAsia" w:ascii="宋体" w:hAnsi="宋体" w:eastAsia="宋体" w:cs="宋体"/>
                      <w:b/>
                      <w:color w:val="auto"/>
                      <w:sz w:val="18"/>
                      <w:szCs w:val="18"/>
                      <w:u w:val="single"/>
                    </w:rPr>
                    <w:t>最大超标倍数</w:t>
                  </w:r>
                </w:p>
              </w:tc>
              <w:tc>
                <w:tcPr>
                  <w:tcW w:w="624" w:type="dxa"/>
                  <w:vMerge w:val="restart"/>
                  <w:vAlign w:val="center"/>
                </w:tcPr>
                <w:p>
                  <w:pPr>
                    <w:pStyle w:val="52"/>
                    <w:rPr>
                      <w:rFonts w:hint="eastAsia" w:ascii="宋体" w:hAnsi="宋体" w:eastAsia="宋体" w:cs="宋体"/>
                      <w:b/>
                      <w:color w:val="auto"/>
                      <w:sz w:val="18"/>
                      <w:szCs w:val="18"/>
                      <w:u w:val="single"/>
                    </w:rPr>
                  </w:pPr>
                  <w:r>
                    <w:rPr>
                      <w:rFonts w:hint="eastAsia" w:ascii="宋体" w:hAnsi="宋体" w:eastAsia="宋体" w:cs="宋体"/>
                      <w:b/>
                      <w:color w:val="auto"/>
                      <w:sz w:val="18"/>
                      <w:szCs w:val="18"/>
                      <w:u w:val="single"/>
                    </w:rPr>
                    <w:t>标准</w:t>
                  </w:r>
                </w:p>
                <w:p>
                  <w:pPr>
                    <w:pStyle w:val="52"/>
                    <w:rPr>
                      <w:rFonts w:hint="eastAsia" w:ascii="宋体" w:hAnsi="宋体" w:eastAsia="宋体" w:cs="宋体"/>
                      <w:b/>
                      <w:color w:val="auto"/>
                      <w:sz w:val="18"/>
                      <w:szCs w:val="18"/>
                      <w:u w:val="single"/>
                    </w:rPr>
                  </w:pPr>
                  <w:r>
                    <w:rPr>
                      <w:rFonts w:hint="eastAsia" w:ascii="宋体" w:hAnsi="宋体" w:eastAsia="宋体" w:cs="宋体"/>
                      <w:b/>
                      <w:color w:val="auto"/>
                      <w:sz w:val="18"/>
                      <w:szCs w:val="18"/>
                      <w:u w:val="single"/>
                    </w:rPr>
                    <w:t>限值</w:t>
                  </w:r>
                </w:p>
              </w:tc>
              <w:tc>
                <w:tcPr>
                  <w:tcW w:w="624" w:type="dxa"/>
                  <w:vMerge w:val="restart"/>
                  <w:vAlign w:val="center"/>
                </w:tcPr>
                <w:p>
                  <w:pPr>
                    <w:pStyle w:val="52"/>
                    <w:rPr>
                      <w:rFonts w:hint="eastAsia" w:ascii="宋体" w:hAnsi="宋体" w:eastAsia="宋体" w:cs="宋体"/>
                      <w:b/>
                      <w:color w:val="auto"/>
                      <w:sz w:val="18"/>
                      <w:szCs w:val="18"/>
                      <w:u w:val="single"/>
                    </w:rPr>
                  </w:pPr>
                  <w:r>
                    <w:rPr>
                      <w:rFonts w:hint="eastAsia" w:ascii="宋体" w:hAnsi="宋体" w:eastAsia="宋体" w:cs="宋体"/>
                      <w:b/>
                      <w:color w:val="auto"/>
                      <w:sz w:val="18"/>
                      <w:szCs w:val="18"/>
                      <w:u w:val="single"/>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noWrap/>
                  <w:vAlign w:val="center"/>
                </w:tcPr>
                <w:p>
                  <w:pPr>
                    <w:pStyle w:val="52"/>
                    <w:rPr>
                      <w:rFonts w:hint="eastAsia" w:ascii="宋体" w:hAnsi="宋体" w:eastAsia="宋体" w:cs="宋体"/>
                      <w:color w:val="auto"/>
                      <w:sz w:val="18"/>
                      <w:szCs w:val="18"/>
                      <w:u w:val="single"/>
                    </w:rPr>
                  </w:pPr>
                </w:p>
              </w:tc>
              <w:tc>
                <w:tcPr>
                  <w:tcW w:w="794" w:type="dxa"/>
                  <w:vMerge w:val="continue"/>
                  <w:vAlign w:val="center"/>
                </w:tcPr>
                <w:p>
                  <w:pPr>
                    <w:pStyle w:val="52"/>
                    <w:rPr>
                      <w:rFonts w:hint="eastAsia" w:ascii="宋体" w:hAnsi="宋体" w:eastAsia="宋体" w:cs="宋体"/>
                      <w:color w:val="auto"/>
                      <w:sz w:val="18"/>
                      <w:szCs w:val="18"/>
                      <w:u w:val="single"/>
                    </w:rPr>
                  </w:pP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2024.06.18</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2024.07.17</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2024.08.14</w:t>
                  </w:r>
                </w:p>
              </w:tc>
              <w:tc>
                <w:tcPr>
                  <w:tcW w:w="624" w:type="dxa"/>
                  <w:vMerge w:val="continue"/>
                  <w:vAlign w:val="center"/>
                </w:tcPr>
                <w:p>
                  <w:pPr>
                    <w:pStyle w:val="52"/>
                    <w:rPr>
                      <w:rFonts w:hint="eastAsia" w:ascii="宋体" w:hAnsi="宋体" w:eastAsia="宋体" w:cs="宋体"/>
                      <w:color w:val="auto"/>
                      <w:sz w:val="18"/>
                      <w:szCs w:val="18"/>
                      <w:u w:val="single"/>
                    </w:rPr>
                  </w:pPr>
                </w:p>
              </w:tc>
              <w:tc>
                <w:tcPr>
                  <w:tcW w:w="624" w:type="dxa"/>
                  <w:vMerge w:val="continue"/>
                  <w:vAlign w:val="center"/>
                </w:tcPr>
                <w:p>
                  <w:pPr>
                    <w:pStyle w:val="52"/>
                    <w:rPr>
                      <w:rFonts w:hint="eastAsia" w:ascii="宋体" w:hAnsi="宋体" w:eastAsia="宋体" w:cs="宋体"/>
                      <w:color w:val="auto"/>
                      <w:sz w:val="18"/>
                      <w:szCs w:val="18"/>
                      <w:u w:val="single"/>
                    </w:rPr>
                  </w:pPr>
                </w:p>
              </w:tc>
              <w:tc>
                <w:tcPr>
                  <w:tcW w:w="624" w:type="dxa"/>
                  <w:vMerge w:val="continue"/>
                  <w:vAlign w:val="center"/>
                </w:tcPr>
                <w:p>
                  <w:pPr>
                    <w:pStyle w:val="52"/>
                    <w:rPr>
                      <w:rFonts w:hint="eastAsia" w:ascii="宋体" w:hAnsi="宋体" w:eastAsia="宋体" w:cs="宋体"/>
                      <w:color w:val="auto"/>
                      <w:sz w:val="18"/>
                      <w:szCs w:val="18"/>
                      <w:u w:val="single"/>
                    </w:rPr>
                  </w:pPr>
                </w:p>
              </w:tc>
              <w:tc>
                <w:tcPr>
                  <w:tcW w:w="624" w:type="dxa"/>
                  <w:vMerge w:val="continue"/>
                  <w:vAlign w:val="center"/>
                </w:tcPr>
                <w:p>
                  <w:pPr>
                    <w:pStyle w:val="52"/>
                    <w:rPr>
                      <w:rFonts w:hint="eastAsia" w:ascii="宋体" w:hAnsi="宋体" w:eastAsia="宋体" w:cs="宋体"/>
                      <w:color w:val="auto"/>
                      <w:sz w:val="18"/>
                      <w:szCs w:val="18"/>
                      <w:u w:val="singl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restart"/>
                  <w:noWrap/>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山店江桥</w:t>
                  </w: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溶解氧</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8.9</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9.35</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7.17</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≥5</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高锰酸盐指数</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1.4</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1</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2.6</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6</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COD</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8</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11</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9</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20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BOD</w:t>
                  </w:r>
                  <w:r>
                    <w:rPr>
                      <w:rFonts w:hint="eastAsia" w:ascii="宋体" w:hAnsi="宋体" w:eastAsia="宋体" w:cs="宋体"/>
                      <w:color w:val="auto"/>
                      <w:sz w:val="18"/>
                      <w:szCs w:val="18"/>
                      <w:u w:val="single"/>
                      <w:vertAlign w:val="subscript"/>
                    </w:rPr>
                    <w:t>5</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0.8</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0.8</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2</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4</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氨氮</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0.298</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0.166</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0.112</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1</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总磷</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0.03</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0.1</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0.03</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氟化物</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0.25</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0.45</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0.18</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1</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硫化物</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铜</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0.00103</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0.00093</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0.00092</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1.0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锌</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0.00992</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0.0114</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0.0142</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1.0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汞</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0.0001</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镉</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0.005</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砷</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0.0089</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0.0049</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0.036</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0.05</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铅</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0.05</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4" w:type="dxa"/>
                  <w:vMerge w:val="continue"/>
                  <w:vAlign w:val="center"/>
                </w:tcPr>
                <w:p>
                  <w:pPr>
                    <w:pStyle w:val="52"/>
                    <w:rPr>
                      <w:rFonts w:hint="eastAsia" w:ascii="宋体" w:hAnsi="宋体" w:eastAsia="宋体" w:cs="宋体"/>
                      <w:color w:val="auto"/>
                      <w:sz w:val="18"/>
                      <w:szCs w:val="18"/>
                      <w:u w:val="single"/>
                    </w:rPr>
                  </w:pPr>
                </w:p>
              </w:tc>
              <w:tc>
                <w:tcPr>
                  <w:tcW w:w="79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氰化物</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1"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1182"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ND</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w:t>
                  </w:r>
                </w:p>
              </w:tc>
              <w:tc>
                <w:tcPr>
                  <w:tcW w:w="624" w:type="dxa"/>
                  <w:vAlign w:val="center"/>
                </w:tcPr>
                <w:p>
                  <w:pPr>
                    <w:pStyle w:val="52"/>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达标</w:t>
                  </w:r>
                </w:p>
              </w:tc>
            </w:tr>
          </w:tbl>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u w:val="none"/>
              </w:rPr>
            </w:pPr>
            <w:r>
              <w:rPr>
                <w:rFonts w:hint="eastAsia"/>
                <w:u w:val="none"/>
              </w:rPr>
              <w:t>由上表可知，项目区域山店江（山店江桥）断面2024年6月</w:t>
            </w:r>
            <w:r>
              <w:rPr>
                <w:u w:val="none"/>
              </w:rPr>
              <w:t>~8</w:t>
            </w:r>
            <w:r>
              <w:rPr>
                <w:rFonts w:hint="eastAsia"/>
                <w:u w:val="none"/>
              </w:rPr>
              <w:t>月的地表水环境质量可达到《地表水环境质量标准》（GB3838-2002）中的</w:t>
            </w:r>
            <w:r>
              <w:rPr>
                <w:u w:val="none"/>
              </w:rPr>
              <w:t>III</w:t>
            </w:r>
            <w:r>
              <w:rPr>
                <w:rFonts w:hint="eastAsia"/>
                <w:u w:val="none"/>
              </w:rPr>
              <w:t>类标准，2024年6月</w:t>
            </w:r>
            <w:r>
              <w:rPr>
                <w:u w:val="none"/>
              </w:rPr>
              <w:t>~8</w:t>
            </w:r>
            <w:r>
              <w:rPr>
                <w:rFonts w:hint="eastAsia"/>
                <w:u w:val="none"/>
              </w:rPr>
              <w:t>月监测期间，山店江水质无明显变化。</w:t>
            </w:r>
          </w:p>
          <w:p>
            <w:pPr>
              <w:pStyle w:val="53"/>
              <w:numPr>
                <w:ilvl w:val="4"/>
                <w:numId w:val="0"/>
              </w:numPr>
              <w:spacing w:before="163" w:after="163"/>
              <w:ind w:left="0" w:leftChars="0" w:firstLine="0" w:firstLineChars="0"/>
              <w:rPr>
                <w:b w:val="0"/>
                <w:bCs/>
                <w:u w:val="none"/>
              </w:rPr>
            </w:pPr>
            <w:r>
              <w:rPr>
                <w:rFonts w:hint="default" w:ascii="Times New Roman" w:hAnsi="Times New Roman" w:eastAsia="宋体" w:cs="Times New Roman"/>
                <w:b w:val="0"/>
                <w:bCs/>
                <w:i w:val="0"/>
                <w:iCs w:val="0"/>
                <w:caps w:val="0"/>
                <w:strike w:val="0"/>
                <w:dstrike w:val="0"/>
                <w:vanish w:val="0"/>
                <w:color w:val="000000"/>
                <w:spacing w:val="0"/>
                <w:kern w:val="2"/>
                <w:position w:val="0"/>
                <w:sz w:val="21"/>
                <w:szCs w:val="32"/>
                <w:u w:val="none"/>
                <w:vertAlign w:val="baseline"/>
                <w:lang w:val="zh-CN" w:eastAsia="zh-CN" w:bidi="ar-SA"/>
                <w14:shadow w14:blurRad="0" w14:dist="0" w14:dir="0" w14:sx="0" w14:sy="0" w14:kx="0" w14:ky="0" w14:algn="none">
                  <w14:srgbClr w14:val="000000"/>
                </w14:shadow>
              </w:rPr>
              <w:t>表</w:t>
            </w:r>
            <w:r>
              <w:rPr>
                <w:rFonts w:hint="eastAsia" w:cs="Times New Roman"/>
                <w:b w:val="0"/>
                <w:bCs/>
                <w:i w:val="0"/>
                <w:iCs w:val="0"/>
                <w:caps w:val="0"/>
                <w:strike w:val="0"/>
                <w:dstrike w:val="0"/>
                <w:vanish w:val="0"/>
                <w:color w:val="000000"/>
                <w:spacing w:val="0"/>
                <w:kern w:val="2"/>
                <w:position w:val="0"/>
                <w:sz w:val="21"/>
                <w:szCs w:val="32"/>
                <w:u w:val="none"/>
                <w:vertAlign w:val="baseline"/>
                <w:lang w:val="en-US" w:eastAsia="zh-CN" w:bidi="ar-SA"/>
                <w14:shadow w14:blurRad="0" w14:dist="0" w14:dir="0" w14:sx="0" w14:sy="0" w14:kx="0" w14:ky="0" w14:algn="none">
                  <w14:srgbClr w14:val="000000"/>
                </w14:shadow>
              </w:rPr>
              <w:t>4.2.3</w:t>
            </w:r>
            <w:r>
              <w:rPr>
                <w:rFonts w:hint="default" w:ascii="Times New Roman" w:hAnsi="Times New Roman" w:eastAsia="宋体" w:cs="Times New Roman"/>
                <w:b w:val="0"/>
                <w:bCs/>
                <w:i w:val="0"/>
                <w:iCs w:val="0"/>
                <w:caps w:val="0"/>
                <w:strike w:val="0"/>
                <w:dstrike w:val="0"/>
                <w:vanish w:val="0"/>
                <w:color w:val="000000"/>
                <w:spacing w:val="0"/>
                <w:kern w:val="2"/>
                <w:position w:val="0"/>
                <w:sz w:val="21"/>
                <w:szCs w:val="32"/>
                <w:u w:val="none"/>
                <w:vertAlign w:val="baseline"/>
                <w:lang w:val="zh-CN" w:eastAsia="zh-CN" w:bidi="ar-SA"/>
                <w14:shadow w14:blurRad="0" w14:dist="0" w14:dir="0" w14:sx="0" w14:sy="0" w14:kx="0" w14:ky="0" w14:algn="none">
                  <w14:srgbClr w14:val="000000"/>
                </w14:shadow>
              </w:rPr>
              <w:t xml:space="preserve">  </w:t>
            </w:r>
            <w:r>
              <w:rPr>
                <w:rFonts w:hint="eastAsia"/>
                <w:b w:val="0"/>
                <w:bCs/>
                <w:u w:val="none"/>
              </w:rPr>
              <w:t>山店江（三合村）水质监测结果   单位：mg</w:t>
            </w:r>
            <w:r>
              <w:rPr>
                <w:b w:val="0"/>
                <w:bCs/>
                <w:u w:val="none"/>
              </w:rPr>
              <w:t>/L</w:t>
            </w:r>
          </w:p>
          <w:tbl>
            <w:tblPr>
              <w:tblStyle w:val="20"/>
              <w:tblW w:w="73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03"/>
              <w:gridCol w:w="1134"/>
              <w:gridCol w:w="1276"/>
              <w:gridCol w:w="1275"/>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tblHeader/>
                <w:jc w:val="center"/>
              </w:trPr>
              <w:tc>
                <w:tcPr>
                  <w:tcW w:w="1403" w:type="dxa"/>
                  <w:vMerge w:val="restart"/>
                  <w:noWrap/>
                  <w:vAlign w:val="center"/>
                </w:tcPr>
                <w:p>
                  <w:pPr>
                    <w:pStyle w:val="52"/>
                    <w:rPr>
                      <w:rFonts w:hint="eastAsia" w:ascii="宋体" w:hAnsi="宋体" w:eastAsia="宋体" w:cs="宋体"/>
                      <w:b/>
                      <w:color w:val="auto"/>
                      <w:sz w:val="18"/>
                      <w:szCs w:val="18"/>
                    </w:rPr>
                  </w:pPr>
                  <w:r>
                    <w:rPr>
                      <w:rFonts w:hint="eastAsia" w:ascii="宋体" w:hAnsi="宋体" w:eastAsia="宋体" w:cs="宋体"/>
                      <w:b/>
                      <w:color w:val="auto"/>
                      <w:sz w:val="18"/>
                      <w:szCs w:val="18"/>
                    </w:rPr>
                    <w:t>断面</w:t>
                  </w:r>
                </w:p>
              </w:tc>
              <w:tc>
                <w:tcPr>
                  <w:tcW w:w="1134" w:type="dxa"/>
                  <w:vMerge w:val="restart"/>
                  <w:vAlign w:val="center"/>
                </w:tcPr>
                <w:p>
                  <w:pPr>
                    <w:pStyle w:val="52"/>
                    <w:rPr>
                      <w:rFonts w:hint="eastAsia" w:ascii="宋体" w:hAnsi="宋体" w:eastAsia="宋体" w:cs="宋体"/>
                      <w:b/>
                      <w:color w:val="auto"/>
                      <w:sz w:val="18"/>
                      <w:szCs w:val="18"/>
                    </w:rPr>
                  </w:pPr>
                  <w:r>
                    <w:rPr>
                      <w:rFonts w:hint="eastAsia" w:ascii="宋体" w:hAnsi="宋体" w:eastAsia="宋体" w:cs="宋体"/>
                      <w:b/>
                      <w:color w:val="auto"/>
                      <w:sz w:val="18"/>
                      <w:szCs w:val="18"/>
                    </w:rPr>
                    <w:t>监测因子</w:t>
                  </w:r>
                </w:p>
              </w:tc>
              <w:tc>
                <w:tcPr>
                  <w:tcW w:w="2551" w:type="dxa"/>
                  <w:gridSpan w:val="2"/>
                  <w:vAlign w:val="center"/>
                </w:tcPr>
                <w:p>
                  <w:pPr>
                    <w:pStyle w:val="52"/>
                    <w:rPr>
                      <w:rFonts w:hint="eastAsia" w:ascii="宋体" w:hAnsi="宋体" w:eastAsia="宋体" w:cs="宋体"/>
                      <w:b/>
                      <w:color w:val="auto"/>
                      <w:sz w:val="18"/>
                      <w:szCs w:val="18"/>
                    </w:rPr>
                  </w:pPr>
                  <w:r>
                    <w:rPr>
                      <w:rFonts w:hint="eastAsia" w:ascii="宋体" w:hAnsi="宋体" w:eastAsia="宋体" w:cs="宋体"/>
                      <w:b/>
                      <w:color w:val="auto"/>
                      <w:sz w:val="18"/>
                      <w:szCs w:val="18"/>
                    </w:rPr>
                    <w:t>监测结果范围</w:t>
                  </w:r>
                </w:p>
              </w:tc>
              <w:tc>
                <w:tcPr>
                  <w:tcW w:w="567" w:type="dxa"/>
                  <w:vMerge w:val="restart"/>
                  <w:vAlign w:val="center"/>
                </w:tcPr>
                <w:p>
                  <w:pPr>
                    <w:pStyle w:val="52"/>
                    <w:rPr>
                      <w:rFonts w:hint="eastAsia" w:ascii="宋体" w:hAnsi="宋体" w:eastAsia="宋体" w:cs="宋体"/>
                      <w:b/>
                      <w:color w:val="auto"/>
                      <w:sz w:val="18"/>
                      <w:szCs w:val="18"/>
                    </w:rPr>
                  </w:pPr>
                  <w:r>
                    <w:rPr>
                      <w:rFonts w:hint="eastAsia" w:ascii="宋体" w:hAnsi="宋体" w:eastAsia="宋体" w:cs="宋体"/>
                      <w:b/>
                      <w:color w:val="auto"/>
                      <w:sz w:val="18"/>
                      <w:szCs w:val="18"/>
                    </w:rPr>
                    <w:t>超标率%</w:t>
                  </w:r>
                </w:p>
              </w:tc>
              <w:tc>
                <w:tcPr>
                  <w:tcW w:w="567" w:type="dxa"/>
                  <w:vMerge w:val="restart"/>
                  <w:vAlign w:val="center"/>
                </w:tcPr>
                <w:p>
                  <w:pPr>
                    <w:pStyle w:val="52"/>
                    <w:rPr>
                      <w:rFonts w:hint="eastAsia" w:ascii="宋体" w:hAnsi="宋体" w:eastAsia="宋体" w:cs="宋体"/>
                      <w:b/>
                      <w:color w:val="auto"/>
                      <w:sz w:val="18"/>
                      <w:szCs w:val="18"/>
                    </w:rPr>
                  </w:pPr>
                  <w:r>
                    <w:rPr>
                      <w:rFonts w:hint="eastAsia" w:ascii="宋体" w:hAnsi="宋体" w:eastAsia="宋体" w:cs="宋体"/>
                      <w:b/>
                      <w:color w:val="auto"/>
                      <w:sz w:val="18"/>
                      <w:szCs w:val="18"/>
                    </w:rPr>
                    <w:t>最大超标倍数</w:t>
                  </w:r>
                </w:p>
              </w:tc>
              <w:tc>
                <w:tcPr>
                  <w:tcW w:w="567" w:type="dxa"/>
                  <w:vMerge w:val="restart"/>
                  <w:vAlign w:val="center"/>
                </w:tcPr>
                <w:p>
                  <w:pPr>
                    <w:pStyle w:val="52"/>
                    <w:rPr>
                      <w:rFonts w:hint="eastAsia" w:ascii="宋体" w:hAnsi="宋体" w:eastAsia="宋体" w:cs="宋体"/>
                      <w:b/>
                      <w:color w:val="auto"/>
                      <w:sz w:val="18"/>
                      <w:szCs w:val="18"/>
                    </w:rPr>
                  </w:pPr>
                  <w:r>
                    <w:rPr>
                      <w:rFonts w:hint="eastAsia" w:ascii="宋体" w:hAnsi="宋体" w:eastAsia="宋体" w:cs="宋体"/>
                      <w:b/>
                      <w:color w:val="auto"/>
                      <w:sz w:val="18"/>
                      <w:szCs w:val="18"/>
                    </w:rPr>
                    <w:t>标准</w:t>
                  </w:r>
                </w:p>
                <w:p>
                  <w:pPr>
                    <w:pStyle w:val="52"/>
                    <w:rPr>
                      <w:rFonts w:hint="eastAsia" w:ascii="宋体" w:hAnsi="宋体" w:eastAsia="宋体" w:cs="宋体"/>
                      <w:b/>
                      <w:color w:val="auto"/>
                      <w:sz w:val="18"/>
                      <w:szCs w:val="18"/>
                    </w:rPr>
                  </w:pPr>
                  <w:r>
                    <w:rPr>
                      <w:rFonts w:hint="eastAsia" w:ascii="宋体" w:hAnsi="宋体" w:eastAsia="宋体" w:cs="宋体"/>
                      <w:b/>
                      <w:color w:val="auto"/>
                      <w:sz w:val="18"/>
                      <w:szCs w:val="18"/>
                    </w:rPr>
                    <w:t>限值</w:t>
                  </w:r>
                </w:p>
              </w:tc>
              <w:tc>
                <w:tcPr>
                  <w:tcW w:w="567" w:type="dxa"/>
                  <w:vMerge w:val="restart"/>
                  <w:vAlign w:val="center"/>
                </w:tcPr>
                <w:p>
                  <w:pPr>
                    <w:pStyle w:val="52"/>
                    <w:rPr>
                      <w:rFonts w:hint="eastAsia" w:ascii="宋体" w:hAnsi="宋体" w:eastAsia="宋体" w:cs="宋体"/>
                      <w:b/>
                      <w:color w:val="auto"/>
                      <w:sz w:val="18"/>
                      <w:szCs w:val="18"/>
                    </w:rPr>
                  </w:pPr>
                  <w:r>
                    <w:rPr>
                      <w:rFonts w:hint="eastAsia" w:ascii="宋体" w:hAnsi="宋体" w:eastAsia="宋体" w:cs="宋体"/>
                      <w:b/>
                      <w:color w:val="auto"/>
                      <w:sz w:val="18"/>
                      <w:szCs w:val="18"/>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03" w:type="dxa"/>
                  <w:vMerge w:val="continue"/>
                  <w:noWrap/>
                  <w:vAlign w:val="center"/>
                </w:tcPr>
                <w:p>
                  <w:pPr>
                    <w:pStyle w:val="52"/>
                    <w:rPr>
                      <w:rFonts w:hint="eastAsia" w:ascii="宋体" w:hAnsi="宋体" w:eastAsia="宋体" w:cs="宋体"/>
                      <w:color w:val="auto"/>
                      <w:sz w:val="18"/>
                      <w:szCs w:val="18"/>
                    </w:rPr>
                  </w:pPr>
                </w:p>
              </w:tc>
              <w:tc>
                <w:tcPr>
                  <w:tcW w:w="1134" w:type="dxa"/>
                  <w:vMerge w:val="continue"/>
                  <w:vAlign w:val="center"/>
                </w:tcPr>
                <w:p>
                  <w:pPr>
                    <w:pStyle w:val="52"/>
                    <w:rPr>
                      <w:rFonts w:hint="eastAsia" w:ascii="宋体" w:hAnsi="宋体" w:eastAsia="宋体" w:cs="宋体"/>
                      <w:color w:val="auto"/>
                      <w:sz w:val="18"/>
                      <w:szCs w:val="18"/>
                    </w:rPr>
                  </w:pPr>
                </w:p>
              </w:tc>
              <w:tc>
                <w:tcPr>
                  <w:tcW w:w="1276"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2024.03.25</w:t>
                  </w:r>
                </w:p>
              </w:tc>
              <w:tc>
                <w:tcPr>
                  <w:tcW w:w="1275"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2025.03.19</w:t>
                  </w:r>
                </w:p>
              </w:tc>
              <w:tc>
                <w:tcPr>
                  <w:tcW w:w="567" w:type="dxa"/>
                  <w:vMerge w:val="continue"/>
                  <w:vAlign w:val="center"/>
                </w:tcPr>
                <w:p>
                  <w:pPr>
                    <w:pStyle w:val="52"/>
                    <w:rPr>
                      <w:rFonts w:hint="eastAsia" w:ascii="宋体" w:hAnsi="宋体" w:eastAsia="宋体" w:cs="宋体"/>
                      <w:color w:val="auto"/>
                      <w:sz w:val="18"/>
                      <w:szCs w:val="18"/>
                    </w:rPr>
                  </w:pPr>
                </w:p>
              </w:tc>
              <w:tc>
                <w:tcPr>
                  <w:tcW w:w="567" w:type="dxa"/>
                  <w:vMerge w:val="continue"/>
                  <w:vAlign w:val="center"/>
                </w:tcPr>
                <w:p>
                  <w:pPr>
                    <w:pStyle w:val="52"/>
                    <w:rPr>
                      <w:rFonts w:hint="eastAsia" w:ascii="宋体" w:hAnsi="宋体" w:eastAsia="宋体" w:cs="宋体"/>
                      <w:color w:val="auto"/>
                      <w:sz w:val="18"/>
                      <w:szCs w:val="18"/>
                    </w:rPr>
                  </w:pPr>
                </w:p>
              </w:tc>
              <w:tc>
                <w:tcPr>
                  <w:tcW w:w="567" w:type="dxa"/>
                  <w:vMerge w:val="continue"/>
                  <w:vAlign w:val="center"/>
                </w:tcPr>
                <w:p>
                  <w:pPr>
                    <w:pStyle w:val="52"/>
                    <w:rPr>
                      <w:rFonts w:hint="eastAsia" w:ascii="宋体" w:hAnsi="宋体" w:eastAsia="宋体" w:cs="宋体"/>
                      <w:color w:val="auto"/>
                      <w:sz w:val="18"/>
                      <w:szCs w:val="18"/>
                    </w:rPr>
                  </w:pPr>
                </w:p>
              </w:tc>
              <w:tc>
                <w:tcPr>
                  <w:tcW w:w="567" w:type="dxa"/>
                  <w:vMerge w:val="continue"/>
                  <w:vAlign w:val="center"/>
                </w:tcPr>
                <w:p>
                  <w:pPr>
                    <w:pStyle w:val="52"/>
                    <w:rPr>
                      <w:rFonts w:hint="eastAsia" w:ascii="宋体" w:hAnsi="宋体"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03" w:type="dxa"/>
                  <w:vMerge w:val="restart"/>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山店江</w:t>
                  </w:r>
                </w:p>
                <w:p>
                  <w:pPr>
                    <w:pStyle w:val="52"/>
                    <w:rPr>
                      <w:rStyle w:val="57"/>
                      <w:rFonts w:hint="eastAsia" w:ascii="宋体" w:hAnsi="宋体" w:eastAsia="宋体" w:cs="宋体"/>
                      <w:color w:val="auto"/>
                      <w:sz w:val="18"/>
                      <w:szCs w:val="18"/>
                    </w:rPr>
                  </w:pPr>
                  <w:r>
                    <w:rPr>
                      <w:rStyle w:val="57"/>
                      <w:rFonts w:hint="eastAsia" w:ascii="宋体" w:hAnsi="宋体" w:eastAsia="宋体" w:cs="宋体"/>
                      <w:color w:val="auto"/>
                      <w:sz w:val="18"/>
                      <w:szCs w:val="18"/>
                    </w:rPr>
                    <w:t>（三合村）</w:t>
                  </w:r>
                </w:p>
                <w:p>
                  <w:pPr>
                    <w:pStyle w:val="52"/>
                    <w:rPr>
                      <w:rFonts w:hint="eastAsia" w:ascii="宋体" w:hAnsi="宋体" w:eastAsia="宋体" w:cs="宋体"/>
                      <w:color w:val="auto"/>
                      <w:sz w:val="18"/>
                      <w:szCs w:val="18"/>
                    </w:rPr>
                  </w:pPr>
                </w:p>
              </w:tc>
              <w:tc>
                <w:tcPr>
                  <w:tcW w:w="1134"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CODcr</w:t>
                  </w:r>
                </w:p>
              </w:tc>
              <w:tc>
                <w:tcPr>
                  <w:tcW w:w="1276"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19</w:t>
                  </w:r>
                </w:p>
              </w:tc>
              <w:tc>
                <w:tcPr>
                  <w:tcW w:w="1275"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03" w:type="dxa"/>
                  <w:vMerge w:val="continue"/>
                  <w:vAlign w:val="center"/>
                </w:tcPr>
                <w:p>
                  <w:pPr>
                    <w:pStyle w:val="52"/>
                    <w:rPr>
                      <w:rFonts w:hint="eastAsia" w:ascii="宋体" w:hAnsi="宋体" w:eastAsia="宋体" w:cs="宋体"/>
                      <w:color w:val="auto"/>
                      <w:sz w:val="18"/>
                      <w:szCs w:val="18"/>
                    </w:rPr>
                  </w:pPr>
                </w:p>
              </w:tc>
              <w:tc>
                <w:tcPr>
                  <w:tcW w:w="1134"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氨氮</w:t>
                  </w:r>
                </w:p>
              </w:tc>
              <w:tc>
                <w:tcPr>
                  <w:tcW w:w="1276"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0.063</w:t>
                  </w:r>
                </w:p>
              </w:tc>
              <w:tc>
                <w:tcPr>
                  <w:tcW w:w="1275"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0.312</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03" w:type="dxa"/>
                  <w:vMerge w:val="continue"/>
                  <w:vAlign w:val="center"/>
                </w:tcPr>
                <w:p>
                  <w:pPr>
                    <w:pStyle w:val="52"/>
                    <w:rPr>
                      <w:rFonts w:hint="eastAsia" w:ascii="宋体" w:hAnsi="宋体" w:eastAsia="宋体" w:cs="宋体"/>
                      <w:color w:val="auto"/>
                      <w:sz w:val="18"/>
                      <w:szCs w:val="18"/>
                    </w:rPr>
                  </w:pPr>
                </w:p>
              </w:tc>
              <w:tc>
                <w:tcPr>
                  <w:tcW w:w="1134"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总氮</w:t>
                  </w:r>
                </w:p>
              </w:tc>
              <w:tc>
                <w:tcPr>
                  <w:tcW w:w="1276"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1.12</w:t>
                  </w:r>
                </w:p>
              </w:tc>
              <w:tc>
                <w:tcPr>
                  <w:tcW w:w="1275"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0.94</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03" w:type="dxa"/>
                  <w:vMerge w:val="continue"/>
                  <w:vAlign w:val="center"/>
                </w:tcPr>
                <w:p>
                  <w:pPr>
                    <w:pStyle w:val="52"/>
                    <w:rPr>
                      <w:rFonts w:hint="eastAsia" w:ascii="宋体" w:hAnsi="宋体" w:eastAsia="宋体" w:cs="宋体"/>
                      <w:color w:val="auto"/>
                      <w:sz w:val="18"/>
                      <w:szCs w:val="18"/>
                    </w:rPr>
                  </w:pPr>
                </w:p>
              </w:tc>
              <w:tc>
                <w:tcPr>
                  <w:tcW w:w="1134"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铜</w:t>
                  </w:r>
                </w:p>
              </w:tc>
              <w:tc>
                <w:tcPr>
                  <w:tcW w:w="1276"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0.00926</w:t>
                  </w:r>
                </w:p>
              </w:tc>
              <w:tc>
                <w:tcPr>
                  <w:tcW w:w="1275"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0.05L</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03" w:type="dxa"/>
                  <w:vMerge w:val="continue"/>
                  <w:vAlign w:val="center"/>
                </w:tcPr>
                <w:p>
                  <w:pPr>
                    <w:pStyle w:val="52"/>
                    <w:rPr>
                      <w:rFonts w:hint="eastAsia" w:ascii="宋体" w:hAnsi="宋体" w:eastAsia="宋体" w:cs="宋体"/>
                      <w:color w:val="auto"/>
                      <w:sz w:val="18"/>
                      <w:szCs w:val="18"/>
                    </w:rPr>
                  </w:pPr>
                </w:p>
              </w:tc>
              <w:tc>
                <w:tcPr>
                  <w:tcW w:w="1134"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砷</w:t>
                  </w:r>
                </w:p>
              </w:tc>
              <w:tc>
                <w:tcPr>
                  <w:tcW w:w="1276"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0.0055</w:t>
                  </w:r>
                </w:p>
              </w:tc>
              <w:tc>
                <w:tcPr>
                  <w:tcW w:w="1275"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0.0322</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0.05</w:t>
                  </w:r>
                </w:p>
              </w:tc>
              <w:tc>
                <w:tcPr>
                  <w:tcW w:w="56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bl>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u w:val="none"/>
              </w:rPr>
            </w:pPr>
            <w:r>
              <w:rPr>
                <w:rFonts w:hint="eastAsia"/>
                <w:u w:val="none"/>
              </w:rPr>
              <w:t>由上表可知，项目区域山店江断面的</w:t>
            </w:r>
            <w:r>
              <w:rPr>
                <w:u w:val="none"/>
              </w:rPr>
              <w:t>COD</w:t>
            </w:r>
            <w:r>
              <w:rPr>
                <w:rFonts w:hint="eastAsia"/>
                <w:u w:val="none"/>
              </w:rPr>
              <w:t>、氨氮、总氮、铜、砷可达到《地表水环境质量标准》（GB3838-2002）中的</w:t>
            </w:r>
            <w:r>
              <w:rPr>
                <w:u w:val="none"/>
              </w:rPr>
              <w:t>III</w:t>
            </w:r>
            <w:r>
              <w:rPr>
                <w:rFonts w:hint="eastAsia"/>
                <w:u w:val="none"/>
              </w:rPr>
              <w:t>类标准。根据2</w:t>
            </w:r>
            <w:r>
              <w:rPr>
                <w:u w:val="none"/>
              </w:rPr>
              <w:t>024</w:t>
            </w:r>
            <w:r>
              <w:rPr>
                <w:rFonts w:hint="eastAsia"/>
                <w:u w:val="none"/>
              </w:rPr>
              <w:t>年、2</w:t>
            </w:r>
            <w:r>
              <w:rPr>
                <w:u w:val="none"/>
              </w:rPr>
              <w:t>025</w:t>
            </w:r>
            <w:r>
              <w:rPr>
                <w:rFonts w:hint="eastAsia"/>
                <w:u w:val="none"/>
              </w:rPr>
              <w:t>年数据对比，山店江（三合村）断面氨氮、砷浓度明显升高，铜浓度明显下降，其余无明显变化。</w:t>
            </w:r>
          </w:p>
          <w:p>
            <w:pPr>
              <w:pStyle w:val="51"/>
              <w:keepNext w:val="0"/>
              <w:keepLines w:val="0"/>
              <w:pageBreakBefore w:val="0"/>
              <w:widowControl w:val="0"/>
              <w:kinsoku/>
              <w:wordWrap/>
              <w:overflowPunct/>
              <w:topLinePunct w:val="0"/>
              <w:autoSpaceDE/>
              <w:autoSpaceDN/>
              <w:bidi w:val="0"/>
              <w:adjustRightInd/>
              <w:snapToGrid/>
              <w:spacing w:line="360" w:lineRule="auto"/>
              <w:ind w:firstLine="421" w:firstLineChars="200"/>
              <w:textAlignment w:val="auto"/>
              <w:rPr>
                <w:b/>
                <w:u w:val="none"/>
              </w:rPr>
            </w:pPr>
            <w:r>
              <w:rPr>
                <w:rFonts w:hint="eastAsia"/>
                <w:b/>
                <w:u w:val="none"/>
              </w:rPr>
              <w:t>（2）变化特征</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u w:val="none"/>
              </w:rPr>
            </w:pPr>
            <w:r>
              <w:rPr>
                <w:rFonts w:hint="eastAsia"/>
                <w:u w:val="none"/>
              </w:rPr>
              <w:t>根据“十四五”郴州市地表水断面、湖南水文公众服务一张图查询及现场调查，项目纳污水体延寿河无国控、省控等水质关心监测断面，排污口下游最近的考核断面为浙水“黄草镇羊兴村公路桥”，位于本排污口下游约</w:t>
            </w:r>
            <w:r>
              <w:rPr>
                <w:u w:val="none"/>
              </w:rPr>
              <w:t>32</w:t>
            </w:r>
            <w:r>
              <w:rPr>
                <w:rFonts w:hint="eastAsia"/>
                <w:u w:val="none"/>
              </w:rPr>
              <w:t>km，断面属性为县界（汝城县-资兴市），“十四五”水质目标为II类。</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u w:val="none"/>
              </w:rPr>
              <w:t>本次收集了汝城县环境监测站提供的黄草镇羊兴村公路桥断面近5年（2020年~202</w:t>
            </w:r>
            <w:r>
              <w:rPr>
                <w:u w:val="none"/>
              </w:rPr>
              <w:t>4</w:t>
            </w:r>
            <w:r>
              <w:rPr>
                <w:rFonts w:hint="eastAsia"/>
                <w:u w:val="none"/>
              </w:rPr>
              <w:t>年）的水质报表，主要污染因子监测结果如下所示。</w:t>
            </w:r>
          </w:p>
          <w:p>
            <w:pPr>
              <w:pStyle w:val="53"/>
              <w:numPr>
                <w:ilvl w:val="4"/>
                <w:numId w:val="0"/>
              </w:numPr>
              <w:spacing w:before="163" w:after="163"/>
              <w:ind w:left="0" w:leftChars="0" w:firstLine="0" w:firstLineChars="0"/>
              <w:rPr>
                <w:b w:val="0"/>
                <w:bCs/>
              </w:rPr>
            </w:pPr>
            <w:r>
              <w:rPr>
                <w:rFonts w:hint="default" w:ascii="Times New Roman" w:hAnsi="Times New Roman" w:eastAsia="宋体" w:cs="Times New Roman"/>
                <w:b w:val="0"/>
                <w:bCs/>
                <w:i w:val="0"/>
                <w:iCs w:val="0"/>
                <w:caps w:val="0"/>
                <w:strike w:val="0"/>
                <w:dstrike w:val="0"/>
                <w:vanish w:val="0"/>
                <w:color w:val="000000"/>
                <w:spacing w:val="0"/>
                <w:kern w:val="2"/>
                <w:position w:val="0"/>
                <w:sz w:val="21"/>
                <w:szCs w:val="32"/>
                <w:u w:val="none"/>
                <w:vertAlign w:val="baseline"/>
                <w:lang w:val="zh-CN" w:eastAsia="zh-CN" w:bidi="ar-SA"/>
                <w14:shadow w14:blurRad="0" w14:dist="0" w14:dir="0" w14:sx="0" w14:sy="0" w14:kx="0" w14:ky="0" w14:algn="none">
                  <w14:srgbClr w14:val="000000"/>
                </w14:shadow>
              </w:rPr>
              <w:t>表</w:t>
            </w:r>
            <w:r>
              <w:rPr>
                <w:rFonts w:hint="eastAsia" w:cs="Times New Roman"/>
                <w:b w:val="0"/>
                <w:bCs/>
                <w:i w:val="0"/>
                <w:iCs w:val="0"/>
                <w:caps w:val="0"/>
                <w:strike w:val="0"/>
                <w:dstrike w:val="0"/>
                <w:vanish w:val="0"/>
                <w:color w:val="000000"/>
                <w:spacing w:val="0"/>
                <w:kern w:val="2"/>
                <w:position w:val="0"/>
                <w:sz w:val="21"/>
                <w:szCs w:val="32"/>
                <w:u w:val="none"/>
                <w:vertAlign w:val="baseline"/>
                <w:lang w:val="en-US" w:eastAsia="zh-CN" w:bidi="ar-SA"/>
                <w14:shadow w14:blurRad="0" w14:dist="0" w14:dir="0" w14:sx="0" w14:sy="0" w14:kx="0" w14:ky="0" w14:algn="none">
                  <w14:srgbClr w14:val="000000"/>
                </w14:shadow>
              </w:rPr>
              <w:t>4.2.4</w:t>
            </w:r>
            <w:r>
              <w:rPr>
                <w:rFonts w:hint="eastAsia"/>
                <w:b w:val="0"/>
                <w:bCs/>
              </w:rPr>
              <w:t xml:space="preserve">“黄草镇羊兴村公路桥断面”水质监测情况 </w:t>
            </w:r>
            <w:r>
              <w:rPr>
                <w:b w:val="0"/>
                <w:bCs/>
              </w:rPr>
              <w:t xml:space="preserve">  </w:t>
            </w:r>
            <w:r>
              <w:rPr>
                <w:rFonts w:hint="eastAsia"/>
                <w:b w:val="0"/>
                <w:bCs/>
              </w:rPr>
              <w:t>单位：mg</w:t>
            </w:r>
            <w:r>
              <w:rPr>
                <w:b w:val="0"/>
                <w:bCs/>
              </w:rPr>
              <w:t>/L</w:t>
            </w:r>
          </w:p>
          <w:tbl>
            <w:tblPr>
              <w:tblStyle w:val="20"/>
              <w:tblW w:w="723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37"/>
              <w:gridCol w:w="737"/>
              <w:gridCol w:w="992"/>
              <w:gridCol w:w="878"/>
              <w:gridCol w:w="811"/>
              <w:gridCol w:w="857"/>
              <w:gridCol w:w="1013"/>
              <w:gridCol w:w="808"/>
              <w:gridCol w:w="39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tblHeader/>
                <w:jc w:val="center"/>
              </w:trPr>
              <w:tc>
                <w:tcPr>
                  <w:tcW w:w="737" w:type="dxa"/>
                  <w:vMerge w:val="restart"/>
                  <w:noWrap/>
                  <w:vAlign w:val="center"/>
                </w:tcPr>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监测断面</w:t>
                  </w:r>
                </w:p>
              </w:tc>
              <w:tc>
                <w:tcPr>
                  <w:tcW w:w="737" w:type="dxa"/>
                  <w:vMerge w:val="restart"/>
                  <w:vAlign w:val="center"/>
                </w:tcPr>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污染</w:t>
                  </w:r>
                </w:p>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因子</w:t>
                  </w:r>
                </w:p>
              </w:tc>
              <w:tc>
                <w:tcPr>
                  <w:tcW w:w="4551" w:type="dxa"/>
                  <w:gridSpan w:val="5"/>
                  <w:noWrap/>
                  <w:vAlign w:val="center"/>
                </w:tcPr>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监测结果（年均值）</w:t>
                  </w:r>
                </w:p>
              </w:tc>
              <w:tc>
                <w:tcPr>
                  <w:tcW w:w="808" w:type="dxa"/>
                  <w:vMerge w:val="restart"/>
                  <w:vAlign w:val="center"/>
                </w:tcPr>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II类水质限值</w:t>
                  </w:r>
                </w:p>
              </w:tc>
              <w:tc>
                <w:tcPr>
                  <w:tcW w:w="397" w:type="dxa"/>
                  <w:vMerge w:val="restart"/>
                  <w:vAlign w:val="center"/>
                </w:tcPr>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continue"/>
                  <w:noWrap/>
                  <w:vAlign w:val="center"/>
                </w:tcPr>
                <w:p>
                  <w:pPr>
                    <w:pStyle w:val="52"/>
                    <w:rPr>
                      <w:rFonts w:hint="eastAsia" w:ascii="宋体" w:hAnsi="宋体" w:eastAsia="宋体" w:cs="宋体"/>
                      <w:color w:val="auto"/>
                      <w:sz w:val="18"/>
                      <w:szCs w:val="18"/>
                    </w:rPr>
                  </w:pPr>
                </w:p>
              </w:tc>
              <w:tc>
                <w:tcPr>
                  <w:tcW w:w="737" w:type="dxa"/>
                  <w:vMerge w:val="continue"/>
                  <w:vAlign w:val="center"/>
                </w:tcPr>
                <w:p>
                  <w:pPr>
                    <w:pStyle w:val="52"/>
                    <w:rPr>
                      <w:rFonts w:hint="eastAsia" w:ascii="宋体" w:hAnsi="宋体" w:eastAsia="宋体" w:cs="宋体"/>
                      <w:color w:val="auto"/>
                      <w:sz w:val="18"/>
                      <w:szCs w:val="18"/>
                    </w:rPr>
                  </w:pP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2020年</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2021年</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2022年</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2023年</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2024年</w:t>
                  </w:r>
                </w:p>
              </w:tc>
              <w:tc>
                <w:tcPr>
                  <w:tcW w:w="808" w:type="dxa"/>
                  <w:vMerge w:val="continue"/>
                  <w:vAlign w:val="center"/>
                </w:tcPr>
                <w:p>
                  <w:pPr>
                    <w:pStyle w:val="52"/>
                    <w:rPr>
                      <w:rFonts w:hint="eastAsia" w:ascii="宋体" w:hAnsi="宋体" w:eastAsia="宋体" w:cs="宋体"/>
                      <w:color w:val="auto"/>
                      <w:sz w:val="18"/>
                      <w:szCs w:val="18"/>
                    </w:rPr>
                  </w:pPr>
                </w:p>
              </w:tc>
              <w:tc>
                <w:tcPr>
                  <w:tcW w:w="397" w:type="dxa"/>
                  <w:vMerge w:val="continue"/>
                  <w:vAlign w:val="center"/>
                </w:tcPr>
                <w:p>
                  <w:pPr>
                    <w:pStyle w:val="52"/>
                    <w:rPr>
                      <w:rFonts w:hint="eastAsia" w:ascii="宋体" w:hAnsi="宋体"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restart"/>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浙水：黄草镇羊兴村公路桥</w:t>
                  </w:r>
                </w:p>
              </w:tc>
              <w:tc>
                <w:tcPr>
                  <w:tcW w:w="73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COD</w:t>
                  </w: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12.2</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10.2</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8.8</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10.9</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7.9</w:t>
                  </w:r>
                </w:p>
              </w:tc>
              <w:tc>
                <w:tcPr>
                  <w:tcW w:w="80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39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continue"/>
                  <w:noWrap/>
                  <w:vAlign w:val="center"/>
                </w:tcPr>
                <w:p>
                  <w:pPr>
                    <w:pStyle w:val="52"/>
                    <w:rPr>
                      <w:rFonts w:hint="eastAsia" w:ascii="宋体" w:hAnsi="宋体" w:eastAsia="宋体" w:cs="宋体"/>
                      <w:color w:val="auto"/>
                      <w:sz w:val="18"/>
                      <w:szCs w:val="18"/>
                    </w:rPr>
                  </w:pPr>
                </w:p>
              </w:tc>
              <w:tc>
                <w:tcPr>
                  <w:tcW w:w="73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NH</w:t>
                  </w:r>
                  <w:r>
                    <w:rPr>
                      <w:rFonts w:hint="eastAsia" w:ascii="宋体" w:hAnsi="宋体" w:eastAsia="宋体" w:cs="宋体"/>
                      <w:color w:val="auto"/>
                      <w:sz w:val="18"/>
                      <w:szCs w:val="18"/>
                      <w:vertAlign w:val="subscript"/>
                    </w:rPr>
                    <w:t>3</w:t>
                  </w:r>
                  <w:r>
                    <w:rPr>
                      <w:rFonts w:hint="eastAsia" w:ascii="宋体" w:hAnsi="宋体" w:eastAsia="宋体" w:cs="宋体"/>
                      <w:color w:val="auto"/>
                      <w:sz w:val="18"/>
                      <w:szCs w:val="18"/>
                    </w:rPr>
                    <w:t>-N</w:t>
                  </w: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0.08</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0.15</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0.21</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0.16</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0.12</w:t>
                  </w:r>
                </w:p>
              </w:tc>
              <w:tc>
                <w:tcPr>
                  <w:tcW w:w="80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0.5</w:t>
                  </w:r>
                </w:p>
              </w:tc>
              <w:tc>
                <w:tcPr>
                  <w:tcW w:w="397" w:type="dxa"/>
                  <w:vAlign w:val="top"/>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continue"/>
                  <w:noWrap/>
                  <w:vAlign w:val="center"/>
                </w:tcPr>
                <w:p>
                  <w:pPr>
                    <w:pStyle w:val="52"/>
                    <w:rPr>
                      <w:rFonts w:hint="eastAsia" w:ascii="宋体" w:hAnsi="宋体" w:eastAsia="宋体" w:cs="宋体"/>
                      <w:color w:val="auto"/>
                      <w:sz w:val="18"/>
                      <w:szCs w:val="18"/>
                    </w:rPr>
                  </w:pPr>
                </w:p>
              </w:tc>
              <w:tc>
                <w:tcPr>
                  <w:tcW w:w="73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氟化物</w:t>
                  </w: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0.210</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0.393</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0.343</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0.260</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0.246</w:t>
                  </w:r>
                </w:p>
              </w:tc>
              <w:tc>
                <w:tcPr>
                  <w:tcW w:w="80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397" w:type="dxa"/>
                  <w:vAlign w:val="top"/>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continue"/>
                  <w:noWrap/>
                  <w:vAlign w:val="center"/>
                </w:tcPr>
                <w:p>
                  <w:pPr>
                    <w:pStyle w:val="52"/>
                    <w:rPr>
                      <w:rFonts w:hint="eastAsia" w:ascii="宋体" w:hAnsi="宋体" w:eastAsia="宋体" w:cs="宋体"/>
                      <w:color w:val="auto"/>
                      <w:sz w:val="18"/>
                      <w:szCs w:val="18"/>
                    </w:rPr>
                  </w:pPr>
                </w:p>
              </w:tc>
              <w:tc>
                <w:tcPr>
                  <w:tcW w:w="73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砷</w:t>
                  </w: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0.0158</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0.0296</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0.0205</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0.0098</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0.0098</w:t>
                  </w:r>
                </w:p>
              </w:tc>
              <w:tc>
                <w:tcPr>
                  <w:tcW w:w="80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0.05</w:t>
                  </w:r>
                </w:p>
              </w:tc>
              <w:tc>
                <w:tcPr>
                  <w:tcW w:w="397" w:type="dxa"/>
                  <w:vAlign w:val="top"/>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continue"/>
                  <w:noWrap/>
                  <w:vAlign w:val="center"/>
                </w:tcPr>
                <w:p>
                  <w:pPr>
                    <w:pStyle w:val="52"/>
                    <w:rPr>
                      <w:rFonts w:hint="eastAsia" w:ascii="宋体" w:hAnsi="宋体" w:eastAsia="宋体" w:cs="宋体"/>
                      <w:color w:val="auto"/>
                      <w:sz w:val="18"/>
                      <w:szCs w:val="18"/>
                    </w:rPr>
                  </w:pPr>
                </w:p>
              </w:tc>
              <w:tc>
                <w:tcPr>
                  <w:tcW w:w="73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汞</w:t>
                  </w: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0.00002</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0.00002</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0.00002</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0.00002</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0.00002</w:t>
                  </w:r>
                </w:p>
              </w:tc>
              <w:tc>
                <w:tcPr>
                  <w:tcW w:w="80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0.00005</w:t>
                  </w:r>
                </w:p>
              </w:tc>
              <w:tc>
                <w:tcPr>
                  <w:tcW w:w="397" w:type="dxa"/>
                  <w:vAlign w:val="top"/>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continue"/>
                  <w:noWrap/>
                  <w:vAlign w:val="center"/>
                </w:tcPr>
                <w:p>
                  <w:pPr>
                    <w:pStyle w:val="52"/>
                    <w:rPr>
                      <w:rFonts w:hint="eastAsia" w:ascii="宋体" w:hAnsi="宋体" w:eastAsia="宋体" w:cs="宋体"/>
                      <w:color w:val="auto"/>
                      <w:sz w:val="18"/>
                      <w:szCs w:val="18"/>
                    </w:rPr>
                  </w:pPr>
                </w:p>
              </w:tc>
              <w:tc>
                <w:tcPr>
                  <w:tcW w:w="73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镉</w:t>
                  </w: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0.00005</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0.00005</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0.00009</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0.00004</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0.00004</w:t>
                  </w:r>
                </w:p>
              </w:tc>
              <w:tc>
                <w:tcPr>
                  <w:tcW w:w="80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0.005</w:t>
                  </w:r>
                </w:p>
              </w:tc>
              <w:tc>
                <w:tcPr>
                  <w:tcW w:w="397" w:type="dxa"/>
                  <w:vAlign w:val="top"/>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continue"/>
                  <w:noWrap/>
                  <w:vAlign w:val="center"/>
                </w:tcPr>
                <w:p>
                  <w:pPr>
                    <w:pStyle w:val="52"/>
                    <w:rPr>
                      <w:rFonts w:hint="eastAsia" w:ascii="宋体" w:hAnsi="宋体" w:eastAsia="宋体" w:cs="宋体"/>
                      <w:color w:val="auto"/>
                      <w:sz w:val="18"/>
                      <w:szCs w:val="18"/>
                    </w:rPr>
                  </w:pPr>
                </w:p>
              </w:tc>
              <w:tc>
                <w:tcPr>
                  <w:tcW w:w="73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六价铬</w:t>
                  </w: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0.001</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0.0005</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0.002</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0.001</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0.002</w:t>
                  </w:r>
                </w:p>
              </w:tc>
              <w:tc>
                <w:tcPr>
                  <w:tcW w:w="80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0.05</w:t>
                  </w:r>
                </w:p>
              </w:tc>
              <w:tc>
                <w:tcPr>
                  <w:tcW w:w="397" w:type="dxa"/>
                  <w:vAlign w:val="top"/>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737" w:type="dxa"/>
                  <w:vMerge w:val="continue"/>
                  <w:noWrap/>
                  <w:vAlign w:val="center"/>
                </w:tcPr>
                <w:p>
                  <w:pPr>
                    <w:pStyle w:val="52"/>
                    <w:rPr>
                      <w:rFonts w:hint="eastAsia" w:ascii="宋体" w:hAnsi="宋体" w:eastAsia="宋体" w:cs="宋体"/>
                      <w:color w:val="auto"/>
                      <w:sz w:val="18"/>
                      <w:szCs w:val="18"/>
                    </w:rPr>
                  </w:pPr>
                </w:p>
              </w:tc>
              <w:tc>
                <w:tcPr>
                  <w:tcW w:w="737"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铅</w:t>
                  </w:r>
                </w:p>
              </w:tc>
              <w:tc>
                <w:tcPr>
                  <w:tcW w:w="992"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0.00009</w:t>
                  </w:r>
                </w:p>
              </w:tc>
              <w:tc>
                <w:tcPr>
                  <w:tcW w:w="878"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0.00004</w:t>
                  </w:r>
                </w:p>
              </w:tc>
              <w:tc>
                <w:tcPr>
                  <w:tcW w:w="811"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0.001</w:t>
                  </w:r>
                </w:p>
              </w:tc>
              <w:tc>
                <w:tcPr>
                  <w:tcW w:w="857"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0.0003</w:t>
                  </w:r>
                </w:p>
              </w:tc>
              <w:tc>
                <w:tcPr>
                  <w:tcW w:w="1013" w:type="dxa"/>
                  <w:noWrap/>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0.00008</w:t>
                  </w:r>
                </w:p>
              </w:tc>
              <w:tc>
                <w:tcPr>
                  <w:tcW w:w="80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0.01</w:t>
                  </w:r>
                </w:p>
              </w:tc>
              <w:tc>
                <w:tcPr>
                  <w:tcW w:w="397" w:type="dxa"/>
                  <w:vAlign w:val="top"/>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达标</w:t>
                  </w:r>
                </w:p>
              </w:tc>
            </w:tr>
          </w:tbl>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根据</w:t>
            </w:r>
            <w:r>
              <w:t>上表监测结果，</w:t>
            </w:r>
            <w:r>
              <w:rPr>
                <w:rFonts w:hint="eastAsia"/>
              </w:rPr>
              <w:t>黄草镇羊兴村公路桥断面2020年~202</w:t>
            </w:r>
            <w:r>
              <w:t>4</w:t>
            </w:r>
            <w:r>
              <w:rPr>
                <w:rFonts w:hint="eastAsia"/>
              </w:rPr>
              <w:t>年各项污染因子浓度均满足II类水质要求，其近5年</w:t>
            </w:r>
            <w:r>
              <w:t>变化趋势情况如下</w:t>
            </w:r>
            <w:r>
              <w:rPr>
                <w:rFonts w:hint="eastAsia"/>
              </w:rPr>
              <w:t>图</w:t>
            </w:r>
            <w:r>
              <w:t>所示。</w:t>
            </w: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02"/>
              <w:gridCol w:w="3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6" w:hRule="atLeast"/>
                <w:tblHeader/>
                <w:jc w:val="center"/>
              </w:trPr>
              <w:tc>
                <w:tcPr>
                  <w:tcW w:w="3402" w:type="dxa"/>
                  <w:vAlign w:val="center"/>
                </w:tcPr>
                <w:p>
                  <w:pPr>
                    <w:pStyle w:val="51"/>
                    <w:keepNext/>
                    <w:keepLines/>
                    <w:ind w:firstLine="0" w:firstLineChars="0"/>
                    <w:jc w:val="center"/>
                    <w:rPr>
                      <w:b w:val="0"/>
                    </w:rPr>
                  </w:pPr>
                  <w:r>
                    <w:rPr>
                      <w:b/>
                      <w:lang w:val="en-US"/>
                    </w:rPr>
                    <w:drawing>
                      <wp:inline distT="0" distB="0" distL="0" distR="0">
                        <wp:extent cx="1982470" cy="1127760"/>
                        <wp:effectExtent l="0" t="0" r="3810" b="5715"/>
                        <wp:docPr id="111" name="图片 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1982470" cy="1127760"/>
                                </a:xfrm>
                                <a:prstGeom prst="rect">
                                  <a:avLst/>
                                </a:prstGeom>
                                <a:noFill/>
                              </pic:spPr>
                            </pic:pic>
                          </a:graphicData>
                        </a:graphic>
                      </wp:inline>
                    </w:drawing>
                  </w:r>
                </w:p>
              </w:tc>
              <w:tc>
                <w:tcPr>
                  <w:tcW w:w="3402" w:type="dxa"/>
                  <w:vAlign w:val="center"/>
                </w:tcPr>
                <w:p>
                  <w:pPr>
                    <w:pStyle w:val="51"/>
                    <w:keepNext/>
                    <w:keepLines/>
                    <w:ind w:firstLine="0" w:firstLineChars="0"/>
                    <w:jc w:val="center"/>
                    <w:rPr>
                      <w:b w:val="0"/>
                    </w:rPr>
                  </w:pPr>
                  <w:r>
                    <w:rPr>
                      <w:b/>
                      <w:lang w:val="en-US"/>
                    </w:rPr>
                    <w:drawing>
                      <wp:inline distT="0" distB="0" distL="0" distR="0">
                        <wp:extent cx="1979295" cy="1126490"/>
                        <wp:effectExtent l="0" t="0" r="6985" b="6985"/>
                        <wp:docPr id="117" name="图片 1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979295" cy="112649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3" w:hRule="atLeast"/>
                <w:jc w:val="center"/>
              </w:trPr>
              <w:tc>
                <w:tcPr>
                  <w:tcW w:w="3402" w:type="dxa"/>
                  <w:vAlign w:val="center"/>
                </w:tcPr>
                <w:p>
                  <w:pPr>
                    <w:pStyle w:val="51"/>
                    <w:keepNext/>
                    <w:keepLines/>
                    <w:ind w:firstLine="0" w:firstLineChars="0"/>
                    <w:jc w:val="center"/>
                  </w:pPr>
                  <w:r>
                    <w:rPr>
                      <w:lang w:val="en-US"/>
                    </w:rPr>
                    <w:drawing>
                      <wp:inline distT="0" distB="0" distL="0" distR="0">
                        <wp:extent cx="1979930" cy="1126490"/>
                        <wp:effectExtent l="0" t="0" r="6350" b="6985"/>
                        <wp:docPr id="118" name="图片 1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1979930" cy="1126490"/>
                                </a:xfrm>
                                <a:prstGeom prst="rect">
                                  <a:avLst/>
                                </a:prstGeom>
                                <a:noFill/>
                              </pic:spPr>
                            </pic:pic>
                          </a:graphicData>
                        </a:graphic>
                      </wp:inline>
                    </w:drawing>
                  </w:r>
                </w:p>
              </w:tc>
              <w:tc>
                <w:tcPr>
                  <w:tcW w:w="3402" w:type="dxa"/>
                  <w:vAlign w:val="center"/>
                </w:tcPr>
                <w:p>
                  <w:pPr>
                    <w:pStyle w:val="51"/>
                    <w:keepNext/>
                    <w:keepLines/>
                    <w:ind w:firstLine="0" w:firstLineChars="0"/>
                    <w:jc w:val="center"/>
                  </w:pPr>
                  <w:r>
                    <w:rPr>
                      <w:lang w:val="en-US"/>
                    </w:rPr>
                    <w:drawing>
                      <wp:inline distT="0" distB="0" distL="0" distR="0">
                        <wp:extent cx="1979930" cy="1126490"/>
                        <wp:effectExtent l="0" t="0" r="6350" b="6985"/>
                        <wp:docPr id="120" name="图片 1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1979930" cy="112649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3" w:hRule="atLeast"/>
                <w:jc w:val="center"/>
              </w:trPr>
              <w:tc>
                <w:tcPr>
                  <w:tcW w:w="3402" w:type="dxa"/>
                  <w:vAlign w:val="center"/>
                </w:tcPr>
                <w:p>
                  <w:pPr>
                    <w:pStyle w:val="51"/>
                    <w:keepNext/>
                    <w:keepLines/>
                    <w:ind w:firstLine="0" w:firstLineChars="0"/>
                    <w:jc w:val="center"/>
                  </w:pPr>
                  <w:r>
                    <w:rPr>
                      <w:lang w:val="en-US"/>
                    </w:rPr>
                    <w:drawing>
                      <wp:inline distT="0" distB="0" distL="0" distR="0">
                        <wp:extent cx="1979930" cy="1126490"/>
                        <wp:effectExtent l="0" t="0" r="6350" b="6985"/>
                        <wp:docPr id="121" name="图片 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1979930" cy="1126490"/>
                                </a:xfrm>
                                <a:prstGeom prst="rect">
                                  <a:avLst/>
                                </a:prstGeom>
                                <a:noFill/>
                              </pic:spPr>
                            </pic:pic>
                          </a:graphicData>
                        </a:graphic>
                      </wp:inline>
                    </w:drawing>
                  </w:r>
                </w:p>
              </w:tc>
              <w:tc>
                <w:tcPr>
                  <w:tcW w:w="3402" w:type="dxa"/>
                  <w:vAlign w:val="center"/>
                </w:tcPr>
                <w:p>
                  <w:pPr>
                    <w:pStyle w:val="51"/>
                    <w:keepNext/>
                    <w:keepLines/>
                    <w:ind w:firstLine="0" w:firstLineChars="0"/>
                    <w:jc w:val="center"/>
                  </w:pPr>
                  <w:r>
                    <w:rPr>
                      <w:lang w:val="en-US"/>
                    </w:rPr>
                    <w:drawing>
                      <wp:inline distT="0" distB="0" distL="0" distR="0">
                        <wp:extent cx="1979930" cy="1126490"/>
                        <wp:effectExtent l="0" t="0" r="6350" b="6985"/>
                        <wp:docPr id="123" name="图片 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1979930" cy="112649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3" w:hRule="atLeast"/>
                <w:jc w:val="center"/>
              </w:trPr>
              <w:tc>
                <w:tcPr>
                  <w:tcW w:w="3402" w:type="dxa"/>
                  <w:vAlign w:val="center"/>
                </w:tcPr>
                <w:p>
                  <w:pPr>
                    <w:pStyle w:val="51"/>
                    <w:keepNext/>
                    <w:keepLines/>
                    <w:ind w:firstLine="0" w:firstLineChars="0"/>
                    <w:jc w:val="center"/>
                  </w:pPr>
                  <w:r>
                    <w:rPr>
                      <w:lang w:val="en-US"/>
                    </w:rPr>
                    <w:drawing>
                      <wp:inline distT="0" distB="0" distL="0" distR="0">
                        <wp:extent cx="1980565" cy="1126490"/>
                        <wp:effectExtent l="0" t="0" r="5715" b="6985"/>
                        <wp:docPr id="125" name="图片 1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1980565" cy="1126490"/>
                                </a:xfrm>
                                <a:prstGeom prst="rect">
                                  <a:avLst/>
                                </a:prstGeom>
                                <a:noFill/>
                              </pic:spPr>
                            </pic:pic>
                          </a:graphicData>
                        </a:graphic>
                      </wp:inline>
                    </w:drawing>
                  </w:r>
                </w:p>
              </w:tc>
              <w:tc>
                <w:tcPr>
                  <w:tcW w:w="3402" w:type="dxa"/>
                  <w:vAlign w:val="center"/>
                </w:tcPr>
                <w:p>
                  <w:pPr>
                    <w:pStyle w:val="51"/>
                    <w:keepNext/>
                    <w:keepLines/>
                    <w:ind w:firstLine="0" w:firstLineChars="0"/>
                    <w:jc w:val="center"/>
                  </w:pPr>
                  <w:r>
                    <w:rPr>
                      <w:lang w:val="en-US"/>
                    </w:rPr>
                    <w:drawing>
                      <wp:inline distT="0" distB="0" distL="0" distR="0">
                        <wp:extent cx="1979930" cy="1126490"/>
                        <wp:effectExtent l="0" t="0" r="6350" b="6985"/>
                        <wp:docPr id="124" name="图片 1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1979930" cy="1126490"/>
                                </a:xfrm>
                                <a:prstGeom prst="rect">
                                  <a:avLst/>
                                </a:prstGeom>
                                <a:noFill/>
                              </pic:spPr>
                            </pic:pic>
                          </a:graphicData>
                        </a:graphic>
                      </wp:inline>
                    </w:drawing>
                  </w:r>
                </w:p>
              </w:tc>
            </w:tr>
          </w:tbl>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b/>
                <w:bCs/>
                <w:lang w:val="en-US"/>
              </w:rPr>
            </w:pPr>
            <w:r>
              <w:rPr>
                <w:rFonts w:hint="eastAsia"/>
                <w:b/>
                <w:bCs/>
                <w:lang w:val="en-US" w:eastAsia="zh-CN"/>
              </w:rPr>
              <w:t xml:space="preserve">图4.2.2 </w:t>
            </w:r>
            <w:r>
              <w:rPr>
                <w:rFonts w:hint="eastAsia"/>
                <w:b/>
                <w:bCs/>
                <w:lang w:val="en-US"/>
              </w:rPr>
              <w:t>主要污染因子近5年变化趋势图</w:t>
            </w:r>
          </w:p>
          <w:p>
            <w:pPr>
              <w:keepNext w:val="0"/>
              <w:keepLines w:val="0"/>
              <w:pageBreakBefore w:val="0"/>
              <w:widowControl w:val="0"/>
              <w:kinsoku/>
              <w:wordWrap/>
              <w:overflowPunct/>
              <w:topLinePunct w:val="0"/>
              <w:autoSpaceDE/>
              <w:autoSpaceDN/>
              <w:bidi w:val="0"/>
              <w:adjustRightInd/>
              <w:snapToGrid/>
              <w:spacing w:line="360" w:lineRule="auto"/>
              <w:ind w:firstLine="421" w:firstLineChars="200"/>
              <w:textAlignment w:val="auto"/>
              <w:rPr>
                <w:rFonts w:hint="eastAsia" w:ascii="宋体" w:hAnsi="宋体" w:eastAsia="宋体" w:cs="宋体"/>
                <w:b/>
              </w:rPr>
            </w:pPr>
            <w:r>
              <w:rPr>
                <w:rFonts w:hint="eastAsia" w:ascii="宋体" w:hAnsi="宋体" w:eastAsia="宋体" w:cs="宋体"/>
                <w:b/>
              </w:rPr>
              <w:t>（3）水文调查与水文测量</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rPr>
            </w:pPr>
            <w:r>
              <w:rPr>
                <w:rFonts w:hint="eastAsia" w:ascii="宋体" w:hAnsi="宋体" w:eastAsia="宋体" w:cs="宋体"/>
              </w:rPr>
              <w:t>项目入河排污口位于延寿河清江（也称深江）段，延寿河属于山店江支流，延寿河流入山店江后，自南向北流入浙水河。根据现场调查及《湖南鑫矿矿业集团有限公司小垣钨多金属矿采矿项目环境影响报告书》的地表水文资料，项目区域延寿河清江段未发现断流情况，枯水期平均流量为0.231m</w:t>
            </w:r>
            <w:r>
              <w:rPr>
                <w:rFonts w:hint="eastAsia" w:ascii="宋体" w:hAnsi="宋体" w:eastAsia="宋体" w:cs="宋体"/>
                <w:vertAlign w:val="superscript"/>
              </w:rPr>
              <w:t>3</w:t>
            </w:r>
            <w:r>
              <w:rPr>
                <w:rFonts w:hint="eastAsia" w:ascii="宋体" w:hAnsi="宋体" w:eastAsia="宋体" w:cs="宋体"/>
              </w:rPr>
              <w:t>/s，丰水期平均流量为1.2 m</w:t>
            </w:r>
            <w:r>
              <w:rPr>
                <w:rFonts w:hint="eastAsia" w:ascii="宋体" w:hAnsi="宋体" w:eastAsia="宋体" w:cs="宋体"/>
                <w:vertAlign w:val="superscript"/>
              </w:rPr>
              <w:t>3</w:t>
            </w:r>
            <w:r>
              <w:rPr>
                <w:rFonts w:hint="eastAsia" w:ascii="宋体" w:hAnsi="宋体" w:eastAsia="宋体" w:cs="宋体"/>
              </w:rPr>
              <w:t>/s，坡降0.108%。项目纳污水体水文参数取值具体如下。</w:t>
            </w:r>
          </w:p>
          <w:p>
            <w:pPr>
              <w:pStyle w:val="53"/>
              <w:numPr>
                <w:ilvl w:val="4"/>
                <w:numId w:val="0"/>
              </w:numPr>
              <w:spacing w:before="163" w:after="163"/>
              <w:ind w:leftChars="0"/>
              <w:jc w:val="center"/>
            </w:pPr>
            <w:r>
              <w:rPr>
                <w:rFonts w:hint="eastAsia"/>
                <w:lang w:val="en-US" w:eastAsia="zh-CN"/>
              </w:rPr>
              <w:t xml:space="preserve">表4.2.5 </w:t>
            </w:r>
            <w:r>
              <w:t>纳污</w:t>
            </w:r>
            <w:r>
              <w:rPr>
                <w:rFonts w:hint="eastAsia"/>
              </w:rPr>
              <w:t>水体</w:t>
            </w:r>
            <w:r>
              <w:t>预测段基本水文参数</w:t>
            </w:r>
          </w:p>
          <w:tbl>
            <w:tblPr>
              <w:tblStyle w:val="20"/>
              <w:tblW w:w="634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07"/>
              <w:gridCol w:w="907"/>
              <w:gridCol w:w="907"/>
              <w:gridCol w:w="907"/>
              <w:gridCol w:w="907"/>
              <w:gridCol w:w="907"/>
              <w:gridCol w:w="90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2" w:hRule="atLeast"/>
                <w:tblHeader/>
                <w:jc w:val="center"/>
              </w:trPr>
              <w:tc>
                <w:tcPr>
                  <w:tcW w:w="907" w:type="dxa"/>
                  <w:vAlign w:val="center"/>
                </w:tcPr>
                <w:p>
                  <w:pPr>
                    <w:pStyle w:val="52"/>
                    <w:rPr>
                      <w:rFonts w:hint="eastAsia" w:ascii="宋体" w:hAnsi="宋体" w:eastAsia="宋体" w:cs="宋体"/>
                      <w:b/>
                      <w:color w:val="auto"/>
                    </w:rPr>
                  </w:pPr>
                  <w:r>
                    <w:rPr>
                      <w:rFonts w:hint="eastAsia" w:ascii="宋体" w:hAnsi="宋体" w:eastAsia="宋体" w:cs="宋体"/>
                      <w:b/>
                      <w:color w:val="auto"/>
                    </w:rPr>
                    <w:t>纳污水体名称</w:t>
                  </w:r>
                </w:p>
              </w:tc>
              <w:tc>
                <w:tcPr>
                  <w:tcW w:w="907" w:type="dxa"/>
                  <w:vAlign w:val="center"/>
                </w:tcPr>
                <w:p>
                  <w:pPr>
                    <w:pStyle w:val="52"/>
                    <w:rPr>
                      <w:rFonts w:hint="eastAsia" w:ascii="宋体" w:hAnsi="宋体" w:eastAsia="宋体" w:cs="宋体"/>
                      <w:b/>
                      <w:color w:val="auto"/>
                    </w:rPr>
                  </w:pPr>
                  <w:r>
                    <w:rPr>
                      <w:rFonts w:hint="eastAsia" w:ascii="宋体" w:hAnsi="宋体" w:eastAsia="宋体" w:cs="宋体"/>
                      <w:b/>
                      <w:color w:val="auto"/>
                    </w:rPr>
                    <w:t>时期</w:t>
                  </w:r>
                </w:p>
              </w:tc>
              <w:tc>
                <w:tcPr>
                  <w:tcW w:w="907" w:type="dxa"/>
                  <w:vAlign w:val="center"/>
                </w:tcPr>
                <w:p>
                  <w:pPr>
                    <w:pStyle w:val="52"/>
                    <w:rPr>
                      <w:rFonts w:hint="eastAsia" w:ascii="宋体" w:hAnsi="宋体" w:eastAsia="宋体" w:cs="宋体"/>
                      <w:b/>
                      <w:color w:val="auto"/>
                    </w:rPr>
                  </w:pPr>
                  <w:r>
                    <w:rPr>
                      <w:rFonts w:hint="eastAsia" w:ascii="宋体" w:hAnsi="宋体" w:eastAsia="宋体" w:cs="宋体"/>
                      <w:b/>
                      <w:color w:val="auto"/>
                    </w:rPr>
                    <w:t>u流速</w:t>
                  </w:r>
                </w:p>
                <w:p>
                  <w:pPr>
                    <w:pStyle w:val="52"/>
                    <w:rPr>
                      <w:rFonts w:hint="eastAsia" w:ascii="宋体" w:hAnsi="宋体" w:eastAsia="宋体" w:cs="宋体"/>
                      <w:b/>
                      <w:color w:val="auto"/>
                    </w:rPr>
                  </w:pPr>
                  <w:r>
                    <w:rPr>
                      <w:rFonts w:hint="eastAsia" w:ascii="宋体" w:hAnsi="宋体" w:eastAsia="宋体" w:cs="宋体"/>
                      <w:b/>
                      <w:color w:val="auto"/>
                    </w:rPr>
                    <w:t>（m/s）</w:t>
                  </w:r>
                </w:p>
              </w:tc>
              <w:tc>
                <w:tcPr>
                  <w:tcW w:w="907" w:type="dxa"/>
                  <w:vAlign w:val="center"/>
                </w:tcPr>
                <w:p>
                  <w:pPr>
                    <w:pStyle w:val="52"/>
                    <w:rPr>
                      <w:rFonts w:hint="eastAsia" w:ascii="宋体" w:hAnsi="宋体" w:eastAsia="宋体" w:cs="宋体"/>
                      <w:b/>
                      <w:color w:val="auto"/>
                    </w:rPr>
                  </w:pPr>
                  <w:r>
                    <w:rPr>
                      <w:rFonts w:hint="eastAsia" w:ascii="宋体" w:hAnsi="宋体" w:eastAsia="宋体" w:cs="宋体"/>
                      <w:b/>
                      <w:color w:val="auto"/>
                    </w:rPr>
                    <w:t>Qh流量</w:t>
                  </w:r>
                </w:p>
                <w:p>
                  <w:pPr>
                    <w:pStyle w:val="52"/>
                    <w:rPr>
                      <w:rFonts w:hint="eastAsia" w:ascii="宋体" w:hAnsi="宋体" w:eastAsia="宋体" w:cs="宋体"/>
                      <w:b/>
                      <w:color w:val="auto"/>
                    </w:rPr>
                  </w:pPr>
                  <w:r>
                    <w:rPr>
                      <w:rFonts w:hint="eastAsia" w:ascii="宋体" w:hAnsi="宋体" w:eastAsia="宋体" w:cs="宋体"/>
                      <w:b/>
                      <w:color w:val="auto"/>
                    </w:rPr>
                    <w:t>（m</w:t>
                  </w:r>
                  <w:r>
                    <w:rPr>
                      <w:rFonts w:hint="eastAsia" w:ascii="宋体" w:hAnsi="宋体" w:eastAsia="宋体" w:cs="宋体"/>
                      <w:b/>
                      <w:color w:val="auto"/>
                      <w:vertAlign w:val="superscript"/>
                    </w:rPr>
                    <w:t>3</w:t>
                  </w:r>
                  <w:r>
                    <w:rPr>
                      <w:rFonts w:hint="eastAsia" w:ascii="宋体" w:hAnsi="宋体" w:eastAsia="宋体" w:cs="宋体"/>
                      <w:b/>
                      <w:color w:val="auto"/>
                    </w:rPr>
                    <w:t>/s）</w:t>
                  </w:r>
                </w:p>
              </w:tc>
              <w:tc>
                <w:tcPr>
                  <w:tcW w:w="907" w:type="dxa"/>
                  <w:vAlign w:val="center"/>
                </w:tcPr>
                <w:p>
                  <w:pPr>
                    <w:pStyle w:val="52"/>
                    <w:rPr>
                      <w:rFonts w:hint="eastAsia" w:ascii="宋体" w:hAnsi="宋体" w:eastAsia="宋体" w:cs="宋体"/>
                      <w:b/>
                      <w:color w:val="auto"/>
                    </w:rPr>
                  </w:pPr>
                  <w:r>
                    <w:rPr>
                      <w:rFonts w:hint="eastAsia" w:ascii="宋体" w:hAnsi="宋体" w:eastAsia="宋体" w:cs="宋体"/>
                      <w:b/>
                      <w:color w:val="auto"/>
                    </w:rPr>
                    <w:t>B河宽</w:t>
                  </w:r>
                </w:p>
                <w:p>
                  <w:pPr>
                    <w:pStyle w:val="52"/>
                    <w:rPr>
                      <w:rFonts w:hint="eastAsia" w:ascii="宋体" w:hAnsi="宋体" w:eastAsia="宋体" w:cs="宋体"/>
                      <w:b/>
                      <w:color w:val="auto"/>
                    </w:rPr>
                  </w:pPr>
                  <w:r>
                    <w:rPr>
                      <w:rFonts w:hint="eastAsia" w:ascii="宋体" w:hAnsi="宋体" w:eastAsia="宋体" w:cs="宋体"/>
                      <w:b/>
                      <w:color w:val="auto"/>
                    </w:rPr>
                    <w:t>（m）</w:t>
                  </w:r>
                </w:p>
              </w:tc>
              <w:tc>
                <w:tcPr>
                  <w:tcW w:w="907" w:type="dxa"/>
                  <w:vAlign w:val="center"/>
                </w:tcPr>
                <w:p>
                  <w:pPr>
                    <w:pStyle w:val="52"/>
                    <w:rPr>
                      <w:rFonts w:hint="eastAsia" w:ascii="宋体" w:hAnsi="宋体" w:eastAsia="宋体" w:cs="宋体"/>
                      <w:b/>
                      <w:color w:val="auto"/>
                    </w:rPr>
                  </w:pPr>
                  <w:r>
                    <w:rPr>
                      <w:rFonts w:hint="eastAsia" w:ascii="宋体" w:hAnsi="宋体" w:eastAsia="宋体" w:cs="宋体"/>
                      <w:b/>
                      <w:color w:val="auto"/>
                    </w:rPr>
                    <w:t>H河深</w:t>
                  </w:r>
                </w:p>
                <w:p>
                  <w:pPr>
                    <w:pStyle w:val="52"/>
                    <w:rPr>
                      <w:rFonts w:hint="eastAsia" w:ascii="宋体" w:hAnsi="宋体" w:eastAsia="宋体" w:cs="宋体"/>
                      <w:b/>
                      <w:color w:val="auto"/>
                    </w:rPr>
                  </w:pPr>
                  <w:r>
                    <w:rPr>
                      <w:rFonts w:hint="eastAsia" w:ascii="宋体" w:hAnsi="宋体" w:eastAsia="宋体" w:cs="宋体"/>
                      <w:b/>
                      <w:color w:val="auto"/>
                    </w:rPr>
                    <w:t>（m）</w:t>
                  </w:r>
                </w:p>
              </w:tc>
              <w:tc>
                <w:tcPr>
                  <w:tcW w:w="907" w:type="dxa"/>
                  <w:vAlign w:val="center"/>
                </w:tcPr>
                <w:p>
                  <w:pPr>
                    <w:pStyle w:val="52"/>
                    <w:rPr>
                      <w:rFonts w:hint="eastAsia" w:ascii="宋体" w:hAnsi="宋体" w:eastAsia="宋体" w:cs="宋体"/>
                      <w:b/>
                      <w:color w:val="auto"/>
                    </w:rPr>
                  </w:pPr>
                  <w:r>
                    <w:rPr>
                      <w:rFonts w:hint="eastAsia" w:ascii="宋体" w:hAnsi="宋体" w:eastAsia="宋体" w:cs="宋体"/>
                      <w:b/>
                      <w:color w:val="auto"/>
                    </w:rPr>
                    <w:t>I坡降</w:t>
                  </w:r>
                </w:p>
                <w:p>
                  <w:pPr>
                    <w:pStyle w:val="52"/>
                    <w:rPr>
                      <w:rFonts w:hint="eastAsia" w:ascii="宋体" w:hAnsi="宋体" w:eastAsia="宋体" w:cs="宋体"/>
                      <w:b/>
                      <w:color w:val="auto"/>
                    </w:rPr>
                  </w:pPr>
                  <w:r>
                    <w:rPr>
                      <w:rFonts w:hint="eastAsia" w:ascii="宋体" w:hAnsi="宋体" w:eastAsia="宋体" w:cs="宋体"/>
                      <w:b/>
                      <w:color w:val="auto"/>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 w:hRule="atLeast"/>
                <w:jc w:val="center"/>
              </w:trPr>
              <w:tc>
                <w:tcPr>
                  <w:tcW w:w="907" w:type="dxa"/>
                  <w:vMerge w:val="restart"/>
                  <w:vAlign w:val="center"/>
                </w:tcPr>
                <w:p>
                  <w:pPr>
                    <w:pStyle w:val="52"/>
                    <w:rPr>
                      <w:rFonts w:hint="eastAsia" w:ascii="宋体" w:hAnsi="宋体" w:eastAsia="宋体" w:cs="宋体"/>
                      <w:color w:val="auto"/>
                    </w:rPr>
                  </w:pPr>
                  <w:r>
                    <w:rPr>
                      <w:rFonts w:hint="eastAsia" w:ascii="宋体" w:hAnsi="宋体" w:eastAsia="宋体" w:cs="宋体"/>
                      <w:color w:val="auto"/>
                    </w:rPr>
                    <w:t>延寿河清江段</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丰水期</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0.4</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1.2</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6</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0.5</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0.108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 w:hRule="atLeast"/>
                <w:jc w:val="center"/>
              </w:trPr>
              <w:tc>
                <w:tcPr>
                  <w:tcW w:w="907" w:type="dxa"/>
                  <w:vMerge w:val="continue"/>
                  <w:vAlign w:val="center"/>
                </w:tcPr>
                <w:p>
                  <w:pPr>
                    <w:pStyle w:val="52"/>
                    <w:rPr>
                      <w:rFonts w:hint="eastAsia" w:ascii="宋体" w:hAnsi="宋体" w:eastAsia="宋体" w:cs="宋体"/>
                      <w:color w:val="auto"/>
                      <w:szCs w:val="21"/>
                    </w:rPr>
                  </w:pP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枯水期</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0.11</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0.231</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6</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0.35</w:t>
                  </w:r>
                </w:p>
              </w:tc>
              <w:tc>
                <w:tcPr>
                  <w:tcW w:w="907" w:type="dxa"/>
                  <w:vAlign w:val="center"/>
                </w:tcPr>
                <w:p>
                  <w:pPr>
                    <w:pStyle w:val="52"/>
                    <w:rPr>
                      <w:rFonts w:hint="eastAsia" w:ascii="宋体" w:hAnsi="宋体" w:eastAsia="宋体" w:cs="宋体"/>
                      <w:color w:val="auto"/>
                    </w:rPr>
                  </w:pPr>
                  <w:r>
                    <w:rPr>
                      <w:rFonts w:hint="eastAsia" w:ascii="宋体" w:hAnsi="宋体" w:eastAsia="宋体" w:cs="宋体"/>
                      <w:color w:val="auto"/>
                    </w:rPr>
                    <w:t>0.108</w:t>
                  </w:r>
                </w:p>
              </w:tc>
            </w:tr>
          </w:tbl>
          <w:p>
            <w:pPr>
              <w:pStyle w:val="5"/>
              <w:pageBreakBefore w:val="0"/>
              <w:kinsoku/>
              <w:wordWrap/>
              <w:overflowPunct/>
              <w:topLinePunct w:val="0"/>
              <w:autoSpaceDE/>
              <w:autoSpaceDN/>
              <w:bidi w:val="0"/>
              <w:adjustRightInd/>
              <w:snapToGrid/>
              <w:spacing w:before="0" w:after="0" w:line="360" w:lineRule="auto"/>
              <w:ind w:firstLine="421"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3.</w:t>
            </w:r>
            <w:r>
              <w:rPr>
                <w:rFonts w:hint="eastAsia" w:ascii="宋体" w:hAnsi="宋体" w:eastAsia="宋体" w:cs="宋体"/>
                <w:b/>
                <w:bCs/>
                <w:color w:val="auto"/>
                <w:sz w:val="21"/>
                <w:szCs w:val="21"/>
              </w:rPr>
              <w:t>水资源与开发利用状况</w:t>
            </w:r>
          </w:p>
          <w:p>
            <w:pPr>
              <w:pageBreakBefore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根据现状调查，项目水域论证区域范围内无饮用水取水口，未调查到已获得取水许可申请的规划建设的取水口。</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color w:val="auto"/>
                <w:sz w:val="21"/>
                <w:szCs w:val="21"/>
              </w:rPr>
            </w:pPr>
            <w:r>
              <w:rPr>
                <w:rFonts w:hint="eastAsia" w:ascii="宋体" w:hAnsi="宋体" w:eastAsia="宋体" w:cs="宋体"/>
                <w:color w:val="auto"/>
                <w:sz w:val="21"/>
                <w:szCs w:val="21"/>
              </w:rPr>
              <w:t>项目入河排污口下游沿河两岸零散分布有水田、旱地等农用地，且两侧有的山涧水支流汇入延寿河。由于山涧水系地势高，延寿河地势低，两岸农用地灌溉用水主要来源于山涧水，直接通过沟渠自流到灌溉地，只有天旱时从延寿河取水农灌用，农业灌溉取水位置较分散，未形成固定农业取水口，取水方式采用人工取水、水泵取水等。</w:t>
            </w:r>
          </w:p>
          <w:p>
            <w:pPr>
              <w:pStyle w:val="3"/>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color w:val="auto"/>
                <w:sz w:val="21"/>
                <w:szCs w:val="21"/>
              </w:rPr>
            </w:pPr>
            <w:bookmarkStart w:id="5" w:name="_Toc195276977"/>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底泥</w:t>
            </w:r>
            <w:bookmarkStart w:id="6" w:name="_Hlk181553541"/>
            <w:bookmarkEnd w:id="6"/>
            <w:r>
              <w:rPr>
                <w:rFonts w:hint="eastAsia" w:ascii="宋体" w:hAnsi="宋体" w:eastAsia="宋体" w:cs="宋体"/>
                <w:color w:val="auto"/>
                <w:sz w:val="21"/>
                <w:szCs w:val="21"/>
              </w:rPr>
              <w:t>环境质量现状</w:t>
            </w:r>
            <w:bookmarkEnd w:id="5"/>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项目底泥环境现状监测作为项目区域背景值，不做评价。监测结果如下所示。</w:t>
            </w:r>
          </w:p>
          <w:p>
            <w:pPr>
              <w:pStyle w:val="53"/>
              <w:numPr>
                <w:ilvl w:val="4"/>
                <w:numId w:val="0"/>
              </w:numPr>
              <w:spacing w:before="166" w:after="166"/>
              <w:ind w:leftChars="0"/>
              <w:jc w:val="center"/>
              <w:rPr>
                <w:rFonts w:hint="eastAsia" w:ascii="宋体" w:hAnsi="宋体" w:eastAsia="宋体" w:cs="宋体"/>
                <w:color w:val="auto"/>
                <w:sz w:val="21"/>
                <w:szCs w:val="21"/>
                <w:u w:val="single"/>
              </w:rPr>
            </w:pPr>
            <w:r>
              <w:rPr>
                <w:rFonts w:hint="eastAsia" w:ascii="宋体" w:hAnsi="宋体" w:cs="宋体"/>
                <w:color w:val="auto"/>
                <w:sz w:val="21"/>
                <w:szCs w:val="21"/>
                <w:u w:val="none"/>
                <w:lang w:val="en-US" w:eastAsia="zh-CN"/>
              </w:rPr>
              <w:t>表4.2.6 表</w:t>
            </w:r>
            <w:r>
              <w:rPr>
                <w:rFonts w:hint="eastAsia" w:ascii="宋体" w:hAnsi="宋体" w:eastAsia="宋体" w:cs="宋体"/>
                <w:color w:val="auto"/>
                <w:sz w:val="21"/>
                <w:szCs w:val="21"/>
                <w:u w:val="none"/>
              </w:rPr>
              <w:t>底泥</w:t>
            </w:r>
            <w:bookmarkStart w:id="7" w:name="_Hlk169277693"/>
            <w:r>
              <w:rPr>
                <w:rFonts w:hint="eastAsia" w:ascii="宋体" w:hAnsi="宋体" w:eastAsia="宋体" w:cs="宋体"/>
                <w:color w:val="auto"/>
                <w:sz w:val="21"/>
                <w:szCs w:val="21"/>
                <w:u w:val="none"/>
              </w:rPr>
              <w:t>质量监测结果</w:t>
            </w:r>
            <w:bookmarkEnd w:id="7"/>
          </w:p>
          <w:tbl>
            <w:tblPr>
              <w:tblStyle w:val="20"/>
              <w:tblW w:w="622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732"/>
              <w:gridCol w:w="1559"/>
              <w:gridCol w:w="1405"/>
              <w:gridCol w:w="153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7" w:hRule="atLeast"/>
                <w:tblHeader/>
                <w:jc w:val="center"/>
              </w:trPr>
              <w:tc>
                <w:tcPr>
                  <w:tcW w:w="1732" w:type="dxa"/>
                  <w:vMerge w:val="restart"/>
                  <w:vAlign w:val="center"/>
                </w:tcPr>
                <w:p>
                  <w:pPr>
                    <w:pStyle w:val="52"/>
                    <w:rPr>
                      <w:rFonts w:hint="eastAsia" w:ascii="宋体" w:hAnsi="宋体" w:eastAsia="宋体" w:cs="宋体"/>
                      <w:b w:val="0"/>
                      <w:color w:val="auto"/>
                      <w:u w:val="single"/>
                    </w:rPr>
                  </w:pPr>
                  <w:r>
                    <w:rPr>
                      <w:rFonts w:hint="eastAsia" w:ascii="宋体" w:hAnsi="宋体" w:eastAsia="宋体" w:cs="宋体"/>
                      <w:b/>
                      <w:color w:val="auto"/>
                      <w:u w:val="single"/>
                    </w:rPr>
                    <w:t>监测时间</w:t>
                  </w:r>
                </w:p>
              </w:tc>
              <w:tc>
                <w:tcPr>
                  <w:tcW w:w="1559" w:type="dxa"/>
                  <w:vMerge w:val="restart"/>
                  <w:vAlign w:val="center"/>
                </w:tcPr>
                <w:p>
                  <w:pPr>
                    <w:pStyle w:val="52"/>
                    <w:rPr>
                      <w:rFonts w:hint="eastAsia" w:ascii="宋体" w:hAnsi="宋体" w:eastAsia="宋体" w:cs="宋体"/>
                      <w:b w:val="0"/>
                      <w:color w:val="auto"/>
                      <w:u w:val="single"/>
                    </w:rPr>
                  </w:pPr>
                  <w:r>
                    <w:rPr>
                      <w:rFonts w:hint="eastAsia" w:ascii="宋体" w:hAnsi="宋体" w:eastAsia="宋体" w:cs="宋体"/>
                      <w:b/>
                      <w:color w:val="auto"/>
                      <w:u w:val="single"/>
                    </w:rPr>
                    <w:t>检测项目</w:t>
                  </w:r>
                </w:p>
              </w:tc>
              <w:tc>
                <w:tcPr>
                  <w:tcW w:w="2935" w:type="dxa"/>
                  <w:gridSpan w:val="2"/>
                  <w:vAlign w:val="center"/>
                </w:tcPr>
                <w:p>
                  <w:pPr>
                    <w:pStyle w:val="52"/>
                    <w:rPr>
                      <w:rFonts w:hint="eastAsia" w:ascii="宋体" w:hAnsi="宋体" w:eastAsia="宋体" w:cs="宋体"/>
                      <w:b w:val="0"/>
                      <w:color w:val="auto"/>
                      <w:u w:val="single"/>
                    </w:rPr>
                  </w:pPr>
                  <w:r>
                    <w:rPr>
                      <w:rFonts w:hint="eastAsia" w:ascii="宋体" w:hAnsi="宋体" w:eastAsia="宋体" w:cs="宋体"/>
                      <w:b/>
                      <w:color w:val="auto"/>
                      <w:u w:val="single"/>
                    </w:rPr>
                    <w:t>采样点位及检测结果（mg/kg）</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Merge w:val="continue"/>
                  <w:vAlign w:val="center"/>
                </w:tcPr>
                <w:p>
                  <w:pPr>
                    <w:pStyle w:val="52"/>
                    <w:rPr>
                      <w:rFonts w:hint="eastAsia" w:ascii="宋体" w:hAnsi="宋体" w:eastAsia="宋体" w:cs="宋体"/>
                      <w:color w:val="auto"/>
                      <w:szCs w:val="21"/>
                      <w:u w:val="single"/>
                    </w:rPr>
                  </w:pP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1#清江尾矿库上游500m</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2#废水入河排放口下游500m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restart"/>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2024.10.17</w:t>
                  </w: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pH（无量纲）</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7.05</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7.09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砷</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54.5</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53.4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镉</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0.20</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0.23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铬</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16</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六价铬</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0.5L</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0.5L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铜</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98</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98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铅</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194</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109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汞</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0.463</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0.423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镍</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23</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23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锌</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430</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359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1732" w:type="dxa"/>
                  <w:vMerge w:val="continue"/>
                  <w:vAlign w:val="center"/>
                </w:tcPr>
                <w:p>
                  <w:pPr>
                    <w:pStyle w:val="52"/>
                    <w:rPr>
                      <w:rFonts w:hint="eastAsia" w:ascii="宋体" w:hAnsi="宋体" w:eastAsia="宋体" w:cs="宋体"/>
                      <w:color w:val="auto"/>
                      <w:szCs w:val="21"/>
                      <w:u w:val="single"/>
                    </w:rPr>
                  </w:pPr>
                </w:p>
              </w:tc>
              <w:tc>
                <w:tcPr>
                  <w:tcW w:w="1559"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铊</w:t>
                  </w:r>
                </w:p>
              </w:tc>
              <w:tc>
                <w:tcPr>
                  <w:tcW w:w="1405"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0.1L</w:t>
                  </w:r>
                </w:p>
              </w:tc>
              <w:tc>
                <w:tcPr>
                  <w:tcW w:w="153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0.1L</w:t>
                  </w:r>
                </w:p>
              </w:tc>
            </w:tr>
          </w:tbl>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color w:val="auto"/>
                <w:sz w:val="21"/>
                <w:szCs w:val="21"/>
                <w:lang w:val="en-US"/>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200"/>
              <w:jc w:val="both"/>
              <w:textAlignment w:val="auto"/>
              <w:outlineLvl w:val="1"/>
              <w:rPr>
                <w:rFonts w:hint="eastAsia"/>
                <w:b/>
                <w:bCs/>
                <w:lang w:val="en-US"/>
              </w:rPr>
            </w:pPr>
          </w:p>
          <w:p>
            <w:pPr>
              <w:keepNext w:val="0"/>
              <w:keepLines w:val="0"/>
              <w:pageBreakBefore w:val="0"/>
              <w:widowControl/>
              <w:numPr>
                <w:ilvl w:val="0"/>
                <w:numId w:val="0"/>
              </w:numPr>
              <w:shd w:val="clear" w:color="auto" w:fill="FFFFFF"/>
              <w:kinsoku/>
              <w:wordWrap/>
              <w:overflowPunct/>
              <w:topLinePunct w:val="0"/>
              <w:autoSpaceDE/>
              <w:autoSpaceDN/>
              <w:bidi w:val="0"/>
              <w:adjustRightInd/>
              <w:spacing w:line="360" w:lineRule="auto"/>
              <w:ind w:leftChars="0"/>
              <w:jc w:val="both"/>
              <w:textAlignment w:val="auto"/>
              <w:outlineLvl w:val="1"/>
              <w:rPr>
                <w:rFonts w:hint="eastAsia"/>
                <w:b/>
                <w:bCs/>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水生态状况调查分析</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项目附近水体为延寿河清江段，项目论证河段不涉及珍稀濒危物种、保护动植物，不涉及郴州市水产种质资源保护区，其中距离最近的浙水资兴段大刺鳅条纹二须鲃国家级水产种质资源保护区位于项目下游约47km。项目区域水生生态情况如下。</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鱼类资源：项目延寿河区域鱼类资源包括常见的草鱼、鲢鱼、鳙鱼等经济鱼类。这些鱼类在东江湖的生态系统中发挥着重要作用，如草鱼可以控制水草的生长，鲢鱼和鳙鱼能够滤食浮游生物，起到净化水质的作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浮游生物：浮游植物种类多样，主要包括硅藻、绿藻等。硅藻在水域生态系统的物质循环和能量流动中起着关键作用，它是许多水生动物的食物来源。由于东江湖流域水质总体较好，为浮游植物的生长提供了适宜的环境，其数量和种类也相对稳定。浮游动物以浮游植物为食，如轮虫、枝角类和桡足类等。轮虫是一种小型浮游动物，繁殖速度快，它们在东江湖中分布较广，是许多小型鱼类和幼鱼的重要食物。枝角类和桡足类的存在也为鱼类提供了丰富的饵料，促进了鱼类的生长和繁殖。</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底栖生物：主要包括有软体动物（如河蚌）、环节动物（如水蚯蚓）等。河蚌等软体动物可以过滤水中的悬浮颗粒，起到净化水质的作用。水蚯蚓则在底质中活动，促进底质中营养物质的分解和释放，有利于水体和底质之间的物质交换。</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b/>
                <w:bCs/>
              </w:rPr>
            </w:pPr>
            <w:r>
              <w:rPr>
                <w:rFonts w:hint="eastAsia" w:ascii="宋体" w:hAnsi="宋体" w:cs="宋体"/>
                <w:b/>
                <w:bCs/>
                <w:lang w:eastAsia="zh-CN"/>
              </w:rPr>
              <w:t>（</w:t>
            </w:r>
            <w:r>
              <w:rPr>
                <w:rFonts w:hint="eastAsia" w:ascii="宋体" w:hAnsi="宋体" w:cs="宋体"/>
                <w:b/>
                <w:bCs/>
                <w:lang w:val="en-US" w:eastAsia="zh-CN"/>
              </w:rPr>
              <w:t>四</w:t>
            </w:r>
            <w:r>
              <w:rPr>
                <w:rFonts w:hint="eastAsia" w:ascii="宋体" w:hAnsi="宋体" w:cs="宋体"/>
                <w:b/>
                <w:bCs/>
                <w:lang w:eastAsia="zh-CN"/>
              </w:rPr>
              <w:t>）</w:t>
            </w:r>
            <w:r>
              <w:rPr>
                <w:rFonts w:hint="eastAsia" w:ascii="宋体" w:hAnsi="宋体" w:eastAsia="宋体" w:cs="宋体"/>
                <w:b/>
                <w:bCs/>
              </w:rPr>
              <w:t>水环境放射性状况调查分析</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项目不涉及排放放射性物质。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b/>
                <w:bCs/>
              </w:rPr>
            </w:pPr>
            <w:r>
              <w:rPr>
                <w:rFonts w:hint="eastAsia" w:ascii="宋体" w:hAnsi="宋体" w:cs="宋体"/>
                <w:b/>
                <w:bCs/>
                <w:lang w:eastAsia="zh-CN"/>
              </w:rPr>
              <w:t>（</w:t>
            </w:r>
            <w:r>
              <w:rPr>
                <w:rFonts w:hint="eastAsia" w:ascii="宋体" w:hAnsi="宋体" w:cs="宋体"/>
                <w:b/>
                <w:bCs/>
                <w:lang w:val="en-US" w:eastAsia="zh-CN"/>
              </w:rPr>
              <w:t>五</w:t>
            </w:r>
            <w:r>
              <w:rPr>
                <w:rFonts w:hint="eastAsia" w:ascii="宋体" w:hAnsi="宋体" w:cs="宋体"/>
                <w:b/>
                <w:bCs/>
                <w:lang w:eastAsia="zh-CN"/>
              </w:rPr>
              <w:t>）</w:t>
            </w:r>
            <w:r>
              <w:rPr>
                <w:rFonts w:hint="eastAsia" w:ascii="宋体" w:hAnsi="宋体" w:eastAsia="宋体" w:cs="宋体"/>
                <w:b/>
                <w:bCs/>
              </w:rPr>
              <w:t>生态环境分区管控要求调查分析</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根据</w:t>
            </w:r>
            <w:r>
              <w:rPr>
                <w:rFonts w:hint="eastAsia" w:ascii="宋体" w:hAnsi="宋体" w:cs="宋体"/>
                <w:b w:val="0"/>
                <w:bCs w:val="0"/>
                <w:lang w:val="en-US" w:eastAsia="zh-CN"/>
              </w:rPr>
              <w:t>本项目环评报告</w:t>
            </w:r>
            <w:r>
              <w:rPr>
                <w:rFonts w:hint="eastAsia" w:ascii="宋体" w:hAnsi="宋体" w:eastAsia="宋体" w:cs="宋体"/>
                <w:b w:val="0"/>
                <w:bCs w:val="0"/>
              </w:rPr>
              <w:t>，项目建设与《关于发布郴州市生态环境分区管控更新成果（2023年版）的通知》（郴环函〔2024〕27号）相符。</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宋体" w:hAnsi="宋体" w:eastAsia="宋体" w:cs="宋体"/>
                <w:b/>
                <w:bCs/>
              </w:rPr>
            </w:pPr>
            <w:r>
              <w:rPr>
                <w:rFonts w:hint="eastAsia" w:ascii="宋体" w:hAnsi="宋体" w:cs="宋体"/>
                <w:b/>
                <w:bCs/>
                <w:lang w:val="en-US" w:eastAsia="zh-CN"/>
              </w:rPr>
              <w:t>五、</w:t>
            </w:r>
            <w:r>
              <w:rPr>
                <w:rFonts w:hint="eastAsia" w:ascii="宋体" w:hAnsi="宋体" w:eastAsia="宋体" w:cs="宋体"/>
                <w:b/>
                <w:bCs/>
              </w:rPr>
              <w:t>入河排污口设置方案设计</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b/>
                <w:bCs/>
              </w:rPr>
            </w:pPr>
            <w:r>
              <w:rPr>
                <w:rFonts w:hint="eastAsia" w:ascii="宋体" w:hAnsi="宋体" w:cs="宋体"/>
                <w:b/>
                <w:bCs/>
                <w:lang w:eastAsia="zh-CN"/>
              </w:rPr>
              <w:t>（</w:t>
            </w:r>
            <w:r>
              <w:rPr>
                <w:rFonts w:hint="eastAsia" w:ascii="宋体" w:hAnsi="宋体" w:cs="宋体"/>
                <w:b/>
                <w:bCs/>
                <w:lang w:val="en-US" w:eastAsia="zh-CN"/>
              </w:rPr>
              <w:t>一</w:t>
            </w:r>
            <w:r>
              <w:rPr>
                <w:rFonts w:hint="eastAsia" w:ascii="宋体" w:hAnsi="宋体" w:cs="宋体"/>
                <w:b/>
                <w:bCs/>
                <w:lang w:eastAsia="zh-CN"/>
              </w:rPr>
              <w:t>）</w:t>
            </w:r>
            <w:r>
              <w:rPr>
                <w:rFonts w:hint="eastAsia" w:ascii="宋体" w:hAnsi="宋体" w:eastAsia="宋体" w:cs="宋体"/>
                <w:b/>
                <w:bCs/>
              </w:rPr>
              <w:t>方案比选</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项目污水处理站位于延寿河清江段右岸，紧临延寿河清江段。</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从工程成本考虑，延寿河距离项目最近，延寿河布设入河排污口铺设的管道最短，建设成本最低，同时也可减少管道占地施工对生态环境的影响。</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项目污水处理站下游向北流经约5.6km后与走马河汇合，然后流经3.9km汇入山店江，再流经13.5km后流入浙水，最终汇入东江湖水库（饮用水水源保护区）。为保证与饮用水水源取水点保持足够的安全距离，项目选取排污口位置时应最大限度的远离下游水体。因此，从水质安全角度考虑，项目宜在延寿河清江段布设入河排污口，可最大限度的远离项目下游的水域（走马河、山店江、浙水）。</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延寿河清江段不属于饮用水水源保护区、渔业用水区、水功能一级区划中的保护区等禁止排污口设置水域，项目入河排污口设置延寿河清江段符合水域管理要求，不存在环境制约因素。</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根据《汝城县小垣矿区综合开发环保实施项目防洪评价报告》（汝水函〔2024]66号），项目排污口设置能满足防洪要求，对延寿河清江段的防洪管理无影响。</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val="0"/>
                <w:bCs w:val="0"/>
              </w:rPr>
            </w:pPr>
            <w:r>
              <w:rPr>
                <w:rFonts w:hint="eastAsia" w:ascii="宋体" w:hAnsi="宋体" w:eastAsia="宋体" w:cs="宋体"/>
                <w:b w:val="0"/>
                <w:bCs w:val="0"/>
              </w:rPr>
              <w:t>综上，从建设成本、水质安全、生态环境、防洪等角度综合考虑，项目入河排污口布设至延寿河清江段右岸为最优方案。同时根据预测分析，项目废水正常工况排放，项目下游控制断面枯水期、丰水期废水完全混合后各污染物浓度均可以达到《地表水环境质量标准》（GB3838-2002）III类标准，项目废水污染物对下游浙水羊兴村常规监测断面的水质不会造成明显变化，仍可达到II类水质要求，项目废水排放对东江湖饮用水水源准保护区及取水口水质无明显影响。</w:t>
            </w:r>
          </w:p>
          <w:p>
            <w:pPr>
              <w:keepNext w:val="0"/>
              <w:keepLines w:val="0"/>
              <w:pageBreakBefore w:val="0"/>
              <w:widowControl/>
              <w:shd w:val="clear" w:color="auto" w:fill="FFFFFF"/>
              <w:kinsoku/>
              <w:wordWrap/>
              <w:overflowPunct/>
              <w:topLinePunct w:val="0"/>
              <w:autoSpaceDE/>
              <w:autoSpaceDN/>
              <w:bidi w:val="0"/>
              <w:adjustRightInd/>
              <w:spacing w:line="360" w:lineRule="auto"/>
              <w:ind w:left="0" w:leftChars="0" w:firstLine="0" w:firstLineChars="0"/>
              <w:jc w:val="both"/>
              <w:textAlignment w:val="auto"/>
              <w:outlineLvl w:val="1"/>
              <w:rPr>
                <w:rFonts w:hint="eastAsia"/>
                <w:lang w:val="en-US"/>
              </w:rPr>
            </w:pPr>
            <w:r>
              <w:rPr>
                <w:rFonts w:hint="eastAsia"/>
                <w:b/>
                <w:bCs/>
                <w:lang w:val="en-US" w:eastAsia="zh-CN"/>
              </w:rPr>
              <w:t>（二）</w:t>
            </w:r>
            <w:r>
              <w:rPr>
                <w:rFonts w:hint="eastAsia"/>
                <w:b/>
                <w:bCs/>
                <w:lang w:val="en-US"/>
              </w:rPr>
              <w:t>入河排污口设置基本情况</w:t>
            </w:r>
          </w:p>
          <w:tbl>
            <w:tblPr>
              <w:tblStyle w:val="20"/>
              <w:tblW w:w="69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10"/>
              <w:gridCol w:w="3543"/>
              <w:gridCol w:w="15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910" w:type="dxa"/>
                  <w:vAlign w:val="center"/>
                </w:tcPr>
                <w:p>
                  <w:pPr>
                    <w:pStyle w:val="52"/>
                    <w:rPr>
                      <w:rFonts w:hint="eastAsia" w:ascii="宋体" w:hAnsi="宋体" w:eastAsia="宋体" w:cs="宋体"/>
                      <w:b w:val="0"/>
                      <w:color w:val="auto"/>
                      <w:u w:val="single"/>
                    </w:rPr>
                  </w:pPr>
                  <w:r>
                    <w:rPr>
                      <w:rFonts w:hint="eastAsia" w:ascii="宋体" w:hAnsi="宋体" w:eastAsia="宋体" w:cs="宋体"/>
                      <w:b/>
                      <w:color w:val="auto"/>
                      <w:u w:val="single"/>
                    </w:rPr>
                    <w:t>类别</w:t>
                  </w:r>
                </w:p>
              </w:tc>
              <w:tc>
                <w:tcPr>
                  <w:tcW w:w="5061" w:type="dxa"/>
                  <w:gridSpan w:val="2"/>
                  <w:vAlign w:val="center"/>
                </w:tcPr>
                <w:p>
                  <w:pPr>
                    <w:pStyle w:val="52"/>
                    <w:rPr>
                      <w:rFonts w:hint="eastAsia" w:ascii="宋体" w:hAnsi="宋体" w:eastAsia="宋体" w:cs="宋体"/>
                      <w:b w:val="0"/>
                      <w:color w:val="auto"/>
                      <w:u w:val="single"/>
                    </w:rPr>
                  </w:pPr>
                  <w:r>
                    <w:rPr>
                      <w:rFonts w:hint="eastAsia" w:ascii="宋体" w:hAnsi="宋体" w:eastAsia="宋体" w:cs="宋体"/>
                      <w:b/>
                      <w:color w:val="auto"/>
                      <w:u w:val="single"/>
                    </w:rPr>
                    <w:t>入河排污口信息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入河排污口名称</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郴州市汝城县郴州祺祥矿业有限公司排污口</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入河排污口位置</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汝城县延寿瑶族乡延寿河清江段右岸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入河排污口坐标</w:t>
                  </w:r>
                </w:p>
              </w:tc>
              <w:tc>
                <w:tcPr>
                  <w:tcW w:w="5061" w:type="dxa"/>
                  <w:gridSpan w:val="2"/>
                  <w:vAlign w:val="center"/>
                </w:tcPr>
                <w:p>
                  <w:pPr>
                    <w:pStyle w:val="52"/>
                    <w:rPr>
                      <w:rFonts w:hint="eastAsia" w:ascii="宋体" w:hAnsi="宋体" w:eastAsia="宋体" w:cs="宋体"/>
                      <w:color w:val="auto"/>
                      <w:szCs w:val="21"/>
                      <w:u w:val="single"/>
                    </w:rPr>
                  </w:pPr>
                  <w:r>
                    <w:rPr>
                      <w:rFonts w:hint="eastAsia" w:ascii="宋体" w:hAnsi="宋体" w:eastAsia="宋体" w:cs="宋体"/>
                      <w:color w:val="auto"/>
                      <w:szCs w:val="21"/>
                      <w:u w:val="single"/>
                    </w:rPr>
                    <w:t>E113.499399、N25.392860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入河排污口类型</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新建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入河排污口分类</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工矿企业入河排污口</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入河排污口编码</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FP-431026-0031-GY-00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排放方式</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连续排放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入河方式</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管道（采用DN500的PE管）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排入水体名称</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延寿河清江段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排入的水功能区</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未划定水功能区划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Merge w:val="restart"/>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入河排污口</w:t>
                  </w:r>
                </w:p>
                <w:p>
                  <w:pPr>
                    <w:pStyle w:val="52"/>
                    <w:rPr>
                      <w:rFonts w:hint="eastAsia" w:ascii="宋体" w:hAnsi="宋体" w:eastAsia="宋体" w:cs="宋体"/>
                      <w:color w:val="auto"/>
                      <w:u w:val="single"/>
                    </w:rPr>
                  </w:pPr>
                  <w:r>
                    <w:rPr>
                      <w:rFonts w:hint="eastAsia" w:ascii="宋体" w:hAnsi="宋体" w:eastAsia="宋体" w:cs="宋体"/>
                      <w:color w:val="auto"/>
                      <w:u w:val="single"/>
                    </w:rPr>
                    <w:t>废水排放量</w:t>
                  </w:r>
                </w:p>
              </w:tc>
              <w:tc>
                <w:tcPr>
                  <w:tcW w:w="3543"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尾砂综合利用阶段（年生产200d）</w:t>
                  </w:r>
                </w:p>
              </w:tc>
              <w:tc>
                <w:tcPr>
                  <w:tcW w:w="1518" w:type="dxa"/>
                  <w:vAlign w:val="center"/>
                </w:tcPr>
                <w:p>
                  <w:pPr>
                    <w:pStyle w:val="52"/>
                    <w:rPr>
                      <w:rFonts w:hint="eastAsia" w:ascii="宋体" w:hAnsi="宋体" w:eastAsia="宋体" w:cs="宋体"/>
                      <w:color w:val="auto"/>
                      <w:u w:val="single"/>
                      <w:lang w:val="en-US"/>
                    </w:rPr>
                  </w:pPr>
                  <w:r>
                    <w:rPr>
                      <w:rFonts w:hint="eastAsia" w:ascii="宋体" w:hAnsi="宋体" w:eastAsia="宋体" w:cs="宋体"/>
                      <w:color w:val="auto"/>
                      <w:szCs w:val="21"/>
                      <w:u w:val="single"/>
                      <w:lang w:val="en-US"/>
                    </w:rPr>
                    <w:t>163621m</w:t>
                  </w:r>
                  <w:r>
                    <w:rPr>
                      <w:rFonts w:hint="eastAsia" w:ascii="宋体" w:hAnsi="宋体" w:eastAsia="宋体" w:cs="宋体"/>
                      <w:color w:val="auto"/>
                      <w:szCs w:val="21"/>
                      <w:u w:val="single"/>
                      <w:vertAlign w:val="superscript"/>
                      <w:lang w:val="en-US"/>
                    </w:rPr>
                    <w:t>3</w:t>
                  </w:r>
                  <w:r>
                    <w:rPr>
                      <w:rFonts w:hint="eastAsia" w:ascii="宋体" w:hAnsi="宋体" w:eastAsia="宋体" w:cs="宋体"/>
                      <w:color w:val="auto"/>
                      <w:szCs w:val="21"/>
                      <w:u w:val="single"/>
                      <w:lang w:val="en-US"/>
                    </w:rPr>
                    <w:t>/a（818.1m</w:t>
                  </w:r>
                  <w:r>
                    <w:rPr>
                      <w:rFonts w:hint="eastAsia" w:ascii="宋体" w:hAnsi="宋体" w:eastAsia="宋体" w:cs="宋体"/>
                      <w:color w:val="auto"/>
                      <w:szCs w:val="21"/>
                      <w:u w:val="single"/>
                      <w:vertAlign w:val="superscript"/>
                      <w:lang w:val="en-US"/>
                    </w:rPr>
                    <w:t>3</w:t>
                  </w:r>
                  <w:r>
                    <w:rPr>
                      <w:rFonts w:hint="eastAsia" w:ascii="宋体" w:hAnsi="宋体" w:eastAsia="宋体" w:cs="宋体"/>
                      <w:color w:val="auto"/>
                      <w:szCs w:val="21"/>
                      <w:u w:val="single"/>
                      <w:lang w:val="en-US"/>
                    </w:rPr>
                    <w:t>/d）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Merge w:val="continue"/>
                  <w:vAlign w:val="center"/>
                </w:tcPr>
                <w:p>
                  <w:pPr>
                    <w:pStyle w:val="52"/>
                    <w:rPr>
                      <w:rFonts w:hint="eastAsia" w:ascii="宋体" w:hAnsi="宋体" w:eastAsia="宋体" w:cs="宋体"/>
                      <w:color w:val="auto"/>
                      <w:u w:val="single"/>
                      <w:lang w:val="en-US"/>
                    </w:rPr>
                  </w:pPr>
                </w:p>
              </w:tc>
              <w:tc>
                <w:tcPr>
                  <w:tcW w:w="3543"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废石综合利用阶段（年生产300d）</w:t>
                  </w:r>
                </w:p>
              </w:tc>
              <w:tc>
                <w:tcPr>
                  <w:tcW w:w="1518"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198674m</w:t>
                  </w:r>
                  <w:r>
                    <w:rPr>
                      <w:rFonts w:hint="eastAsia" w:ascii="宋体" w:hAnsi="宋体" w:eastAsia="宋体" w:cs="宋体"/>
                      <w:color w:val="auto"/>
                      <w:u w:val="single"/>
                      <w:vertAlign w:val="superscript"/>
                    </w:rPr>
                    <w:t>3</w:t>
                  </w:r>
                  <w:r>
                    <w:rPr>
                      <w:rFonts w:hint="eastAsia" w:ascii="宋体" w:hAnsi="宋体" w:eastAsia="宋体" w:cs="宋体"/>
                      <w:color w:val="auto"/>
                      <w:u w:val="single"/>
                    </w:rPr>
                    <w:t>/a</w:t>
                  </w:r>
                  <w:r>
                    <w:rPr>
                      <w:rStyle w:val="54"/>
                      <w:rFonts w:hint="eastAsia" w:ascii="宋体" w:hAnsi="宋体" w:eastAsia="宋体" w:cs="宋体"/>
                      <w:color w:val="auto"/>
                      <w:kern w:val="0"/>
                      <w:sz w:val="21"/>
                      <w:szCs w:val="32"/>
                      <w:u w:val="single"/>
                    </w:rPr>
                    <w:t>（662.2m</w:t>
                  </w:r>
                  <w:r>
                    <w:rPr>
                      <w:rStyle w:val="54"/>
                      <w:rFonts w:hint="eastAsia" w:ascii="宋体" w:hAnsi="宋体" w:eastAsia="宋体" w:cs="宋体"/>
                      <w:color w:val="auto"/>
                      <w:kern w:val="0"/>
                      <w:sz w:val="21"/>
                      <w:szCs w:val="32"/>
                      <w:u w:val="single"/>
                      <w:vertAlign w:val="superscript"/>
                    </w:rPr>
                    <w:t>3</w:t>
                  </w:r>
                  <w:r>
                    <w:rPr>
                      <w:rStyle w:val="54"/>
                      <w:rFonts w:hint="eastAsia" w:ascii="宋体" w:hAnsi="宋体" w:eastAsia="宋体" w:cs="宋体"/>
                      <w:color w:val="auto"/>
                      <w:kern w:val="0"/>
                      <w:sz w:val="21"/>
                      <w:szCs w:val="32"/>
                      <w:u w:val="single"/>
                    </w:rPr>
                    <w:t>/d）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污水处理站地表标高</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656m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排水口底部高程</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654.5m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河道历史水位高程</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653.47~654.54m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是否多排放源共用</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10" w:type="dxa"/>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入河排污口建成时间或拟启用时间</w:t>
                  </w:r>
                </w:p>
              </w:tc>
              <w:tc>
                <w:tcPr>
                  <w:tcW w:w="5061" w:type="dxa"/>
                  <w:gridSpan w:val="2"/>
                  <w:vAlign w:val="center"/>
                </w:tcPr>
                <w:p>
                  <w:pPr>
                    <w:pStyle w:val="52"/>
                    <w:rPr>
                      <w:rFonts w:hint="eastAsia" w:ascii="宋体" w:hAnsi="宋体" w:eastAsia="宋体" w:cs="宋体"/>
                      <w:color w:val="auto"/>
                      <w:u w:val="single"/>
                    </w:rPr>
                  </w:pPr>
                  <w:r>
                    <w:rPr>
                      <w:rFonts w:hint="eastAsia" w:ascii="宋体" w:hAnsi="宋体" w:eastAsia="宋体" w:cs="宋体"/>
                      <w:color w:val="auto"/>
                      <w:u w:val="single"/>
                    </w:rPr>
                    <w:t>2026年6月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71" w:type="dxa"/>
                  <w:gridSpan w:val="3"/>
                  <w:vAlign w:val="center"/>
                </w:tcPr>
                <w:p>
                  <w:pPr>
                    <w:pStyle w:val="52"/>
                    <w:spacing w:before="163" w:beforeLines="50" w:after="163" w:afterLines="50"/>
                    <w:jc w:val="both"/>
                    <w:rPr>
                      <w:rFonts w:hint="eastAsia" w:ascii="宋体" w:hAnsi="宋体" w:eastAsia="宋体" w:cs="宋体"/>
                      <w:color w:val="auto"/>
                      <w:u w:val="single"/>
                    </w:rPr>
                  </w:pPr>
                  <w:r>
                    <w:rPr>
                      <w:rFonts w:hint="eastAsia" w:ascii="宋体" w:hAnsi="宋体" w:eastAsia="宋体" w:cs="宋体"/>
                      <w:color w:val="auto"/>
                      <w:u w:val="single"/>
                    </w:rPr>
                    <w:t>污水排放路径图（排污单位-排污管线-入河排污口-受纳水体）</w:t>
                  </w:r>
                </w:p>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rPr>
                    <w:drawing>
                      <wp:inline distT="0" distB="0" distL="114300" distR="114300">
                        <wp:extent cx="4191635" cy="4016375"/>
                        <wp:effectExtent l="0" t="0" r="7620" b="1016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4"/>
                                <a:stretch>
                                  <a:fillRect/>
                                </a:stretch>
                              </pic:blipFill>
                              <pic:spPr>
                                <a:xfrm>
                                  <a:off x="0" y="0"/>
                                  <a:ext cx="4191635" cy="4016375"/>
                                </a:xfrm>
                                <a:prstGeom prst="rect">
                                  <a:avLst/>
                                </a:prstGeom>
                                <a:noFill/>
                                <a:ln>
                                  <a:noFill/>
                                </a:ln>
                              </pic:spPr>
                            </pic:pic>
                          </a:graphicData>
                        </a:graphic>
                      </wp:inline>
                    </w:drawing>
                  </w:r>
                </w:p>
              </w:tc>
            </w:tr>
          </w:tbl>
          <w:p>
            <w:pPr>
              <w:pStyle w:val="4"/>
              <w:pageBreakBefore w:val="0"/>
              <w:widowControl w:val="0"/>
              <w:kinsoku/>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lang w:val="en-US" w:eastAsia="zh-CN"/>
              </w:rPr>
              <w:t>三</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入河排污口排污情况</w:t>
            </w:r>
          </w:p>
          <w:p>
            <w:pPr>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u w:val="none"/>
                <w:lang w:val="zh-CN"/>
              </w:rPr>
            </w:pPr>
            <w:r>
              <w:rPr>
                <w:rFonts w:hint="eastAsia" w:ascii="宋体" w:hAnsi="宋体" w:eastAsia="宋体" w:cs="宋体"/>
                <w:color w:val="auto"/>
                <w:u w:val="none"/>
                <w:lang w:val="zh-CN"/>
              </w:rPr>
              <w:t>项目选厂优先处理尾砂，尾砂综合利用完成后，再进行废石综合利用。因此，项目入河排污口排污情况分阶段进行分析，具体如下表所示。</w:t>
            </w:r>
          </w:p>
          <w:p>
            <w:pPr>
              <w:pStyle w:val="53"/>
              <w:pageBreakBefore w:val="0"/>
              <w:widowControl w:val="0"/>
              <w:numPr>
                <w:ilvl w:val="4"/>
                <w:numId w:val="0"/>
              </w:numPr>
              <w:kinsoku/>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color w:val="auto"/>
                <w:u w:val="none"/>
                <w:lang w:val="zh-CN"/>
              </w:rPr>
            </w:pPr>
            <w:r>
              <w:rPr>
                <w:rFonts w:hint="eastAsia" w:ascii="宋体" w:hAnsi="宋体" w:cs="宋体"/>
                <w:color w:val="auto"/>
                <w:u w:val="none"/>
                <w:lang w:val="en-US" w:eastAsia="zh-CN"/>
              </w:rPr>
              <w:t xml:space="preserve">表5.3.1 </w:t>
            </w:r>
            <w:r>
              <w:rPr>
                <w:rFonts w:hint="eastAsia" w:ascii="宋体" w:hAnsi="宋体" w:eastAsia="宋体" w:cs="宋体"/>
                <w:color w:val="auto"/>
                <w:u w:val="none"/>
                <w:lang w:val="zh-CN"/>
              </w:rPr>
              <w:t>项目入河排污口排污情况一览表</w:t>
            </w:r>
          </w:p>
          <w:tbl>
            <w:tblPr>
              <w:tblStyle w:val="19"/>
              <w:tblW w:w="68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953"/>
              <w:gridCol w:w="1231"/>
              <w:gridCol w:w="780"/>
              <w:gridCol w:w="24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 w:hRule="atLeast"/>
                <w:tblHeader/>
                <w:jc w:val="center"/>
              </w:trPr>
              <w:tc>
                <w:tcPr>
                  <w:tcW w:w="1361" w:type="dxa"/>
                  <w:vAlign w:val="center"/>
                </w:tcPr>
                <w:p>
                  <w:pPr>
                    <w:pStyle w:val="52"/>
                    <w:rPr>
                      <w:rFonts w:hint="eastAsia" w:ascii="宋体" w:hAnsi="宋体" w:eastAsia="宋体" w:cs="宋体"/>
                      <w:b w:val="0"/>
                      <w:color w:val="auto"/>
                      <w:sz w:val="21"/>
                      <w:szCs w:val="21"/>
                      <w:u w:val="single"/>
                    </w:rPr>
                  </w:pPr>
                  <w:r>
                    <w:rPr>
                      <w:rFonts w:hint="eastAsia" w:ascii="宋体" w:hAnsi="宋体" w:eastAsia="宋体" w:cs="宋体"/>
                      <w:b/>
                      <w:color w:val="auto"/>
                      <w:sz w:val="21"/>
                      <w:szCs w:val="21"/>
                      <w:u w:val="single"/>
                    </w:rPr>
                    <w:t>废水来源</w:t>
                  </w:r>
                </w:p>
              </w:tc>
              <w:tc>
                <w:tcPr>
                  <w:tcW w:w="953" w:type="dxa"/>
                  <w:vAlign w:val="center"/>
                </w:tcPr>
                <w:p>
                  <w:pPr>
                    <w:pStyle w:val="52"/>
                    <w:rPr>
                      <w:rFonts w:hint="eastAsia" w:ascii="宋体" w:hAnsi="宋体" w:eastAsia="宋体" w:cs="宋体"/>
                      <w:b w:val="0"/>
                      <w:color w:val="auto"/>
                      <w:sz w:val="21"/>
                      <w:szCs w:val="21"/>
                      <w:u w:val="single"/>
                    </w:rPr>
                  </w:pPr>
                  <w:r>
                    <w:rPr>
                      <w:rFonts w:hint="eastAsia" w:ascii="宋体" w:hAnsi="宋体" w:eastAsia="宋体" w:cs="宋体"/>
                      <w:b/>
                      <w:color w:val="auto"/>
                      <w:sz w:val="21"/>
                      <w:szCs w:val="21"/>
                      <w:u w:val="single"/>
                    </w:rPr>
                    <w:t>阶段</w:t>
                  </w:r>
                </w:p>
              </w:tc>
              <w:tc>
                <w:tcPr>
                  <w:tcW w:w="1231" w:type="dxa"/>
                  <w:vAlign w:val="center"/>
                </w:tcPr>
                <w:p>
                  <w:pPr>
                    <w:pStyle w:val="52"/>
                    <w:rPr>
                      <w:rFonts w:hint="eastAsia" w:ascii="宋体" w:hAnsi="宋体" w:eastAsia="宋体" w:cs="宋体"/>
                      <w:b w:val="0"/>
                      <w:color w:val="auto"/>
                      <w:sz w:val="21"/>
                      <w:szCs w:val="21"/>
                      <w:u w:val="single"/>
                    </w:rPr>
                  </w:pPr>
                  <w:r>
                    <w:rPr>
                      <w:rFonts w:hint="eastAsia" w:ascii="宋体" w:hAnsi="宋体" w:eastAsia="宋体" w:cs="宋体"/>
                      <w:b/>
                      <w:color w:val="auto"/>
                      <w:sz w:val="21"/>
                      <w:szCs w:val="21"/>
                      <w:u w:val="single"/>
                    </w:rPr>
                    <w:t>排水量</w:t>
                  </w:r>
                  <w:r>
                    <w:rPr>
                      <w:rFonts w:hint="eastAsia" w:ascii="宋体" w:hAnsi="宋体" w:eastAsia="宋体" w:cs="宋体"/>
                      <w:b/>
                      <w:color w:val="auto"/>
                      <w:sz w:val="21"/>
                      <w:szCs w:val="21"/>
                      <w:u w:val="single"/>
                      <w:lang w:val="en-US"/>
                    </w:rPr>
                    <w:t>m</w:t>
                  </w:r>
                  <w:r>
                    <w:rPr>
                      <w:rFonts w:hint="eastAsia" w:ascii="宋体" w:hAnsi="宋体" w:eastAsia="宋体" w:cs="宋体"/>
                      <w:b/>
                      <w:color w:val="auto"/>
                      <w:sz w:val="21"/>
                      <w:szCs w:val="21"/>
                      <w:u w:val="single"/>
                      <w:vertAlign w:val="superscript"/>
                      <w:lang w:val="en-US"/>
                    </w:rPr>
                    <w:t>3</w:t>
                  </w:r>
                  <w:r>
                    <w:rPr>
                      <w:rFonts w:hint="eastAsia" w:ascii="宋体" w:hAnsi="宋体" w:eastAsia="宋体" w:cs="宋体"/>
                      <w:b/>
                      <w:color w:val="auto"/>
                      <w:sz w:val="21"/>
                      <w:szCs w:val="21"/>
                      <w:u w:val="single"/>
                      <w:lang w:val="en-US"/>
                    </w:rPr>
                    <w:t>/a</w:t>
                  </w:r>
                </w:p>
              </w:tc>
              <w:tc>
                <w:tcPr>
                  <w:tcW w:w="780" w:type="dxa"/>
                  <w:vAlign w:val="center"/>
                </w:tcPr>
                <w:p>
                  <w:pPr>
                    <w:pStyle w:val="52"/>
                    <w:rPr>
                      <w:rFonts w:hint="eastAsia" w:ascii="宋体" w:hAnsi="宋体" w:eastAsia="宋体" w:cs="宋体"/>
                      <w:b w:val="0"/>
                      <w:color w:val="auto"/>
                      <w:sz w:val="21"/>
                      <w:szCs w:val="21"/>
                      <w:u w:val="single"/>
                    </w:rPr>
                  </w:pPr>
                  <w:r>
                    <w:rPr>
                      <w:rFonts w:hint="eastAsia" w:ascii="宋体" w:hAnsi="宋体" w:eastAsia="宋体" w:cs="宋体"/>
                      <w:b/>
                      <w:color w:val="auto"/>
                      <w:sz w:val="21"/>
                      <w:szCs w:val="21"/>
                      <w:u w:val="single"/>
                    </w:rPr>
                    <w:t>排放规律</w:t>
                  </w:r>
                </w:p>
              </w:tc>
              <w:tc>
                <w:tcPr>
                  <w:tcW w:w="2480" w:type="dxa"/>
                  <w:vAlign w:val="center"/>
                </w:tcPr>
                <w:p>
                  <w:pPr>
                    <w:pStyle w:val="52"/>
                    <w:rPr>
                      <w:rFonts w:hint="eastAsia" w:ascii="宋体" w:hAnsi="宋体" w:eastAsia="宋体" w:cs="宋体"/>
                      <w:b w:val="0"/>
                      <w:color w:val="auto"/>
                      <w:sz w:val="21"/>
                      <w:szCs w:val="21"/>
                      <w:u w:val="single"/>
                    </w:rPr>
                  </w:pPr>
                  <w:r>
                    <w:rPr>
                      <w:rFonts w:hint="eastAsia" w:ascii="宋体" w:hAnsi="宋体" w:eastAsia="宋体" w:cs="宋体"/>
                      <w:b/>
                      <w:color w:val="auto"/>
                      <w:sz w:val="21"/>
                      <w:szCs w:val="21"/>
                      <w:u w:val="single"/>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1361" w:type="dxa"/>
                  <w:vMerge w:val="restart"/>
                  <w:vAlign w:val="center"/>
                </w:tcPr>
                <w:p>
                  <w:pPr>
                    <w:pStyle w:val="52"/>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清江尾矿库渗滤液、溢流水</w:t>
                  </w:r>
                </w:p>
              </w:tc>
              <w:tc>
                <w:tcPr>
                  <w:tcW w:w="953" w:type="dxa"/>
                  <w:vAlign w:val="center"/>
                </w:tcPr>
                <w:p>
                  <w:pPr>
                    <w:pStyle w:val="52"/>
                    <w:rPr>
                      <w:rFonts w:hint="eastAsia" w:ascii="宋体" w:hAnsi="宋体" w:eastAsia="宋体" w:cs="宋体"/>
                      <w:color w:val="auto"/>
                      <w:sz w:val="21"/>
                      <w:szCs w:val="21"/>
                    </w:rPr>
                  </w:pPr>
                  <w:r>
                    <w:rPr>
                      <w:rFonts w:hint="eastAsia" w:ascii="宋体" w:hAnsi="宋体" w:eastAsia="宋体" w:cs="宋体"/>
                      <w:color w:val="auto"/>
                      <w:sz w:val="21"/>
                      <w:szCs w:val="21"/>
                      <w:u w:val="single"/>
                    </w:rPr>
                    <w:t>尾砂综合利用</w:t>
                  </w:r>
                </w:p>
              </w:tc>
              <w:tc>
                <w:tcPr>
                  <w:tcW w:w="1231" w:type="dxa"/>
                  <w:vAlign w:val="center"/>
                </w:tcPr>
                <w:p>
                  <w:pPr>
                    <w:pStyle w:val="52"/>
                    <w:rPr>
                      <w:rFonts w:hint="eastAsia" w:ascii="宋体" w:hAnsi="宋体" w:eastAsia="宋体" w:cs="宋体"/>
                      <w:color w:val="auto"/>
                      <w:sz w:val="21"/>
                      <w:szCs w:val="21"/>
                      <w:u w:val="single"/>
                      <w:lang w:val="en-US"/>
                    </w:rPr>
                  </w:pPr>
                  <w:r>
                    <w:rPr>
                      <w:rFonts w:hint="eastAsia" w:ascii="宋体" w:hAnsi="宋体" w:eastAsia="宋体" w:cs="宋体"/>
                      <w:color w:val="auto"/>
                      <w:sz w:val="21"/>
                      <w:szCs w:val="21"/>
                      <w:u w:val="single"/>
                      <w:lang w:val="en-US"/>
                    </w:rPr>
                    <w:t>163621</w:t>
                  </w:r>
                </w:p>
                <w:p>
                  <w:pPr>
                    <w:pStyle w:val="52"/>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lang w:val="en-US"/>
                    </w:rPr>
                    <w:t>（818.1m</w:t>
                  </w:r>
                  <w:r>
                    <w:rPr>
                      <w:rFonts w:hint="eastAsia" w:ascii="宋体" w:hAnsi="宋体" w:eastAsia="宋体" w:cs="宋体"/>
                      <w:color w:val="auto"/>
                      <w:sz w:val="21"/>
                      <w:szCs w:val="21"/>
                      <w:u w:val="single"/>
                      <w:vertAlign w:val="superscript"/>
                      <w:lang w:val="en-US"/>
                    </w:rPr>
                    <w:t>3</w:t>
                  </w:r>
                  <w:r>
                    <w:rPr>
                      <w:rFonts w:hint="eastAsia" w:ascii="宋体" w:hAnsi="宋体" w:eastAsia="宋体" w:cs="宋体"/>
                      <w:color w:val="auto"/>
                      <w:sz w:val="21"/>
                      <w:szCs w:val="21"/>
                      <w:u w:val="single"/>
                      <w:lang w:val="en-US"/>
                    </w:rPr>
                    <w:t>/d）</w:t>
                  </w:r>
                </w:p>
              </w:tc>
              <w:tc>
                <w:tcPr>
                  <w:tcW w:w="780" w:type="dxa"/>
                  <w:vMerge w:val="restart"/>
                  <w:vAlign w:val="center"/>
                </w:tcPr>
                <w:p>
                  <w:pPr>
                    <w:pStyle w:val="52"/>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连续性排放</w:t>
                  </w:r>
                </w:p>
              </w:tc>
              <w:tc>
                <w:tcPr>
                  <w:tcW w:w="2480" w:type="dxa"/>
                  <w:vMerge w:val="restart"/>
                  <w:vAlign w:val="center"/>
                </w:tcPr>
                <w:p>
                  <w:pPr>
                    <w:pStyle w:val="52"/>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重金属铅、汞、镉、铬（六价）、砷执行《农田灌溉水质标准》（GB 5084-2021）表1“水田作物”排放标准、锑执行《工业废水中锑污染物排放标准》（DB43/350-2007）、铊执行《工业废水铊污染物排放标准》（DB43/968-2021），其余污染因子执行《铜、镍、钴工业污染物排放标准》（GB 25467-2010）表2直接排放及修改单限值要求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1361" w:type="dxa"/>
                  <w:vMerge w:val="continue"/>
                  <w:vAlign w:val="center"/>
                </w:tcPr>
                <w:p>
                  <w:pPr>
                    <w:pStyle w:val="52"/>
                    <w:rPr>
                      <w:rFonts w:hint="eastAsia" w:ascii="宋体" w:hAnsi="宋体" w:eastAsia="宋体" w:cs="宋体"/>
                      <w:color w:val="auto"/>
                      <w:sz w:val="21"/>
                      <w:szCs w:val="21"/>
                      <w:u w:val="single"/>
                    </w:rPr>
                  </w:pPr>
                </w:p>
              </w:tc>
              <w:tc>
                <w:tcPr>
                  <w:tcW w:w="953" w:type="dxa"/>
                  <w:vAlign w:val="center"/>
                </w:tcPr>
                <w:p>
                  <w:pPr>
                    <w:pStyle w:val="52"/>
                    <w:rPr>
                      <w:rFonts w:hint="eastAsia" w:ascii="宋体" w:hAnsi="宋体" w:eastAsia="宋体" w:cs="宋体"/>
                      <w:color w:val="auto"/>
                      <w:sz w:val="21"/>
                      <w:szCs w:val="21"/>
                    </w:rPr>
                  </w:pPr>
                  <w:r>
                    <w:rPr>
                      <w:rFonts w:hint="eastAsia" w:ascii="宋体" w:hAnsi="宋体" w:eastAsia="宋体" w:cs="宋体"/>
                      <w:color w:val="auto"/>
                      <w:sz w:val="21"/>
                      <w:szCs w:val="21"/>
                      <w:u w:val="single"/>
                    </w:rPr>
                    <w:t>废石综合利用</w:t>
                  </w:r>
                </w:p>
              </w:tc>
              <w:tc>
                <w:tcPr>
                  <w:tcW w:w="1231" w:type="dxa"/>
                  <w:vAlign w:val="center"/>
                </w:tcPr>
                <w:p>
                  <w:pPr>
                    <w:pStyle w:val="52"/>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198674</w:t>
                  </w:r>
                </w:p>
                <w:p>
                  <w:pPr>
                    <w:pStyle w:val="52"/>
                    <w:rPr>
                      <w:rFonts w:hint="eastAsia" w:ascii="宋体" w:hAnsi="宋体" w:eastAsia="宋体" w:cs="宋体"/>
                      <w:color w:val="auto"/>
                      <w:sz w:val="21"/>
                      <w:szCs w:val="21"/>
                      <w:u w:val="single"/>
                      <w:lang w:val="en-US"/>
                    </w:rPr>
                  </w:pPr>
                  <w:r>
                    <w:rPr>
                      <w:rStyle w:val="54"/>
                      <w:rFonts w:hint="eastAsia" w:ascii="宋体" w:hAnsi="宋体" w:eastAsia="宋体" w:cs="宋体"/>
                      <w:color w:val="auto"/>
                      <w:kern w:val="0"/>
                      <w:sz w:val="21"/>
                      <w:szCs w:val="21"/>
                      <w:u w:val="single"/>
                    </w:rPr>
                    <w:t>（662.2m</w:t>
                  </w:r>
                  <w:r>
                    <w:rPr>
                      <w:rStyle w:val="54"/>
                      <w:rFonts w:hint="eastAsia" w:ascii="宋体" w:hAnsi="宋体" w:eastAsia="宋体" w:cs="宋体"/>
                      <w:color w:val="auto"/>
                      <w:kern w:val="0"/>
                      <w:sz w:val="21"/>
                      <w:szCs w:val="21"/>
                      <w:u w:val="single"/>
                      <w:vertAlign w:val="superscript"/>
                    </w:rPr>
                    <w:t>3</w:t>
                  </w:r>
                  <w:r>
                    <w:rPr>
                      <w:rStyle w:val="54"/>
                      <w:rFonts w:hint="eastAsia" w:ascii="宋体" w:hAnsi="宋体" w:eastAsia="宋体" w:cs="宋体"/>
                      <w:color w:val="auto"/>
                      <w:kern w:val="0"/>
                      <w:sz w:val="21"/>
                      <w:szCs w:val="21"/>
                      <w:u w:val="single"/>
                    </w:rPr>
                    <w:t>/d）</w:t>
                  </w:r>
                </w:p>
              </w:tc>
              <w:tc>
                <w:tcPr>
                  <w:tcW w:w="780" w:type="dxa"/>
                  <w:vMerge w:val="continue"/>
                  <w:vAlign w:val="center"/>
                </w:tcPr>
                <w:p>
                  <w:pPr>
                    <w:pStyle w:val="52"/>
                    <w:rPr>
                      <w:rFonts w:hint="eastAsia" w:ascii="宋体" w:hAnsi="宋体" w:eastAsia="宋体" w:cs="宋体"/>
                      <w:color w:val="auto"/>
                      <w:sz w:val="21"/>
                      <w:szCs w:val="21"/>
                      <w:u w:val="single"/>
                    </w:rPr>
                  </w:pPr>
                </w:p>
              </w:tc>
              <w:tc>
                <w:tcPr>
                  <w:tcW w:w="2480" w:type="dxa"/>
                  <w:vMerge w:val="continue"/>
                  <w:vAlign w:val="center"/>
                </w:tcPr>
                <w:p>
                  <w:pPr>
                    <w:pStyle w:val="52"/>
                    <w:rPr>
                      <w:rFonts w:hint="eastAsia" w:ascii="宋体" w:hAnsi="宋体" w:eastAsia="宋体" w:cs="宋体"/>
                      <w:color w:val="auto"/>
                      <w:sz w:val="21"/>
                      <w:szCs w:val="21"/>
                      <w:u w:val="single"/>
                    </w:rPr>
                  </w:pPr>
                </w:p>
              </w:tc>
            </w:tr>
          </w:tbl>
          <w:p>
            <w:pPr>
              <w:keepNext w:val="0"/>
              <w:keepLines w:val="0"/>
              <w:pageBreakBefore w:val="0"/>
              <w:widowControl/>
              <w:shd w:val="clear" w:color="auto" w:fill="FFFFFF"/>
              <w:kinsoku/>
              <w:wordWrap/>
              <w:overflowPunct/>
              <w:topLinePunct w:val="0"/>
              <w:autoSpaceDE/>
              <w:autoSpaceDN/>
              <w:bidi w:val="0"/>
              <w:adjustRightInd/>
              <w:spacing w:line="360" w:lineRule="auto"/>
              <w:ind w:left="0" w:leftChars="0" w:firstLine="0" w:firstLineChars="0"/>
              <w:jc w:val="center"/>
              <w:textAlignment w:val="auto"/>
              <w:outlineLvl w:val="1"/>
              <w:rPr>
                <w:rFonts w:hint="eastAsia"/>
                <w:lang w:val="en-US"/>
              </w:rPr>
            </w:pPr>
          </w:p>
          <w:p>
            <w:pPr>
              <w:pStyle w:val="4"/>
              <w:pageBreakBefore w:val="0"/>
              <w:kinsoku/>
              <w:overflowPunct/>
              <w:topLinePunct w:val="0"/>
              <w:autoSpaceDE/>
              <w:autoSpaceDN/>
              <w:bidi w:val="0"/>
              <w:adjustRightInd/>
              <w:snapToGrid/>
              <w:spacing w:before="0"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入河排污口重点污染物排放浓度、排放量和污水排放量</w:t>
            </w:r>
          </w:p>
          <w:p>
            <w:pPr>
              <w:pStyle w:val="5"/>
              <w:pageBreakBefore w:val="0"/>
              <w:kinsoku/>
              <w:overflowPunct/>
              <w:topLinePunct w:val="0"/>
              <w:autoSpaceDE/>
              <w:autoSpaceDN/>
              <w:bidi w:val="0"/>
              <w:adjustRightInd/>
              <w:snapToGrid/>
              <w:spacing w:before="0" w:after="0" w:line="360" w:lineRule="auto"/>
              <w:ind w:firstLine="421" w:firstLineChars="200"/>
              <w:textAlignment w:val="auto"/>
              <w:rPr>
                <w:rFonts w:hint="eastAsia" w:ascii="宋体" w:hAnsi="宋体" w:eastAsia="宋体" w:cs="宋体"/>
                <w:b/>
                <w:bCs/>
                <w:color w:val="auto"/>
                <w:sz w:val="21"/>
                <w:szCs w:val="21"/>
                <w:u w:val="none"/>
              </w:rPr>
            </w:pPr>
            <w:r>
              <w:rPr>
                <w:rFonts w:hint="eastAsia" w:ascii="宋体" w:hAnsi="宋体" w:cs="宋体"/>
                <w:b/>
                <w:bCs/>
                <w:color w:val="auto"/>
                <w:sz w:val="21"/>
                <w:szCs w:val="21"/>
                <w:u w:val="none"/>
                <w:lang w:val="en-US" w:eastAsia="zh-CN"/>
              </w:rPr>
              <w:t>1.</w:t>
            </w:r>
            <w:r>
              <w:rPr>
                <w:rFonts w:hint="eastAsia" w:ascii="宋体" w:hAnsi="宋体" w:eastAsia="宋体" w:cs="宋体"/>
                <w:b/>
                <w:bCs/>
                <w:color w:val="auto"/>
                <w:sz w:val="21"/>
                <w:szCs w:val="21"/>
                <w:u w:val="none"/>
              </w:rPr>
              <w:t>重点污染物排放情况</w:t>
            </w:r>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color w:val="auto"/>
                <w:sz w:val="21"/>
                <w:szCs w:val="21"/>
                <w:u w:val="single"/>
              </w:rPr>
            </w:pPr>
            <w:r>
              <w:rPr>
                <w:rFonts w:hint="eastAsia" w:ascii="宋体" w:hAnsi="宋体" w:eastAsia="宋体" w:cs="宋体"/>
                <w:b/>
                <w:bCs/>
                <w:color w:val="auto"/>
                <w:sz w:val="21"/>
                <w:szCs w:val="21"/>
                <w:u w:val="none"/>
              </w:rPr>
              <w:t>（1）年排放量</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本项目入河排污口重点污染物为COD、氨氮、总铅、总砷、铬（六价）、总镉、总汞、锑、总铊。根据《入河入海排污口监督管理技术指南 入河排污口设置》（HJ1386-2024），重点污染物排放浓度应根据水污染物排放标准确定。</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u w:val="none"/>
              </w:rPr>
              <w:t>项目重金属铅、汞、镉、铬、砷执行《农田灌溉水质标准》（GB 5084-2021）、锑执行《工业废水中锑污染物排放标准》（DB43/350-2007）、铊执行《工业废水铊污染物排放标准》（DB43/968-2021），COD、氨氮执行《铜、镍、钴工业污染物排放标准》（GB 25467-2010）表2直接排放限值要求。则项目入河排污口废水重点污染物总排放情况如下表所示。</w:t>
            </w:r>
          </w:p>
          <w:p>
            <w:pPr>
              <w:pStyle w:val="53"/>
              <w:pageBreakBefore w:val="0"/>
              <w:numPr>
                <w:ilvl w:val="4"/>
                <w:numId w:val="0"/>
              </w:numPr>
              <w:kinsoku/>
              <w:overflowPunct/>
              <w:topLinePunct w:val="0"/>
              <w:autoSpaceDE/>
              <w:autoSpaceDN/>
              <w:bidi w:val="0"/>
              <w:adjustRightInd/>
              <w:snapToGrid/>
              <w:spacing w:before="0" w:beforeLines="0" w:after="0" w:afterLines="0" w:line="360" w:lineRule="auto"/>
              <w:ind w:left="0" w:leftChars="0" w:firstLine="0" w:firstLineChars="0"/>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表5.4.1</w:t>
            </w:r>
            <w:r>
              <w:rPr>
                <w:rFonts w:hint="eastAsia" w:ascii="宋体" w:hAnsi="宋体" w:eastAsia="宋体" w:cs="宋体"/>
                <w:color w:val="auto"/>
                <w:sz w:val="21"/>
                <w:szCs w:val="21"/>
                <w:u w:val="none"/>
              </w:rPr>
              <w:t>项目废水重点污染物排放情况一览表</w:t>
            </w:r>
          </w:p>
          <w:tbl>
            <w:tblPr>
              <w:tblStyle w:val="55"/>
              <w:tblW w:w="635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34"/>
              <w:gridCol w:w="1588"/>
              <w:gridCol w:w="1192"/>
              <w:gridCol w:w="1356"/>
              <w:gridCol w:w="108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1" w:hRule="atLeast"/>
                <w:tblHeader/>
                <w:jc w:val="center"/>
              </w:trPr>
              <w:tc>
                <w:tcPr>
                  <w:tcW w:w="1134" w:type="dxa"/>
                  <w:vMerge w:val="restart"/>
                  <w:noWrap/>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u w:val="single"/>
                    </w:rPr>
                  </w:pPr>
                  <w:r>
                    <w:rPr>
                      <w:rFonts w:hint="eastAsia" w:ascii="宋体" w:hAnsi="宋体" w:eastAsia="宋体" w:cs="宋体"/>
                      <w:b/>
                      <w:color w:val="auto"/>
                      <w:sz w:val="18"/>
                      <w:szCs w:val="18"/>
                      <w:u w:val="single"/>
                    </w:rPr>
                    <w:t>污染因子</w:t>
                  </w:r>
                </w:p>
              </w:tc>
              <w:tc>
                <w:tcPr>
                  <w:tcW w:w="2780" w:type="dxa"/>
                  <w:gridSpan w:val="2"/>
                  <w:noWrap/>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u w:val="single"/>
                    </w:rPr>
                  </w:pPr>
                  <w:r>
                    <w:rPr>
                      <w:rFonts w:hint="eastAsia" w:ascii="宋体" w:hAnsi="宋体" w:eastAsia="宋体" w:cs="宋体"/>
                      <w:b/>
                      <w:color w:val="auto"/>
                      <w:sz w:val="18"/>
                      <w:szCs w:val="18"/>
                      <w:u w:val="single"/>
                    </w:rPr>
                    <w:t>尾砂综合利用阶段</w:t>
                  </w:r>
                </w:p>
              </w:tc>
              <w:tc>
                <w:tcPr>
                  <w:tcW w:w="2445" w:type="dxa"/>
                  <w:gridSpan w:val="2"/>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u w:val="single"/>
                    </w:rPr>
                  </w:pPr>
                  <w:r>
                    <w:rPr>
                      <w:rFonts w:hint="eastAsia" w:ascii="宋体" w:hAnsi="宋体" w:eastAsia="宋体" w:cs="宋体"/>
                      <w:b/>
                      <w:color w:val="auto"/>
                      <w:sz w:val="18"/>
                      <w:szCs w:val="18"/>
                      <w:u w:val="single"/>
                    </w:rPr>
                    <w:t>废石综合利用阶段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1" w:hRule="atLeast"/>
                <w:jc w:val="center"/>
              </w:trPr>
              <w:tc>
                <w:tcPr>
                  <w:tcW w:w="1134" w:type="dxa"/>
                  <w:vMerge w:val="continue"/>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排放浓度mg/L</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排放量t/a</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排放浓度mg/L</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排放量t/a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1"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废水量</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w:t>
                  </w:r>
                </w:p>
              </w:tc>
              <w:tc>
                <w:tcPr>
                  <w:tcW w:w="1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18"/>
                      <w:szCs w:val="18"/>
                      <w:u w:val="single"/>
                    </w:rPr>
                  </w:pPr>
                  <w:r>
                    <w:rPr>
                      <w:rFonts w:hint="eastAsia" w:ascii="宋体" w:hAnsi="宋体" w:eastAsia="宋体" w:cs="宋体"/>
                      <w:color w:val="auto"/>
                      <w:sz w:val="18"/>
                      <w:szCs w:val="18"/>
                      <w:u w:val="single"/>
                    </w:rPr>
                    <w:t>163621</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198674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COD</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60</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9.817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60</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11.920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氨氮</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8</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1.309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8</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1.589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总镉</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0.01</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0.0016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0.01</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0.0020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总铅</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0.0327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0.0397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总砷</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0.05</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0.0082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0.05</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0.0099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总汞</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0.001</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0.0002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0.001</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0.0002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铬（六价）</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0.1</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0.0164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0.1</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0.0199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锑</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0.5</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0.0818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0.5</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0.0993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4"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总铊</w:t>
                  </w:r>
                </w:p>
              </w:tc>
              <w:tc>
                <w:tcPr>
                  <w:tcW w:w="1588"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0.002</w:t>
                  </w:r>
                </w:p>
              </w:tc>
              <w:tc>
                <w:tcPr>
                  <w:tcW w:w="1192"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0.0003 </w:t>
                  </w:r>
                </w:p>
              </w:tc>
              <w:tc>
                <w:tcPr>
                  <w:tcW w:w="1356"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0.002</w:t>
                  </w:r>
                </w:p>
              </w:tc>
              <w:tc>
                <w:tcPr>
                  <w:tcW w:w="1089" w:type="dxa"/>
                  <w:vAlign w:val="center"/>
                </w:tcPr>
                <w:p>
                  <w:pPr>
                    <w:pStyle w:val="52"/>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 xml:space="preserve">0.0004 </w:t>
                  </w:r>
                </w:p>
              </w:tc>
            </w:tr>
          </w:tbl>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（2）特殊时段排放量</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废水排放特殊时段选取最不利影响阶段，通过下表对比项目枯水期、丰水期外排废水的影响范围及影响程度，项目枯水期影响范围及影响程度明显大于丰水期，因此，本次项目特殊时段选择枯水期（每年10月15日至次年2月15日）。</w:t>
            </w:r>
          </w:p>
          <w:p>
            <w:pPr>
              <w:pStyle w:val="53"/>
              <w:pageBreakBefore w:val="0"/>
              <w:numPr>
                <w:ilvl w:val="4"/>
                <w:numId w:val="0"/>
              </w:numPr>
              <w:kinsoku/>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表5.4.2</w:t>
            </w:r>
            <w:r>
              <w:rPr>
                <w:rFonts w:hint="eastAsia" w:ascii="宋体" w:hAnsi="宋体" w:eastAsia="宋体" w:cs="宋体"/>
                <w:color w:val="auto"/>
                <w:sz w:val="21"/>
                <w:szCs w:val="21"/>
              </w:rPr>
              <w:t>项目枯水期、丰水期外排废水影响对比分析</w:t>
            </w:r>
          </w:p>
          <w:tbl>
            <w:tblPr>
              <w:tblStyle w:val="19"/>
              <w:tblW w:w="65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644"/>
              <w:gridCol w:w="1644"/>
              <w:gridCol w:w="1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项目</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枯水期</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丰水期</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对比分析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影响范围</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混合过程段最远超标距离为20m</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混合过程段最远超标距离小于10m</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枯水期影响范围大于丰水期。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影响程度</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（废水排放量与纳污能力值占比）</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COD：19.7%</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氨氮：32.8%</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铅：15.9%</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砷：4.5%</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镉：8.2%</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汞：49.2%</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COD：3.9%</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氨氮：7.2%</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铅：3.1%</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砷：0.9%</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镉：1.6%</w:t>
                  </w:r>
                </w:p>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汞：9.8%</w:t>
                  </w:r>
                </w:p>
              </w:tc>
              <w:tc>
                <w:tcPr>
                  <w:tcW w:w="1644"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枯水期影响程度大于丰水期。</w:t>
                  </w:r>
                </w:p>
              </w:tc>
            </w:tr>
          </w:tbl>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项目尾砂综合利用、废石综合利用分两个阶段实施，则特殊时段废水排放情况如下表所示。</w:t>
            </w:r>
          </w:p>
          <w:p>
            <w:pPr>
              <w:pStyle w:val="53"/>
              <w:pageBreakBefore w:val="0"/>
              <w:numPr>
                <w:ilvl w:val="4"/>
                <w:numId w:val="0"/>
              </w:numPr>
              <w:kinsoku/>
              <w:overflowPunct/>
              <w:topLinePunct w:val="0"/>
              <w:autoSpaceDE/>
              <w:autoSpaceDN/>
              <w:bidi w:val="0"/>
              <w:adjustRightInd/>
              <w:snapToGrid/>
              <w:spacing w:before="0" w:beforeLines="0" w:after="0" w:afterLines="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表5.4.3</w:t>
            </w:r>
            <w:r>
              <w:rPr>
                <w:rFonts w:hint="eastAsia" w:ascii="宋体" w:hAnsi="宋体" w:eastAsia="宋体" w:cs="宋体"/>
                <w:color w:val="auto"/>
                <w:sz w:val="21"/>
                <w:szCs w:val="21"/>
              </w:rPr>
              <w:t>特殊时段废水排放情况一览表</w:t>
            </w:r>
          </w:p>
          <w:tbl>
            <w:tblPr>
              <w:tblStyle w:val="55"/>
              <w:tblW w:w="720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37"/>
              <w:gridCol w:w="1352"/>
              <w:gridCol w:w="1223"/>
              <w:gridCol w:w="1352"/>
              <w:gridCol w:w="163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tblHeader/>
                <w:jc w:val="center"/>
              </w:trPr>
              <w:tc>
                <w:tcPr>
                  <w:tcW w:w="1637" w:type="dxa"/>
                  <w:vMerge w:val="restart"/>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color w:val="auto"/>
                      <w:sz w:val="18"/>
                      <w:szCs w:val="18"/>
                    </w:rPr>
                  </w:pPr>
                  <w:r>
                    <w:rPr>
                      <w:rFonts w:hint="eastAsia" w:ascii="宋体" w:hAnsi="宋体" w:eastAsia="宋体" w:cs="宋体"/>
                      <w:b/>
                      <w:color w:val="auto"/>
                      <w:sz w:val="18"/>
                      <w:szCs w:val="18"/>
                    </w:rPr>
                    <w:t>污染因子</w:t>
                  </w:r>
                </w:p>
              </w:tc>
              <w:tc>
                <w:tcPr>
                  <w:tcW w:w="2575" w:type="dxa"/>
                  <w:gridSpan w:val="2"/>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color w:val="auto"/>
                      <w:sz w:val="18"/>
                      <w:szCs w:val="18"/>
                    </w:rPr>
                  </w:pPr>
                  <w:r>
                    <w:rPr>
                      <w:rFonts w:hint="eastAsia" w:ascii="宋体" w:hAnsi="宋体" w:eastAsia="宋体" w:cs="宋体"/>
                      <w:b/>
                      <w:color w:val="auto"/>
                      <w:sz w:val="18"/>
                      <w:szCs w:val="18"/>
                    </w:rPr>
                    <w:t>尾砂综合利用阶段</w:t>
                  </w:r>
                </w:p>
              </w:tc>
              <w:tc>
                <w:tcPr>
                  <w:tcW w:w="2989" w:type="dxa"/>
                  <w:gridSpan w:val="2"/>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color w:val="auto"/>
                      <w:sz w:val="18"/>
                      <w:szCs w:val="18"/>
                    </w:rPr>
                  </w:pPr>
                  <w:r>
                    <w:rPr>
                      <w:rFonts w:hint="eastAsia" w:ascii="宋体" w:hAnsi="宋体" w:eastAsia="宋体" w:cs="宋体"/>
                      <w:b/>
                      <w:color w:val="auto"/>
                      <w:sz w:val="18"/>
                      <w:szCs w:val="18"/>
                    </w:rPr>
                    <w:t>废石综合利用阶段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Merge w:val="continue"/>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排放浓度mg/L</w:t>
                  </w:r>
                </w:p>
              </w:tc>
              <w:tc>
                <w:tcPr>
                  <w:tcW w:w="1223"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排放量t/d</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排放浓度mg/L</w:t>
                  </w:r>
                </w:p>
              </w:tc>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排放量t/d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废水量</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223"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818.1m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/d</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662.2m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60</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0.04909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100</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0.03973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氨氮</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0.00654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0.00530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总镉</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0.01</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0.00001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0.01</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0.00001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总铅</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0.00016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0.00013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总砷</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0.05</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0.00004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0.05</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总汞</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0.001</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0.000001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0.001</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0.000001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铬（六价）</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0.00008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0.00007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锑</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0.00041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0.00033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163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总铊</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0.002</w:t>
                  </w:r>
                </w:p>
              </w:tc>
              <w:tc>
                <w:tcPr>
                  <w:tcW w:w="1223"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0.000002 </w:t>
                  </w:r>
                </w:p>
              </w:tc>
              <w:tc>
                <w:tcPr>
                  <w:tcW w:w="1352"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0.002</w:t>
                  </w:r>
                </w:p>
              </w:tc>
              <w:tc>
                <w:tcPr>
                  <w:tcW w:w="1637" w:type="dxa"/>
                  <w:vAlign w:val="bottom"/>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0.000001 </w:t>
                  </w:r>
                </w:p>
              </w:tc>
            </w:tr>
          </w:tbl>
          <w:p>
            <w:pPr>
              <w:pStyle w:val="5"/>
              <w:pageBreakBefore w:val="0"/>
              <w:kinsoku/>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水功能区（水域）纳污能力</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根据《入河入海排污口监督管理技术指南 入河排污口设置》（HJ1386-2024），水域纳污能力参考GBT25173-2010 的规定河水功能区管理要求核算纳污能力。</w:t>
            </w:r>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（1）核算污染因子</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根据污染物排放总量控制的要求以及本项目的污染特点，故本报告预测计算因子选择COD、氨氮、总铅、总砷、总镉、总汞。</w:t>
            </w:r>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（2）预测情景及水文时期选择</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预测情况：项目分两个阶段实施，由于尾砂综合利用阶段废水排放量大于废石综合利用阶段，因此，项目按最不利情况选取尾砂综合利用阶段来进行纳污能力计算分析。</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21"/>
                <w:szCs w:val="21"/>
              </w:rPr>
            </w:pPr>
            <w:r>
              <w:rPr>
                <w:rFonts w:hint="eastAsia" w:ascii="宋体" w:hAnsi="宋体" w:eastAsia="宋体" w:cs="宋体"/>
                <w:color w:val="auto"/>
                <w:sz w:val="21"/>
                <w:szCs w:val="21"/>
              </w:rPr>
              <w:t>水文时期：丰水期、枯水期。</w:t>
            </w:r>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（3）论证水域范围</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延寿河清江段入河排污口上游500m至下游9.5km处，共计10km。</w:t>
            </w:r>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（4）计算方法及模型选定</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根据《水域纳污能力计算规程》（GBT25173-2010）附录A，河流纳污能力计算模型如下。</w:t>
            </w:r>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①模型选定</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根据《水域纳污能力计算规程》（GBT25173-2010）中“5河流纳污能力数学模型计算法”，计算河段多年平均流量Q将计算河段划分为三种类型：Q≥150m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 为大型河段；15m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/s&lt;Q&lt;150m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 为中型河段；Q≤15m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 为小型河段。</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根据前文5.1.5水文章节，项目纳污水体延寿河清江段常年平均流量为Q=0.3m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/s≤15m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/s，属于小型河流。</w:t>
            </w:r>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②河流零维模型</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河流零维模型适用于污染物均匀混合的小型河段，其计算模型如下。</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⑴河段的污染物浓度按下式计算：</w:t>
            </w:r>
          </w:p>
          <w:p>
            <w:pPr>
              <w:pStyle w:val="51"/>
              <w:pageBreakBefore w:val="0"/>
              <w:kinsoku/>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drawing>
                <wp:inline distT="0" distB="0" distL="0" distR="0">
                  <wp:extent cx="1781810" cy="169545"/>
                  <wp:effectExtent l="0" t="0" r="8890" b="1905"/>
                  <wp:docPr id="35" name="图片 35" descr="C:\Users\User\AppData\Local\Temp\ksohtml17668\wps27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C:\Users\User\AppData\Local\Temp\ksohtml17668\wps270.jpg"/>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1781810" cy="169545"/>
                          </a:xfrm>
                          <a:prstGeom prst="rect">
                            <a:avLst/>
                          </a:prstGeom>
                          <a:noFill/>
                          <a:ln>
                            <a:noFill/>
                          </a:ln>
                        </pic:spPr>
                      </pic:pic>
                    </a:graphicData>
                  </a:graphic>
                </wp:inline>
              </w:drawing>
            </w:r>
            <w:r>
              <w:rPr>
                <w:rFonts w:hint="eastAsia" w:ascii="宋体" w:hAnsi="宋体" w:eastAsia="宋体" w:cs="宋体"/>
                <w:color w:val="auto"/>
                <w:sz w:val="21"/>
                <w:szCs w:val="21"/>
              </w:rPr>
              <w:t xml:space="preserve"> </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式中：C—污染物浓度，mg/L；</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w:t>
            </w:r>
            <w:r>
              <w:rPr>
                <w:rFonts w:hint="eastAsia" w:ascii="宋体" w:hAnsi="宋体" w:eastAsia="宋体" w:cs="宋体"/>
                <w:color w:val="auto"/>
                <w:sz w:val="21"/>
                <w:szCs w:val="21"/>
                <w:vertAlign w:val="subscript"/>
              </w:rPr>
              <w:t>p</w:t>
            </w:r>
            <w:r>
              <w:rPr>
                <w:rFonts w:hint="eastAsia" w:ascii="宋体" w:hAnsi="宋体" w:eastAsia="宋体" w:cs="宋体"/>
                <w:color w:val="auto"/>
                <w:sz w:val="21"/>
                <w:szCs w:val="21"/>
              </w:rPr>
              <w:t>—排放的废污水污染物浓度，mg/L；</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w:t>
            </w:r>
            <w:r>
              <w:rPr>
                <w:rFonts w:hint="eastAsia" w:ascii="宋体" w:hAnsi="宋体" w:eastAsia="宋体" w:cs="宋体"/>
                <w:color w:val="auto"/>
                <w:sz w:val="21"/>
                <w:szCs w:val="21"/>
                <w:vertAlign w:val="subscript"/>
              </w:rPr>
              <w:t>0</w:t>
            </w:r>
            <w:r>
              <w:rPr>
                <w:rFonts w:hint="eastAsia" w:ascii="宋体" w:hAnsi="宋体" w:eastAsia="宋体" w:cs="宋体"/>
                <w:color w:val="auto"/>
                <w:sz w:val="21"/>
                <w:szCs w:val="21"/>
              </w:rPr>
              <w:t>—初始断面的污染物浓度，mg/L；</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Q</w:t>
            </w:r>
            <w:r>
              <w:rPr>
                <w:rFonts w:hint="eastAsia" w:ascii="宋体" w:hAnsi="宋体" w:eastAsia="宋体" w:cs="宋体"/>
                <w:color w:val="auto"/>
                <w:sz w:val="21"/>
                <w:szCs w:val="21"/>
                <w:vertAlign w:val="subscript"/>
              </w:rPr>
              <w:t>p</w:t>
            </w:r>
            <w:r>
              <w:rPr>
                <w:rFonts w:hint="eastAsia" w:ascii="宋体" w:hAnsi="宋体" w:eastAsia="宋体" w:cs="宋体"/>
                <w:color w:val="auto"/>
                <w:sz w:val="21"/>
                <w:szCs w:val="21"/>
              </w:rPr>
              <w:t>—废污水排放流量，m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Q—初始断面的入流流量，m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⑵相应的水域纳污能力按下式计算：</w:t>
            </w:r>
          </w:p>
          <w:p>
            <w:pPr>
              <w:pStyle w:val="51"/>
              <w:pageBreakBefore w:val="0"/>
              <w:kinsoku/>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drawing>
                <wp:inline distT="0" distB="0" distL="0" distR="0">
                  <wp:extent cx="1527175" cy="169545"/>
                  <wp:effectExtent l="0" t="0" r="0" b="1905"/>
                  <wp:docPr id="34" name="图片 34" descr="C:\Users\User\AppData\Local\Temp\ksohtml17668\wps27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C:\Users\User\AppData\Local\Temp\ksohtml17668\wps271.jpg"/>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1527175" cy="169545"/>
                          </a:xfrm>
                          <a:prstGeom prst="rect">
                            <a:avLst/>
                          </a:prstGeom>
                          <a:noFill/>
                          <a:ln>
                            <a:noFill/>
                          </a:ln>
                        </pic:spPr>
                      </pic:pic>
                    </a:graphicData>
                  </a:graphic>
                </wp:inline>
              </w:drawing>
            </w:r>
            <w:r>
              <w:rPr>
                <w:rFonts w:hint="eastAsia" w:ascii="宋体" w:hAnsi="宋体" w:eastAsia="宋体" w:cs="宋体"/>
                <w:color w:val="auto"/>
                <w:sz w:val="21"/>
                <w:szCs w:val="21"/>
              </w:rPr>
              <w:t xml:space="preserve"> </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式中：M—水域纳污能力，g/s；</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—水质目标浓度值，mg/L；</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其余符号意义同前。</w:t>
            </w:r>
          </w:p>
          <w:p>
            <w:pPr>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③模型选定</w:t>
            </w:r>
          </w:p>
          <w:p>
            <w:pPr>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w:t>
            </w:r>
            <w:bookmarkStart w:id="8" w:name="_Hlk141364264"/>
            <w:r>
              <w:rPr>
                <w:rFonts w:hint="eastAsia" w:ascii="宋体" w:hAnsi="宋体" w:eastAsia="宋体" w:cs="宋体"/>
                <w:color w:val="auto"/>
                <w:sz w:val="21"/>
                <w:szCs w:val="21"/>
              </w:rPr>
              <w:t>《水域纳污能力计算规程》（GBT25173-2010）</w:t>
            </w:r>
            <w:bookmarkEnd w:id="8"/>
            <w:r>
              <w:rPr>
                <w:rFonts w:hint="eastAsia" w:ascii="宋体" w:hAnsi="宋体" w:eastAsia="宋体" w:cs="宋体"/>
                <w:color w:val="auto"/>
                <w:sz w:val="21"/>
                <w:szCs w:val="21"/>
              </w:rPr>
              <w:t>中“5河流纳污能力数学模型计算法”，计算河段多年平均流量Q将计算河段划分为三种类型：Q≥150m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 为大型河段；15m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/s&lt;Q&lt;150m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 为</w:t>
            </w:r>
            <w:bookmarkStart w:id="9" w:name="_Hlk103129825"/>
            <w:r>
              <w:rPr>
                <w:rFonts w:hint="eastAsia" w:ascii="宋体" w:hAnsi="宋体" w:eastAsia="宋体" w:cs="宋体"/>
                <w:color w:val="auto"/>
                <w:sz w:val="21"/>
                <w:szCs w:val="21"/>
              </w:rPr>
              <w:t>中型河</w:t>
            </w:r>
            <w:bookmarkEnd w:id="9"/>
            <w:r>
              <w:rPr>
                <w:rFonts w:hint="eastAsia" w:ascii="宋体" w:hAnsi="宋体" w:eastAsia="宋体" w:cs="宋体"/>
                <w:color w:val="auto"/>
                <w:sz w:val="21"/>
                <w:szCs w:val="21"/>
              </w:rPr>
              <w:t>段；Q≤15m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 为小型河段。</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根据前文水文章节，项目纳污水体延寿河清江段枯水期平均流量为Q=0.231m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/s≤15m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/s，属于小型河流。因此，根据《水域纳污能力计算规程》（GBT25173-2010）：</w:t>
            </w:r>
            <w:bookmarkStart w:id="10" w:name="_Hlk162271134"/>
            <w:r>
              <w:rPr>
                <w:rFonts w:hint="eastAsia" w:ascii="宋体" w:hAnsi="宋体" w:eastAsia="宋体" w:cs="宋体"/>
                <w:color w:val="auto"/>
                <w:sz w:val="21"/>
                <w:szCs w:val="21"/>
              </w:rPr>
              <w:t>项目非持久性污染物（COD、氨氮）采用河流一维模型，持久性污染物（铅、砷、镉、汞）采用河流零维模型来计算水域纳污能力。</w:t>
            </w:r>
            <w:bookmarkEnd w:id="10"/>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（5）计算参数</w:t>
            </w:r>
          </w:p>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①污水排放源强参数</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项目水质目标浓度如下表所示，项目污水排放源强参数、延寿河清江段背景浓度值、污染物衰减系数、水文参数、污染物衰减系数</w:t>
            </w:r>
            <w:r>
              <w:rPr>
                <w:rFonts w:hint="eastAsia" w:ascii="宋体" w:hAnsi="宋体" w:cs="宋体"/>
                <w:color w:val="auto"/>
                <w:sz w:val="21"/>
                <w:szCs w:val="21"/>
                <w:lang w:val="en-US" w:eastAsia="zh-CN"/>
              </w:rPr>
              <w:t>本项目环评报告</w:t>
            </w:r>
            <w:r>
              <w:rPr>
                <w:rFonts w:hint="eastAsia" w:ascii="宋体" w:hAnsi="宋体" w:eastAsia="宋体" w:cs="宋体"/>
                <w:color w:val="auto"/>
                <w:sz w:val="21"/>
                <w:szCs w:val="21"/>
              </w:rPr>
              <w:t>。</w:t>
            </w:r>
          </w:p>
          <w:p>
            <w:pPr>
              <w:pStyle w:val="53"/>
              <w:pageBreakBefore w:val="0"/>
              <w:numPr>
                <w:ilvl w:val="4"/>
                <w:numId w:val="0"/>
              </w:numPr>
              <w:kinsoku/>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表5.4.4</w:t>
            </w:r>
            <w:r>
              <w:rPr>
                <w:rFonts w:hint="eastAsia" w:ascii="宋体" w:hAnsi="宋体" w:eastAsia="宋体" w:cs="宋体"/>
                <w:color w:val="auto"/>
                <w:sz w:val="21"/>
                <w:szCs w:val="21"/>
              </w:rPr>
              <w:t>项目水质目标浓度    单位：mg/L</w:t>
            </w:r>
          </w:p>
          <w:tbl>
            <w:tblPr>
              <w:tblStyle w:val="20"/>
              <w:tblW w:w="674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64"/>
              <w:gridCol w:w="964"/>
              <w:gridCol w:w="964"/>
              <w:gridCol w:w="964"/>
              <w:gridCol w:w="964"/>
              <w:gridCol w:w="964"/>
              <w:gridCol w:w="96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 w:hRule="atLeast"/>
                <w:tblHeader/>
                <w:jc w:val="center"/>
              </w:trPr>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污染因子</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COD</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氨氮</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铅</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砷</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镉</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汞</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水质目标浓度</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0.05</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0.05</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0.005</w:t>
                  </w:r>
                </w:p>
              </w:tc>
              <w:tc>
                <w:tcPr>
                  <w:tcW w:w="96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0.0001</w:t>
                  </w:r>
                </w:p>
              </w:tc>
            </w:tr>
          </w:tbl>
          <w:p>
            <w:pPr>
              <w:pStyle w:val="58"/>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bCs/>
                <w:color w:val="auto"/>
                <w:sz w:val="21"/>
                <w:szCs w:val="21"/>
              </w:rPr>
            </w:pPr>
            <w:bookmarkStart w:id="11" w:name="_Toc122875871"/>
            <w:bookmarkEnd w:id="11"/>
            <w:bookmarkStart w:id="12" w:name="_Toc117173337"/>
            <w:r>
              <w:rPr>
                <w:rFonts w:hint="eastAsia" w:ascii="宋体" w:hAnsi="宋体" w:eastAsia="宋体" w:cs="宋体"/>
                <w:b/>
                <w:bCs/>
                <w:color w:val="auto"/>
                <w:sz w:val="21"/>
                <w:szCs w:val="21"/>
              </w:rPr>
              <w:t>（6）计算结果</w:t>
            </w:r>
            <w:bookmarkEnd w:id="12"/>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根据上述公式及参数计算，项目枯水期（特殊时段）、丰水期延寿河清江段纳污能力计算结果如下表所示。</w:t>
            </w:r>
          </w:p>
          <w:p>
            <w:pPr>
              <w:pStyle w:val="53"/>
              <w:pageBreakBefore w:val="0"/>
              <w:numPr>
                <w:ilvl w:val="4"/>
                <w:numId w:val="0"/>
              </w:numPr>
              <w:kinsoku/>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表5.4.5</w:t>
            </w:r>
            <w:r>
              <w:rPr>
                <w:rFonts w:hint="eastAsia" w:ascii="宋体" w:hAnsi="宋体" w:eastAsia="宋体" w:cs="宋体"/>
                <w:color w:val="auto"/>
                <w:sz w:val="21"/>
                <w:szCs w:val="21"/>
              </w:rPr>
              <w:t>枯水期（特殊时段）延寿河清江段纳污能力一览表</w:t>
            </w:r>
          </w:p>
          <w:tbl>
            <w:tblPr>
              <w:tblStyle w:val="55"/>
              <w:tblW w:w="722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44"/>
              <w:gridCol w:w="580"/>
              <w:gridCol w:w="726"/>
              <w:gridCol w:w="850"/>
              <w:gridCol w:w="976"/>
              <w:gridCol w:w="963"/>
              <w:gridCol w:w="1061"/>
              <w:gridCol w:w="92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tblHeader/>
                <w:jc w:val="center"/>
              </w:trPr>
              <w:tc>
                <w:tcPr>
                  <w:tcW w:w="1144" w:type="dxa"/>
                  <w:vMerge w:val="restart"/>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项目</w:t>
                  </w:r>
                </w:p>
              </w:tc>
              <w:tc>
                <w:tcPr>
                  <w:tcW w:w="580" w:type="dxa"/>
                  <w:vMerge w:val="restart"/>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单位</w:t>
                  </w:r>
                </w:p>
              </w:tc>
              <w:tc>
                <w:tcPr>
                  <w:tcW w:w="5499" w:type="dxa"/>
                  <w:gridSpan w:val="6"/>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计算参数及预测结果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144" w:type="dxa"/>
                  <w:vMerge w:val="continue"/>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p>
              </w:tc>
              <w:tc>
                <w:tcPr>
                  <w:tcW w:w="580" w:type="dxa"/>
                  <w:vMerge w:val="continue"/>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p>
              </w:tc>
              <w:tc>
                <w:tcPr>
                  <w:tcW w:w="72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w:t>
                  </w:r>
                </w:p>
              </w:tc>
              <w:tc>
                <w:tcPr>
                  <w:tcW w:w="85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氨氮</w:t>
                  </w:r>
                </w:p>
              </w:tc>
              <w:tc>
                <w:tcPr>
                  <w:tcW w:w="97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铅</w:t>
                  </w:r>
                </w:p>
              </w:tc>
              <w:tc>
                <w:tcPr>
                  <w:tcW w:w="96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砷</w:t>
                  </w:r>
                </w:p>
              </w:tc>
              <w:tc>
                <w:tcPr>
                  <w:tcW w:w="106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镉</w:t>
                  </w:r>
                </w:p>
              </w:tc>
              <w:tc>
                <w:tcPr>
                  <w:tcW w:w="92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汞</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14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废污水排放流量Qp</w:t>
                  </w:r>
                </w:p>
              </w:tc>
              <w:tc>
                <w:tcPr>
                  <w:tcW w:w="58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/s</w:t>
                  </w:r>
                </w:p>
              </w:tc>
              <w:tc>
                <w:tcPr>
                  <w:tcW w:w="5499" w:type="dxa"/>
                  <w:gridSpan w:val="6"/>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0.01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14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初始断面的入流流量Q</w:t>
                  </w:r>
                </w:p>
              </w:tc>
              <w:tc>
                <w:tcPr>
                  <w:tcW w:w="58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/s</w:t>
                  </w:r>
                </w:p>
              </w:tc>
              <w:tc>
                <w:tcPr>
                  <w:tcW w:w="5499" w:type="dxa"/>
                  <w:gridSpan w:val="6"/>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0.231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14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水质目标浓度值Cs</w:t>
                  </w:r>
                </w:p>
              </w:tc>
              <w:tc>
                <w:tcPr>
                  <w:tcW w:w="58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c>
                <w:tcPr>
                  <w:tcW w:w="72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20.00 </w:t>
                  </w:r>
                </w:p>
              </w:tc>
              <w:tc>
                <w:tcPr>
                  <w:tcW w:w="85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1.00 </w:t>
                  </w:r>
                </w:p>
              </w:tc>
              <w:tc>
                <w:tcPr>
                  <w:tcW w:w="97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0.05 </w:t>
                  </w:r>
                </w:p>
              </w:tc>
              <w:tc>
                <w:tcPr>
                  <w:tcW w:w="96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0.05 </w:t>
                  </w:r>
                </w:p>
              </w:tc>
              <w:tc>
                <w:tcPr>
                  <w:tcW w:w="106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0.005 </w:t>
                  </w:r>
                </w:p>
              </w:tc>
              <w:tc>
                <w:tcPr>
                  <w:tcW w:w="92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0.0001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144"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初始断面的污染物浓度C</w:t>
                  </w:r>
                  <w:r>
                    <w:rPr>
                      <w:rFonts w:hint="eastAsia" w:ascii="宋体" w:hAnsi="宋体" w:eastAsia="宋体" w:cs="宋体"/>
                      <w:color w:val="auto"/>
                      <w:sz w:val="18"/>
                      <w:szCs w:val="18"/>
                      <w:vertAlign w:val="subscript"/>
                    </w:rPr>
                    <w:t>0</w:t>
                  </w:r>
                </w:p>
              </w:tc>
              <w:tc>
                <w:tcPr>
                  <w:tcW w:w="58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c>
                <w:tcPr>
                  <w:tcW w:w="72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8.00 </w:t>
                  </w:r>
                </w:p>
              </w:tc>
              <w:tc>
                <w:tcPr>
                  <w:tcW w:w="85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0.040 </w:t>
                  </w:r>
                </w:p>
              </w:tc>
              <w:tc>
                <w:tcPr>
                  <w:tcW w:w="97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0.00050 </w:t>
                  </w:r>
                </w:p>
              </w:tc>
              <w:tc>
                <w:tcPr>
                  <w:tcW w:w="96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0.00630 </w:t>
                  </w:r>
                </w:p>
              </w:tc>
              <w:tc>
                <w:tcPr>
                  <w:tcW w:w="106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0.00020 </w:t>
                  </w:r>
                </w:p>
              </w:tc>
              <w:tc>
                <w:tcPr>
                  <w:tcW w:w="92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0.00002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144" w:type="dxa"/>
                  <w:vMerge w:val="restart"/>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水域纳污能力M</w:t>
                  </w:r>
                </w:p>
              </w:tc>
              <w:tc>
                <w:tcPr>
                  <w:tcW w:w="58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g/s</w:t>
                  </w:r>
                </w:p>
              </w:tc>
              <w:tc>
                <w:tcPr>
                  <w:tcW w:w="72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2.886 </w:t>
                  </w:r>
                </w:p>
              </w:tc>
              <w:tc>
                <w:tcPr>
                  <w:tcW w:w="85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0.231 </w:t>
                  </w:r>
                </w:p>
              </w:tc>
              <w:tc>
                <w:tcPr>
                  <w:tcW w:w="97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0.01190 </w:t>
                  </w:r>
                </w:p>
              </w:tc>
              <w:tc>
                <w:tcPr>
                  <w:tcW w:w="96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0.01051 </w:t>
                  </w:r>
                </w:p>
              </w:tc>
              <w:tc>
                <w:tcPr>
                  <w:tcW w:w="106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0.00115 </w:t>
                  </w:r>
                </w:p>
              </w:tc>
              <w:tc>
                <w:tcPr>
                  <w:tcW w:w="92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0.000019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144" w:type="dxa"/>
                  <w:vMerge w:val="continue"/>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p>
              </w:tc>
              <w:tc>
                <w:tcPr>
                  <w:tcW w:w="58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t/d</w:t>
                  </w:r>
                </w:p>
              </w:tc>
              <w:tc>
                <w:tcPr>
                  <w:tcW w:w="72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0.249 </w:t>
                  </w:r>
                </w:p>
              </w:tc>
              <w:tc>
                <w:tcPr>
                  <w:tcW w:w="850"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0.020 </w:t>
                  </w:r>
                </w:p>
              </w:tc>
              <w:tc>
                <w:tcPr>
                  <w:tcW w:w="976"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0.001028</w:t>
                  </w:r>
                </w:p>
              </w:tc>
              <w:tc>
                <w:tcPr>
                  <w:tcW w:w="96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0.000908</w:t>
                  </w:r>
                </w:p>
              </w:tc>
              <w:tc>
                <w:tcPr>
                  <w:tcW w:w="106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0.000100</w:t>
                  </w:r>
                </w:p>
              </w:tc>
              <w:tc>
                <w:tcPr>
                  <w:tcW w:w="92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0.000002</w:t>
                  </w:r>
                </w:p>
              </w:tc>
            </w:tr>
          </w:tbl>
          <w:p>
            <w:pPr>
              <w:pStyle w:val="53"/>
              <w:pageBreakBefore w:val="0"/>
              <w:numPr>
                <w:ilvl w:val="4"/>
                <w:numId w:val="0"/>
              </w:numPr>
              <w:kinsoku/>
              <w:overflowPunct/>
              <w:topLinePunct w:val="0"/>
              <w:autoSpaceDE/>
              <w:autoSpaceDN/>
              <w:bidi w:val="0"/>
              <w:adjustRightInd/>
              <w:snapToGrid/>
              <w:spacing w:before="0" w:beforeLines="0" w:after="0" w:afterLines="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表5.4.6</w:t>
            </w:r>
            <w:r>
              <w:rPr>
                <w:rFonts w:hint="eastAsia" w:ascii="宋体" w:hAnsi="宋体" w:eastAsia="宋体" w:cs="宋体"/>
                <w:color w:val="auto"/>
                <w:sz w:val="21"/>
                <w:szCs w:val="21"/>
              </w:rPr>
              <w:t>丰水期延寿河清江段纳污能力一览表</w:t>
            </w:r>
          </w:p>
          <w:tbl>
            <w:tblPr>
              <w:tblStyle w:val="55"/>
              <w:tblW w:w="710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03"/>
              <w:gridCol w:w="709"/>
              <w:gridCol w:w="755"/>
              <w:gridCol w:w="667"/>
              <w:gridCol w:w="857"/>
              <w:gridCol w:w="931"/>
              <w:gridCol w:w="832"/>
              <w:gridCol w:w="9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tblHeader/>
                <w:jc w:val="center"/>
              </w:trPr>
              <w:tc>
                <w:tcPr>
                  <w:tcW w:w="1403" w:type="dxa"/>
                  <w:vMerge w:val="restart"/>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项目</w:t>
                  </w:r>
                </w:p>
              </w:tc>
              <w:tc>
                <w:tcPr>
                  <w:tcW w:w="709" w:type="dxa"/>
                  <w:vMerge w:val="restart"/>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单位</w:t>
                  </w:r>
                </w:p>
              </w:tc>
              <w:tc>
                <w:tcPr>
                  <w:tcW w:w="4994" w:type="dxa"/>
                  <w:gridSpan w:val="6"/>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18"/>
                      <w:szCs w:val="18"/>
                    </w:rPr>
                  </w:pPr>
                  <w:r>
                    <w:rPr>
                      <w:rFonts w:hint="eastAsia" w:ascii="宋体" w:hAnsi="宋体" w:eastAsia="宋体" w:cs="宋体"/>
                      <w:b/>
                      <w:color w:val="auto"/>
                      <w:sz w:val="18"/>
                      <w:szCs w:val="18"/>
                    </w:rPr>
                    <w:t>计算参数及预测结果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03" w:type="dxa"/>
                  <w:vMerge w:val="continue"/>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p>
              </w:tc>
              <w:tc>
                <w:tcPr>
                  <w:tcW w:w="709" w:type="dxa"/>
                  <w:vMerge w:val="continue"/>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p>
              </w:tc>
              <w:tc>
                <w:tcPr>
                  <w:tcW w:w="755"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w:t>
                  </w:r>
                </w:p>
              </w:tc>
              <w:tc>
                <w:tcPr>
                  <w:tcW w:w="66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氨氮</w:t>
                  </w:r>
                </w:p>
              </w:tc>
              <w:tc>
                <w:tcPr>
                  <w:tcW w:w="85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铅</w:t>
                  </w:r>
                </w:p>
              </w:tc>
              <w:tc>
                <w:tcPr>
                  <w:tcW w:w="93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砷</w:t>
                  </w:r>
                </w:p>
              </w:tc>
              <w:tc>
                <w:tcPr>
                  <w:tcW w:w="83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镉</w:t>
                  </w:r>
                </w:p>
              </w:tc>
              <w:tc>
                <w:tcPr>
                  <w:tcW w:w="95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汞</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0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废污水排放流量Qp</w:t>
                  </w:r>
                </w:p>
              </w:tc>
              <w:tc>
                <w:tcPr>
                  <w:tcW w:w="709"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/s</w:t>
                  </w:r>
                </w:p>
              </w:tc>
              <w:tc>
                <w:tcPr>
                  <w:tcW w:w="4994" w:type="dxa"/>
                  <w:gridSpan w:val="6"/>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0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初始断面的入流流量Q</w:t>
                  </w:r>
                </w:p>
              </w:tc>
              <w:tc>
                <w:tcPr>
                  <w:tcW w:w="709"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/s</w:t>
                  </w:r>
                </w:p>
              </w:tc>
              <w:tc>
                <w:tcPr>
                  <w:tcW w:w="4994" w:type="dxa"/>
                  <w:gridSpan w:val="6"/>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0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水质目标浓度值Cs</w:t>
                  </w:r>
                </w:p>
              </w:tc>
              <w:tc>
                <w:tcPr>
                  <w:tcW w:w="709"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c>
                <w:tcPr>
                  <w:tcW w:w="755"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20.00 </w:t>
                  </w:r>
                </w:p>
              </w:tc>
              <w:tc>
                <w:tcPr>
                  <w:tcW w:w="66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1.00 </w:t>
                  </w:r>
                </w:p>
              </w:tc>
              <w:tc>
                <w:tcPr>
                  <w:tcW w:w="85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0.05 </w:t>
                  </w:r>
                </w:p>
              </w:tc>
              <w:tc>
                <w:tcPr>
                  <w:tcW w:w="93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0.05 </w:t>
                  </w:r>
                </w:p>
              </w:tc>
              <w:tc>
                <w:tcPr>
                  <w:tcW w:w="83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0.005 </w:t>
                  </w:r>
                </w:p>
              </w:tc>
              <w:tc>
                <w:tcPr>
                  <w:tcW w:w="95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0.0001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03"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初始断面的污染物浓度C0</w:t>
                  </w:r>
                </w:p>
              </w:tc>
              <w:tc>
                <w:tcPr>
                  <w:tcW w:w="709"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c>
                <w:tcPr>
                  <w:tcW w:w="755"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66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0.132</w:t>
                  </w:r>
                </w:p>
              </w:tc>
              <w:tc>
                <w:tcPr>
                  <w:tcW w:w="85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0.174</w:t>
                  </w:r>
                </w:p>
              </w:tc>
              <w:tc>
                <w:tcPr>
                  <w:tcW w:w="93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0.000045</w:t>
                  </w:r>
                </w:p>
              </w:tc>
              <w:tc>
                <w:tcPr>
                  <w:tcW w:w="83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0.0041</w:t>
                  </w:r>
                </w:p>
              </w:tc>
              <w:tc>
                <w:tcPr>
                  <w:tcW w:w="95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0.000025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03" w:type="dxa"/>
                  <w:vMerge w:val="restart"/>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水域纳污能力M</w:t>
                  </w:r>
                </w:p>
              </w:tc>
              <w:tc>
                <w:tcPr>
                  <w:tcW w:w="709"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g/s</w:t>
                  </w:r>
                </w:p>
              </w:tc>
              <w:tc>
                <w:tcPr>
                  <w:tcW w:w="755"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14.514 </w:t>
                  </w:r>
                </w:p>
              </w:tc>
              <w:tc>
                <w:tcPr>
                  <w:tcW w:w="66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1.050</w:t>
                  </w:r>
                </w:p>
              </w:tc>
              <w:tc>
                <w:tcPr>
                  <w:tcW w:w="85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0.06042 </w:t>
                  </w:r>
                </w:p>
              </w:tc>
              <w:tc>
                <w:tcPr>
                  <w:tcW w:w="93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0.05551 </w:t>
                  </w:r>
                </w:p>
              </w:tc>
              <w:tc>
                <w:tcPr>
                  <w:tcW w:w="83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0.00602 </w:t>
                  </w:r>
                </w:p>
              </w:tc>
              <w:tc>
                <w:tcPr>
                  <w:tcW w:w="95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0.000097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03" w:type="dxa"/>
                  <w:vMerge w:val="continue"/>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p>
              </w:tc>
              <w:tc>
                <w:tcPr>
                  <w:tcW w:w="709"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t/d</w:t>
                  </w:r>
                </w:p>
              </w:tc>
              <w:tc>
                <w:tcPr>
                  <w:tcW w:w="755"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1.254 </w:t>
                  </w:r>
                </w:p>
              </w:tc>
              <w:tc>
                <w:tcPr>
                  <w:tcW w:w="66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0.091</w:t>
                  </w:r>
                </w:p>
              </w:tc>
              <w:tc>
                <w:tcPr>
                  <w:tcW w:w="85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0.005220 </w:t>
                  </w:r>
                </w:p>
              </w:tc>
              <w:tc>
                <w:tcPr>
                  <w:tcW w:w="931"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0.004796 </w:t>
                  </w:r>
                </w:p>
              </w:tc>
              <w:tc>
                <w:tcPr>
                  <w:tcW w:w="83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xml:space="preserve">0.000520 </w:t>
                  </w:r>
                </w:p>
              </w:tc>
              <w:tc>
                <w:tcPr>
                  <w:tcW w:w="952"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0.000008</w:t>
                  </w:r>
                </w:p>
              </w:tc>
            </w:tr>
          </w:tbl>
          <w:p>
            <w:pPr>
              <w:pStyle w:val="51"/>
              <w:pageBreakBefore w:val="0"/>
              <w:kinsoku/>
              <w:overflowPunct/>
              <w:topLinePunct w:val="0"/>
              <w:autoSpaceDE/>
              <w:autoSpaceDN/>
              <w:bidi w:val="0"/>
              <w:adjustRightInd/>
              <w:snapToGrid/>
              <w:spacing w:line="360" w:lineRule="auto"/>
              <w:ind w:firstLine="421" w:firstLineChars="20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（7）水功能区纳污能力的符合性分析</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根据现场调查，项目拟建排污口附近有五指峰萤石矿选厂入河排污口。项目纳污能力选取本底浓度值监测点位于萤石选矿厂排污口的下游。因此，项目纳污能力计算值已叠加萤石选厂排水的影响。</w:t>
            </w:r>
          </w:p>
          <w:p>
            <w:pPr>
              <w:pStyle w:val="51"/>
              <w:pageBreakBefore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根据项目枯水期（特殊时段）、丰水期废水污染物排放量计算结果，项目废水排放与延寿河清江段纳污能力符合性分析如下表所示。</w:t>
            </w:r>
          </w:p>
          <w:p>
            <w:pPr>
              <w:pStyle w:val="53"/>
              <w:pageBreakBefore w:val="0"/>
              <w:numPr>
                <w:ilvl w:val="4"/>
                <w:numId w:val="0"/>
              </w:numPr>
              <w:kinsoku/>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表5.4.7</w:t>
            </w:r>
            <w:r>
              <w:rPr>
                <w:rFonts w:hint="eastAsia" w:ascii="宋体" w:hAnsi="宋体" w:eastAsia="宋体" w:cs="宋体"/>
                <w:color w:val="auto"/>
                <w:sz w:val="21"/>
                <w:szCs w:val="21"/>
              </w:rPr>
              <w:t>项目枯水期（特殊时段）论证河段纳污能力分析</w:t>
            </w:r>
          </w:p>
          <w:tbl>
            <w:tblPr>
              <w:tblStyle w:val="55"/>
              <w:tblW w:w="708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1417"/>
              <w:gridCol w:w="1417"/>
              <w:gridCol w:w="1417"/>
              <w:gridCol w:w="141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3" w:hRule="atLeast"/>
                <w:tblHeader/>
                <w:jc w:val="center"/>
              </w:trPr>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污染因子</w:t>
                  </w:r>
                </w:p>
              </w:tc>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日排放量t/d</w:t>
                  </w:r>
                </w:p>
              </w:tc>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水域纳污能力t/d</w:t>
                  </w:r>
                </w:p>
              </w:tc>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占比</w:t>
                  </w:r>
                </w:p>
              </w:tc>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是否满足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COD</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0.049</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0.249</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19.7%</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氨氮</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0.007</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0.02</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32.8%</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铅</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0.000164</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0.001028</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15.9%</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砷</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0.000041</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0.000908</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4.5%</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镉</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0.000008</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0.0001</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8.2%</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汞</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0.0000008</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0.000002</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49.2%</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bl>
          <w:p>
            <w:pPr>
              <w:pStyle w:val="53"/>
              <w:pageBreakBefore w:val="0"/>
              <w:numPr>
                <w:ilvl w:val="4"/>
                <w:numId w:val="0"/>
              </w:numPr>
              <w:kinsoku/>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表5.4.8</w:t>
            </w:r>
            <w:r>
              <w:rPr>
                <w:rFonts w:hint="eastAsia" w:ascii="宋体" w:hAnsi="宋体" w:eastAsia="宋体" w:cs="宋体"/>
                <w:color w:val="auto"/>
                <w:sz w:val="21"/>
                <w:szCs w:val="21"/>
              </w:rPr>
              <w:t>项目丰水期论证河段纳污能力分析</w:t>
            </w:r>
          </w:p>
          <w:tbl>
            <w:tblPr>
              <w:tblStyle w:val="55"/>
              <w:tblW w:w="708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1417"/>
              <w:gridCol w:w="1417"/>
              <w:gridCol w:w="1417"/>
              <w:gridCol w:w="141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tblHeader/>
                <w:jc w:val="center"/>
              </w:trPr>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污染因子</w:t>
                  </w:r>
                </w:p>
              </w:tc>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日排放量t/d</w:t>
                  </w:r>
                </w:p>
              </w:tc>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水域纳污能力t/d</w:t>
                  </w:r>
                </w:p>
              </w:tc>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占比</w:t>
                  </w:r>
                </w:p>
              </w:tc>
              <w:tc>
                <w:tcPr>
                  <w:tcW w:w="1417"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是否满足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COD</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0.049</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1.254</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3.9%</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氨氮</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0.007</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0.091</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7.2%</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铅</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0.0002</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0.00522</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砷</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0.000041</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0.004796</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0.9%</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镉</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0.00001</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0.00052</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 w:hRule="atLeast"/>
                <w:jc w:val="center"/>
              </w:trPr>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汞</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0.0000008</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0.000008</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9.8%</w:t>
                  </w:r>
                </w:p>
              </w:tc>
              <w:tc>
                <w:tcPr>
                  <w:tcW w:w="1417" w:type="dxa"/>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r>
          </w:tbl>
          <w:p>
            <w:pPr>
              <w:pageBreakBefore w:val="0"/>
              <w:kinsoku/>
              <w:overflowPunct/>
              <w:topLinePunct w:val="0"/>
              <w:autoSpaceDE/>
              <w:autoSpaceDN/>
              <w:bidi w:val="0"/>
              <w:adjustRightInd/>
              <w:snapToGrid/>
              <w:spacing w:line="360" w:lineRule="auto"/>
              <w:ind w:firstLine="420" w:firstLineChars="200"/>
              <w:textAlignment w:val="auto"/>
              <w:rPr>
                <w:rFonts w:ascii="宋体" w:hAnsi="宋体"/>
              </w:rPr>
            </w:pPr>
            <w:r>
              <w:rPr>
                <w:rFonts w:hint="eastAsia" w:ascii="宋体" w:hAnsi="宋体" w:eastAsia="宋体" w:cs="宋体"/>
                <w:color w:val="auto"/>
                <w:sz w:val="21"/>
                <w:szCs w:val="21"/>
              </w:rPr>
              <w:t>由上表可知，</w:t>
            </w:r>
            <w:bookmarkStart w:id="13" w:name="_Hlk157156123"/>
            <w:r>
              <w:rPr>
                <w:rFonts w:hint="eastAsia" w:ascii="宋体" w:hAnsi="宋体" w:eastAsia="宋体" w:cs="宋体"/>
                <w:color w:val="auto"/>
                <w:sz w:val="21"/>
                <w:szCs w:val="21"/>
              </w:rPr>
              <w:t>项目主要污染因子排放量均未超过</w:t>
            </w:r>
            <w:bookmarkEnd w:id="13"/>
            <w:bookmarkStart w:id="14" w:name="_Hlk167087597"/>
            <w:r>
              <w:rPr>
                <w:rFonts w:hint="eastAsia" w:ascii="宋体" w:hAnsi="宋体" w:eastAsia="宋体" w:cs="宋体"/>
                <w:color w:val="auto"/>
                <w:sz w:val="21"/>
                <w:szCs w:val="21"/>
              </w:rPr>
              <w:t>延寿河清江段</w:t>
            </w:r>
            <w:bookmarkEnd w:id="14"/>
            <w:r>
              <w:rPr>
                <w:rFonts w:hint="eastAsia" w:ascii="宋体" w:hAnsi="宋体" w:eastAsia="宋体" w:cs="宋体"/>
                <w:color w:val="auto"/>
                <w:sz w:val="21"/>
                <w:szCs w:val="21"/>
              </w:rPr>
              <w:t>的纳污能力值。综上，本项目排污口设置后，延寿河清江段有足够的纳污能力，不影响纳污河段水功能区水质管理目标的实现。</w:t>
            </w:r>
          </w:p>
          <w:p>
            <w:pPr>
              <w:keepNext w:val="0"/>
              <w:keepLines w:val="0"/>
              <w:pageBreakBefore w:val="0"/>
              <w:widowControl/>
              <w:shd w:val="clear" w:color="auto" w:fill="FFFFFF"/>
              <w:kinsoku/>
              <w:wordWrap/>
              <w:overflowPunct/>
              <w:topLinePunct w:val="0"/>
              <w:autoSpaceDE/>
              <w:autoSpaceDN/>
              <w:bidi w:val="0"/>
              <w:adjustRightInd/>
              <w:spacing w:line="360" w:lineRule="auto"/>
              <w:ind w:left="0" w:leftChars="0" w:firstLine="0" w:firstLineChars="0"/>
              <w:jc w:val="center"/>
              <w:textAlignment w:val="auto"/>
              <w:outlineLvl w:val="1"/>
              <w:rPr>
                <w:rFonts w:hint="eastAsia" w:ascii="宋体" w:hAnsi="宋体" w:cs="宋体"/>
                <w:b/>
                <w:bCs/>
                <w:color w:val="333333"/>
                <w:kern w:val="0"/>
                <w:sz w:val="21"/>
                <w:szCs w:val="21"/>
              </w:rPr>
            </w:pPr>
            <w:r>
              <w:rPr>
                <w:rFonts w:hint="eastAsia" w:ascii="宋体" w:hAnsi="宋体" w:cs="宋体"/>
                <w:b/>
                <w:bCs/>
                <w:color w:val="333333"/>
                <w:kern w:val="0"/>
                <w:sz w:val="21"/>
                <w:szCs w:val="21"/>
                <w:lang w:val="en-US" w:eastAsia="zh-CN"/>
              </w:rPr>
              <w:t>六</w:t>
            </w:r>
            <w:r>
              <w:rPr>
                <w:rFonts w:hint="eastAsia" w:ascii="宋体" w:hAnsi="宋体" w:cs="宋体"/>
                <w:b/>
                <w:bCs/>
                <w:color w:val="333333"/>
                <w:kern w:val="0"/>
                <w:sz w:val="21"/>
                <w:szCs w:val="21"/>
              </w:rPr>
              <w:t>、入河排污口设置水环境影响分析主要影响分析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rPr>
            </w:pPr>
            <w:r>
              <w:rPr>
                <w:rFonts w:hint="eastAsia" w:ascii="宋体" w:hAnsi="宋体"/>
              </w:rPr>
              <w:t>根据水域水质和保护要求，采用模型预测设计水文条件下入河污水的影响范围，分析对水环境的影响。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bCs/>
                <w:lang w:val="en-US" w:eastAsia="zh-CN"/>
              </w:rPr>
            </w:pPr>
            <w:r>
              <w:rPr>
                <w:rFonts w:hint="eastAsia" w:ascii="宋体" w:hAnsi="宋体"/>
                <w:b/>
                <w:bCs/>
                <w:lang w:eastAsia="zh-CN"/>
              </w:rPr>
              <w:t>（</w:t>
            </w:r>
            <w:r>
              <w:rPr>
                <w:rFonts w:hint="eastAsia" w:ascii="宋体" w:hAnsi="宋体"/>
                <w:b/>
                <w:bCs/>
                <w:lang w:val="en-US" w:eastAsia="zh-CN"/>
              </w:rPr>
              <w:t>一</w:t>
            </w:r>
            <w:r>
              <w:rPr>
                <w:rFonts w:hint="eastAsia" w:ascii="宋体" w:hAnsi="宋体"/>
                <w:b/>
                <w:bCs/>
                <w:lang w:eastAsia="zh-CN"/>
              </w:rPr>
              <w:t>）</w:t>
            </w:r>
            <w:r>
              <w:rPr>
                <w:rFonts w:hint="eastAsia" w:ascii="宋体" w:hAnsi="宋体"/>
                <w:b/>
                <w:bCs/>
                <w:lang w:val="en-US" w:eastAsia="zh-CN"/>
              </w:rPr>
              <w:t>影响范围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lang w:val="en-US" w:eastAsia="zh-CN"/>
              </w:rPr>
            </w:pPr>
            <w:r>
              <w:rPr>
                <w:rFonts w:hint="default" w:ascii="宋体" w:hAnsi="宋体"/>
                <w:lang w:val="en-US" w:eastAsia="zh-CN"/>
              </w:rPr>
              <w:t>根据</w:t>
            </w:r>
            <w:r>
              <w:rPr>
                <w:rFonts w:hint="eastAsia" w:ascii="宋体" w:hAnsi="宋体"/>
                <w:lang w:val="en-US" w:eastAsia="zh-CN"/>
              </w:rPr>
              <w:t>本项目环评报告</w:t>
            </w:r>
            <w:r>
              <w:rPr>
                <w:rFonts w:hint="default" w:ascii="宋体" w:hAnsi="宋体"/>
                <w:lang w:val="en-US" w:eastAsia="zh-CN"/>
              </w:rPr>
              <w:t>预测结果可知：</w:t>
            </w:r>
          </w:p>
          <w:p>
            <w:pPr>
              <w:keepNext w:val="0"/>
              <w:keepLines w:val="0"/>
              <w:pageBreakBefore w:val="0"/>
              <w:widowControl w:val="0"/>
              <w:kinsoku/>
              <w:wordWrap/>
              <w:overflowPunct/>
              <w:topLinePunct w:val="0"/>
              <w:autoSpaceDE/>
              <w:autoSpaceDN/>
              <w:bidi w:val="0"/>
              <w:adjustRightInd/>
              <w:snapToGrid/>
              <w:spacing w:line="360" w:lineRule="auto"/>
              <w:ind w:firstLine="421" w:firstLineChars="200"/>
              <w:textAlignment w:val="auto"/>
              <w:rPr>
                <w:rFonts w:hint="default" w:ascii="宋体" w:hAnsi="宋体"/>
                <w:b/>
                <w:bCs/>
                <w:lang w:val="en-US" w:eastAsia="zh-CN"/>
              </w:rPr>
            </w:pPr>
            <w:r>
              <w:rPr>
                <w:rFonts w:hint="default" w:ascii="宋体" w:hAnsi="宋体"/>
                <w:b/>
                <w:bCs/>
                <w:lang w:val="en-US" w:eastAsia="zh-CN"/>
              </w:rPr>
              <w:t>（1）正常工况影响范围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lang w:val="en-US" w:eastAsia="zh-CN"/>
              </w:rPr>
            </w:pPr>
            <w:r>
              <w:rPr>
                <w:rFonts w:hint="default" w:ascii="宋体" w:hAnsi="宋体"/>
                <w:lang w:val="en-US" w:eastAsia="zh-CN"/>
              </w:rPr>
              <w:t>混合过程段（丰水期1286.8m、枯水期485m）：COD、NH3-N、氟化物、铅、砷、镉、汞预测浓度最远超标距离不大于20m。</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lang w:val="en-US" w:eastAsia="zh-CN"/>
              </w:rPr>
            </w:pPr>
            <w:r>
              <w:rPr>
                <w:rFonts w:hint="default" w:ascii="宋体" w:hAnsi="宋体"/>
                <w:lang w:val="en-US" w:eastAsia="zh-CN"/>
              </w:rPr>
              <w:t>完全混合段： COD、NH3-N、氟化物、铅、砷、镉、汞预测浓度均可以达到《地表水环境质量标准》（GB3838-2002）III类标准，且项目污染源核算断面（排污口下游2km）处，COD、氨氮浓度满足地表水III类水质安全余量要求。</w:t>
            </w:r>
          </w:p>
          <w:p>
            <w:pPr>
              <w:keepNext w:val="0"/>
              <w:keepLines w:val="0"/>
              <w:pageBreakBefore w:val="0"/>
              <w:widowControl w:val="0"/>
              <w:kinsoku/>
              <w:wordWrap/>
              <w:overflowPunct/>
              <w:topLinePunct w:val="0"/>
              <w:autoSpaceDE/>
              <w:autoSpaceDN/>
              <w:bidi w:val="0"/>
              <w:adjustRightInd/>
              <w:snapToGrid/>
              <w:spacing w:line="360" w:lineRule="auto"/>
              <w:ind w:firstLine="421" w:firstLineChars="200"/>
              <w:textAlignment w:val="auto"/>
              <w:rPr>
                <w:rFonts w:hint="default" w:ascii="宋体" w:hAnsi="宋体"/>
                <w:b/>
                <w:bCs/>
                <w:lang w:val="en-US" w:eastAsia="zh-CN"/>
              </w:rPr>
            </w:pPr>
            <w:r>
              <w:rPr>
                <w:rFonts w:hint="default" w:ascii="宋体" w:hAnsi="宋体"/>
                <w:b/>
                <w:bCs/>
                <w:lang w:val="en-US" w:eastAsia="zh-CN"/>
              </w:rPr>
              <w:t>（2）非正常工况影响范围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lang w:val="en-US" w:eastAsia="zh-CN"/>
              </w:rPr>
            </w:pPr>
            <w:r>
              <w:rPr>
                <w:rFonts w:hint="default" w:ascii="宋体" w:hAnsi="宋体"/>
                <w:lang w:val="en-US" w:eastAsia="zh-CN"/>
              </w:rPr>
              <w:t>混合过程段（丰水期1286.8m、枯水期485m）：COD、NH3-N、氟化物、铅、砷、镉、汞预测浓度最远超标距离不大于200m。</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lang w:val="en-US" w:eastAsia="zh-CN"/>
              </w:rPr>
            </w:pPr>
            <w:r>
              <w:rPr>
                <w:rFonts w:hint="default" w:ascii="宋体" w:hAnsi="宋体"/>
                <w:lang w:val="en-US" w:eastAsia="zh-CN"/>
              </w:rPr>
              <w:t>完全混合段： COD、NH3-N、氟化物、铅、砷、镉、汞预测浓度均可以达到《地表水环境质量标准》（GB3838-2002）III类标准。</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hint="eastAsia" w:ascii="宋体" w:hAnsi="宋体" w:cs="楷体_GB2312"/>
                <w:b/>
                <w:bCs/>
                <w:sz w:val="21"/>
                <w:szCs w:val="21"/>
              </w:rPr>
            </w:pPr>
            <w:r>
              <w:rPr>
                <w:rFonts w:hint="eastAsia" w:ascii="宋体" w:hAnsi="宋体" w:cs="楷体_GB2312"/>
                <w:b/>
                <w:bCs/>
                <w:sz w:val="21"/>
                <w:szCs w:val="21"/>
              </w:rPr>
              <w:t>（</w:t>
            </w:r>
            <w:r>
              <w:rPr>
                <w:rFonts w:hint="eastAsia" w:ascii="宋体" w:hAnsi="宋体" w:cs="楷体_GB2312"/>
                <w:b/>
                <w:bCs/>
                <w:sz w:val="21"/>
                <w:szCs w:val="21"/>
                <w:lang w:val="en-US" w:eastAsia="zh-CN"/>
              </w:rPr>
              <w:t>二</w:t>
            </w:r>
            <w:r>
              <w:rPr>
                <w:rFonts w:hint="eastAsia" w:ascii="宋体" w:hAnsi="宋体" w:cs="楷体_GB2312"/>
                <w:b/>
                <w:bCs/>
                <w:sz w:val="21"/>
                <w:szCs w:val="21"/>
              </w:rPr>
              <w:t>）入河排污口设置对水功能区水质影响</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仿宋_GB2312"/>
                <w:sz w:val="21"/>
                <w:szCs w:val="21"/>
              </w:rPr>
            </w:pPr>
            <w:r>
              <w:rPr>
                <w:rFonts w:hint="eastAsia" w:ascii="宋体" w:hAnsi="宋体" w:cs="仿宋_GB2312"/>
                <w:sz w:val="21"/>
                <w:szCs w:val="21"/>
              </w:rPr>
              <w:t>根据论证报告，</w:t>
            </w:r>
            <w:r>
              <w:rPr>
                <w:rFonts w:hint="eastAsia" w:ascii="宋体" w:hAnsi="宋体" w:cs="仿宋_GB2312"/>
                <w:b/>
                <w:bCs/>
                <w:sz w:val="21"/>
                <w:szCs w:val="21"/>
              </w:rPr>
              <w:t>本项目尾水排放口正常排放情况下</w:t>
            </w:r>
            <w:r>
              <w:rPr>
                <w:rFonts w:hint="eastAsia" w:ascii="宋体" w:hAnsi="宋体" w:cs="仿宋_GB2312"/>
                <w:b/>
                <w:bCs/>
                <w:sz w:val="21"/>
                <w:szCs w:val="21"/>
                <w:lang w:eastAsia="zh-CN"/>
              </w:rPr>
              <w:t>，</w:t>
            </w:r>
            <w:r>
              <w:rPr>
                <w:rFonts w:hint="eastAsia" w:ascii="宋体" w:hAnsi="宋体" w:cs="仿宋_GB2312"/>
                <w:sz w:val="21"/>
                <w:szCs w:val="21"/>
              </w:rPr>
              <w:t>废水与延寿河水体完全混合后，枯水期、丰水期各污染物预测浓度均可达到《地表水环境质量标准》（GB3838-2002）中的III类标准，且下游核算断面（排污口下游2km）处，COD、氨氮浓度满足地表水III类水质安全余量要求。</w:t>
            </w:r>
            <w:r>
              <w:rPr>
                <w:rFonts w:hint="eastAsia" w:ascii="宋体" w:hAnsi="宋体" w:cs="仿宋_GB2312"/>
                <w:b/>
                <w:bCs/>
                <w:sz w:val="21"/>
                <w:szCs w:val="21"/>
              </w:rPr>
              <w:t>项目废水非正常工况下</w:t>
            </w:r>
            <w:r>
              <w:rPr>
                <w:rFonts w:hint="eastAsia" w:ascii="宋体" w:hAnsi="宋体" w:cs="仿宋_GB2312"/>
                <w:b/>
                <w:bCs/>
                <w:sz w:val="21"/>
                <w:szCs w:val="21"/>
                <w:lang w:eastAsia="zh-CN"/>
              </w:rPr>
              <w:t>，</w:t>
            </w:r>
            <w:r>
              <w:rPr>
                <w:rFonts w:hint="eastAsia" w:ascii="宋体" w:hAnsi="宋体" w:cs="仿宋_GB2312"/>
                <w:sz w:val="21"/>
                <w:szCs w:val="21"/>
              </w:rPr>
              <w:t>相较于正常工况废水浓度有所升高，但废水与延寿河水体完全混合后，枯水期、丰水期各污染物预测浓度仍均可达到《地表水环境质量标准》（GB3838-2002）中的III类标准。项目在偶遇突发性暴雨时，水中的重金属离子浓度可能会因为雨水的稀释作用进一步降低。因此，项目突发性暴雨等非正常工况情景，项目废水外排不会对下游水功能区造成明显变化。</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hint="eastAsia" w:ascii="宋体" w:hAnsi="宋体" w:cs="仿宋_GB2312"/>
                <w:b/>
                <w:bCs/>
                <w:sz w:val="21"/>
                <w:szCs w:val="21"/>
              </w:rPr>
            </w:pPr>
            <w:r>
              <w:rPr>
                <w:rFonts w:hint="eastAsia" w:ascii="宋体" w:hAnsi="宋体" w:cs="仿宋_GB2312"/>
                <w:b/>
                <w:bCs/>
                <w:sz w:val="21"/>
                <w:szCs w:val="21"/>
                <w:lang w:eastAsia="zh-CN"/>
              </w:rPr>
              <w:t>（</w:t>
            </w:r>
            <w:r>
              <w:rPr>
                <w:rFonts w:hint="eastAsia" w:ascii="宋体" w:hAnsi="宋体" w:cs="仿宋_GB2312"/>
                <w:b/>
                <w:bCs/>
                <w:sz w:val="21"/>
                <w:szCs w:val="21"/>
                <w:lang w:val="en-US" w:eastAsia="zh-CN"/>
              </w:rPr>
              <w:t>三</w:t>
            </w:r>
            <w:r>
              <w:rPr>
                <w:rFonts w:hint="eastAsia" w:ascii="宋体" w:hAnsi="宋体" w:cs="仿宋_GB2312"/>
                <w:b/>
                <w:bCs/>
                <w:sz w:val="21"/>
                <w:szCs w:val="21"/>
                <w:lang w:eastAsia="zh-CN"/>
              </w:rPr>
              <w:t>）</w:t>
            </w:r>
            <w:r>
              <w:rPr>
                <w:rFonts w:hint="eastAsia" w:ascii="宋体" w:hAnsi="宋体" w:cs="楷体_GB2312"/>
                <w:b/>
                <w:bCs/>
                <w:sz w:val="21"/>
                <w:szCs w:val="21"/>
              </w:rPr>
              <w:t>入河排污口设置</w:t>
            </w:r>
            <w:r>
              <w:rPr>
                <w:rFonts w:hint="eastAsia" w:ascii="宋体" w:hAnsi="宋体" w:cs="仿宋_GB2312"/>
                <w:b/>
                <w:bCs/>
                <w:sz w:val="21"/>
                <w:szCs w:val="21"/>
              </w:rPr>
              <w:t>对上下游取水安全的影响</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仿宋_GB2312"/>
                <w:sz w:val="21"/>
                <w:szCs w:val="21"/>
              </w:rPr>
            </w:pPr>
            <w:r>
              <w:rPr>
                <w:rFonts w:hint="eastAsia" w:ascii="宋体" w:hAnsi="宋体" w:cs="仿宋_GB2312"/>
                <w:sz w:val="21"/>
                <w:szCs w:val="21"/>
                <w:lang w:val="en-US" w:eastAsia="zh-CN"/>
              </w:rPr>
              <w:t>本</w:t>
            </w:r>
            <w:r>
              <w:rPr>
                <w:rFonts w:hint="eastAsia" w:ascii="宋体" w:hAnsi="宋体" w:cs="仿宋_GB2312"/>
                <w:sz w:val="21"/>
                <w:szCs w:val="21"/>
              </w:rPr>
              <w:t>项目废水正常排放延寿河清江段水质均能满足《地表水环境质量标准》（GB3838-2002）III类标准要求，对河流水质影响不大，下游水质可达到水功能区划III类水质目标要求。且本次拟设的入河排污口上下游均无生产、生活取水口，对上下游取水安全的影响甚微。</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hint="eastAsia" w:ascii="宋体" w:hAnsi="宋体" w:cs="仿宋_GB2312"/>
                <w:b/>
                <w:bCs/>
                <w:sz w:val="21"/>
                <w:szCs w:val="21"/>
              </w:rPr>
            </w:pPr>
            <w:r>
              <w:rPr>
                <w:rFonts w:hint="eastAsia" w:ascii="宋体" w:hAnsi="宋体" w:cs="仿宋_GB2312"/>
                <w:b/>
                <w:bCs/>
                <w:sz w:val="21"/>
                <w:szCs w:val="21"/>
                <w:lang w:eastAsia="zh-CN"/>
              </w:rPr>
              <w:t>（</w:t>
            </w:r>
            <w:r>
              <w:rPr>
                <w:rFonts w:hint="eastAsia" w:ascii="宋体" w:hAnsi="宋体" w:cs="仿宋_GB2312"/>
                <w:b/>
                <w:bCs/>
                <w:sz w:val="21"/>
                <w:szCs w:val="21"/>
                <w:lang w:val="en-US" w:eastAsia="zh-CN"/>
              </w:rPr>
              <w:t>四</w:t>
            </w:r>
            <w:r>
              <w:rPr>
                <w:rFonts w:hint="eastAsia" w:ascii="宋体" w:hAnsi="宋体" w:cs="仿宋_GB2312"/>
                <w:b/>
                <w:bCs/>
                <w:sz w:val="21"/>
                <w:szCs w:val="21"/>
                <w:lang w:eastAsia="zh-CN"/>
              </w:rPr>
              <w:t>）</w:t>
            </w:r>
            <w:r>
              <w:rPr>
                <w:rFonts w:hint="eastAsia" w:ascii="宋体" w:hAnsi="宋体" w:cs="楷体_GB2312"/>
                <w:b/>
                <w:bCs/>
                <w:sz w:val="21"/>
                <w:szCs w:val="21"/>
              </w:rPr>
              <w:t>入河排污口设置</w:t>
            </w:r>
            <w:r>
              <w:rPr>
                <w:rFonts w:hint="eastAsia" w:ascii="宋体" w:hAnsi="宋体" w:cs="仿宋_GB2312"/>
                <w:b/>
                <w:bCs/>
                <w:sz w:val="21"/>
                <w:szCs w:val="21"/>
              </w:rPr>
              <w:t>对农业灌溉用水的影响</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仿宋_GB2312"/>
                <w:sz w:val="21"/>
                <w:szCs w:val="21"/>
              </w:rPr>
            </w:pPr>
            <w:r>
              <w:rPr>
                <w:rFonts w:hint="eastAsia" w:ascii="宋体" w:hAnsi="宋体" w:cs="仿宋_GB2312"/>
                <w:sz w:val="21"/>
                <w:szCs w:val="21"/>
              </w:rPr>
              <w:t>清江尾矿库下游坝下1km内有2片耕地，但不属于基本农田，其占地面积约有6319m2，距离库坝最近约54m。项目入河排污口下游9.5km沿河两岸零散分布有水田、旱地等农用地，主要作物类型是水稻、油菜及其它杂粮和经济作物。区域农业灌溉需水主要来自雨水、下游的山间小溪等地表径流，几乎不从延寿河清江段取水灌溉，只有天旱时从河中取水应急农灌用。同时，根据地表水预测结果，延寿河清江段丰水期、枯水期下游预测断面水质可满足《农田灌溉水质标准》（GB5081-2021）要求，对农业灌溉用水影响较小。</w:t>
            </w:r>
          </w:p>
          <w:p>
            <w:pPr>
              <w:pStyle w:val="11"/>
              <w:keepNext w:val="0"/>
              <w:keepLines w:val="0"/>
              <w:pageBreakBefore w:val="0"/>
              <w:kinsoku/>
              <w:wordWrap/>
              <w:overflowPunct/>
              <w:topLinePunct w:val="0"/>
              <w:autoSpaceDE/>
              <w:autoSpaceDN/>
              <w:bidi w:val="0"/>
              <w:adjustRightInd/>
              <w:snapToGrid w:val="0"/>
              <w:spacing w:after="0" w:line="360" w:lineRule="auto"/>
              <w:ind w:left="0" w:leftChars="0" w:firstLine="0" w:firstLineChars="0"/>
              <w:textAlignment w:val="auto"/>
              <w:rPr>
                <w:rFonts w:hint="eastAsia" w:ascii="宋体" w:hAnsi="宋体" w:cs="楷体_GB2312"/>
                <w:b/>
                <w:bCs/>
                <w:sz w:val="21"/>
                <w:szCs w:val="21"/>
              </w:rPr>
            </w:pPr>
            <w:r>
              <w:rPr>
                <w:rFonts w:hint="eastAsia" w:ascii="宋体" w:hAnsi="宋体" w:cs="楷体_GB2312"/>
                <w:b/>
                <w:bCs/>
                <w:sz w:val="21"/>
                <w:szCs w:val="21"/>
              </w:rPr>
              <w:t>（</w:t>
            </w:r>
            <w:r>
              <w:rPr>
                <w:rFonts w:hint="eastAsia" w:ascii="宋体" w:hAnsi="宋体" w:cs="楷体_GB2312"/>
                <w:b/>
                <w:bCs/>
                <w:sz w:val="21"/>
                <w:szCs w:val="21"/>
                <w:lang w:val="en-US" w:eastAsia="zh-CN"/>
              </w:rPr>
              <w:t>五</w:t>
            </w:r>
            <w:r>
              <w:rPr>
                <w:rFonts w:hint="eastAsia" w:ascii="宋体" w:hAnsi="宋体" w:cs="楷体_GB2312"/>
                <w:b/>
                <w:bCs/>
                <w:sz w:val="21"/>
                <w:szCs w:val="21"/>
              </w:rPr>
              <w:t>）入河排污口设置对水生生态的影响</w:t>
            </w:r>
          </w:p>
          <w:p>
            <w:pPr>
              <w:pStyle w:val="11"/>
              <w:keepNext w:val="0"/>
              <w:keepLines w:val="0"/>
              <w:pageBreakBefore w:val="0"/>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仿宋_GB2312"/>
                <w:sz w:val="21"/>
                <w:szCs w:val="21"/>
              </w:rPr>
            </w:pPr>
            <w:r>
              <w:rPr>
                <w:rFonts w:hint="eastAsia" w:ascii="宋体" w:hAnsi="宋体" w:cs="仿宋_GB2312"/>
                <w:sz w:val="21"/>
                <w:szCs w:val="21"/>
              </w:rPr>
              <w:t>本项目废水经专管排放至延寿河清江段，下游河段水质良好，主要种类为常见鱼类、两栖类、爬行类、甲壳类、软体类等水生动物，构成了当地的水生生态系统，不涉及珍稀濒危物种、保护动植物。本项目入河排污口下游论证范围内无鱼虾类越冬场、产卵场以及索饵场，也无鱼类栖息地、洄游通道，不涉及水产种质资源保护区、重要湿地等敏感区。</w:t>
            </w:r>
          </w:p>
          <w:p>
            <w:pPr>
              <w:pStyle w:val="11"/>
              <w:keepNext w:val="0"/>
              <w:keepLines w:val="0"/>
              <w:pageBreakBefore w:val="0"/>
              <w:kinsoku/>
              <w:wordWrap/>
              <w:overflowPunct/>
              <w:topLinePunct w:val="0"/>
              <w:autoSpaceDE/>
              <w:autoSpaceDN/>
              <w:bidi w:val="0"/>
              <w:adjustRightInd/>
              <w:snapToGrid w:val="0"/>
              <w:spacing w:after="0" w:line="360" w:lineRule="auto"/>
              <w:ind w:firstLine="420" w:firstLineChars="200"/>
              <w:textAlignment w:val="auto"/>
              <w:rPr>
                <w:rFonts w:ascii="宋体" w:hAnsi="宋体" w:cs="仿宋_GB2312"/>
                <w:sz w:val="21"/>
                <w:szCs w:val="21"/>
              </w:rPr>
            </w:pPr>
            <w:r>
              <w:rPr>
                <w:rFonts w:hint="eastAsia" w:ascii="宋体" w:hAnsi="宋体" w:cs="仿宋_GB2312"/>
                <w:sz w:val="21"/>
                <w:szCs w:val="21"/>
              </w:rPr>
              <w:t>枯水期延寿河清江段流量较小，河道水位较低，</w:t>
            </w:r>
            <w:r>
              <w:rPr>
                <w:rFonts w:hint="eastAsia" w:ascii="宋体" w:hAnsi="宋体" w:cs="仿宋_GB2312"/>
                <w:sz w:val="21"/>
                <w:szCs w:val="21"/>
                <w:lang w:val="en-US" w:eastAsia="zh-CN"/>
              </w:rPr>
              <w:t>项目</w:t>
            </w:r>
            <w:r>
              <w:rPr>
                <w:rFonts w:hint="eastAsia" w:ascii="宋体" w:hAnsi="宋体" w:cs="仿宋_GB2312"/>
                <w:sz w:val="21"/>
                <w:szCs w:val="21"/>
              </w:rPr>
              <w:t>入河排污口的排放废水中，含有COD、SS、氟化物、铅、砷、镉、汞等污染物，可能会使浮游生物数量减少、生物种类产生变化，对生物多样性产生不利影响，使底栖生物数量减少，但其影响范围主要集中在排污口附近河段。本项目纳污河流不属于产鱼区，因此，正常的污水排放对该河段的水生生物群落、渔业生产和水生态的影响一般都是较弱的。根据</w:t>
            </w:r>
            <w:r>
              <w:rPr>
                <w:rFonts w:hint="eastAsia" w:ascii="宋体" w:hAnsi="宋体" w:cs="仿宋_GB2312"/>
                <w:sz w:val="21"/>
                <w:szCs w:val="21"/>
                <w:lang w:val="en-US" w:eastAsia="zh-CN"/>
              </w:rPr>
              <w:t>论证报告</w:t>
            </w:r>
            <w:r>
              <w:rPr>
                <w:rFonts w:hint="eastAsia" w:ascii="宋体" w:hAnsi="宋体" w:cs="仿宋_GB2312"/>
                <w:sz w:val="21"/>
                <w:szCs w:val="21"/>
              </w:rPr>
              <w:t>预测结果可知，本项目尾水正常排放情况下，废水与延寿河水体完全混合后，枯水期、丰水期纳污水体各污染物预测浓度均可达标，项目废水排放对入河排污口下游河段水质影响不大，不会对水生生物造成明显不利影响。</w:t>
            </w:r>
          </w:p>
          <w:p>
            <w:pPr>
              <w:pStyle w:val="11"/>
              <w:keepNext w:val="0"/>
              <w:keepLines w:val="0"/>
              <w:pageBreakBefore w:val="0"/>
              <w:kinsoku/>
              <w:wordWrap/>
              <w:overflowPunct/>
              <w:topLinePunct w:val="0"/>
              <w:autoSpaceDE/>
              <w:autoSpaceDN/>
              <w:bidi w:val="0"/>
              <w:adjustRightInd/>
              <w:snapToGrid w:val="0"/>
              <w:spacing w:after="0" w:line="360" w:lineRule="auto"/>
              <w:ind w:left="0" w:leftChars="0" w:firstLine="0" w:firstLineChars="0"/>
              <w:textAlignment w:val="auto"/>
              <w:rPr>
                <w:rFonts w:hint="eastAsia" w:ascii="宋体" w:hAnsi="宋体" w:cs="楷体_GB2312"/>
                <w:b/>
                <w:bCs/>
                <w:sz w:val="21"/>
                <w:szCs w:val="21"/>
              </w:rPr>
            </w:pPr>
            <w:r>
              <w:rPr>
                <w:rFonts w:hint="eastAsia" w:ascii="宋体" w:hAnsi="宋体" w:cs="楷体_GB2312"/>
                <w:b/>
                <w:bCs/>
                <w:sz w:val="21"/>
                <w:szCs w:val="21"/>
                <w:lang w:eastAsia="zh-CN"/>
              </w:rPr>
              <w:t>（</w:t>
            </w:r>
            <w:r>
              <w:rPr>
                <w:rFonts w:hint="eastAsia" w:ascii="宋体" w:hAnsi="宋体" w:cs="楷体_GB2312"/>
                <w:b/>
                <w:bCs/>
                <w:sz w:val="21"/>
                <w:szCs w:val="21"/>
                <w:lang w:val="en-US" w:eastAsia="zh-CN"/>
              </w:rPr>
              <w:t>六</w:t>
            </w:r>
            <w:r>
              <w:rPr>
                <w:rFonts w:hint="eastAsia" w:ascii="宋体" w:hAnsi="宋体" w:cs="楷体_GB2312"/>
                <w:b/>
                <w:bCs/>
                <w:sz w:val="21"/>
                <w:szCs w:val="21"/>
                <w:lang w:eastAsia="zh-CN"/>
              </w:rPr>
              <w:t>）</w:t>
            </w:r>
            <w:r>
              <w:rPr>
                <w:rFonts w:hint="eastAsia" w:ascii="宋体" w:hAnsi="宋体" w:cs="楷体_GB2312"/>
                <w:b/>
                <w:bCs/>
                <w:sz w:val="21"/>
                <w:szCs w:val="21"/>
              </w:rPr>
              <w:t>入河排污口设置对防洪管理的影响</w:t>
            </w:r>
          </w:p>
          <w:p>
            <w:pPr>
              <w:pStyle w:val="11"/>
              <w:keepNext w:val="0"/>
              <w:keepLines w:val="0"/>
              <w:pageBreakBefore w:val="0"/>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楷体_GB2312"/>
                <w:b w:val="0"/>
                <w:bCs w:val="0"/>
                <w:sz w:val="21"/>
                <w:szCs w:val="21"/>
              </w:rPr>
            </w:pPr>
            <w:r>
              <w:rPr>
                <w:rFonts w:hint="eastAsia" w:ascii="宋体" w:hAnsi="宋体" w:cs="楷体_GB2312"/>
                <w:b w:val="0"/>
                <w:bCs w:val="0"/>
                <w:sz w:val="21"/>
                <w:szCs w:val="21"/>
              </w:rPr>
              <w:t>项目入河排污口位于延寿河清江段右岸，采用管道从污水处理站排入河流。项目污水处理设施及入河排污口未占用河道。根据《汝城县小垣矿区综合开发环保实施项目防洪评价报告》（汝水函〔2024]66号），项目区域河段水位高程为653.47m~654.54m，项目污水处理站设计地面标高不低于656m，排污口设置高程为655.5m，能满足防洪要求。</w:t>
            </w:r>
          </w:p>
          <w:p>
            <w:pPr>
              <w:pStyle w:val="11"/>
              <w:keepNext w:val="0"/>
              <w:keepLines w:val="0"/>
              <w:pageBreakBefore w:val="0"/>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楷体_GB2312"/>
                <w:b w:val="0"/>
                <w:bCs w:val="0"/>
                <w:sz w:val="21"/>
                <w:szCs w:val="21"/>
              </w:rPr>
            </w:pPr>
            <w:r>
              <w:rPr>
                <w:rFonts w:hint="eastAsia" w:ascii="宋体" w:hAnsi="宋体" w:cs="楷体_GB2312"/>
                <w:b w:val="0"/>
                <w:bCs w:val="0"/>
                <w:sz w:val="21"/>
                <w:szCs w:val="21"/>
              </w:rPr>
              <w:t>因此，项目入河排污口满足防洪要求，不影响河流排洪，排污口设置对延寿河清江段的防洪管理无影响。</w:t>
            </w:r>
          </w:p>
          <w:p>
            <w:pPr>
              <w:pStyle w:val="11"/>
              <w:keepNext w:val="0"/>
              <w:keepLines w:val="0"/>
              <w:pageBreakBefore w:val="0"/>
              <w:numPr>
                <w:ilvl w:val="0"/>
                <w:numId w:val="0"/>
              </w:numPr>
              <w:kinsoku/>
              <w:wordWrap/>
              <w:overflowPunct/>
              <w:topLinePunct w:val="0"/>
              <w:autoSpaceDE/>
              <w:autoSpaceDN/>
              <w:bidi w:val="0"/>
              <w:adjustRightInd/>
              <w:snapToGrid w:val="0"/>
              <w:spacing w:after="0" w:line="360" w:lineRule="auto"/>
              <w:ind w:left="0" w:leftChars="0" w:firstLine="0" w:firstLineChars="0"/>
              <w:jc w:val="both"/>
              <w:textAlignment w:val="auto"/>
              <w:rPr>
                <w:rFonts w:hint="eastAsia" w:ascii="宋体" w:hAnsi="宋体" w:cs="楷体_GB2312"/>
                <w:b/>
                <w:bCs/>
                <w:sz w:val="21"/>
                <w:szCs w:val="21"/>
                <w:lang w:eastAsia="zh-CN"/>
              </w:rPr>
            </w:pPr>
            <w:r>
              <w:rPr>
                <w:rFonts w:hint="eastAsia" w:ascii="宋体" w:hAnsi="宋体" w:eastAsia="宋体" w:cs="楷体_GB2312"/>
                <w:b/>
                <w:bCs/>
                <w:kern w:val="2"/>
                <w:sz w:val="21"/>
                <w:szCs w:val="21"/>
                <w:lang w:val="en-US" w:eastAsia="zh-CN" w:bidi="ar-SA"/>
                <w14:ligatures w14:val="none"/>
              </w:rPr>
              <w:t>（</w:t>
            </w:r>
            <w:r>
              <w:rPr>
                <w:rFonts w:hint="eastAsia" w:ascii="宋体" w:hAnsi="宋体" w:cs="楷体_GB2312"/>
                <w:b/>
                <w:bCs/>
                <w:kern w:val="2"/>
                <w:sz w:val="21"/>
                <w:szCs w:val="21"/>
                <w:lang w:val="en-US" w:eastAsia="zh-CN" w:bidi="ar-SA"/>
                <w14:ligatures w14:val="none"/>
              </w:rPr>
              <w:t>七</w:t>
            </w:r>
            <w:r>
              <w:rPr>
                <w:rFonts w:hint="eastAsia" w:ascii="宋体" w:hAnsi="宋体" w:eastAsia="宋体" w:cs="楷体_GB2312"/>
                <w:b/>
                <w:bCs/>
                <w:kern w:val="2"/>
                <w:sz w:val="21"/>
                <w:szCs w:val="21"/>
                <w:lang w:val="en-US" w:eastAsia="zh-CN" w:bidi="ar-SA"/>
                <w14:ligatures w14:val="none"/>
              </w:rPr>
              <w:t>）</w:t>
            </w:r>
            <w:r>
              <w:rPr>
                <w:rFonts w:hint="eastAsia" w:ascii="宋体" w:hAnsi="宋体" w:cs="楷体_GB2312"/>
                <w:b/>
                <w:bCs/>
                <w:sz w:val="21"/>
                <w:szCs w:val="21"/>
                <w:lang w:eastAsia="zh-CN"/>
              </w:rPr>
              <w:t>突发水污染事件风险识别</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Chars="0" w:firstLine="420" w:firstLineChars="200"/>
              <w:jc w:val="both"/>
              <w:textAlignment w:val="auto"/>
              <w:rPr>
                <w:rFonts w:hint="eastAsia" w:ascii="宋体" w:hAnsi="宋体" w:cs="楷体_GB2312"/>
                <w:b w:val="0"/>
                <w:bCs w:val="0"/>
                <w:sz w:val="21"/>
                <w:szCs w:val="21"/>
                <w:lang w:eastAsia="zh-CN"/>
              </w:rPr>
            </w:pPr>
            <w:bookmarkStart w:id="15" w:name="OLE_LINK3"/>
            <w:r>
              <w:rPr>
                <w:rFonts w:hint="eastAsia" w:ascii="宋体" w:hAnsi="宋体" w:cs="楷体_GB2312"/>
                <w:b w:val="0"/>
                <w:bCs w:val="0"/>
                <w:sz w:val="21"/>
                <w:szCs w:val="21"/>
                <w:lang w:eastAsia="zh-CN"/>
              </w:rPr>
              <w:t>本项目排污口事故环境风</w:t>
            </w:r>
            <w:bookmarkEnd w:id="15"/>
            <w:r>
              <w:rPr>
                <w:rFonts w:hint="eastAsia" w:ascii="宋体" w:hAnsi="宋体" w:cs="楷体_GB2312"/>
                <w:b w:val="0"/>
                <w:bCs w:val="0"/>
                <w:sz w:val="21"/>
                <w:szCs w:val="21"/>
                <w:lang w:eastAsia="zh-CN"/>
              </w:rPr>
              <w:t xml:space="preserve">险主要可能是由污水处理设施故障或发生事故致其不能正常运行，从而造成废水超标排放。污水处理设施发生风险事故的可能环节及由此产生的影响方式主要有以下几方面： </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Chars="0" w:firstLine="420" w:firstLineChars="200"/>
              <w:jc w:val="both"/>
              <w:textAlignment w:val="auto"/>
              <w:rPr>
                <w:rFonts w:hint="eastAsia" w:ascii="宋体" w:hAnsi="宋体" w:cs="楷体_GB2312"/>
                <w:b w:val="0"/>
                <w:bCs w:val="0"/>
                <w:sz w:val="21"/>
                <w:szCs w:val="21"/>
                <w:lang w:eastAsia="zh-CN"/>
              </w:rPr>
            </w:pPr>
            <w:r>
              <w:rPr>
                <w:rFonts w:hint="eastAsia" w:ascii="宋体" w:hAnsi="宋体" w:cs="楷体_GB2312"/>
                <w:b w:val="0"/>
                <w:bCs w:val="0"/>
                <w:sz w:val="21"/>
                <w:szCs w:val="21"/>
                <w:lang w:val="en-US" w:eastAsia="zh-CN"/>
              </w:rPr>
              <w:t>1.</w:t>
            </w:r>
            <w:r>
              <w:rPr>
                <w:rFonts w:hint="eastAsia" w:ascii="宋体" w:hAnsi="宋体" w:cs="楷体_GB2312"/>
                <w:b w:val="0"/>
                <w:bCs w:val="0"/>
                <w:sz w:val="21"/>
                <w:szCs w:val="21"/>
                <w:lang w:eastAsia="zh-CN"/>
              </w:rPr>
              <w:t>设备故障，污水或污泥处理系统的设备发生故障，使污水处理能力降低，出水水质下降。</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Chars="0" w:firstLine="420" w:firstLineChars="200"/>
              <w:jc w:val="both"/>
              <w:textAlignment w:val="auto"/>
              <w:rPr>
                <w:rFonts w:hint="eastAsia" w:ascii="宋体" w:hAnsi="宋体" w:cs="楷体_GB2312"/>
                <w:b w:val="0"/>
                <w:bCs w:val="0"/>
                <w:sz w:val="21"/>
                <w:szCs w:val="21"/>
                <w:lang w:eastAsia="zh-CN"/>
              </w:rPr>
            </w:pPr>
            <w:r>
              <w:rPr>
                <w:rFonts w:hint="eastAsia" w:ascii="宋体" w:hAnsi="宋体" w:cs="楷体_GB2312"/>
                <w:b w:val="0"/>
                <w:bCs w:val="0"/>
                <w:sz w:val="21"/>
                <w:szCs w:val="21"/>
                <w:lang w:val="en-US" w:eastAsia="zh-CN"/>
              </w:rPr>
              <w:t>2.</w:t>
            </w:r>
            <w:r>
              <w:rPr>
                <w:rFonts w:hint="eastAsia" w:ascii="宋体" w:hAnsi="宋体" w:cs="楷体_GB2312"/>
                <w:b w:val="0"/>
                <w:bCs w:val="0"/>
                <w:sz w:val="21"/>
                <w:szCs w:val="21"/>
                <w:lang w:eastAsia="zh-CN"/>
              </w:rPr>
              <w:t>突发性外部事故：由于出现一些不可抗拒的外部原因，如停电、突发性自然灾害等，造成泵站及污水处理设施停止运行，大量未经处理的污水直接排放，这将是污水处理站非正常排放的极限情况。</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jc w:val="both"/>
              <w:textAlignment w:val="auto"/>
              <w:rPr>
                <w:rFonts w:hint="eastAsia"/>
                <w:b/>
                <w:bCs/>
              </w:rPr>
            </w:pPr>
            <w:r>
              <w:rPr>
                <w:rFonts w:hint="eastAsia"/>
                <w:b/>
                <w:bCs/>
                <w:lang w:eastAsia="zh-CN"/>
              </w:rPr>
              <w:t>（</w:t>
            </w:r>
            <w:r>
              <w:rPr>
                <w:rFonts w:hint="eastAsia"/>
                <w:b/>
                <w:bCs/>
                <w:lang w:val="en-US" w:eastAsia="zh-CN"/>
              </w:rPr>
              <w:t>八</w:t>
            </w:r>
            <w:r>
              <w:rPr>
                <w:rFonts w:hint="eastAsia"/>
                <w:b/>
                <w:bCs/>
                <w:lang w:eastAsia="zh-CN"/>
              </w:rPr>
              <w:t>）</w:t>
            </w:r>
            <w:r>
              <w:rPr>
                <w:rFonts w:hint="eastAsia"/>
                <w:b/>
                <w:bCs/>
              </w:rPr>
              <w:t>突发水污染事件影响分析</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eastAsia"/>
                <w:b w:val="0"/>
                <w:bCs w:val="0"/>
                <w:lang w:eastAsia="zh-CN"/>
              </w:rPr>
            </w:pPr>
            <w:r>
              <w:rPr>
                <w:rFonts w:hint="eastAsia"/>
                <w:b w:val="0"/>
                <w:bCs w:val="0"/>
                <w:lang w:eastAsia="zh-CN"/>
              </w:rPr>
              <w:t>当污水处理站由于设备故障等原因导致废水处理失效，最终发生尾矿水超标外排的事故时，根据</w:t>
            </w:r>
            <w:r>
              <w:rPr>
                <w:rFonts w:hint="eastAsia"/>
                <w:b w:val="0"/>
                <w:bCs w:val="0"/>
                <w:lang w:val="en-US" w:eastAsia="zh-CN"/>
              </w:rPr>
              <w:t>论证报告</w:t>
            </w:r>
            <w:r>
              <w:rPr>
                <w:rFonts w:hint="eastAsia"/>
                <w:b w:val="0"/>
                <w:bCs w:val="0"/>
                <w:lang w:eastAsia="zh-CN"/>
              </w:rPr>
              <w:t>地表水预测结果，项目废水非正常排放情景下，混合过程段（丰水期1286.8m、枯水期485m），COD、NH3-N、氟化物、铅、砷、镉、汞预测浓度最远超标距离不大于200m；完全混合段，COD、NH3-N、氟化物、铅、砷、镉、汞预测浓度均可以达到《地表水环境质量标准》（GB3838-2002）III类标准。</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0" w:firstLineChars="0"/>
              <w:jc w:val="both"/>
              <w:textAlignment w:val="auto"/>
              <w:rPr>
                <w:rFonts w:hint="eastAsia" w:ascii="宋体" w:hAnsi="宋体" w:cs="楷体_GB2312"/>
                <w:b/>
                <w:bCs/>
                <w:sz w:val="21"/>
                <w:szCs w:val="21"/>
                <w:lang w:eastAsia="zh-CN"/>
              </w:rPr>
            </w:pPr>
            <w:r>
              <w:rPr>
                <w:rFonts w:hint="eastAsia" w:ascii="宋体" w:hAnsi="宋体" w:eastAsia="宋体" w:cs="楷体_GB2312"/>
                <w:b/>
                <w:bCs/>
                <w:kern w:val="2"/>
                <w:sz w:val="21"/>
                <w:szCs w:val="21"/>
                <w:lang w:val="en-US" w:eastAsia="zh-CN" w:bidi="ar-SA"/>
                <w14:ligatures w14:val="none"/>
              </w:rPr>
              <w:t>（</w:t>
            </w:r>
            <w:r>
              <w:rPr>
                <w:rFonts w:hint="eastAsia" w:ascii="宋体" w:hAnsi="宋体" w:cs="楷体_GB2312"/>
                <w:b/>
                <w:bCs/>
                <w:kern w:val="2"/>
                <w:sz w:val="21"/>
                <w:szCs w:val="21"/>
                <w:lang w:val="en-US" w:eastAsia="zh-CN" w:bidi="ar-SA"/>
                <w14:ligatures w14:val="none"/>
              </w:rPr>
              <w:t>九</w:t>
            </w:r>
            <w:r>
              <w:rPr>
                <w:rFonts w:hint="eastAsia" w:ascii="宋体" w:hAnsi="宋体" w:eastAsia="宋体" w:cs="楷体_GB2312"/>
                <w:b/>
                <w:bCs/>
                <w:kern w:val="2"/>
                <w:sz w:val="21"/>
                <w:szCs w:val="21"/>
                <w:lang w:val="en-US" w:eastAsia="zh-CN" w:bidi="ar-SA"/>
                <w14:ligatures w14:val="none"/>
              </w:rPr>
              <w:t>）</w:t>
            </w:r>
            <w:r>
              <w:rPr>
                <w:rFonts w:hint="eastAsia" w:ascii="宋体" w:hAnsi="宋体" w:cs="楷体_GB2312"/>
                <w:b/>
                <w:bCs/>
                <w:sz w:val="21"/>
                <w:szCs w:val="21"/>
                <w:lang w:eastAsia="zh-CN"/>
              </w:rPr>
              <w:t>水环境风险防范及应急措施</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Chars="0" w:firstLine="420" w:firstLineChars="200"/>
              <w:jc w:val="both"/>
              <w:textAlignment w:val="auto"/>
              <w:rPr>
                <w:rFonts w:hint="eastAsia" w:ascii="宋体" w:hAnsi="宋体" w:cs="楷体_GB2312"/>
                <w:b w:val="0"/>
                <w:bCs w:val="0"/>
                <w:sz w:val="21"/>
                <w:szCs w:val="21"/>
                <w:lang w:eastAsia="zh-CN"/>
              </w:rPr>
            </w:pPr>
            <w:r>
              <w:rPr>
                <w:rFonts w:hint="eastAsia" w:ascii="宋体" w:hAnsi="宋体" w:cs="楷体_GB2312"/>
                <w:b w:val="0"/>
                <w:bCs w:val="0"/>
                <w:sz w:val="21"/>
                <w:szCs w:val="21"/>
                <w:lang w:eastAsia="zh-CN"/>
              </w:rPr>
              <w:t>为减少废水事故外排对延寿河清江段的水质影响，企业应立即关闭排水口及进水口，并同时对站区污水处理设施进行排查检修，站区未处理的废水可排入尾矿库坝下事故应急池，或可回泵至尾矿库。同时结合尾矿水中特征污染物的特性，排入外环境的废水可通过投加不同量的石灰等药剂，有效降污水中的铅、镉、汞等重金属浓度，可有效的减缓废水超标外排对周边地表水环境的影响。</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Chars="0" w:firstLine="420" w:firstLineChars="200"/>
              <w:jc w:val="both"/>
              <w:textAlignment w:val="auto"/>
              <w:rPr>
                <w:rFonts w:hint="eastAsia" w:ascii="宋体" w:hAnsi="宋体" w:cs="楷体_GB2312"/>
                <w:b w:val="0"/>
                <w:bCs w:val="0"/>
                <w:sz w:val="21"/>
                <w:szCs w:val="21"/>
                <w:lang w:eastAsia="zh-CN"/>
              </w:rPr>
            </w:pPr>
            <w:r>
              <w:rPr>
                <w:rFonts w:hint="eastAsia" w:ascii="宋体" w:hAnsi="宋体" w:cs="楷体_GB2312"/>
                <w:b w:val="0"/>
                <w:bCs w:val="0"/>
                <w:sz w:val="21"/>
                <w:szCs w:val="21"/>
                <w:lang w:eastAsia="zh-CN"/>
              </w:rPr>
              <w:t>同时企业设置双电双泵系统，日常应加强日常设备维护，控制跑冒滴漏的发生，并建立定期检修维护设施的制度；定期对员工应急反应培训和演习，确保事故应急反应时间在30min以内。</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0" w:firstLineChars="0"/>
              <w:jc w:val="both"/>
              <w:textAlignment w:val="auto"/>
              <w:rPr>
                <w:rFonts w:hint="default" w:ascii="宋体" w:hAnsi="宋体" w:cs="楷体_GB2312"/>
                <w:b/>
                <w:bCs/>
                <w:sz w:val="21"/>
                <w:szCs w:val="21"/>
                <w:lang w:val="en-US" w:eastAsia="zh-CN"/>
              </w:rPr>
            </w:pPr>
            <w:r>
              <w:rPr>
                <w:rFonts w:hint="eastAsia" w:ascii="宋体" w:hAnsi="宋体" w:cs="楷体_GB2312"/>
                <w:b/>
                <w:bCs/>
                <w:sz w:val="21"/>
                <w:szCs w:val="21"/>
                <w:lang w:eastAsia="zh-CN"/>
              </w:rPr>
              <w:t>（</w:t>
            </w:r>
            <w:r>
              <w:rPr>
                <w:rFonts w:hint="eastAsia" w:ascii="宋体" w:hAnsi="宋体" w:cs="楷体_GB2312"/>
                <w:b/>
                <w:bCs/>
                <w:sz w:val="21"/>
                <w:szCs w:val="21"/>
                <w:lang w:val="en-US" w:eastAsia="zh-CN"/>
              </w:rPr>
              <w:t>十</w:t>
            </w:r>
            <w:r>
              <w:rPr>
                <w:rFonts w:hint="eastAsia" w:ascii="宋体" w:hAnsi="宋体" w:cs="楷体_GB2312"/>
                <w:b/>
                <w:bCs/>
                <w:sz w:val="21"/>
                <w:szCs w:val="21"/>
                <w:lang w:eastAsia="zh-CN"/>
              </w:rPr>
              <w:t>）</w:t>
            </w:r>
            <w:r>
              <w:rPr>
                <w:rFonts w:hint="eastAsia" w:ascii="宋体" w:hAnsi="宋体" w:cs="楷体_GB2312"/>
                <w:b/>
                <w:bCs/>
                <w:sz w:val="21"/>
                <w:szCs w:val="21"/>
                <w:lang w:val="en-US" w:eastAsia="zh-CN"/>
              </w:rPr>
              <w:t>应急预案</w:t>
            </w:r>
          </w:p>
          <w:p>
            <w:pPr>
              <w:pStyle w:val="5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rPr>
            </w:pPr>
            <w:r>
              <w:rPr>
                <w:rFonts w:hint="eastAsia"/>
              </w:rPr>
              <w:t>项目运行后，按要求编制环境应急预案，并加强突发水污染事件应急处置方案、应急监测、应急资源配备等相关内容。</w:t>
            </w:r>
          </w:p>
          <w:p>
            <w:pPr>
              <w:pStyle w:val="11"/>
              <w:keepNext w:val="0"/>
              <w:keepLines w:val="0"/>
              <w:pageBreakBefore w:val="0"/>
              <w:numPr>
                <w:ilvl w:val="0"/>
                <w:numId w:val="0"/>
              </w:numPr>
              <w:kinsoku/>
              <w:wordWrap/>
              <w:overflowPunct/>
              <w:topLinePunct w:val="0"/>
              <w:autoSpaceDE/>
              <w:autoSpaceDN/>
              <w:bidi w:val="0"/>
              <w:adjustRightInd/>
              <w:snapToGrid w:val="0"/>
              <w:spacing w:after="0" w:line="360" w:lineRule="auto"/>
              <w:ind w:left="0" w:leftChars="0" w:firstLine="0" w:firstLineChars="0"/>
              <w:jc w:val="center"/>
              <w:textAlignment w:val="auto"/>
              <w:rPr>
                <w:rFonts w:hint="eastAsia" w:ascii="宋体" w:hAnsi="宋体" w:cs="楷体_GB2312"/>
                <w:b/>
                <w:bCs/>
                <w:sz w:val="21"/>
                <w:szCs w:val="21"/>
              </w:rPr>
            </w:pPr>
            <w:r>
              <w:rPr>
                <w:rFonts w:hint="eastAsia" w:ascii="宋体" w:hAnsi="宋体" w:cs="楷体_GB2312"/>
                <w:b/>
                <w:bCs/>
                <w:sz w:val="21"/>
                <w:szCs w:val="21"/>
                <w:lang w:val="en-US" w:eastAsia="zh-CN"/>
              </w:rPr>
              <w:t>七、入河排污口设置合理性分析</w:t>
            </w:r>
          </w:p>
          <w:p>
            <w:pPr>
              <w:pStyle w:val="11"/>
              <w:keepNext w:val="0"/>
              <w:keepLines w:val="0"/>
              <w:pageBreakBefore w:val="0"/>
              <w:numPr>
                <w:ilvl w:val="0"/>
                <w:numId w:val="0"/>
              </w:numPr>
              <w:kinsoku/>
              <w:wordWrap/>
              <w:overflowPunct/>
              <w:topLinePunct w:val="0"/>
              <w:autoSpaceDE/>
              <w:autoSpaceDN/>
              <w:bidi w:val="0"/>
              <w:adjustRightInd/>
              <w:snapToGrid w:val="0"/>
              <w:spacing w:after="0" w:line="360" w:lineRule="auto"/>
              <w:ind w:left="0" w:leftChars="0" w:firstLine="0" w:firstLineChars="0"/>
              <w:jc w:val="both"/>
              <w:textAlignment w:val="auto"/>
              <w:rPr>
                <w:rFonts w:hint="eastAsia" w:ascii="宋体" w:hAnsi="宋体" w:cs="楷体_GB2312"/>
                <w:b/>
                <w:bCs/>
                <w:sz w:val="21"/>
                <w:szCs w:val="21"/>
                <w:lang w:val="en-US" w:eastAsia="zh-CN"/>
              </w:rPr>
            </w:pPr>
            <w:r>
              <w:rPr>
                <w:rFonts w:hint="eastAsia" w:ascii="宋体" w:hAnsi="宋体" w:eastAsia="宋体" w:cs="楷体_GB2312"/>
                <w:b/>
                <w:bCs/>
                <w:kern w:val="2"/>
                <w:sz w:val="21"/>
                <w:szCs w:val="21"/>
                <w:lang w:val="en-US" w:eastAsia="zh-CN" w:bidi="ar-SA"/>
                <w14:ligatures w14:val="none"/>
              </w:rPr>
              <w:t>（一）</w:t>
            </w:r>
            <w:r>
              <w:rPr>
                <w:rFonts w:hint="eastAsia" w:ascii="宋体" w:hAnsi="宋体" w:cs="楷体_GB2312"/>
                <w:b/>
                <w:bCs/>
                <w:sz w:val="21"/>
                <w:szCs w:val="21"/>
                <w:lang w:val="en-US" w:eastAsia="zh-CN"/>
              </w:rPr>
              <w:t>法律法规政策的合理性</w:t>
            </w:r>
          </w:p>
          <w:p>
            <w:pPr>
              <w:pStyle w:val="11"/>
              <w:keepNext w:val="0"/>
              <w:keepLines w:val="0"/>
              <w:pageBreakBefore w:val="0"/>
              <w:numPr>
                <w:ilvl w:val="0"/>
                <w:numId w:val="0"/>
              </w:numPr>
              <w:kinsoku/>
              <w:wordWrap/>
              <w:overflowPunct/>
              <w:topLinePunct w:val="0"/>
              <w:autoSpaceDE/>
              <w:autoSpaceDN/>
              <w:bidi w:val="0"/>
              <w:adjustRightInd/>
              <w:snapToGrid w:val="0"/>
              <w:spacing w:after="0" w:line="360" w:lineRule="auto"/>
              <w:ind w:left="0" w:leftChars="0" w:firstLine="0" w:firstLineChars="0"/>
              <w:jc w:val="center"/>
              <w:textAlignment w:val="auto"/>
              <w:rPr>
                <w:rFonts w:hint="default" w:ascii="宋体" w:hAnsi="宋体" w:cs="楷体_GB2312"/>
                <w:b w:val="0"/>
                <w:bCs w:val="0"/>
                <w:sz w:val="21"/>
                <w:szCs w:val="21"/>
                <w:lang w:val="en-US" w:eastAsia="zh-CN"/>
              </w:rPr>
            </w:pPr>
            <w:r>
              <w:rPr>
                <w:rFonts w:hint="default" w:ascii="宋体" w:hAnsi="宋体" w:cs="楷体_GB2312"/>
                <w:b w:val="0"/>
                <w:bCs w:val="0"/>
                <w:sz w:val="21"/>
                <w:szCs w:val="21"/>
                <w:lang w:val="en-US" w:eastAsia="zh-CN"/>
              </w:rPr>
              <w:t xml:space="preserve">表 </w:t>
            </w:r>
            <w:r>
              <w:rPr>
                <w:rFonts w:hint="eastAsia" w:ascii="宋体" w:hAnsi="宋体" w:cs="楷体_GB2312"/>
                <w:b w:val="0"/>
                <w:bCs w:val="0"/>
                <w:sz w:val="21"/>
                <w:szCs w:val="21"/>
                <w:lang w:val="en-US" w:eastAsia="zh-CN"/>
              </w:rPr>
              <w:t>7.</w:t>
            </w:r>
            <w:r>
              <w:rPr>
                <w:rFonts w:hint="default" w:ascii="宋体" w:hAnsi="宋体" w:cs="楷体_GB2312"/>
                <w:b w:val="0"/>
                <w:bCs w:val="0"/>
                <w:sz w:val="21"/>
                <w:szCs w:val="21"/>
                <w:lang w:val="en-US" w:eastAsia="zh-CN"/>
              </w:rPr>
              <w:t>1 入河排污口监督管理办法符合性分析</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968"/>
              <w:gridCol w:w="1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8" w:type="dxa"/>
                  <w:vAlign w:val="center"/>
                </w:tcPr>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名称</w:t>
                  </w:r>
                </w:p>
              </w:tc>
              <w:tc>
                <w:tcPr>
                  <w:tcW w:w="4968" w:type="dxa"/>
                  <w:vAlign w:val="center"/>
                </w:tcPr>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管理要求</w:t>
                  </w:r>
                </w:p>
              </w:tc>
              <w:tc>
                <w:tcPr>
                  <w:tcW w:w="1435" w:type="dxa"/>
                  <w:vAlign w:val="center"/>
                </w:tcPr>
                <w:p>
                  <w:pPr>
                    <w:pStyle w:val="52"/>
                    <w:rPr>
                      <w:rFonts w:hint="eastAsia" w:ascii="宋体" w:hAnsi="宋体" w:eastAsia="宋体" w:cs="宋体"/>
                      <w:b w:val="0"/>
                      <w:color w:val="auto"/>
                      <w:sz w:val="18"/>
                      <w:szCs w:val="18"/>
                    </w:rPr>
                  </w:pPr>
                  <w:r>
                    <w:rPr>
                      <w:rFonts w:hint="eastAsia" w:ascii="宋体" w:hAnsi="宋体" w:eastAsia="宋体" w:cs="宋体"/>
                      <w:b/>
                      <w:color w:val="auto"/>
                      <w:sz w:val="18"/>
                      <w:szCs w:val="18"/>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《入河排污口监督管理办法》（部令第35号）</w:t>
                  </w:r>
                </w:p>
              </w:tc>
              <w:tc>
                <w:tcPr>
                  <w:tcW w:w="4968" w:type="dxa"/>
                  <w:vAlign w:val="center"/>
                </w:tcPr>
                <w:p>
                  <w:pPr>
                    <w:pStyle w:val="52"/>
                    <w:jc w:val="left"/>
                    <w:rPr>
                      <w:rFonts w:hint="eastAsia" w:ascii="宋体" w:hAnsi="宋体" w:eastAsia="宋体" w:cs="宋体"/>
                      <w:color w:val="auto"/>
                      <w:sz w:val="18"/>
                      <w:szCs w:val="18"/>
                    </w:rPr>
                  </w:pPr>
                  <w:r>
                    <w:rPr>
                      <w:rFonts w:hint="eastAsia" w:ascii="宋体" w:hAnsi="宋体" w:eastAsia="宋体" w:cs="宋体"/>
                      <w:color w:val="auto"/>
                      <w:sz w:val="18"/>
                      <w:szCs w:val="18"/>
                    </w:rPr>
                    <w:t>第十八条有下列情形之一的，禁止设置入河排污口：</w:t>
                  </w:r>
                </w:p>
                <w:p>
                  <w:pPr>
                    <w:pStyle w:val="52"/>
                    <w:jc w:val="left"/>
                    <w:rPr>
                      <w:rFonts w:hint="eastAsia" w:ascii="宋体" w:hAnsi="宋体" w:eastAsia="宋体" w:cs="宋体"/>
                      <w:color w:val="auto"/>
                      <w:sz w:val="18"/>
                      <w:szCs w:val="18"/>
                    </w:rPr>
                  </w:pPr>
                  <w:r>
                    <w:rPr>
                      <w:rFonts w:hint="eastAsia" w:ascii="宋体" w:hAnsi="宋体" w:eastAsia="宋体" w:cs="宋体"/>
                      <w:color w:val="auto"/>
                      <w:sz w:val="18"/>
                      <w:szCs w:val="18"/>
                    </w:rPr>
                    <w:t>(一)在饮用水水源保护区内；</w:t>
                  </w:r>
                </w:p>
                <w:p>
                  <w:pPr>
                    <w:pStyle w:val="52"/>
                    <w:jc w:val="left"/>
                    <w:rPr>
                      <w:rFonts w:hint="eastAsia" w:ascii="宋体" w:hAnsi="宋体" w:eastAsia="宋体" w:cs="宋体"/>
                      <w:color w:val="auto"/>
                      <w:sz w:val="18"/>
                      <w:szCs w:val="18"/>
                    </w:rPr>
                  </w:pPr>
                  <w:r>
                    <w:rPr>
                      <w:rFonts w:hint="eastAsia" w:ascii="宋体" w:hAnsi="宋体" w:eastAsia="宋体" w:cs="宋体"/>
                      <w:color w:val="auto"/>
                      <w:sz w:val="18"/>
                      <w:szCs w:val="18"/>
                    </w:rPr>
                    <w:t>(二)在风景名胜区水体、重要渔业水体和其他具有特殊经济文化价值的水体的保护区内新建；</w:t>
                  </w:r>
                </w:p>
                <w:p>
                  <w:pPr>
                    <w:pStyle w:val="52"/>
                    <w:jc w:val="left"/>
                    <w:rPr>
                      <w:rFonts w:hint="eastAsia" w:ascii="宋体" w:hAnsi="宋体" w:eastAsia="宋体" w:cs="宋体"/>
                      <w:color w:val="auto"/>
                      <w:sz w:val="18"/>
                      <w:szCs w:val="18"/>
                    </w:rPr>
                  </w:pPr>
                  <w:r>
                    <w:rPr>
                      <w:rFonts w:hint="eastAsia" w:ascii="宋体" w:hAnsi="宋体" w:eastAsia="宋体" w:cs="宋体"/>
                      <w:color w:val="auto"/>
                      <w:sz w:val="18"/>
                      <w:szCs w:val="18"/>
                    </w:rPr>
                    <w:t>(三)不符合法对流域水生态环境质量不达标的水功能区，除城镇污水处理厂等重要民生工程的入河排污口外，严格控制入河排污口设置律、行政法规规定的其他情形。</w:t>
                  </w:r>
                </w:p>
              </w:tc>
              <w:tc>
                <w:tcPr>
                  <w:tcW w:w="1435" w:type="dxa"/>
                  <w:vMerge w:val="restart"/>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项目入河排污口不涉及饮用水水源一级、二级保护区、自然保护区等以上所述生态环境敏感区；项目位于农村地区，无城市污水管网，项目入河排污口设置后，废水外排可使水域水质达到水功能区要求。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pStyle w:val="52"/>
                    <w:rPr>
                      <w:rFonts w:hint="eastAsia" w:ascii="宋体" w:hAnsi="宋体" w:eastAsia="宋体" w:cs="宋体"/>
                      <w:color w:val="auto"/>
                      <w:sz w:val="18"/>
                      <w:szCs w:val="18"/>
                    </w:rPr>
                  </w:pPr>
                  <w:r>
                    <w:rPr>
                      <w:rFonts w:hint="eastAsia" w:ascii="宋体" w:hAnsi="宋体" w:eastAsia="宋体" w:cs="宋体"/>
                      <w:color w:val="auto"/>
                      <w:sz w:val="18"/>
                      <w:szCs w:val="18"/>
                    </w:rPr>
                    <w:t>《湖南省入河排污口监督管理办法》（湘政办发〔2018〕44号</w:t>
                  </w:r>
                </w:p>
              </w:tc>
              <w:tc>
                <w:tcPr>
                  <w:tcW w:w="4968" w:type="dxa"/>
                  <w:vAlign w:val="center"/>
                </w:tcPr>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第十五条 有下列情形之一的，不予同意设置入河排污口：</w:t>
                  </w:r>
                </w:p>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(一)饮用水水源一级、二级保护区内。</w:t>
                  </w:r>
                </w:p>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(二)自然保护区核心区、缓冲区内。</w:t>
                  </w:r>
                </w:p>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(三)水产种质资源保护区内。</w:t>
                  </w:r>
                </w:p>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(四)省级以上湿地公园保育区、恢复重建区内。</w:t>
                  </w:r>
                </w:p>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(五)能够由污水系统接纳但拒不接入的。</w:t>
                  </w:r>
                </w:p>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(六)经论证不符合设置要求的。</w:t>
                  </w:r>
                </w:p>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(七)设置可能使水域水质达不到水功能区要求的。</w:t>
                  </w:r>
                </w:p>
                <w:p>
                  <w:pPr>
                    <w:pStyle w:val="52"/>
                    <w:jc w:val="both"/>
                    <w:rPr>
                      <w:rFonts w:hint="eastAsia" w:ascii="宋体" w:hAnsi="宋体" w:eastAsia="宋体" w:cs="宋体"/>
                      <w:color w:val="auto"/>
                      <w:sz w:val="18"/>
                      <w:szCs w:val="18"/>
                    </w:rPr>
                  </w:pPr>
                  <w:r>
                    <w:rPr>
                      <w:rFonts w:hint="eastAsia" w:ascii="宋体" w:hAnsi="宋体" w:eastAsia="宋体" w:cs="宋体"/>
                      <w:color w:val="auto"/>
                      <w:sz w:val="18"/>
                      <w:szCs w:val="18"/>
                    </w:rPr>
                    <w:t>(八)其他不符合法律、法规以及国家和地方有关规定的。</w:t>
                  </w:r>
                </w:p>
              </w:tc>
              <w:tc>
                <w:tcPr>
                  <w:tcW w:w="1435" w:type="dxa"/>
                  <w:vMerge w:val="continue"/>
                  <w:vAlign w:val="center"/>
                </w:tcPr>
                <w:p>
                  <w:pPr>
                    <w:pStyle w:val="52"/>
                    <w:rPr>
                      <w:rFonts w:hint="eastAsia" w:ascii="宋体" w:hAnsi="宋体" w:eastAsia="宋体" w:cs="宋体"/>
                      <w:color w:val="auto"/>
                      <w:sz w:val="18"/>
                      <w:szCs w:val="18"/>
                    </w:rPr>
                  </w:pPr>
                </w:p>
              </w:tc>
            </w:tr>
          </w:tbl>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default" w:ascii="宋体" w:hAnsi="宋体" w:cs="楷体_GB2312"/>
                <w:b w:val="0"/>
                <w:bCs w:val="0"/>
                <w:sz w:val="21"/>
                <w:szCs w:val="21"/>
                <w:lang w:val="en-US" w:eastAsia="zh-CN"/>
              </w:rPr>
            </w:pPr>
            <w:r>
              <w:rPr>
                <w:rFonts w:hint="default" w:ascii="宋体" w:hAnsi="宋体" w:cs="楷体_GB2312"/>
                <w:b w:val="0"/>
                <w:bCs w:val="0"/>
                <w:sz w:val="21"/>
                <w:szCs w:val="21"/>
                <w:lang w:val="en-US" w:eastAsia="zh-CN"/>
              </w:rPr>
              <w:t>综上，项目入河排污口设置符合《湖南省入河排污口监督管理办法》（湘政办发〔2018〕44号）、《入河排污口监督管理办法》（部令第35号，2025年1月1日）要求。</w:t>
            </w:r>
          </w:p>
          <w:p>
            <w:pPr>
              <w:pStyle w:val="11"/>
              <w:keepNext w:val="0"/>
              <w:keepLines w:val="0"/>
              <w:pageBreakBefore w:val="0"/>
              <w:numPr>
                <w:ilvl w:val="0"/>
                <w:numId w:val="0"/>
              </w:numPr>
              <w:kinsoku/>
              <w:wordWrap/>
              <w:overflowPunct/>
              <w:topLinePunct w:val="0"/>
              <w:autoSpaceDE/>
              <w:autoSpaceDN/>
              <w:bidi w:val="0"/>
              <w:adjustRightInd/>
              <w:snapToGrid w:val="0"/>
              <w:spacing w:after="0" w:line="360" w:lineRule="auto"/>
              <w:ind w:left="0" w:leftChars="0" w:firstLine="0" w:firstLineChars="0"/>
              <w:jc w:val="both"/>
              <w:textAlignment w:val="auto"/>
              <w:rPr>
                <w:rFonts w:hint="eastAsia" w:ascii="宋体" w:hAnsi="宋体" w:cs="楷体_GB2312"/>
                <w:b/>
                <w:bCs/>
                <w:sz w:val="21"/>
                <w:szCs w:val="21"/>
                <w:lang w:val="en-US" w:eastAsia="zh-CN"/>
              </w:rPr>
            </w:pPr>
            <w:r>
              <w:rPr>
                <w:rFonts w:hint="eastAsia" w:ascii="宋体" w:hAnsi="宋体" w:eastAsia="宋体" w:cs="楷体_GB2312"/>
                <w:b/>
                <w:bCs/>
                <w:kern w:val="2"/>
                <w:sz w:val="21"/>
                <w:szCs w:val="21"/>
                <w:lang w:val="en-US" w:eastAsia="zh-CN" w:bidi="ar-SA"/>
                <w14:ligatures w14:val="none"/>
              </w:rPr>
              <w:t>（</w:t>
            </w:r>
            <w:r>
              <w:rPr>
                <w:rFonts w:hint="eastAsia" w:ascii="宋体" w:hAnsi="宋体" w:cs="楷体_GB2312"/>
                <w:b/>
                <w:bCs/>
                <w:kern w:val="2"/>
                <w:sz w:val="21"/>
                <w:szCs w:val="21"/>
                <w:lang w:val="en-US" w:eastAsia="zh-CN" w:bidi="ar-SA"/>
                <w14:ligatures w14:val="none"/>
              </w:rPr>
              <w:t>二</w:t>
            </w:r>
            <w:r>
              <w:rPr>
                <w:rFonts w:hint="eastAsia" w:ascii="宋体" w:hAnsi="宋体" w:eastAsia="宋体" w:cs="楷体_GB2312"/>
                <w:b/>
                <w:bCs/>
                <w:kern w:val="2"/>
                <w:sz w:val="21"/>
                <w:szCs w:val="21"/>
                <w:lang w:val="en-US" w:eastAsia="zh-CN" w:bidi="ar-SA"/>
                <w14:ligatures w14:val="none"/>
              </w:rPr>
              <w:t>）</w:t>
            </w:r>
            <w:r>
              <w:rPr>
                <w:rFonts w:hint="eastAsia" w:ascii="宋体" w:hAnsi="宋体" w:cs="楷体_GB2312"/>
                <w:b/>
                <w:bCs/>
                <w:sz w:val="21"/>
                <w:szCs w:val="21"/>
                <w:lang w:val="en-US" w:eastAsia="zh-CN"/>
              </w:rPr>
              <w:t>水生生态环境保护目标的符合性</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1" w:firstLineChars="200"/>
              <w:jc w:val="both"/>
              <w:textAlignment w:val="auto"/>
              <w:rPr>
                <w:rFonts w:hint="default" w:ascii="宋体" w:hAnsi="宋体" w:cs="楷体_GB2312"/>
                <w:b/>
                <w:bCs/>
                <w:sz w:val="21"/>
                <w:szCs w:val="21"/>
                <w:lang w:val="en-US" w:eastAsia="zh-CN"/>
              </w:rPr>
            </w:pPr>
            <w:r>
              <w:rPr>
                <w:rFonts w:hint="eastAsia" w:ascii="宋体" w:hAnsi="宋体" w:cs="楷体_GB2312"/>
                <w:b/>
                <w:bCs/>
                <w:sz w:val="21"/>
                <w:szCs w:val="21"/>
                <w:lang w:val="en-US" w:eastAsia="zh-CN"/>
              </w:rPr>
              <w:t>1.</w:t>
            </w:r>
            <w:r>
              <w:rPr>
                <w:rFonts w:hint="default" w:ascii="宋体" w:hAnsi="宋体" w:cs="楷体_GB2312"/>
                <w:b/>
                <w:bCs/>
                <w:sz w:val="21"/>
                <w:szCs w:val="21"/>
                <w:lang w:val="en-US" w:eastAsia="zh-CN"/>
              </w:rPr>
              <w:t>布设规划要求符合性</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default" w:ascii="宋体" w:hAnsi="宋体" w:cs="楷体_GB2312"/>
                <w:b w:val="0"/>
                <w:bCs w:val="0"/>
                <w:sz w:val="21"/>
                <w:szCs w:val="21"/>
                <w:lang w:val="en-US" w:eastAsia="zh-CN"/>
              </w:rPr>
            </w:pPr>
            <w:r>
              <w:rPr>
                <w:rFonts w:hint="default" w:ascii="宋体" w:hAnsi="宋体" w:cs="楷体_GB2312"/>
                <w:b w:val="0"/>
                <w:bCs w:val="0"/>
                <w:sz w:val="21"/>
                <w:szCs w:val="21"/>
                <w:lang w:val="en-US" w:eastAsia="zh-CN"/>
              </w:rPr>
              <w:t>根据入河排污口布局规划要求，项目排污口布设位置不涉及饮用水水源地保护区；不在自然保护区的核心区与缓冲区；不在省级以上人民政府要求削减排污总量的水域；跨流域调水水源地及其输水通道；区域供水水源地及其输水通道；具有重要生态功能的水域等其它禁止设置入河排污口的水域。本排污口流域未涉及鱼类产卵场等生态敏感点的，不会对周边水生态造成明显影响，且本项目排污与第三方无纠纷，因此，入河排污口设置位置符合入河排污口布设规划。</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1" w:firstLineChars="200"/>
              <w:jc w:val="both"/>
              <w:textAlignment w:val="auto"/>
              <w:rPr>
                <w:rFonts w:hint="default" w:ascii="宋体" w:hAnsi="宋体" w:cs="楷体_GB2312"/>
                <w:b/>
                <w:bCs/>
                <w:sz w:val="21"/>
                <w:szCs w:val="21"/>
                <w:lang w:val="en-US" w:eastAsia="zh-CN"/>
              </w:rPr>
            </w:pPr>
            <w:r>
              <w:rPr>
                <w:rFonts w:hint="eastAsia" w:ascii="宋体" w:hAnsi="宋体" w:cs="楷体_GB2312"/>
                <w:b/>
                <w:bCs/>
                <w:sz w:val="21"/>
                <w:szCs w:val="21"/>
                <w:lang w:val="en-US" w:eastAsia="zh-CN"/>
              </w:rPr>
              <w:t>2.</w:t>
            </w:r>
            <w:r>
              <w:rPr>
                <w:rFonts w:hint="default" w:ascii="宋体" w:hAnsi="宋体" w:cs="楷体_GB2312"/>
                <w:b/>
                <w:bCs/>
                <w:sz w:val="21"/>
                <w:szCs w:val="21"/>
                <w:lang w:val="en-US" w:eastAsia="zh-CN"/>
              </w:rPr>
              <w:t>水功能管理要求符合性</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default" w:ascii="宋体" w:hAnsi="宋体" w:cs="楷体_GB2312"/>
                <w:b w:val="0"/>
                <w:bCs w:val="0"/>
                <w:sz w:val="21"/>
                <w:szCs w:val="21"/>
                <w:lang w:val="en-US" w:eastAsia="zh-CN"/>
              </w:rPr>
            </w:pPr>
            <w:r>
              <w:rPr>
                <w:rFonts w:hint="default" w:ascii="宋体" w:hAnsi="宋体" w:cs="楷体_GB2312"/>
                <w:b w:val="0"/>
                <w:bCs w:val="0"/>
                <w:sz w:val="21"/>
                <w:szCs w:val="21"/>
                <w:lang w:val="en-US" w:eastAsia="zh-CN"/>
              </w:rPr>
              <w:t>项目设置入河排污口设置在延寿河清江段，纳污水体水质管理目标为III类。项目尾水排放口正常排放情况下，根据</w:t>
            </w:r>
            <w:r>
              <w:rPr>
                <w:rFonts w:hint="eastAsia" w:ascii="宋体" w:hAnsi="宋体" w:cs="楷体_GB2312"/>
                <w:b w:val="0"/>
                <w:bCs w:val="0"/>
                <w:sz w:val="21"/>
                <w:szCs w:val="21"/>
                <w:lang w:val="en-US" w:eastAsia="zh-CN"/>
              </w:rPr>
              <w:t>论证报告</w:t>
            </w:r>
            <w:r>
              <w:rPr>
                <w:rFonts w:hint="default" w:ascii="宋体" w:hAnsi="宋体" w:cs="楷体_GB2312"/>
                <w:b w:val="0"/>
                <w:bCs w:val="0"/>
                <w:sz w:val="21"/>
                <w:szCs w:val="21"/>
                <w:lang w:val="en-US" w:eastAsia="zh-CN"/>
              </w:rPr>
              <w:t>预测结果可知，废水与延寿河水体完全混合后，枯水期、丰水期各污染物预测浓度均可达到《地表水环境质量标准》（GB3838-2002）中的III类标准。同时，根据纳污能力计算分析，项目排放的污染物的量在受纳水体纳污能力的范围内，论证范围内河段水质不会发生明显变化。</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因此，项目废水排放符合水功能区水质目标要求。</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（三）</w:t>
            </w:r>
            <w:r>
              <w:rPr>
                <w:rFonts w:hint="eastAsia" w:ascii="宋体" w:hAnsi="宋体" w:eastAsia="宋体" w:cs="宋体"/>
                <w:b/>
                <w:bCs/>
                <w:sz w:val="21"/>
                <w:szCs w:val="21"/>
                <w:lang w:val="en-US" w:eastAsia="zh-CN"/>
              </w:rPr>
              <w:t>应采取的水生态环境保护措施及实施效果分析</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1" w:firstLineChars="20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水生态保护措施</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项目污水处理站采取四级反应池+絮凝沉淀+精密过滤工艺，设计处理规模为20000m3/d。项目废水经污水处理站处理后，部分回用于生产，其余达标外排至延寿河清江段，其中重金属铅、汞、镉、铬（六价）、砷可达到《农田灌溉水质标准》（GB 5084-2021）、锑达到《工业废水中锑污染物排放标准》（DB43/350-2007）、铊达到《工业废水铊污染物排放标准》（DB43/968-2021），其余污染因子可达到《铜、镍、钴工业污染物排放标准》（GB 25467-2010）表2直接排放限值要求。具体详见本</w:t>
            </w:r>
            <w:r>
              <w:rPr>
                <w:rFonts w:hint="eastAsia" w:ascii="宋体" w:hAnsi="宋体" w:cs="宋体"/>
                <w:b w:val="0"/>
                <w:bCs w:val="0"/>
                <w:sz w:val="21"/>
                <w:szCs w:val="21"/>
                <w:lang w:val="en-US" w:eastAsia="zh-CN"/>
              </w:rPr>
              <w:t>项目环评报告</w:t>
            </w:r>
            <w:r>
              <w:rPr>
                <w:rFonts w:hint="eastAsia" w:ascii="宋体" w:hAnsi="宋体" w:eastAsia="宋体" w:cs="宋体"/>
                <w:b w:val="0"/>
                <w:bCs w:val="0"/>
                <w:sz w:val="21"/>
                <w:szCs w:val="21"/>
                <w:lang w:val="en-US" w:eastAsia="zh-CN"/>
              </w:rPr>
              <w:t>“7.2.2废水污染防治措施及其可行性分析”。</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1" w:firstLineChars="20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事故排污时应急处理措施</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项目对废水处理设施的运转情况要及时监测，确保处理装置正常高效运转，对进水和出水水质要定期监测，根据不同的水质水量及时调整处理单元的运转参数，保障设施的正常和高效运行，以保证最佳的处理效率。加强对各类机械设备及排水设备的定期检查、维护和管理，同时配备必要的备用设备，当设备出现运转故障时及时更换，以减少事故的隐患，并制定非正常排放的预防和应急措施，杜绝和预防污水非正常排放的发生。事故排污时具体应急措施详见本</w:t>
            </w:r>
            <w:r>
              <w:rPr>
                <w:rFonts w:hint="eastAsia" w:ascii="宋体" w:hAnsi="宋体" w:cs="宋体"/>
                <w:b w:val="0"/>
                <w:bCs w:val="0"/>
                <w:sz w:val="21"/>
                <w:szCs w:val="21"/>
                <w:lang w:val="en-US" w:eastAsia="zh-CN"/>
              </w:rPr>
              <w:t>项目环评报告</w:t>
            </w:r>
            <w:r>
              <w:rPr>
                <w:rFonts w:hint="eastAsia" w:ascii="宋体" w:hAnsi="宋体" w:eastAsia="宋体" w:cs="宋体"/>
                <w:b w:val="0"/>
                <w:bCs w:val="0"/>
                <w:sz w:val="21"/>
                <w:szCs w:val="21"/>
                <w:lang w:val="en-US" w:eastAsia="zh-CN"/>
              </w:rPr>
              <w:t>第6.3环境风险章节。</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1" w:firstLineChars="20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入河排污口规范化建设及管理要求</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入河排污口规范化建设是一项基础性工作，做好入河排污口规范化建设和管理，可以科学的掌握各类污染源实际排放情况。其中规范化文件主要有《入河（海）排污口三级排查技术指南》（HJ 1232-2021）、《入河（海）排污口命名与编码规则》（HJ1235-2021）等。本工程建设单位应严格按照国家、省、市生态环境部门的规定和要求，切实满足监测和监管的需求，排污单位必须按照相关要求设置和制作入河排污口标志牌。未经管理部门允许，任何单位和个人不得擅自设置、移动、扩大入河排污口。排污单位要根据省市相关要求，建立入河排污口基础资料档案和监督检查档案。</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1" w:firstLineChars="20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4.</w:t>
            </w:r>
            <w:r>
              <w:rPr>
                <w:rFonts w:hint="eastAsia" w:ascii="宋体" w:hAnsi="宋体" w:eastAsia="宋体" w:cs="宋体"/>
                <w:b/>
                <w:bCs/>
                <w:sz w:val="21"/>
                <w:szCs w:val="21"/>
                <w:lang w:val="en-US" w:eastAsia="zh-CN"/>
              </w:rPr>
              <w:t>入河排污口标识牌设置</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根据《入河入海排污口监督管理技术指南 入河排污口设置》（HJ1386-2024），入河排污口标识牌设置要求如下：</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（1）一般要求</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①入河排污口责任主体应当按照HJ1309要求设置入河排污口标识牌。</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②标识牌应当设置在污水入河处或监测采样点等位置，醒目便利，并做到安全牢固。标识牌信息应真实准确、简单易懂、便于日常监管和公众监督。</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③标识牌存在污渍、划痕、掉漆等损伤，或松动、脱落等情况的，入河排污口责任主体应及时维修维护；标识牌失盗、损毁或公示信息发生变化的，应及时更新更换。</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（2）样式</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标识牌分为立柱式、平面固定式和墩式，可根据地形、气候、水文等实际情况选择确定。优先采用立柱式。</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（3）材料</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标识牌应选用耐久性材料制作，具有耐候、耐腐蚀等化学性能，保证一定的使用寿命。立柱式和平面固定式标识牌面优先选用不锈钢板，也可采用铝塑板等，表面选用反光贴膜、搪瓷等，并做到清晰、整齐、平滑、光洁、着色均匀，不应有明显皱纹、气泡和颗粒杂质等缺陷，不同反光区域的反光效果应均匀，不应有明显差异；立柱可选用镀锌管；墩式可选用水泥、石材等。</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（4）颜色</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标识牌牌面颜色统一采用绿色（RGB值为“0，176，80”），图形标志和文字为白色。</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（5）尺寸</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标识牌牌面为横纵比大于1的矩形，原则上，立柱式和平面固定式标识牌牌面尺寸不小于640mm×400mm，墩式不小于480mm×300mm。</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（6）牌面信息</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①牌面信息包括图形标志、文字信息和二维码，按照“左图右文”的方式排列。</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②图形标志。图形标志由三部分组成：顶部为入河排污口门标志，中间为污水标志，底部为受纳水体及鱼形标志。入河排污口图形标志样式按照GB15562.1规定执行。</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③文字信息。包括名称、编码、类型、责任主体、管理单位和监督电话，可视情增加其他信息。名称、编码按照HJ1235执行；类型按照HJ1312中的二级分类填写；责任主体按照HJ1313确定；管理单位依次按照以下顺序确定一个单位：责任主体的主管单位、行业监督管理部门、生态环境统一监管部门。</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④二维码。应关联入河排污口相关信息。</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应包括牌面上所有信息，以及经纬度、责任主体详细地址、受纳水体名称和排放要求。其中，受纳水体名称指直接排入的水体名称；排放要求指同意设置入河排污口的决定书登载的入河污水排放量、重点污染物种类及排放浓度等信息，实行登记管理的，按照HJ1308明确的完成整治判定条件确定。可增加入河排污口污水监测数据、受纳水体的水质目标及水质现状、所在水系示意图等信息。</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鼓励二维码开通举报投诉功能，具备上传文字材料、图片视频等功能，并与地方生态环境问题群众投诉渠道关联，便于公众在发现入河排污口排水水色异常、气味异常或排入水体附近出现死鱼等情况时，及时通过二维码反映情况。</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5.</w:t>
            </w:r>
            <w:r>
              <w:rPr>
                <w:rFonts w:hint="eastAsia" w:ascii="宋体" w:hAnsi="宋体" w:eastAsia="宋体" w:cs="宋体"/>
                <w:b w:val="0"/>
                <w:bCs w:val="0"/>
                <w:sz w:val="21"/>
                <w:szCs w:val="21"/>
                <w:lang w:val="en-US" w:eastAsia="zh-CN"/>
              </w:rPr>
              <w:t>监测采样点、检查井、水质流量在线监测系统设置、档案建设</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根据《入河入海排污口监督管理技术指南入河排污口规范化建设》（HJ1309-2023），入河排污口规范化建设要求如下：</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（1）监测采样点设置</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①监测采样点设置在厂区外、污水入河前。</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根据排污口入河方式和污水量大小，选择适宜的监测采样点设置形式。监测采样点设置应考虑实际采样的可行性和便利性。污水排放管道或渠道监测断面应为矩形、圆形、梯形等规则形状。测流段水流应平直、稳定、有一定水位高度。</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（2）检查井设置</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①检查井设置位置与污水入河处的最大间距根据疏通方法等情况确定，具体要求参照GB50014规定。</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②检查井满足排污口检修维护工作需求，各部分尺寸要求参照GB50014规定。</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③检查井设置的安全防护要求参照GB50014规定。</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（3）水质流量在线监测系统设置</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水质和流量在线监测系统安装在监测采样点处，安装、验收、运行、数据有效性判别等要求参照HJ353、HJ354、HJ355、HJ356规定。</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（4）档案建设</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①排污口档案应当真实、完整和规范。</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②排污口文件材料、影像资料等的形成与积累、整理、归档及档案的管理与利用等其他要求参照HJ/T8.4规定。</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③下列文件、记录和数据属于归档范围：</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a）排污口基本信息资料；</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b）排污口设置审批相关文件（包括申请文件或登记表、同意或不予同意设置决定书、管理部门盖章的证明文件、排污口设置论证报告等）；</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c）排污口监督检查资料；</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d）排污口监测资料；</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e）其他有关文件和资料。</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6.</w:t>
            </w:r>
            <w:r>
              <w:rPr>
                <w:rFonts w:hint="eastAsia" w:ascii="宋体" w:hAnsi="宋体" w:eastAsia="宋体" w:cs="宋体"/>
                <w:b w:val="0"/>
                <w:bCs w:val="0"/>
                <w:sz w:val="21"/>
                <w:szCs w:val="21"/>
                <w:lang w:val="en-US" w:eastAsia="zh-CN"/>
              </w:rPr>
              <w:t>监测要求</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根据《入河入海排污口监督管理技术指南监测》（HJ 1387-2024）、《排污许可证申请与核发技术规范 水处理通用工序》（HJ1120-2020）、《排污单位自行监测技术指南 总则》（HJ819-2017），企业运营期入河排污口及地表水环境监测方案计划如下。</w:t>
            </w:r>
          </w:p>
          <w:p>
            <w:pPr>
              <w:pStyle w:val="53"/>
              <w:numPr>
                <w:ilvl w:val="4"/>
                <w:numId w:val="0"/>
              </w:numPr>
              <w:spacing w:before="163" w:after="163"/>
              <w:ind w:leftChars="0"/>
              <w:jc w:val="center"/>
              <w:rPr>
                <w:u w:val="none"/>
              </w:rPr>
            </w:pPr>
            <w:r>
              <w:rPr>
                <w:rFonts w:hint="eastAsia"/>
                <w:u w:val="none"/>
                <w:lang w:val="en-US" w:eastAsia="zh-CN"/>
              </w:rPr>
              <w:t xml:space="preserve">表7.1 </w:t>
            </w:r>
            <w:r>
              <w:rPr>
                <w:rFonts w:hint="eastAsia"/>
                <w:u w:val="none"/>
              </w:rPr>
              <w:t>入河排污口及地表水环境自行监测计划</w:t>
            </w:r>
          </w:p>
          <w:tbl>
            <w:tblPr>
              <w:tblStyle w:val="20"/>
              <w:tblW w:w="702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44"/>
              <w:gridCol w:w="1970"/>
              <w:gridCol w:w="1757"/>
              <w:gridCol w:w="175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 w:hRule="atLeast"/>
                <w:tblHeader/>
                <w:jc w:val="center"/>
              </w:trPr>
              <w:tc>
                <w:tcPr>
                  <w:tcW w:w="1544" w:type="dxa"/>
                  <w:vAlign w:val="center"/>
                </w:tcPr>
                <w:p>
                  <w:pPr>
                    <w:pStyle w:val="52"/>
                    <w:rPr>
                      <w:rFonts w:hint="eastAsia" w:ascii="宋体" w:hAnsi="宋体" w:eastAsia="宋体" w:cs="宋体"/>
                      <w:b w:val="0"/>
                      <w:color w:val="auto"/>
                      <w:sz w:val="18"/>
                      <w:szCs w:val="18"/>
                      <w:u w:val="none"/>
                    </w:rPr>
                  </w:pPr>
                  <w:r>
                    <w:rPr>
                      <w:rFonts w:hint="eastAsia" w:ascii="宋体" w:hAnsi="宋体" w:eastAsia="宋体" w:cs="宋体"/>
                      <w:b/>
                      <w:color w:val="auto"/>
                      <w:sz w:val="18"/>
                      <w:szCs w:val="18"/>
                      <w:u w:val="none"/>
                    </w:rPr>
                    <w:t>类别</w:t>
                  </w:r>
                </w:p>
              </w:tc>
              <w:tc>
                <w:tcPr>
                  <w:tcW w:w="1970" w:type="dxa"/>
                  <w:vAlign w:val="center"/>
                </w:tcPr>
                <w:p>
                  <w:pPr>
                    <w:pStyle w:val="52"/>
                    <w:rPr>
                      <w:rFonts w:hint="eastAsia" w:ascii="宋体" w:hAnsi="宋体" w:eastAsia="宋体" w:cs="宋体"/>
                      <w:b w:val="0"/>
                      <w:color w:val="auto"/>
                      <w:sz w:val="18"/>
                      <w:szCs w:val="18"/>
                      <w:u w:val="none"/>
                    </w:rPr>
                  </w:pPr>
                  <w:r>
                    <w:rPr>
                      <w:rFonts w:hint="eastAsia" w:ascii="宋体" w:hAnsi="宋体" w:eastAsia="宋体" w:cs="宋体"/>
                      <w:b/>
                      <w:color w:val="auto"/>
                      <w:sz w:val="18"/>
                      <w:szCs w:val="18"/>
                      <w:u w:val="none"/>
                    </w:rPr>
                    <w:t>监测点位</w:t>
                  </w:r>
                </w:p>
              </w:tc>
              <w:tc>
                <w:tcPr>
                  <w:tcW w:w="1757" w:type="dxa"/>
                  <w:vAlign w:val="center"/>
                </w:tcPr>
                <w:p>
                  <w:pPr>
                    <w:pStyle w:val="52"/>
                    <w:rPr>
                      <w:rFonts w:hint="eastAsia" w:ascii="宋体" w:hAnsi="宋体" w:eastAsia="宋体" w:cs="宋体"/>
                      <w:b/>
                      <w:color w:val="auto"/>
                      <w:sz w:val="18"/>
                      <w:szCs w:val="18"/>
                      <w:u w:val="none"/>
                    </w:rPr>
                  </w:pPr>
                  <w:r>
                    <w:rPr>
                      <w:rFonts w:hint="eastAsia" w:ascii="宋体" w:hAnsi="宋体" w:eastAsia="宋体" w:cs="宋体"/>
                      <w:b/>
                      <w:color w:val="auto"/>
                      <w:sz w:val="18"/>
                      <w:szCs w:val="18"/>
                      <w:u w:val="none"/>
                    </w:rPr>
                    <w:t>监测频次</w:t>
                  </w:r>
                </w:p>
              </w:tc>
              <w:tc>
                <w:tcPr>
                  <w:tcW w:w="1757" w:type="dxa"/>
                  <w:vAlign w:val="center"/>
                </w:tcPr>
                <w:p>
                  <w:pPr>
                    <w:pStyle w:val="52"/>
                    <w:rPr>
                      <w:rFonts w:hint="eastAsia" w:ascii="宋体" w:hAnsi="宋体" w:eastAsia="宋体" w:cs="宋体"/>
                      <w:b/>
                      <w:color w:val="auto"/>
                      <w:sz w:val="18"/>
                      <w:szCs w:val="18"/>
                      <w:u w:val="none"/>
                    </w:rPr>
                  </w:pPr>
                  <w:r>
                    <w:rPr>
                      <w:rFonts w:hint="eastAsia" w:ascii="宋体" w:hAnsi="宋体" w:eastAsia="宋体" w:cs="宋体"/>
                      <w:b/>
                      <w:color w:val="auto"/>
                      <w:sz w:val="18"/>
                      <w:szCs w:val="18"/>
                      <w:u w:val="none"/>
                    </w:rPr>
                    <w:t>监测指标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544" w:type="dxa"/>
                  <w:vMerge w:val="restart"/>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废水</w:t>
                  </w:r>
                </w:p>
              </w:tc>
              <w:tc>
                <w:tcPr>
                  <w:tcW w:w="1970" w:type="dxa"/>
                  <w:vMerge w:val="restart"/>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项目污水处理站排放口</w:t>
                  </w:r>
                </w:p>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（DW001）</w:t>
                  </w:r>
                </w:p>
              </w:tc>
              <w:tc>
                <w:tcPr>
                  <w:tcW w:w="1757"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自动监测</w:t>
                  </w:r>
                </w:p>
              </w:tc>
              <w:tc>
                <w:tcPr>
                  <w:tcW w:w="1757"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流量、COD、NH</w:t>
                  </w:r>
                  <w:r>
                    <w:rPr>
                      <w:rFonts w:hint="eastAsia" w:ascii="宋体" w:hAnsi="宋体" w:eastAsia="宋体" w:cs="宋体"/>
                      <w:color w:val="auto"/>
                      <w:sz w:val="18"/>
                      <w:szCs w:val="18"/>
                      <w:u w:val="none"/>
                      <w:vertAlign w:val="subscript"/>
                    </w:rPr>
                    <w:t>3</w:t>
                  </w:r>
                  <w:r>
                    <w:rPr>
                      <w:rFonts w:hint="eastAsia" w:ascii="宋体" w:hAnsi="宋体" w:eastAsia="宋体" w:cs="宋体"/>
                      <w:color w:val="auto"/>
                      <w:sz w:val="18"/>
                      <w:szCs w:val="18"/>
                      <w:u w:val="none"/>
                    </w:rPr>
                    <w:t>-N</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544" w:type="dxa"/>
                  <w:vMerge w:val="continue"/>
                  <w:vAlign w:val="center"/>
                </w:tcPr>
                <w:p>
                  <w:pPr>
                    <w:pStyle w:val="52"/>
                    <w:rPr>
                      <w:rFonts w:hint="eastAsia" w:ascii="宋体" w:hAnsi="宋体" w:eastAsia="宋体" w:cs="宋体"/>
                      <w:color w:val="auto"/>
                      <w:sz w:val="18"/>
                      <w:szCs w:val="18"/>
                      <w:u w:val="none"/>
                    </w:rPr>
                  </w:pPr>
                </w:p>
              </w:tc>
              <w:tc>
                <w:tcPr>
                  <w:tcW w:w="1970" w:type="dxa"/>
                  <w:vMerge w:val="continue"/>
                  <w:vAlign w:val="center"/>
                </w:tcPr>
                <w:p>
                  <w:pPr>
                    <w:pStyle w:val="52"/>
                    <w:rPr>
                      <w:rFonts w:hint="eastAsia" w:ascii="宋体" w:hAnsi="宋体" w:eastAsia="宋体" w:cs="宋体"/>
                      <w:color w:val="auto"/>
                      <w:sz w:val="18"/>
                      <w:szCs w:val="18"/>
                      <w:u w:val="none"/>
                    </w:rPr>
                  </w:pPr>
                </w:p>
              </w:tc>
              <w:tc>
                <w:tcPr>
                  <w:tcW w:w="1757"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1次/月</w:t>
                  </w:r>
                </w:p>
              </w:tc>
              <w:tc>
                <w:tcPr>
                  <w:tcW w:w="1757"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pH、SS、总磷、总氮、总汞、总铬、总铅、总砷、总镉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544" w:type="dxa"/>
                  <w:vMerge w:val="continue"/>
                  <w:vAlign w:val="center"/>
                </w:tcPr>
                <w:p>
                  <w:pPr>
                    <w:pStyle w:val="52"/>
                    <w:rPr>
                      <w:rFonts w:hint="eastAsia" w:ascii="宋体" w:hAnsi="宋体" w:eastAsia="宋体" w:cs="宋体"/>
                      <w:color w:val="auto"/>
                      <w:sz w:val="18"/>
                      <w:szCs w:val="18"/>
                      <w:u w:val="none"/>
                    </w:rPr>
                  </w:pPr>
                </w:p>
              </w:tc>
              <w:tc>
                <w:tcPr>
                  <w:tcW w:w="1970" w:type="dxa"/>
                  <w:vMerge w:val="continue"/>
                  <w:vAlign w:val="center"/>
                </w:tcPr>
                <w:p>
                  <w:pPr>
                    <w:pStyle w:val="52"/>
                    <w:rPr>
                      <w:rFonts w:hint="eastAsia" w:ascii="宋体" w:hAnsi="宋体" w:eastAsia="宋体" w:cs="宋体"/>
                      <w:color w:val="auto"/>
                      <w:sz w:val="18"/>
                      <w:szCs w:val="18"/>
                      <w:u w:val="none"/>
                    </w:rPr>
                  </w:pPr>
                </w:p>
              </w:tc>
              <w:tc>
                <w:tcPr>
                  <w:tcW w:w="1757"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1次/季度</w:t>
                  </w:r>
                </w:p>
              </w:tc>
              <w:tc>
                <w:tcPr>
                  <w:tcW w:w="1757"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六价铬、锑、总铊、总镍、总锌、总铜、硫化物、氟化物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544" w:type="dxa"/>
                  <w:vMerge w:val="restart"/>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地表水</w:t>
                  </w:r>
                </w:p>
              </w:tc>
              <w:tc>
                <w:tcPr>
                  <w:tcW w:w="1970"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入河排放口上游100m处</w:t>
                  </w:r>
                </w:p>
              </w:tc>
              <w:tc>
                <w:tcPr>
                  <w:tcW w:w="1757"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1次/季度</w:t>
                  </w:r>
                </w:p>
              </w:tc>
              <w:tc>
                <w:tcPr>
                  <w:tcW w:w="1757" w:type="dxa"/>
                  <w:vMerge w:val="restart"/>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pH、COD、氨氮、SS、总磷、硫化物、氟化物、镉、铅、砷、汞、锌、铜、六价铬、锑、铊</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 w:hRule="atLeast"/>
                <w:jc w:val="center"/>
              </w:trPr>
              <w:tc>
                <w:tcPr>
                  <w:tcW w:w="1544" w:type="dxa"/>
                  <w:vMerge w:val="continue"/>
                  <w:vAlign w:val="center"/>
                </w:tcPr>
                <w:p>
                  <w:pPr>
                    <w:pStyle w:val="52"/>
                    <w:rPr>
                      <w:rFonts w:hint="eastAsia" w:ascii="宋体" w:hAnsi="宋体" w:eastAsia="宋体" w:cs="宋体"/>
                      <w:color w:val="auto"/>
                      <w:sz w:val="18"/>
                      <w:szCs w:val="18"/>
                      <w:u w:val="none"/>
                    </w:rPr>
                  </w:pPr>
                </w:p>
              </w:tc>
              <w:tc>
                <w:tcPr>
                  <w:tcW w:w="1970"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入河排放口下游2000m处</w:t>
                  </w:r>
                </w:p>
              </w:tc>
              <w:tc>
                <w:tcPr>
                  <w:tcW w:w="1757" w:type="dxa"/>
                  <w:vAlign w:val="center"/>
                </w:tcPr>
                <w:p>
                  <w:pPr>
                    <w:pStyle w:val="52"/>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1次/季度</w:t>
                  </w:r>
                </w:p>
              </w:tc>
              <w:tc>
                <w:tcPr>
                  <w:tcW w:w="1757" w:type="dxa"/>
                  <w:vMerge w:val="continue"/>
                  <w:vAlign w:val="center"/>
                </w:tcPr>
                <w:p>
                  <w:pPr>
                    <w:pStyle w:val="52"/>
                    <w:rPr>
                      <w:rFonts w:hint="eastAsia" w:ascii="宋体" w:hAnsi="宋体" w:eastAsia="宋体" w:cs="宋体"/>
                      <w:color w:val="auto"/>
                      <w:sz w:val="18"/>
                      <w:szCs w:val="18"/>
                      <w:u w:val="none"/>
                    </w:rPr>
                  </w:pPr>
                </w:p>
              </w:tc>
            </w:tr>
          </w:tbl>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color w:val="000000"/>
                <w:kern w:val="2"/>
                <w:sz w:val="21"/>
                <w:szCs w:val="21"/>
                <w:lang w:val="en-US" w:eastAsia="zh-CN" w:bidi="ar-SA"/>
                <w14:ligatures w14:val="none"/>
              </w:rPr>
              <w:t>（</w:t>
            </w:r>
            <w:r>
              <w:rPr>
                <w:rFonts w:hint="eastAsia" w:ascii="宋体" w:hAnsi="宋体" w:cs="宋体"/>
                <w:b/>
                <w:bCs/>
                <w:color w:val="000000"/>
                <w:kern w:val="2"/>
                <w:sz w:val="21"/>
                <w:szCs w:val="21"/>
                <w:lang w:val="en-US" w:eastAsia="zh-CN" w:bidi="ar-SA"/>
                <w14:ligatures w14:val="none"/>
              </w:rPr>
              <w:t>四</w:t>
            </w:r>
            <w:r>
              <w:rPr>
                <w:rFonts w:hint="eastAsia" w:ascii="宋体" w:hAnsi="宋体" w:eastAsia="宋体" w:cs="宋体"/>
                <w:b/>
                <w:bCs/>
                <w:color w:val="000000"/>
                <w:kern w:val="2"/>
                <w:sz w:val="21"/>
                <w:szCs w:val="21"/>
                <w:lang w:val="en-US" w:eastAsia="zh-CN" w:bidi="ar-SA"/>
                <w14:ligatures w14:val="none"/>
              </w:rPr>
              <w:t>）</w:t>
            </w:r>
            <w:r>
              <w:rPr>
                <w:rFonts w:hint="eastAsia" w:ascii="宋体" w:hAnsi="宋体" w:eastAsia="宋体" w:cs="宋体"/>
                <w:b/>
                <w:bCs/>
                <w:sz w:val="21"/>
                <w:szCs w:val="21"/>
                <w:lang w:val="en-US" w:eastAsia="zh-CN"/>
              </w:rPr>
              <w:t>入河排污口设置的必要性</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根据现场勘查和资料显示，项目所在位置为山地，周边无相关城市納污管道建设，且无相关接管污水处理厂条件；故根据企业生产排水需要，本项目有必要设置入河排污口。</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五</w:t>
            </w:r>
            <w:r>
              <w:rPr>
                <w:rFonts w:hint="eastAsia" w:ascii="宋体" w:hAnsi="宋体" w:eastAsia="宋体" w:cs="宋体"/>
                <w:b/>
                <w:bCs/>
                <w:sz w:val="21"/>
                <w:szCs w:val="21"/>
                <w:lang w:val="en-US" w:eastAsia="zh-CN"/>
              </w:rPr>
              <w:t>）⼊河排污⼝设置位置合理性</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项目入河排污口所在河段不属于饮用水水源保护区、渔业用水区、水功能一级区划中的保护区等禁止排污口设置水域。厂区排污口至入河排污口路段整体西高东低，有利于外排水利用重力自流，不会对厂区废水处理产生倒灌现象。项目的尾水正常工况排放不影响第三者取水户，废水进入延寿河清江段后，水质仍能达到《地表水环境质量标准》III类水质标准要求。</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项目入河排污口设置符合水域管理要求，不存在环境制约因素，因此本项目入河排污口的设置是合理的。</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六</w:t>
            </w:r>
            <w:r>
              <w:rPr>
                <w:rFonts w:hint="eastAsia" w:ascii="宋体" w:hAnsi="宋体" w:eastAsia="宋体" w:cs="宋体"/>
                <w:b/>
                <w:bCs/>
                <w:sz w:val="21"/>
                <w:szCs w:val="21"/>
                <w:lang w:val="en-US" w:eastAsia="zh-CN"/>
              </w:rPr>
              <w:t>）⼊河排污口排放浓度、排放总量合理性分析</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项目废水经污水处理站处理后，重金属铅、汞、镉、铬、砷可达到《农田灌溉水质标准》（GB 5084-2021）、锑达到《工业废水中锑污染物排放标准》（DB43/350-2007）、铊达到《工业废水铊污染物排放标准》（DB43/968-2021），其余污染因子可达到《铜、镍、钴工业污染物排放标准》（GB 25467-2010）表2直接排放限值要求。且项目各污染因子排放量均未超过延寿河清江段论证段的纳污能力值，延寿河清江河段有充足的纳污能力。</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地表水预测结果，项目废水正常外排，排污口下游论证段COD、氨氮、氟化物、铅、砷、镉、汞在丰水期、枯水期预测浓度均达到《地表水环境质量标准》（GB3838-2002）III类标准，不会改变延寿河清江段水功能区。</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综上所述，本项目入河排污口排放浓度和总量合理。</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（七）</w:t>
            </w:r>
            <w:r>
              <w:rPr>
                <w:rFonts w:hint="eastAsia" w:ascii="宋体" w:hAnsi="宋体" w:eastAsia="宋体" w:cs="宋体"/>
                <w:b/>
                <w:bCs/>
                <w:sz w:val="21"/>
                <w:szCs w:val="21"/>
                <w:lang w:val="en-US" w:eastAsia="zh-CN"/>
              </w:rPr>
              <w:t>⼊河排污口制约因素分析</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本项目工程及入河排污口均位于《湖南省东江湖水环境保护条例》的准保护区和“郴州市东江水库饮用水水源准保护区”内。根据</w:t>
            </w:r>
            <w:r>
              <w:rPr>
                <w:rFonts w:hint="eastAsia" w:ascii="宋体" w:hAnsi="宋体" w:cs="宋体"/>
                <w:b w:val="0"/>
                <w:bCs w:val="0"/>
                <w:sz w:val="21"/>
                <w:szCs w:val="21"/>
                <w:lang w:val="en-US" w:eastAsia="zh-CN"/>
              </w:rPr>
              <w:t>本项目环评报告</w:t>
            </w:r>
            <w:r>
              <w:rPr>
                <w:rFonts w:hint="eastAsia" w:ascii="宋体" w:hAnsi="宋体" w:eastAsia="宋体" w:cs="宋体"/>
                <w:b w:val="0"/>
                <w:bCs w:val="0"/>
                <w:sz w:val="21"/>
                <w:szCs w:val="21"/>
                <w:lang w:val="en-US" w:eastAsia="zh-CN"/>
              </w:rPr>
              <w:t>，项目建设与《湖南省东江湖水环境保护条例》、《东江湖流域水环境保护规划（2020-2030年）》（郴政办函〔2020〕152号）相符。</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项目废水经污水处理站处理达标外排至延寿河清江段，根据预测分析，项目废水排放混合过程段最远为1286.8m，混合过程段COD、NH3-N、氟化物、铅、砷、镉、汞预测浓度最远超标距离不大于20m，废水完全混合后COD、NH3-N、氟化物、铅、砷、镉、汞枯水期、丰水期预测浓度均可以达到《地表水环境质量标准》（GB3838-2002）III类标准。 </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项目下游常规监测断面位于浙水（黄草镇羊兴村公路桥），项目废水经污水处理站处理达标外排至延寿河清江段，向北流经约5.6km后与走马河汇合，然后流经3.9km汇入山店江，再流经13.5km后流入浙水，最后浙水流经约9km到达常规监测断面。根据现状调查，项目下游32km处浙水羊兴村常规监测断面水质可达到II类水质要求。在正常工况下，本项目废水达标外排延寿河清江段，其中重金属因子排放浓度满足《地表水环境质量标准》（GB3838-2002）III类标准，项目废水先后与走马河、山店江、浙水汇合，且流经距离约32km，项目废水经清江、山店江、浙水水体自然衰减、转化及稀释作用，项目废水污染物对浙水的贡献值可忽略不计。因此，项目对下游常规监测断面的水质基本无影响，浙水羊兴村监测断面水质仍可达到II类水质要求，不会导致断面水质恶化。同时，东江湖饮用水水源二级保护区位于项目下游约50km，不在本项目排水的影响范围内。</w:t>
            </w:r>
          </w:p>
          <w:p>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综上，项目废水正常工况排放，项目下游控制断面枯水期、丰水期废水完全混合后各污染物浓度均可以达到《地表水环境质量标准》（GB3838-2002）III类标准，项目废水污染物对下游浙水羊兴村常规监测断面的水质不会造成明显变化，仍可达到II类水质要求。因此，项目废水排放对东江湖饮用水水源准保护区无明显影响，项目投产后东江湖准保护区评价河段水环境质量不会下降，项目入河排污口设置无明显的制约因素。</w:t>
            </w:r>
          </w:p>
          <w:p>
            <w:pPr>
              <w:pStyle w:val="11"/>
              <w:keepNext w:val="0"/>
              <w:keepLines w:val="0"/>
              <w:pageBreakBefore w:val="0"/>
              <w:kinsoku/>
              <w:wordWrap/>
              <w:overflowPunct/>
              <w:topLinePunct w:val="0"/>
              <w:autoSpaceDE/>
              <w:autoSpaceDN/>
              <w:bidi w:val="0"/>
              <w:adjustRightInd/>
              <w:snapToGrid w:val="0"/>
              <w:spacing w:after="0" w:line="360" w:lineRule="auto"/>
              <w:ind w:left="0" w:leftChars="0" w:firstLine="0" w:firstLineChars="0"/>
              <w:jc w:val="center"/>
              <w:textAlignment w:val="auto"/>
              <w:rPr>
                <w:rFonts w:hint="eastAsia" w:ascii="宋体" w:hAnsi="宋体" w:eastAsia="宋体" w:cs="宋体"/>
                <w:b/>
                <w:bCs/>
                <w:color w:val="auto"/>
                <w:sz w:val="21"/>
                <w:szCs w:val="21"/>
              </w:rPr>
            </w:pPr>
            <w:r>
              <w:rPr>
                <w:rFonts w:hint="eastAsia" w:ascii="宋体" w:hAnsi="宋体" w:cs="仿宋_GB2312"/>
                <w:b/>
                <w:bCs/>
                <w:sz w:val="21"/>
                <w:szCs w:val="21"/>
                <w:lang w:val="en-US" w:eastAsia="zh-CN"/>
              </w:rPr>
              <w:t>八</w:t>
            </w:r>
            <w:r>
              <w:rPr>
                <w:rFonts w:hint="eastAsia" w:ascii="宋体" w:hAnsi="宋体" w:cs="仿宋_GB2312"/>
                <w:b/>
                <w:bCs/>
                <w:sz w:val="21"/>
                <w:szCs w:val="21"/>
              </w:rPr>
              <w:t>、</w:t>
            </w:r>
            <w:bookmarkStart w:id="16" w:name="_Toc195277012"/>
            <w:r>
              <w:rPr>
                <w:rFonts w:hint="eastAsia" w:ascii="宋体" w:hAnsi="宋体" w:eastAsia="宋体" w:cs="宋体"/>
                <w:b/>
                <w:bCs/>
                <w:color w:val="auto"/>
                <w:sz w:val="21"/>
                <w:szCs w:val="21"/>
              </w:rPr>
              <w:t>入河排污口论证结论与建议</w:t>
            </w:r>
            <w:bookmarkEnd w:id="16"/>
          </w:p>
          <w:p>
            <w:pPr>
              <w:pStyle w:val="4"/>
              <w:pageBreakBefore w:val="0"/>
              <w:widowControl w:val="0"/>
              <w:kinsoku/>
              <w:overflowPunct/>
              <w:topLinePunct w:val="0"/>
              <w:autoSpaceDE/>
              <w:autoSpaceDN/>
              <w:bidi w:val="0"/>
              <w:adjustRightInd/>
              <w:spacing w:before="0" w:after="0" w:line="36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一</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论证结论</w:t>
            </w:r>
          </w:p>
          <w:p>
            <w:pPr>
              <w:pageBreakBefore w:val="0"/>
              <w:widowControl w:val="0"/>
              <w:kinsoku/>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1.</w:t>
            </w:r>
            <w:r>
              <w:rPr>
                <w:rFonts w:hint="eastAsia" w:ascii="宋体" w:hAnsi="宋体" w:eastAsia="宋体" w:cs="宋体"/>
                <w:b w:val="0"/>
                <w:bCs w:val="0"/>
                <w:color w:val="auto"/>
                <w:sz w:val="21"/>
                <w:szCs w:val="21"/>
              </w:rPr>
              <w:t>入河排污口设置基本情况</w:t>
            </w:r>
          </w:p>
          <w:p>
            <w:pPr>
              <w:pageBreakBefore w:val="0"/>
              <w:widowControl w:val="0"/>
              <w:kinsoku/>
              <w:overflowPunct/>
              <w:topLinePunct w:val="0"/>
              <w:autoSpaceDE/>
              <w:autoSpaceDN/>
              <w:bidi w:val="0"/>
              <w:adjustRightInd/>
              <w:spacing w:line="360" w:lineRule="auto"/>
              <w:ind w:firstLine="420" w:firstLineChars="20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本项目入河排污口为工矿企业排污口，排污口类型为新建，位于汝城县延寿瑶族乡延寿河清江段右岸，坐标为：东经113°29′57.741″、北纬25°23′34.414″，采用管道连续排放，申请的入河排污口污水排放量、污染物排放种类、排放浓度和排放量如下表所示。</w:t>
            </w:r>
          </w:p>
          <w:p>
            <w:pPr>
              <w:pStyle w:val="53"/>
              <w:pageBreakBefore w:val="0"/>
              <w:widowControl w:val="0"/>
              <w:numPr>
                <w:ilvl w:val="4"/>
                <w:numId w:val="0"/>
              </w:numPr>
              <w:kinsoku/>
              <w:overflowPunct/>
              <w:topLinePunct w:val="0"/>
              <w:autoSpaceDE/>
              <w:autoSpaceDN/>
              <w:bidi w:val="0"/>
              <w:adjustRightInd/>
              <w:spacing w:before="0" w:beforeLines="0" w:after="0" w:afterLines="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表8.1.1</w:t>
            </w:r>
            <w:r>
              <w:rPr>
                <w:rFonts w:hint="eastAsia" w:ascii="宋体" w:hAnsi="宋体" w:eastAsia="宋体" w:cs="宋体"/>
                <w:color w:val="auto"/>
                <w:sz w:val="21"/>
                <w:szCs w:val="21"/>
              </w:rPr>
              <w:t>项目废水及污染物排放情况</w:t>
            </w:r>
          </w:p>
          <w:tbl>
            <w:tblPr>
              <w:tblStyle w:val="55"/>
              <w:tblW w:w="731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8"/>
              <w:gridCol w:w="1725"/>
              <w:gridCol w:w="1438"/>
              <w:gridCol w:w="1725"/>
              <w:gridCol w:w="131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2" w:hRule="atLeast"/>
                <w:tblHeader/>
                <w:jc w:val="center"/>
              </w:trPr>
              <w:tc>
                <w:tcPr>
                  <w:tcW w:w="1118" w:type="dxa"/>
                  <w:vMerge w:val="restart"/>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污染因子</w:t>
                  </w:r>
                </w:p>
              </w:tc>
              <w:tc>
                <w:tcPr>
                  <w:tcW w:w="3163" w:type="dxa"/>
                  <w:gridSpan w:val="2"/>
                  <w:noWrap/>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尾砂综合利用阶段</w:t>
                  </w:r>
                </w:p>
              </w:tc>
              <w:tc>
                <w:tcPr>
                  <w:tcW w:w="3035" w:type="dxa"/>
                  <w:gridSpan w:val="2"/>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b w:val="0"/>
                      <w:color w:val="auto"/>
                      <w:sz w:val="21"/>
                      <w:szCs w:val="21"/>
                    </w:rPr>
                  </w:pPr>
                  <w:r>
                    <w:rPr>
                      <w:rFonts w:hint="eastAsia" w:ascii="宋体" w:hAnsi="宋体" w:eastAsia="宋体" w:cs="宋体"/>
                      <w:b/>
                      <w:color w:val="auto"/>
                      <w:sz w:val="21"/>
                      <w:szCs w:val="21"/>
                    </w:rPr>
                    <w:t>废石综合利用阶段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2" w:hRule="atLeast"/>
                <w:jc w:val="center"/>
              </w:trPr>
              <w:tc>
                <w:tcPr>
                  <w:tcW w:w="1118" w:type="dxa"/>
                  <w:vMerge w:val="continue"/>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325" w:rightChars="155" w:firstLine="0" w:firstLineChars="0"/>
                    <w:textAlignment w:val="auto"/>
                    <w:rPr>
                      <w:rFonts w:hint="eastAsia" w:ascii="宋体" w:hAnsi="宋体" w:eastAsia="宋体" w:cs="宋体"/>
                      <w:color w:val="auto"/>
                      <w:sz w:val="21"/>
                      <w:szCs w:val="21"/>
                    </w:rPr>
                  </w:pP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排放浓度mg/L</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排放量t/a</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排放浓度mg/L</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排放量t/a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2"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废水量</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163621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198674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pH</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COD</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9.817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11.920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氨氮</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0.327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0.397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SS</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4.909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5.960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总磷</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0.082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硫化物</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0.033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0.040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氟化物</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0.164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0.199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总镉</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0.005</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0.00082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0.005</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总铅</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0.00818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0.00993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总砷</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0.00818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0.00993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总汞</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0.0001</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0.00002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0.0001</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0.00002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铬（六价）</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0.005</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0.00082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0.005</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0.00099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总锌</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0.017</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0.00278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0.017</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0.00338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总铜</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0.012</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0.00196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0.012</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0.00238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锑</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0.0009 </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0.00015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0.0009 </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0.00018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0" w:hRule="atLeast"/>
                <w:jc w:val="center"/>
              </w:trPr>
              <w:tc>
                <w:tcPr>
                  <w:tcW w:w="1118" w:type="dxa"/>
                  <w:vAlign w:val="center"/>
                </w:tcPr>
                <w:p>
                  <w:pPr>
                    <w:pStyle w:val="52"/>
                    <w:keepNext w:val="0"/>
                    <w:keepLines w:val="0"/>
                    <w:pageBreakBefore w:val="0"/>
                    <w:widowControl w:val="0"/>
                    <w:tabs>
                      <w:tab w:val="left" w:pos="420"/>
                    </w:tabs>
                    <w:kinsoku/>
                    <w:wordWrap/>
                    <w:overflowPunct/>
                    <w:topLinePunct w:val="0"/>
                    <w:autoSpaceDE/>
                    <w:autoSpaceDN/>
                    <w:bidi w:val="0"/>
                    <w:adjustRightInd/>
                    <w:snapToGrid/>
                    <w:spacing w:before="0" w:beforeLines="0" w:after="0" w:afterLines="0" w:line="240" w:lineRule="auto"/>
                    <w:ind w:right="61" w:rightChars="29"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总铊</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0.00006 </w:t>
                  </w:r>
                </w:p>
              </w:tc>
              <w:tc>
                <w:tcPr>
                  <w:tcW w:w="1438"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0.00001 </w:t>
                  </w:r>
                </w:p>
              </w:tc>
              <w:tc>
                <w:tcPr>
                  <w:tcW w:w="1725"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0.00006 </w:t>
                  </w:r>
                </w:p>
              </w:tc>
              <w:tc>
                <w:tcPr>
                  <w:tcW w:w="1310" w:type="dxa"/>
                  <w:vAlign w:val="center"/>
                </w:tcPr>
                <w:p>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0.00001 </w:t>
                  </w:r>
                </w:p>
              </w:tc>
            </w:tr>
          </w:tbl>
          <w:p>
            <w:pPr>
              <w:pageBreakBefore w:val="0"/>
              <w:widowControl w:val="0"/>
              <w:kinsoku/>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项目外排废水重金属铅、汞、镉、铬（六价）、砷可达到《农田灌溉水质标准》（GB 5084-2021）、锑达到《工业废水中锑污染物排放标准》（DB43/350-2007）、铊达到《工业废水铊污染物排放标准》（DB43/968-2021），其余污染因子可达到《铜、镍、钴工业污染物排放标准》（GB 25467-2010）表2直接排放限值要求。</w:t>
            </w:r>
          </w:p>
          <w:p>
            <w:pPr>
              <w:pageBreakBefore w:val="0"/>
              <w:widowControl w:val="0"/>
              <w:kinsoku/>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rPr>
              <w:t>水环境、水生态影响分析</w:t>
            </w:r>
          </w:p>
          <w:p>
            <w:pPr>
              <w:pageBreakBefore w:val="0"/>
              <w:widowControl w:val="0"/>
              <w:kinsoku/>
              <w:overflowPunct/>
              <w:topLinePunct w:val="0"/>
              <w:autoSpaceDE/>
              <w:autoSpaceDN/>
              <w:bidi w:val="0"/>
              <w:adjustRightInd/>
              <w:spacing w:line="360" w:lineRule="auto"/>
              <w:ind w:firstLine="420" w:firstLineChars="20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经预测可知，本项目废水正常排放情况下，纳污水体预测断面的各污染物浓度均可达标，项目废水排放对入河排污口下游河段水质影响不大，不会对水生生物造成明显不利影响，影响可接受，不存在制约因素。</w:t>
            </w:r>
          </w:p>
          <w:p>
            <w:pPr>
              <w:pStyle w:val="51"/>
              <w:pageBreakBefore w:val="0"/>
              <w:widowControl w:val="0"/>
              <w:kinsoku/>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3.</w:t>
            </w:r>
            <w:r>
              <w:rPr>
                <w:rFonts w:hint="eastAsia" w:ascii="宋体" w:hAnsi="宋体" w:eastAsia="宋体" w:cs="宋体"/>
                <w:b w:val="0"/>
                <w:bCs w:val="0"/>
                <w:color w:val="auto"/>
                <w:sz w:val="21"/>
                <w:szCs w:val="21"/>
              </w:rPr>
              <w:t>入河排污口不涉及放射性物质排放</w:t>
            </w:r>
          </w:p>
          <w:p>
            <w:pPr>
              <w:pStyle w:val="51"/>
              <w:pageBreakBefore w:val="0"/>
              <w:widowControl w:val="0"/>
              <w:kinsoku/>
              <w:overflowPunct/>
              <w:topLinePunct w:val="0"/>
              <w:autoSpaceDE/>
              <w:autoSpaceDN/>
              <w:bidi w:val="0"/>
              <w:adjustRightInd/>
              <w:spacing w:line="360" w:lineRule="auto"/>
              <w:ind w:firstLine="420" w:firstLineChars="20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水环境风险主要可能是由污水处理设施故障或发生事故致其不能正常运行，从而造成废水超标排放，通过加强污水处理设施运行管理，设置事故应急池等风险防范措施，防止废水事故排放。</w:t>
            </w:r>
          </w:p>
          <w:p>
            <w:pPr>
              <w:pStyle w:val="51"/>
              <w:pageBreakBefore w:val="0"/>
              <w:widowControl w:val="0"/>
              <w:kinsoku/>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rPr>
              <w:t>排污口设置符合《关于发布郴州市生态环境分区管控更新成果(2023年版)的通知》（郴环函〔2024〕27号）环境管控要求</w:t>
            </w:r>
            <w:r>
              <w:rPr>
                <w:rFonts w:hint="eastAsia" w:ascii="宋体" w:hAnsi="宋体" w:cs="宋体"/>
                <w:b w:val="0"/>
                <w:bCs w:val="0"/>
                <w:color w:val="auto"/>
                <w:sz w:val="21"/>
                <w:szCs w:val="21"/>
                <w:lang w:eastAsia="zh-CN"/>
              </w:rPr>
              <w:t>，</w:t>
            </w:r>
            <w:r>
              <w:rPr>
                <w:rFonts w:hint="eastAsia" w:ascii="宋体" w:hAnsi="宋体" w:eastAsia="宋体" w:cs="宋体"/>
                <w:color w:val="auto"/>
                <w:sz w:val="21"/>
                <w:szCs w:val="21"/>
              </w:rPr>
              <w:t>不影响周边生活饮用水水源、上下游取水安全，对农业灌溉用水、下游水环境控制断面水质影响不大，对防洪管理无影响。</w:t>
            </w:r>
          </w:p>
          <w:p>
            <w:pPr>
              <w:pStyle w:val="51"/>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项目污水处理站采取四级反应池+絮凝沉淀+精密过滤工艺，设计处理规模为200</w:t>
            </w:r>
            <w:r>
              <w:rPr>
                <w:rFonts w:hint="eastAsia" w:ascii="宋体" w:hAnsi="宋体" w:eastAsia="宋体" w:cs="宋体"/>
                <w:b w:val="0"/>
                <w:bCs w:val="0"/>
                <w:color w:val="auto"/>
                <w:sz w:val="21"/>
                <w:szCs w:val="21"/>
              </w:rPr>
              <w:t>00m</w:t>
            </w:r>
            <w:r>
              <w:rPr>
                <w:rFonts w:hint="eastAsia" w:ascii="宋体" w:hAnsi="宋体" w:eastAsia="宋体" w:cs="宋体"/>
                <w:b w:val="0"/>
                <w:bCs w:val="0"/>
                <w:color w:val="auto"/>
                <w:sz w:val="21"/>
                <w:szCs w:val="21"/>
                <w:vertAlign w:val="superscript"/>
              </w:rPr>
              <w:t>3</w:t>
            </w:r>
            <w:r>
              <w:rPr>
                <w:rFonts w:hint="eastAsia" w:ascii="宋体" w:hAnsi="宋体" w:eastAsia="宋体" w:cs="宋体"/>
                <w:b w:val="0"/>
                <w:bCs w:val="0"/>
                <w:color w:val="auto"/>
                <w:sz w:val="21"/>
                <w:szCs w:val="21"/>
              </w:rPr>
              <w:t>/d。项目废水经污水处理站处理，重金属铅、汞、镉、铬、砷可达到《农田灌溉水质标准》（GB 5084-2021）、锑达到《工业废水中锑污染物排放标准》（DB43/350-2007）、铊达到《工业废水铊污染物排放标准》（DB43/968-2021），其余污染因子可达到《铜、镍、钴工业污染物排放标准》（GB 25467-2010）表2直接排放限值要求后，一部分回用于生产，剩余部分外排至延寿河清江段。</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left="0" w:leftChars="0" w:firstLine="421" w:firstLineChars="200"/>
              <w:textAlignment w:val="auto"/>
              <w:rPr>
                <w:rFonts w:hint="eastAsia" w:ascii="宋体" w:hAnsi="宋体" w:eastAsia="宋体" w:cs="宋体"/>
                <w:b w:val="0"/>
                <w:bCs w:val="0"/>
                <w:color w:val="auto"/>
                <w:sz w:val="21"/>
                <w:szCs w:val="21"/>
                <w:u w:val="single"/>
              </w:rPr>
            </w:pP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rPr>
              <w:t>最终结论：</w:t>
            </w:r>
            <w:r>
              <w:rPr>
                <w:rFonts w:hint="eastAsia" w:ascii="宋体" w:hAnsi="宋体" w:eastAsia="宋体" w:cs="宋体"/>
                <w:b w:val="0"/>
                <w:bCs w:val="0"/>
                <w:color w:val="auto"/>
                <w:sz w:val="21"/>
                <w:szCs w:val="21"/>
                <w:u w:val="single"/>
              </w:rPr>
              <w:t>项目入河排污口不在饮用水水源保护区范围内，入河排污口设置符合水功能区基本要求，各污染物排放总量均未超过受纳水体纳污能力，废水正常排放时对水功能区水质、水生态环境的影响较小。在保证废水处理达标排放、完善应急设施及措施的情况下，郴州祺祥矿业有限公司入河排污口设置方案是合理的、可行的。</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center"/>
              <w:textAlignment w:val="auto"/>
              <w:rPr>
                <w:rFonts w:hint="eastAsia" w:ascii="宋体" w:hAnsi="宋体" w:cs="宋体"/>
                <w:b/>
                <w:bCs/>
                <w:color w:val="auto"/>
                <w:sz w:val="21"/>
                <w:szCs w:val="21"/>
                <w:u w:val="none"/>
                <w:lang w:val="en-US" w:eastAsia="zh-CN"/>
              </w:rPr>
            </w:pPr>
            <w:r>
              <w:rPr>
                <w:rFonts w:hint="eastAsia" w:ascii="宋体" w:hAnsi="宋体" w:cs="宋体"/>
                <w:b/>
                <w:bCs/>
                <w:color w:val="auto"/>
                <w:sz w:val="21"/>
                <w:szCs w:val="21"/>
                <w:u w:val="none"/>
                <w:lang w:val="en-US" w:eastAsia="zh-CN"/>
              </w:rPr>
              <w:t>九、专家评审结论</w:t>
            </w:r>
          </w:p>
          <w:p>
            <w:pPr>
              <w:pStyle w:val="11"/>
              <w:keepNext w:val="0"/>
              <w:keepLines w:val="0"/>
              <w:pageBreakBefore w:val="0"/>
              <w:widowControl w:val="0"/>
              <w:kinsoku/>
              <w:wordWrap/>
              <w:overflowPunct/>
              <w:topLinePunct w:val="0"/>
              <w:autoSpaceDE/>
              <w:autoSpaceDN/>
              <w:bidi w:val="0"/>
              <w:adjustRightInd/>
              <w:snapToGrid w:val="0"/>
              <w:spacing w:after="0" w:line="360" w:lineRule="auto"/>
              <w:ind w:left="0" w:leftChars="0" w:firstLine="420" w:firstLineChars="200"/>
              <w:jc w:val="both"/>
              <w:textAlignment w:val="auto"/>
              <w:rPr>
                <w:rFonts w:hint="default" w:ascii="宋体" w:hAnsi="宋体" w:cs="宋体"/>
                <w:b w:val="0"/>
                <w:bCs w:val="0"/>
                <w:color w:val="auto"/>
                <w:sz w:val="21"/>
                <w:szCs w:val="21"/>
                <w:u w:val="single"/>
                <w:lang w:val="en-US" w:eastAsia="zh-CN"/>
              </w:rPr>
            </w:pPr>
            <w:r>
              <w:rPr>
                <w:rFonts w:hint="default" w:ascii="宋体" w:hAnsi="宋体" w:cs="宋体"/>
                <w:b w:val="0"/>
                <w:bCs w:val="0"/>
                <w:color w:val="auto"/>
                <w:sz w:val="21"/>
                <w:szCs w:val="21"/>
                <w:u w:val="none"/>
                <w:lang w:val="en-US" w:eastAsia="zh-CN"/>
              </w:rPr>
              <w:t>项目入河排污口不在饮用水水源保护区范围内，入河排污口设置符合水功能区基本要求，各污染物排放总量均未超过延寿河纳污能力，废水正常排放时对水功能区水质、水生态环境的影响较小。在保证废水处理达标排放、完善应急设施及措施的情况下，入河排污口设置方案是合理的、可行的。</w:t>
            </w:r>
          </w:p>
        </w:tc>
      </w:tr>
    </w:tbl>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8"/>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等线 Light">
    <w:altName w:val="华文仿宋"/>
    <w:panose1 w:val="02010600030101010101"/>
    <w:charset w:val="86"/>
    <w:family w:val="auto"/>
    <w:pitch w:val="default"/>
    <w:sig w:usb0="00000000" w:usb1="00000000" w:usb2="00000016" w:usb3="00000000" w:csb0="0004000F"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等线 Light">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CECC9C"/>
    <w:multiLevelType w:val="singleLevel"/>
    <w:tmpl w:val="A8CECC9C"/>
    <w:lvl w:ilvl="0" w:tentative="0">
      <w:start w:val="4"/>
      <w:numFmt w:val="chineseCounting"/>
      <w:suff w:val="nothing"/>
      <w:lvlText w:val="%1、"/>
      <w:lvlJc w:val="left"/>
      <w:rPr>
        <w:rFonts w:hint="eastAsia"/>
      </w:rPr>
    </w:lvl>
  </w:abstractNum>
  <w:abstractNum w:abstractNumId="1">
    <w:nsid w:val="0DC91CEB"/>
    <w:multiLevelType w:val="multilevel"/>
    <w:tmpl w:val="0DC91CEB"/>
    <w:lvl w:ilvl="0" w:tentative="0">
      <w:start w:val="1"/>
      <w:numFmt w:val="chineseCountingThousand"/>
      <w:lvlText w:val="第%1章  "/>
      <w:lvlJc w:val="left"/>
      <w:pPr>
        <w:ind w:left="0" w:firstLine="0"/>
      </w:pPr>
      <w:rPr>
        <w:rFonts w:hint="default" w:ascii="Times New Roman" w:hAnsi="Times New Roman" w:eastAsia="宋体"/>
        <w:b/>
        <w:i w:val="0"/>
        <w:sz w:val="44"/>
      </w:rPr>
    </w:lvl>
    <w:lvl w:ilvl="1" w:tentative="0">
      <w:start w:val="1"/>
      <w:numFmt w:val="decimal"/>
      <w:isLgl/>
      <w:suff w:val="space"/>
      <w:lvlText w:val="%1.%2 "/>
      <w:lvlJc w:val="left"/>
      <w:pPr>
        <w:ind w:left="3970" w:firstLine="0"/>
      </w:pPr>
      <w:rPr>
        <w:rFonts w:hint="default" w:ascii="Times New Roman" w:hAnsi="Times New Roman" w:eastAsia="黑体"/>
        <w:b/>
        <w:i w:val="0"/>
        <w:sz w:val="36"/>
      </w:rPr>
    </w:lvl>
    <w:lvl w:ilvl="2" w:tentative="0">
      <w:start w:val="1"/>
      <w:numFmt w:val="decimal"/>
      <w:isLgl/>
      <w:suff w:val="space"/>
      <w:lvlText w:val="%1.%2.%3 "/>
      <w:lvlJc w:val="left"/>
      <w:pPr>
        <w:ind w:left="0" w:firstLine="0"/>
      </w:pPr>
    </w:lvl>
    <w:lvl w:ilvl="3" w:tentative="0">
      <w:start w:val="1"/>
      <w:numFmt w:val="decimal"/>
      <w:isLgl/>
      <w:suff w:val="space"/>
      <w:lvlText w:val="%1.%2.%3.%4 "/>
      <w:lvlJc w:val="left"/>
      <w:pPr>
        <w:ind w:left="0" w:firstLine="0"/>
      </w:pPr>
    </w:lvl>
    <w:lvl w:ilvl="4" w:tentative="0">
      <w:start w:val="1"/>
      <w:numFmt w:val="decimal"/>
      <w:lvlRestart w:val="2"/>
      <w:pStyle w:val="53"/>
      <w:isLgl/>
      <w:suff w:val="space"/>
      <w:lvlText w:val="表 %1.%2-%5  "/>
      <w:lvlJc w:val="left"/>
      <w:pPr>
        <w:ind w:left="4536" w:firstLine="0"/>
      </w:pPr>
      <w:rPr>
        <w:rFonts w:hint="default" w:ascii="Times New Roman" w:hAnsi="Times New Roman" w:eastAsia="宋体" w:cs="Times New Roman"/>
        <w:b/>
        <w:bCs w:val="0"/>
        <w:i w:val="0"/>
        <w:iCs w:val="0"/>
        <w:caps w:val="0"/>
        <w:strike w:val="0"/>
        <w:dstrike w:val="0"/>
        <w:vanish w:val="0"/>
        <w:color w:val="000000"/>
        <w:spacing w:val="0"/>
        <w:position w:val="0"/>
        <w:sz w:val="21"/>
        <w:u w:val="none"/>
        <w:vertAlign w:val="baseline"/>
        <w:lang w:val="zh-CN"/>
        <w14:shadow w14:blurRad="0" w14:dist="0" w14:dir="0" w14:sx="0" w14:sy="0" w14:kx="0" w14:ky="0" w14:algn="none">
          <w14:srgbClr w14:val="000000"/>
        </w14:shadow>
      </w:rPr>
    </w:lvl>
    <w:lvl w:ilvl="5" w:tentative="0">
      <w:start w:val="1"/>
      <w:numFmt w:val="decimal"/>
      <w:lvlRestart w:val="2"/>
      <w:pStyle w:val="56"/>
      <w:isLgl/>
      <w:suff w:val="space"/>
      <w:lvlText w:val="图 %1.%2-%6  "/>
      <w:lvlJc w:val="left"/>
      <w:pPr>
        <w:ind w:left="3545" w:firstLine="0"/>
      </w:pPr>
      <w:rPr>
        <w:rFonts w:hint="default" w:ascii="Times New Roman" w:hAnsi="Times New Roman" w:eastAsia="宋体"/>
        <w:b/>
        <w:i w:val="0"/>
        <w:color w:val="auto"/>
        <w:sz w:val="21"/>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iZjAxMzgwYTRkODZiMzQ3NDRjZGM0NTVkODA1ZTIifQ=="/>
  </w:docVars>
  <w:rsids>
    <w:rsidRoot w:val="00B625C7"/>
    <w:rsid w:val="000B0A93"/>
    <w:rsid w:val="000E3018"/>
    <w:rsid w:val="001162DD"/>
    <w:rsid w:val="00131539"/>
    <w:rsid w:val="0014687A"/>
    <w:rsid w:val="00174E89"/>
    <w:rsid w:val="0026463B"/>
    <w:rsid w:val="002F3595"/>
    <w:rsid w:val="0037232B"/>
    <w:rsid w:val="0037570A"/>
    <w:rsid w:val="00381C61"/>
    <w:rsid w:val="003A7F6E"/>
    <w:rsid w:val="00401BD6"/>
    <w:rsid w:val="00482FDF"/>
    <w:rsid w:val="00491153"/>
    <w:rsid w:val="0050255B"/>
    <w:rsid w:val="005C1809"/>
    <w:rsid w:val="0060252C"/>
    <w:rsid w:val="00665CD3"/>
    <w:rsid w:val="006A4A60"/>
    <w:rsid w:val="0088499E"/>
    <w:rsid w:val="00912EB0"/>
    <w:rsid w:val="00A744DA"/>
    <w:rsid w:val="00B51435"/>
    <w:rsid w:val="00B625C7"/>
    <w:rsid w:val="00BF1DF8"/>
    <w:rsid w:val="00C617A6"/>
    <w:rsid w:val="00C65866"/>
    <w:rsid w:val="00D90C21"/>
    <w:rsid w:val="00E55AC9"/>
    <w:rsid w:val="00E83AF7"/>
    <w:rsid w:val="00EA5B6C"/>
    <w:rsid w:val="00ED4A55"/>
    <w:rsid w:val="00EF40CA"/>
    <w:rsid w:val="00F47592"/>
    <w:rsid w:val="00F65FED"/>
    <w:rsid w:val="00FC190F"/>
    <w:rsid w:val="0CD55429"/>
    <w:rsid w:val="0DDF1104"/>
    <w:rsid w:val="14A30D26"/>
    <w:rsid w:val="17DD6889"/>
    <w:rsid w:val="1CA97E9A"/>
    <w:rsid w:val="1FEC362D"/>
    <w:rsid w:val="23153E19"/>
    <w:rsid w:val="26DB53E5"/>
    <w:rsid w:val="37033097"/>
    <w:rsid w:val="3F6E571C"/>
    <w:rsid w:val="4D7D140D"/>
    <w:rsid w:val="5C1A1869"/>
    <w:rsid w:val="5CE800C6"/>
    <w:rsid w:val="652D6CD8"/>
    <w:rsid w:val="6DE854B0"/>
    <w:rsid w:val="7CC14386"/>
    <w:rsid w:val="DE7F7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14:ligatures w14:val="none"/>
    </w:rPr>
  </w:style>
  <w:style w:type="paragraph" w:styleId="2">
    <w:name w:val="heading 1"/>
    <w:basedOn w:val="1"/>
    <w:next w:val="1"/>
    <w:link w:val="22"/>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2"/>
    <w:next w:val="1"/>
    <w:link w:val="23"/>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3"/>
    <w:next w:val="1"/>
    <w:link w:val="24"/>
    <w:unhideWhenUsed/>
    <w:qFormat/>
    <w:uiPriority w:val="9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5"/>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6"/>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7"/>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41"/>
    <w:unhideWhenUsed/>
    <w:qFormat/>
    <w:uiPriority w:val="99"/>
    <w:pPr>
      <w:spacing w:after="120"/>
    </w:pPr>
  </w:style>
  <w:style w:type="paragraph" w:styleId="12">
    <w:name w:val="footer"/>
    <w:basedOn w:val="1"/>
    <w:link w:val="44"/>
    <w:unhideWhenUsed/>
    <w:qFormat/>
    <w:uiPriority w:val="99"/>
    <w:pPr>
      <w:tabs>
        <w:tab w:val="center" w:pos="4153"/>
        <w:tab w:val="right" w:pos="8306"/>
      </w:tabs>
      <w:snapToGrid w:val="0"/>
      <w:jc w:val="left"/>
    </w:pPr>
    <w:rPr>
      <w:sz w:val="18"/>
      <w:szCs w:val="18"/>
    </w:rPr>
  </w:style>
  <w:style w:type="paragraph" w:styleId="13">
    <w:name w:val="header"/>
    <w:basedOn w:val="1"/>
    <w:link w:val="43"/>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2"/>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6">
    <w:name w:val="Title"/>
    <w:basedOn w:val="6"/>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7">
    <w:name w:val="Body Text First Indent"/>
    <w:basedOn w:val="11"/>
    <w:next w:val="1"/>
    <w:link w:val="42"/>
    <w:qFormat/>
    <w:uiPriority w:val="99"/>
    <w:pPr>
      <w:adjustRightInd w:val="0"/>
      <w:snapToGrid w:val="0"/>
      <w:spacing w:after="0" w:line="360" w:lineRule="auto"/>
      <w:ind w:firstLine="480" w:firstLineChars="200"/>
    </w:pPr>
    <w:rPr>
      <w:rFonts w:ascii="Times New Roman" w:hAnsi="Times New Roman" w:cs="宋体"/>
      <w:sz w:val="24"/>
    </w:rPr>
  </w:style>
  <w:style w:type="table" w:styleId="19">
    <w:name w:val="Table Grid"/>
    <w:basedOn w:val="18"/>
    <w:qFormat/>
    <w:uiPriority w:val="0"/>
    <w:pPr>
      <w:keepNext/>
      <w:keepLines/>
      <w:widowControl w:val="0"/>
      <w:jc w:val="center"/>
    </w:pPr>
    <w:rPr>
      <w:rFonts w:ascii="Times New Roman" w:hAnsi="Times New Roman" w:eastAsia="宋体"/>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jc w:val="center"/>
      </w:pPr>
      <w:rPr>
        <w:b/>
      </w:rPr>
      <w:tblPr/>
      <w:trPr>
        <w:tblHeader/>
      </w:trPr>
    </w:tblStylePr>
  </w:style>
  <w:style w:type="table" w:styleId="20">
    <w:name w:val="Table Theme"/>
    <w:basedOn w:val="18"/>
    <w:qFormat/>
    <w:uiPriority w:val="99"/>
    <w:pPr>
      <w:widowControl w:val="0"/>
      <w:jc w:val="both"/>
    </w:pPr>
    <w:rPr>
      <w:rFonts w:ascii="Times New Roman" w:hAnsi="Times New Roman" w:eastAsia="宋体"/>
    </w:rPr>
    <w:tblPr>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
    <w:trPr>
      <w:jc w:val="center"/>
    </w:trPr>
    <w:tcPr>
      <w:vAlign w:val="center"/>
    </w:tcPr>
    <w:tblStylePr w:type="firstRow">
      <w:rPr>
        <w:b/>
      </w:rPr>
      <w:tblPr/>
      <w:trPr>
        <w:tblHeader/>
      </w:trPr>
    </w:tblStylePr>
  </w:style>
  <w:style w:type="character" w:customStyle="1" w:styleId="22">
    <w:name w:val="标题 1 字符"/>
    <w:basedOn w:val="21"/>
    <w:link w:val="2"/>
    <w:qFormat/>
    <w:uiPriority w:val="9"/>
    <w:rPr>
      <w:rFonts w:asciiTheme="majorHAnsi" w:hAnsiTheme="majorHAnsi" w:eastAsiaTheme="majorEastAsia" w:cstheme="majorBidi"/>
      <w:color w:val="104862" w:themeColor="accent1" w:themeShade="BF"/>
      <w:sz w:val="48"/>
      <w:szCs w:val="48"/>
    </w:rPr>
  </w:style>
  <w:style w:type="character" w:customStyle="1" w:styleId="23">
    <w:name w:val="标题 2 字符"/>
    <w:basedOn w:val="21"/>
    <w:link w:val="3"/>
    <w:qFormat/>
    <w:uiPriority w:val="9"/>
    <w:rPr>
      <w:rFonts w:asciiTheme="majorHAnsi" w:hAnsiTheme="majorHAnsi" w:eastAsiaTheme="majorEastAsia" w:cstheme="majorBidi"/>
      <w:color w:val="104862" w:themeColor="accent1" w:themeShade="BF"/>
      <w:sz w:val="40"/>
      <w:szCs w:val="40"/>
    </w:rPr>
  </w:style>
  <w:style w:type="character" w:customStyle="1" w:styleId="24">
    <w:name w:val="标题 3 字符"/>
    <w:basedOn w:val="21"/>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5">
    <w:name w:val="标题 4 字符"/>
    <w:basedOn w:val="21"/>
    <w:link w:val="5"/>
    <w:semiHidden/>
    <w:qFormat/>
    <w:uiPriority w:val="9"/>
    <w:rPr>
      <w:rFonts w:cstheme="majorBidi"/>
      <w:color w:val="104862" w:themeColor="accent1" w:themeShade="BF"/>
      <w:sz w:val="28"/>
      <w:szCs w:val="28"/>
    </w:rPr>
  </w:style>
  <w:style w:type="character" w:customStyle="1" w:styleId="26">
    <w:name w:val="标题 5 字符"/>
    <w:basedOn w:val="21"/>
    <w:link w:val="6"/>
    <w:semiHidden/>
    <w:qFormat/>
    <w:uiPriority w:val="9"/>
    <w:rPr>
      <w:rFonts w:cstheme="majorBidi"/>
      <w:color w:val="104862" w:themeColor="accent1" w:themeShade="BF"/>
      <w:sz w:val="24"/>
      <w:szCs w:val="24"/>
    </w:rPr>
  </w:style>
  <w:style w:type="character" w:customStyle="1" w:styleId="27">
    <w:name w:val="标题 6 字符"/>
    <w:basedOn w:val="21"/>
    <w:link w:val="7"/>
    <w:semiHidden/>
    <w:qFormat/>
    <w:uiPriority w:val="9"/>
    <w:rPr>
      <w:rFonts w:cstheme="majorBidi"/>
      <w:b/>
      <w:bCs/>
      <w:color w:val="104862" w:themeColor="accent1" w:themeShade="BF"/>
    </w:rPr>
  </w:style>
  <w:style w:type="character" w:customStyle="1" w:styleId="28">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21"/>
    <w:link w:val="16"/>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21"/>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21"/>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Intense Emphasis"/>
    <w:basedOn w:val="21"/>
    <w:qFormat/>
    <w:uiPriority w:val="21"/>
    <w:rPr>
      <w:i/>
      <w:iCs/>
      <w:color w:val="104862" w:themeColor="accent1" w:themeShade="BF"/>
    </w:rPr>
  </w:style>
  <w:style w:type="paragraph" w:styleId="37">
    <w:name w:val="Intense Quote"/>
    <w:basedOn w:val="1"/>
    <w:next w:val="1"/>
    <w:link w:val="38"/>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8">
    <w:name w:val="明显引用 字符"/>
    <w:basedOn w:val="21"/>
    <w:link w:val="37"/>
    <w:qFormat/>
    <w:uiPriority w:val="30"/>
    <w:rPr>
      <w:i/>
      <w:iCs/>
      <w:color w:val="104862" w:themeColor="accent1" w:themeShade="BF"/>
    </w:rPr>
  </w:style>
  <w:style w:type="character" w:customStyle="1" w:styleId="39">
    <w:name w:val="Intense Reference"/>
    <w:basedOn w:val="21"/>
    <w:qFormat/>
    <w:uiPriority w:val="32"/>
    <w:rPr>
      <w:b/>
      <w:bCs/>
      <w:smallCaps/>
      <w:color w:val="104862" w:themeColor="accent1" w:themeShade="BF"/>
      <w:spacing w:val="5"/>
    </w:rPr>
  </w:style>
  <w:style w:type="character" w:customStyle="1" w:styleId="40">
    <w:name w:val="标题 3 字符1"/>
    <w:basedOn w:val="21"/>
    <w:qFormat/>
    <w:locked/>
    <w:uiPriority w:val="99"/>
    <w:rPr>
      <w:rFonts w:cs="宋体"/>
      <w:b/>
      <w:bCs/>
      <w:sz w:val="24"/>
      <w:szCs w:val="28"/>
      <w:lang w:val="zh-CN"/>
    </w:rPr>
  </w:style>
  <w:style w:type="character" w:customStyle="1" w:styleId="41">
    <w:name w:val="正文文本 字符"/>
    <w:basedOn w:val="21"/>
    <w:link w:val="11"/>
    <w:qFormat/>
    <w:uiPriority w:val="99"/>
    <w:rPr>
      <w:rFonts w:ascii="Calibri" w:hAnsi="Calibri" w:eastAsia="宋体" w:cs="Times New Roman"/>
      <w:szCs w:val="24"/>
      <w14:ligatures w14:val="none"/>
    </w:rPr>
  </w:style>
  <w:style w:type="character" w:customStyle="1" w:styleId="42">
    <w:name w:val="正文文本首行缩进 字符"/>
    <w:basedOn w:val="41"/>
    <w:link w:val="17"/>
    <w:qFormat/>
    <w:uiPriority w:val="99"/>
    <w:rPr>
      <w:rFonts w:ascii="Times New Roman" w:hAnsi="Times New Roman" w:eastAsia="宋体" w:cs="宋体"/>
      <w:sz w:val="24"/>
      <w:szCs w:val="24"/>
      <w14:ligatures w14:val="none"/>
    </w:rPr>
  </w:style>
  <w:style w:type="character" w:customStyle="1" w:styleId="43">
    <w:name w:val="页眉 字符"/>
    <w:basedOn w:val="21"/>
    <w:link w:val="13"/>
    <w:qFormat/>
    <w:uiPriority w:val="99"/>
    <w:rPr>
      <w:rFonts w:ascii="Calibri" w:hAnsi="Calibri" w:eastAsia="宋体" w:cs="Times New Roman"/>
      <w:sz w:val="18"/>
      <w:szCs w:val="18"/>
      <w14:ligatures w14:val="none"/>
    </w:rPr>
  </w:style>
  <w:style w:type="character" w:customStyle="1" w:styleId="44">
    <w:name w:val="页脚 字符"/>
    <w:basedOn w:val="21"/>
    <w:link w:val="12"/>
    <w:qFormat/>
    <w:uiPriority w:val="99"/>
    <w:rPr>
      <w:rFonts w:ascii="Calibri" w:hAnsi="Calibri" w:eastAsia="宋体" w:cs="Times New Roman"/>
      <w:sz w:val="18"/>
      <w:szCs w:val="18"/>
      <w14:ligatures w14:val="none"/>
    </w:rPr>
  </w:style>
  <w:style w:type="paragraph" w:customStyle="1" w:styleId="45">
    <w:name w:val="正文-易恒"/>
    <w:basedOn w:val="1"/>
    <w:link w:val="46"/>
    <w:qFormat/>
    <w:uiPriority w:val="0"/>
    <w:pPr>
      <w:spacing w:line="360" w:lineRule="auto"/>
      <w:ind w:firstLine="200" w:firstLineChars="200"/>
      <w:jc w:val="left"/>
    </w:pPr>
    <w:rPr>
      <w:rFonts w:ascii="Times New Roman" w:hAnsi="Times New Roman"/>
      <w:color w:val="000000"/>
      <w:sz w:val="24"/>
    </w:rPr>
  </w:style>
  <w:style w:type="character" w:customStyle="1" w:styleId="46">
    <w:name w:val="正文-易恒 字符"/>
    <w:basedOn w:val="21"/>
    <w:link w:val="45"/>
    <w:qFormat/>
    <w:uiPriority w:val="0"/>
    <w:rPr>
      <w:rFonts w:ascii="Times New Roman" w:hAnsi="Times New Roman" w:eastAsia="宋体" w:cs="Times New Roman"/>
      <w:color w:val="000000"/>
      <w:sz w:val="24"/>
      <w:szCs w:val="24"/>
      <w14:ligatures w14:val="none"/>
    </w:rPr>
  </w:style>
  <w:style w:type="paragraph" w:customStyle="1" w:styleId="47">
    <w:name w:val="标题3-易恒"/>
    <w:basedOn w:val="4"/>
    <w:next w:val="45"/>
    <w:link w:val="48"/>
    <w:qFormat/>
    <w:uiPriority w:val="0"/>
    <w:pPr>
      <w:spacing w:before="0" w:after="0" w:line="360" w:lineRule="auto"/>
    </w:pPr>
    <w:rPr>
      <w:rFonts w:ascii="Times New Roman" w:hAnsi="Times New Roman" w:eastAsia="宋体" w:cs="Times New Roman"/>
      <w:b/>
      <w:bCs/>
      <w:sz w:val="24"/>
    </w:rPr>
  </w:style>
  <w:style w:type="character" w:customStyle="1" w:styleId="48">
    <w:name w:val="标题3-易恒 字符"/>
    <w:basedOn w:val="24"/>
    <w:link w:val="47"/>
    <w:qFormat/>
    <w:uiPriority w:val="0"/>
    <w:rPr>
      <w:rFonts w:ascii="Times New Roman" w:hAnsi="Times New Roman" w:eastAsia="宋体" w:cs="Times New Roman"/>
      <w:b/>
      <w:bCs/>
      <w:color w:val="104862" w:themeColor="accent1" w:themeShade="BF"/>
      <w:sz w:val="24"/>
      <w:szCs w:val="32"/>
      <w14:ligatures w14:val="none"/>
    </w:rPr>
  </w:style>
  <w:style w:type="paragraph" w:customStyle="1" w:styleId="49">
    <w:name w:val="标题2-易恒"/>
    <w:basedOn w:val="3"/>
    <w:next w:val="45"/>
    <w:link w:val="50"/>
    <w:qFormat/>
    <w:uiPriority w:val="0"/>
    <w:pPr>
      <w:spacing w:before="0" w:after="0" w:line="360" w:lineRule="auto"/>
    </w:pPr>
    <w:rPr>
      <w:rFonts w:ascii="Times New Roman" w:hAnsi="Times New Roman" w:eastAsia="宋体"/>
      <w:b/>
      <w:bCs/>
      <w:sz w:val="24"/>
      <w:szCs w:val="32"/>
    </w:rPr>
  </w:style>
  <w:style w:type="character" w:customStyle="1" w:styleId="50">
    <w:name w:val="标题2-易恒 字符"/>
    <w:basedOn w:val="23"/>
    <w:link w:val="49"/>
    <w:qFormat/>
    <w:uiPriority w:val="0"/>
    <w:rPr>
      <w:rFonts w:ascii="Times New Roman" w:hAnsi="Times New Roman" w:eastAsia="宋体" w:cstheme="majorBidi"/>
      <w:b/>
      <w:bCs/>
      <w:color w:val="104862" w:themeColor="accent1" w:themeShade="BF"/>
      <w:sz w:val="24"/>
      <w:szCs w:val="32"/>
      <w14:ligatures w14:val="none"/>
    </w:rPr>
  </w:style>
  <w:style w:type="paragraph" w:customStyle="1" w:styleId="51">
    <w:name w:val="S正文"/>
    <w:basedOn w:val="1"/>
    <w:link w:val="54"/>
    <w:qFormat/>
    <w:uiPriority w:val="0"/>
    <w:rPr>
      <w:lang w:val="zh-CN"/>
    </w:rPr>
  </w:style>
  <w:style w:type="paragraph" w:customStyle="1" w:styleId="52">
    <w:name w:val="S表正文"/>
    <w:basedOn w:val="16"/>
    <w:link w:val="57"/>
    <w:qFormat/>
    <w:uiPriority w:val="0"/>
    <w:pPr>
      <w:keepNext w:val="0"/>
      <w:keepLines w:val="0"/>
      <w:spacing w:before="0" w:beforeLines="0" w:after="0" w:afterLines="0"/>
    </w:pPr>
    <w:rPr>
      <w:sz w:val="21"/>
    </w:rPr>
  </w:style>
  <w:style w:type="paragraph" w:customStyle="1" w:styleId="53">
    <w:name w:val="S表标题"/>
    <w:next w:val="51"/>
    <w:qFormat/>
    <w:uiPriority w:val="0"/>
    <w:pPr>
      <w:keepNext/>
      <w:keepLines/>
      <w:widowControl w:val="0"/>
      <w:numPr>
        <w:ilvl w:val="4"/>
        <w:numId w:val="1"/>
      </w:numPr>
      <w:wordWrap w:val="0"/>
      <w:spacing w:before="50" w:beforeLines="50" w:after="50" w:afterLines="50"/>
      <w:ind w:left="0"/>
      <w:jc w:val="center"/>
    </w:pPr>
    <w:rPr>
      <w:rFonts w:ascii="Times New Roman" w:hAnsi="Times New Roman" w:eastAsia="宋体" w:cs="Times New Roman"/>
      <w:b/>
      <w:kern w:val="2"/>
      <w:sz w:val="21"/>
      <w:szCs w:val="32"/>
      <w:lang w:val="en-US" w:eastAsia="zh-CN" w:bidi="ar-SA"/>
    </w:rPr>
  </w:style>
  <w:style w:type="character" w:customStyle="1" w:styleId="54">
    <w:name w:val="S正文 字符"/>
    <w:link w:val="51"/>
    <w:qFormat/>
    <w:uiPriority w:val="0"/>
    <w:rPr>
      <w:lang w:val="zh-CN"/>
    </w:rPr>
  </w:style>
  <w:style w:type="table" w:customStyle="1" w:styleId="55">
    <w:name w:val="表格主题1"/>
    <w:basedOn w:val="18"/>
    <w:qFormat/>
    <w:uiPriority w:val="0"/>
    <w:pPr>
      <w:widowControl w:val="0"/>
      <w:jc w:val="both"/>
    </w:pPr>
    <w:rPr>
      <w:rFonts w:ascii="Times New Roman" w:hAnsi="Times New Roman" w:eastAsia="宋体"/>
    </w:rPr>
    <w:tblPr>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
    <w:trPr>
      <w:jc w:val="center"/>
    </w:trPr>
    <w:tcPr>
      <w:vAlign w:val="center"/>
    </w:tcPr>
    <w:tblStylePr w:type="firstRow">
      <w:rPr>
        <w:b/>
      </w:rPr>
      <w:tblPr/>
      <w:trPr>
        <w:tblHeader/>
      </w:trPr>
    </w:tblStylePr>
  </w:style>
  <w:style w:type="paragraph" w:customStyle="1" w:styleId="56">
    <w:name w:val="S图标题"/>
    <w:next w:val="1"/>
    <w:qFormat/>
    <w:uiPriority w:val="0"/>
    <w:pPr>
      <w:keepLines/>
      <w:widowControl w:val="0"/>
      <w:numPr>
        <w:ilvl w:val="5"/>
        <w:numId w:val="1"/>
      </w:numPr>
      <w:wordWrap w:val="0"/>
      <w:spacing w:before="50" w:beforeLines="50" w:after="50" w:afterLines="50"/>
      <w:ind w:left="0"/>
      <w:jc w:val="center"/>
    </w:pPr>
    <w:rPr>
      <w:rFonts w:ascii="Times New Roman" w:hAnsi="Times New Roman" w:eastAsia="宋体" w:cs="Times New Roman"/>
      <w:b/>
      <w:kern w:val="2"/>
      <w:sz w:val="21"/>
      <w:szCs w:val="32"/>
      <w:lang w:val="en-US" w:eastAsia="zh-CN" w:bidi="ar-SA"/>
    </w:rPr>
  </w:style>
  <w:style w:type="character" w:customStyle="1" w:styleId="57">
    <w:name w:val="S表正文 字符"/>
    <w:link w:val="52"/>
    <w:qFormat/>
    <w:uiPriority w:val="0"/>
    <w:rPr>
      <w:sz w:val="21"/>
    </w:rPr>
  </w:style>
  <w:style w:type="paragraph" w:customStyle="1" w:styleId="58">
    <w:name w:val="C正文"/>
    <w:basedOn w:val="1"/>
    <w:qFormat/>
    <w:uiPriority w:val="0"/>
    <w:rPr>
      <w:kern w:val="0"/>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7323</Words>
  <Characters>8147</Characters>
  <Lines>57</Lines>
  <Paragraphs>16</Paragraphs>
  <TotalTime>0</TotalTime>
  <ScaleCrop>false</ScaleCrop>
  <LinksUpToDate>false</LinksUpToDate>
  <CharactersWithSpaces>8201</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2024-12-16T19:52:00Z</dcterms:created>
  <dc:creator>hui xiong</dc:creator>
  <cp:lastModifiedBy>kylin</cp:lastModifiedBy>
  <dcterms:modified xsi:type="dcterms:W3CDTF">2025-04-17T11:06:34Z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0251A84F2B894296838415E099AA58BC_12</vt:lpwstr>
  </property>
</Properties>
</file>