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b/>
          <w:sz w:val="30"/>
        </w:rPr>
      </w:pPr>
      <w:r>
        <w:rPr>
          <w:rFonts w:eastAsia="黑体"/>
          <w:b/>
          <w:sz w:val="30"/>
        </w:rPr>
        <w:t>建设项目基本情况</w:t>
      </w:r>
    </w:p>
    <w:tbl>
      <w:tblPr>
        <w:tblStyle w:val="11"/>
        <w:tblW w:w="960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35"/>
        <w:gridCol w:w="732"/>
        <w:gridCol w:w="524"/>
        <w:gridCol w:w="817"/>
        <w:gridCol w:w="887"/>
        <w:gridCol w:w="118"/>
        <w:gridCol w:w="295"/>
        <w:gridCol w:w="1317"/>
        <w:gridCol w:w="237"/>
        <w:gridCol w:w="23"/>
        <w:gridCol w:w="1957"/>
        <w:gridCol w:w="81"/>
        <w:gridCol w:w="11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 w:hRule="atLeast"/>
          <w:jc w:val="center"/>
        </w:trPr>
        <w:tc>
          <w:tcPr>
            <w:tcW w:w="1435" w:type="dxa"/>
            <w:vAlign w:val="center"/>
          </w:tcPr>
          <w:p>
            <w:pPr>
              <w:jc w:val="center"/>
              <w:rPr>
                <w:sz w:val="28"/>
              </w:rPr>
            </w:pPr>
            <w:r>
              <w:rPr>
                <w:sz w:val="28"/>
              </w:rPr>
              <w:t>项目名称</w:t>
            </w:r>
          </w:p>
        </w:tc>
        <w:tc>
          <w:tcPr>
            <w:tcW w:w="8165" w:type="dxa"/>
            <w:gridSpan w:val="12"/>
            <w:vAlign w:val="center"/>
          </w:tcPr>
          <w:p>
            <w:pPr>
              <w:jc w:val="center"/>
              <w:rPr>
                <w:kern w:val="0"/>
                <w:sz w:val="28"/>
              </w:rPr>
            </w:pPr>
            <w:r>
              <w:rPr>
                <w:sz w:val="28"/>
              </w:rPr>
              <w:t>邵阳市2017年第一批输变电工程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 w:hRule="atLeast"/>
          <w:jc w:val="center"/>
        </w:trPr>
        <w:tc>
          <w:tcPr>
            <w:tcW w:w="1435" w:type="dxa"/>
            <w:vAlign w:val="center"/>
          </w:tcPr>
          <w:p>
            <w:pPr>
              <w:jc w:val="center"/>
              <w:rPr>
                <w:sz w:val="28"/>
              </w:rPr>
            </w:pPr>
            <w:r>
              <w:rPr>
                <w:sz w:val="28"/>
              </w:rPr>
              <w:t>建设单位</w:t>
            </w:r>
          </w:p>
        </w:tc>
        <w:tc>
          <w:tcPr>
            <w:tcW w:w="8165" w:type="dxa"/>
            <w:gridSpan w:val="12"/>
            <w:vAlign w:val="center"/>
          </w:tcPr>
          <w:p>
            <w:pPr>
              <w:widowControl/>
              <w:jc w:val="center"/>
              <w:rPr>
                <w:sz w:val="28"/>
              </w:rPr>
            </w:pPr>
            <w:r>
              <w:rPr>
                <w:sz w:val="28"/>
              </w:rPr>
              <w:t>国网湖南省电力公司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 w:hRule="atLeast"/>
          <w:jc w:val="center"/>
        </w:trPr>
        <w:tc>
          <w:tcPr>
            <w:tcW w:w="1435" w:type="dxa"/>
            <w:vAlign w:val="center"/>
          </w:tcPr>
          <w:p>
            <w:pPr>
              <w:jc w:val="center"/>
              <w:rPr>
                <w:sz w:val="28"/>
              </w:rPr>
            </w:pPr>
            <w:r>
              <w:rPr>
                <w:sz w:val="28"/>
              </w:rPr>
              <w:t>法人代表</w:t>
            </w:r>
          </w:p>
        </w:tc>
        <w:tc>
          <w:tcPr>
            <w:tcW w:w="3078" w:type="dxa"/>
            <w:gridSpan w:val="5"/>
            <w:vAlign w:val="center"/>
          </w:tcPr>
          <w:p>
            <w:pPr>
              <w:jc w:val="center"/>
              <w:rPr>
                <w:sz w:val="28"/>
              </w:rPr>
            </w:pPr>
            <w:r>
              <w:rPr>
                <w:kern w:val="0"/>
                <w:sz w:val="28"/>
                <w:szCs w:val="28"/>
              </w:rPr>
              <w:t>周安春</w:t>
            </w:r>
          </w:p>
        </w:tc>
        <w:tc>
          <w:tcPr>
            <w:tcW w:w="1849" w:type="dxa"/>
            <w:gridSpan w:val="3"/>
            <w:vAlign w:val="center"/>
          </w:tcPr>
          <w:p>
            <w:pPr>
              <w:jc w:val="center"/>
              <w:rPr>
                <w:sz w:val="28"/>
              </w:rPr>
            </w:pPr>
            <w:r>
              <w:rPr>
                <w:sz w:val="28"/>
              </w:rPr>
              <w:t>联系人</w:t>
            </w:r>
          </w:p>
        </w:tc>
        <w:tc>
          <w:tcPr>
            <w:tcW w:w="3238" w:type="dxa"/>
            <w:gridSpan w:val="4"/>
            <w:vAlign w:val="center"/>
          </w:tcPr>
          <w:p>
            <w:pPr>
              <w:widowControl/>
              <w:jc w:val="center"/>
              <w:rPr>
                <w:kern w:val="0"/>
                <w:szCs w:val="21"/>
              </w:rPr>
            </w:pPr>
            <w:r>
              <w:rPr>
                <w:sz w:val="28"/>
              </w:rPr>
              <w:t>杨旭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 w:hRule="atLeast"/>
          <w:jc w:val="center"/>
        </w:trPr>
        <w:tc>
          <w:tcPr>
            <w:tcW w:w="1435" w:type="dxa"/>
            <w:vAlign w:val="center"/>
          </w:tcPr>
          <w:p>
            <w:pPr>
              <w:jc w:val="center"/>
              <w:rPr>
                <w:sz w:val="28"/>
              </w:rPr>
            </w:pPr>
            <w:r>
              <w:rPr>
                <w:sz w:val="28"/>
              </w:rPr>
              <w:t>通讯地址</w:t>
            </w:r>
          </w:p>
        </w:tc>
        <w:tc>
          <w:tcPr>
            <w:tcW w:w="8165" w:type="dxa"/>
            <w:gridSpan w:val="12"/>
            <w:vAlign w:val="center"/>
          </w:tcPr>
          <w:p>
            <w:pPr>
              <w:jc w:val="center"/>
              <w:rPr>
                <w:kern w:val="0"/>
                <w:sz w:val="28"/>
                <w:szCs w:val="28"/>
              </w:rPr>
            </w:pPr>
            <w:r>
              <w:rPr>
                <w:kern w:val="0"/>
                <w:sz w:val="28"/>
                <w:szCs w:val="28"/>
              </w:rPr>
              <w:t>湖南省长沙市新韶东路398号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 w:hRule="atLeast"/>
          <w:jc w:val="center"/>
        </w:trPr>
        <w:tc>
          <w:tcPr>
            <w:tcW w:w="1435" w:type="dxa"/>
            <w:vAlign w:val="center"/>
          </w:tcPr>
          <w:p>
            <w:pPr>
              <w:jc w:val="center"/>
              <w:rPr>
                <w:sz w:val="28"/>
              </w:rPr>
            </w:pPr>
            <w:r>
              <w:rPr>
                <w:sz w:val="28"/>
              </w:rPr>
              <w:t>联系电话</w:t>
            </w:r>
          </w:p>
        </w:tc>
        <w:tc>
          <w:tcPr>
            <w:tcW w:w="2073" w:type="dxa"/>
            <w:gridSpan w:val="3"/>
            <w:vAlign w:val="center"/>
          </w:tcPr>
          <w:p>
            <w:pPr>
              <w:jc w:val="center"/>
              <w:rPr>
                <w:kern w:val="0"/>
                <w:sz w:val="28"/>
                <w:szCs w:val="28"/>
              </w:rPr>
            </w:pPr>
            <w:r>
              <w:rPr>
                <w:kern w:val="0"/>
                <w:sz w:val="28"/>
                <w:szCs w:val="28"/>
              </w:rPr>
              <w:t>0731-85543679</w:t>
            </w:r>
          </w:p>
        </w:tc>
        <w:tc>
          <w:tcPr>
            <w:tcW w:w="887" w:type="dxa"/>
            <w:vAlign w:val="center"/>
          </w:tcPr>
          <w:p>
            <w:pPr>
              <w:jc w:val="center"/>
              <w:rPr>
                <w:kern w:val="0"/>
                <w:sz w:val="28"/>
                <w:szCs w:val="28"/>
              </w:rPr>
            </w:pPr>
            <w:r>
              <w:rPr>
                <w:kern w:val="0"/>
                <w:sz w:val="28"/>
                <w:szCs w:val="28"/>
              </w:rPr>
              <w:t>传真</w:t>
            </w:r>
          </w:p>
        </w:tc>
        <w:tc>
          <w:tcPr>
            <w:tcW w:w="1990" w:type="dxa"/>
            <w:gridSpan w:val="5"/>
            <w:vAlign w:val="center"/>
          </w:tcPr>
          <w:p>
            <w:pPr>
              <w:jc w:val="center"/>
              <w:rPr>
                <w:kern w:val="0"/>
                <w:sz w:val="28"/>
                <w:szCs w:val="28"/>
              </w:rPr>
            </w:pPr>
            <w:r>
              <w:rPr>
                <w:kern w:val="0"/>
                <w:sz w:val="28"/>
                <w:szCs w:val="28"/>
              </w:rPr>
              <w:t>0731-85543679</w:t>
            </w:r>
          </w:p>
        </w:tc>
        <w:tc>
          <w:tcPr>
            <w:tcW w:w="1957" w:type="dxa"/>
            <w:vAlign w:val="center"/>
          </w:tcPr>
          <w:p>
            <w:pPr>
              <w:jc w:val="center"/>
              <w:rPr>
                <w:kern w:val="0"/>
                <w:sz w:val="28"/>
                <w:szCs w:val="28"/>
              </w:rPr>
            </w:pPr>
            <w:r>
              <w:rPr>
                <w:kern w:val="0"/>
                <w:sz w:val="28"/>
                <w:szCs w:val="28"/>
              </w:rPr>
              <w:t>邮政编码</w:t>
            </w:r>
          </w:p>
        </w:tc>
        <w:tc>
          <w:tcPr>
            <w:tcW w:w="1258" w:type="dxa"/>
            <w:gridSpan w:val="2"/>
            <w:vAlign w:val="center"/>
          </w:tcPr>
          <w:p>
            <w:pPr>
              <w:jc w:val="center"/>
              <w:rPr>
                <w:kern w:val="0"/>
                <w:sz w:val="28"/>
                <w:szCs w:val="28"/>
              </w:rPr>
            </w:pPr>
            <w:r>
              <w:rPr>
                <w:kern w:val="0"/>
                <w:sz w:val="28"/>
                <w:szCs w:val="28"/>
              </w:rPr>
              <w:t>410007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6" w:hRule="atLeast"/>
          <w:jc w:val="center"/>
        </w:trPr>
        <w:tc>
          <w:tcPr>
            <w:tcW w:w="1435" w:type="dxa"/>
            <w:vAlign w:val="center"/>
          </w:tcPr>
          <w:p>
            <w:pPr>
              <w:jc w:val="center"/>
              <w:rPr>
                <w:sz w:val="28"/>
              </w:rPr>
            </w:pPr>
            <w:r>
              <w:rPr>
                <w:sz w:val="28"/>
              </w:rPr>
              <w:t>建设地点</w:t>
            </w:r>
          </w:p>
        </w:tc>
        <w:tc>
          <w:tcPr>
            <w:tcW w:w="8165" w:type="dxa"/>
            <w:gridSpan w:val="12"/>
            <w:vAlign w:val="center"/>
          </w:tcPr>
          <w:p>
            <w:pPr>
              <w:jc w:val="center"/>
              <w:rPr>
                <w:sz w:val="28"/>
              </w:rPr>
            </w:pPr>
            <w:r>
              <w:rPr>
                <w:sz w:val="28"/>
              </w:rPr>
              <w:t>邵阳市大祥区、隆回县、洞口县、邵东县、邵阳县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 w:hRule="atLeast"/>
          <w:jc w:val="center"/>
        </w:trPr>
        <w:tc>
          <w:tcPr>
            <w:tcW w:w="2167" w:type="dxa"/>
            <w:gridSpan w:val="2"/>
            <w:vAlign w:val="center"/>
          </w:tcPr>
          <w:p>
            <w:pPr>
              <w:jc w:val="center"/>
              <w:rPr>
                <w:sz w:val="28"/>
              </w:rPr>
            </w:pPr>
            <w:r>
              <w:rPr>
                <w:sz w:val="28"/>
              </w:rPr>
              <w:t>立项审批部门</w:t>
            </w:r>
          </w:p>
        </w:tc>
        <w:tc>
          <w:tcPr>
            <w:tcW w:w="2641" w:type="dxa"/>
            <w:gridSpan w:val="5"/>
            <w:vAlign w:val="center"/>
          </w:tcPr>
          <w:p>
            <w:pPr>
              <w:jc w:val="center"/>
              <w:rPr>
                <w:sz w:val="28"/>
                <w:szCs w:val="28"/>
              </w:rPr>
            </w:pPr>
            <w:r>
              <w:rPr>
                <w:sz w:val="28"/>
                <w:szCs w:val="28"/>
              </w:rPr>
              <w:t>湖南省电力公司</w:t>
            </w:r>
          </w:p>
        </w:tc>
        <w:tc>
          <w:tcPr>
            <w:tcW w:w="1577" w:type="dxa"/>
            <w:gridSpan w:val="3"/>
            <w:vAlign w:val="center"/>
          </w:tcPr>
          <w:p>
            <w:pPr>
              <w:jc w:val="center"/>
              <w:rPr>
                <w:sz w:val="28"/>
              </w:rPr>
            </w:pPr>
            <w:r>
              <w:rPr>
                <w:sz w:val="28"/>
              </w:rPr>
              <w:t>批准文号</w:t>
            </w:r>
          </w:p>
        </w:tc>
        <w:tc>
          <w:tcPr>
            <w:tcW w:w="3215" w:type="dxa"/>
            <w:gridSpan w:val="3"/>
            <w:vAlign w:val="center"/>
          </w:tcPr>
          <w:p>
            <w:pPr>
              <w:pStyle w:val="12"/>
              <w:jc w:val="center"/>
              <w:rPr>
                <w:sz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6" w:hRule="atLeast"/>
          <w:jc w:val="center"/>
        </w:trPr>
        <w:tc>
          <w:tcPr>
            <w:tcW w:w="1435" w:type="dxa"/>
            <w:vAlign w:val="center"/>
          </w:tcPr>
          <w:p>
            <w:pPr>
              <w:jc w:val="center"/>
              <w:rPr>
                <w:sz w:val="28"/>
                <w:szCs w:val="28"/>
              </w:rPr>
            </w:pPr>
            <w:r>
              <w:rPr>
                <w:sz w:val="28"/>
                <w:szCs w:val="28"/>
              </w:rPr>
              <w:t>建设性质</w:t>
            </w:r>
          </w:p>
        </w:tc>
        <w:tc>
          <w:tcPr>
            <w:tcW w:w="3373" w:type="dxa"/>
            <w:gridSpan w:val="6"/>
            <w:vAlign w:val="center"/>
          </w:tcPr>
          <w:p>
            <w:pPr>
              <w:jc w:val="center"/>
              <w:textAlignment w:val="baseline"/>
              <w:rPr>
                <w:sz w:val="28"/>
                <w:szCs w:val="28"/>
              </w:rPr>
            </w:pPr>
            <w:r>
              <w:rPr>
                <w:sz w:val="28"/>
                <w:szCs w:val="28"/>
              </w:rPr>
              <w:t>新建</w:t>
            </w:r>
            <w:r>
              <w:rPr>
                <w:szCs w:val="21"/>
                <w:bdr w:val="single" w:color="auto" w:sz="4" w:space="0"/>
              </w:rPr>
              <w:t>√</w:t>
            </w:r>
            <w:r>
              <w:rPr>
                <w:sz w:val="28"/>
                <w:szCs w:val="28"/>
              </w:rPr>
              <w:t>改建</w:t>
            </w:r>
            <w:r>
              <w:rPr>
                <w:szCs w:val="21"/>
                <w:bdr w:val="single" w:color="auto" w:sz="4" w:space="0"/>
              </w:rPr>
              <w:t>√</w:t>
            </w:r>
            <w:r>
              <w:rPr>
                <w:sz w:val="28"/>
                <w:szCs w:val="28"/>
              </w:rPr>
              <w:t>技改</w:t>
            </w:r>
            <w:r>
              <w:rPr>
                <w:sz w:val="28"/>
              </w:rPr>
              <w:t>□</w:t>
            </w:r>
          </w:p>
        </w:tc>
        <w:tc>
          <w:tcPr>
            <w:tcW w:w="1577" w:type="dxa"/>
            <w:gridSpan w:val="3"/>
            <w:vAlign w:val="center"/>
          </w:tcPr>
          <w:p>
            <w:pPr>
              <w:jc w:val="center"/>
              <w:rPr>
                <w:sz w:val="28"/>
                <w:szCs w:val="28"/>
              </w:rPr>
            </w:pPr>
            <w:r>
              <w:rPr>
                <w:sz w:val="28"/>
                <w:szCs w:val="28"/>
              </w:rPr>
              <w:t>行业类别</w:t>
            </w:r>
          </w:p>
          <w:p>
            <w:pPr>
              <w:jc w:val="center"/>
              <w:rPr>
                <w:sz w:val="28"/>
                <w:szCs w:val="28"/>
              </w:rPr>
            </w:pPr>
            <w:r>
              <w:rPr>
                <w:sz w:val="28"/>
                <w:szCs w:val="28"/>
              </w:rPr>
              <w:t>及代码</w:t>
            </w:r>
          </w:p>
        </w:tc>
        <w:tc>
          <w:tcPr>
            <w:tcW w:w="3215" w:type="dxa"/>
            <w:gridSpan w:val="3"/>
            <w:vAlign w:val="center"/>
          </w:tcPr>
          <w:p>
            <w:pPr>
              <w:jc w:val="center"/>
              <w:rPr>
                <w:sz w:val="28"/>
                <w:szCs w:val="28"/>
              </w:rPr>
            </w:pPr>
            <w:r>
              <w:rPr>
                <w:sz w:val="28"/>
                <w:szCs w:val="28"/>
              </w:rPr>
              <w:t>电力供应D4420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 w:hRule="atLeast"/>
          <w:jc w:val="center"/>
        </w:trPr>
        <w:tc>
          <w:tcPr>
            <w:tcW w:w="1435" w:type="dxa"/>
            <w:vAlign w:val="center"/>
          </w:tcPr>
          <w:p>
            <w:pPr>
              <w:jc w:val="center"/>
              <w:rPr>
                <w:sz w:val="28"/>
                <w:szCs w:val="28"/>
              </w:rPr>
            </w:pPr>
            <w:r>
              <w:rPr>
                <w:sz w:val="28"/>
                <w:szCs w:val="28"/>
              </w:rPr>
              <w:t>占地面积</w:t>
            </w:r>
          </w:p>
          <w:p>
            <w:pPr>
              <w:jc w:val="center"/>
              <w:rPr>
                <w:sz w:val="28"/>
                <w:szCs w:val="28"/>
              </w:rPr>
            </w:pPr>
            <w:r>
              <w:rPr>
                <w:sz w:val="28"/>
                <w:szCs w:val="28"/>
              </w:rPr>
              <w:t>（平方m）</w:t>
            </w:r>
          </w:p>
        </w:tc>
        <w:tc>
          <w:tcPr>
            <w:tcW w:w="3373" w:type="dxa"/>
            <w:gridSpan w:val="6"/>
            <w:vAlign w:val="center"/>
          </w:tcPr>
          <w:p>
            <w:pPr>
              <w:jc w:val="center"/>
              <w:rPr>
                <w:sz w:val="28"/>
                <w:szCs w:val="28"/>
              </w:rPr>
            </w:pPr>
            <w:r>
              <w:rPr>
                <w:sz w:val="28"/>
                <w:szCs w:val="28"/>
              </w:rPr>
              <w:t>5279</w:t>
            </w:r>
          </w:p>
        </w:tc>
        <w:tc>
          <w:tcPr>
            <w:tcW w:w="1577" w:type="dxa"/>
            <w:gridSpan w:val="3"/>
            <w:vAlign w:val="center"/>
          </w:tcPr>
          <w:p>
            <w:pPr>
              <w:jc w:val="center"/>
              <w:rPr>
                <w:sz w:val="28"/>
                <w:szCs w:val="28"/>
              </w:rPr>
            </w:pPr>
            <w:r>
              <w:rPr>
                <w:sz w:val="28"/>
                <w:szCs w:val="28"/>
              </w:rPr>
              <w:t>绿化面积</w:t>
            </w:r>
          </w:p>
          <w:p>
            <w:pPr>
              <w:jc w:val="center"/>
              <w:rPr>
                <w:sz w:val="28"/>
                <w:szCs w:val="28"/>
              </w:rPr>
            </w:pPr>
            <w:r>
              <w:rPr>
                <w:sz w:val="28"/>
                <w:szCs w:val="28"/>
              </w:rPr>
              <w:t>（平方m）</w:t>
            </w:r>
          </w:p>
        </w:tc>
        <w:tc>
          <w:tcPr>
            <w:tcW w:w="3215" w:type="dxa"/>
            <w:gridSpan w:val="3"/>
            <w:vAlign w:val="center"/>
          </w:tcPr>
          <w:p>
            <w:pPr>
              <w:jc w:val="center"/>
              <w:rPr>
                <w:sz w:val="28"/>
                <w:szCs w:val="28"/>
              </w:rPr>
            </w:pPr>
            <w:r>
              <w:rPr>
                <w:sz w:val="28"/>
                <w:szCs w:val="28"/>
              </w:rPr>
              <w:t>3260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5" w:hRule="atLeast"/>
          <w:jc w:val="center"/>
        </w:trPr>
        <w:tc>
          <w:tcPr>
            <w:tcW w:w="1435" w:type="dxa"/>
            <w:vAlign w:val="center"/>
          </w:tcPr>
          <w:p>
            <w:pPr>
              <w:jc w:val="center"/>
              <w:rPr>
                <w:sz w:val="28"/>
                <w:szCs w:val="28"/>
              </w:rPr>
            </w:pPr>
            <w:r>
              <w:rPr>
                <w:sz w:val="28"/>
                <w:szCs w:val="28"/>
              </w:rPr>
              <w:t>总投资</w:t>
            </w:r>
          </w:p>
          <w:p>
            <w:pPr>
              <w:jc w:val="center"/>
              <w:rPr>
                <w:sz w:val="28"/>
                <w:szCs w:val="28"/>
              </w:rPr>
            </w:pPr>
            <w:r>
              <w:rPr>
                <w:sz w:val="28"/>
                <w:szCs w:val="28"/>
              </w:rPr>
              <w:t>（万元）</w:t>
            </w:r>
          </w:p>
        </w:tc>
        <w:tc>
          <w:tcPr>
            <w:tcW w:w="1256" w:type="dxa"/>
            <w:gridSpan w:val="2"/>
            <w:vAlign w:val="center"/>
          </w:tcPr>
          <w:p>
            <w:pPr>
              <w:jc w:val="center"/>
              <w:rPr>
                <w:sz w:val="28"/>
                <w:szCs w:val="28"/>
              </w:rPr>
            </w:pPr>
            <w:r>
              <w:rPr>
                <w:sz w:val="28"/>
                <w:szCs w:val="28"/>
              </w:rPr>
              <w:t>11736.88</w:t>
            </w:r>
          </w:p>
        </w:tc>
        <w:tc>
          <w:tcPr>
            <w:tcW w:w="2117" w:type="dxa"/>
            <w:gridSpan w:val="4"/>
            <w:vAlign w:val="center"/>
          </w:tcPr>
          <w:p>
            <w:pPr>
              <w:jc w:val="center"/>
              <w:rPr>
                <w:sz w:val="28"/>
                <w:szCs w:val="28"/>
              </w:rPr>
            </w:pPr>
            <w:r>
              <w:rPr>
                <w:sz w:val="28"/>
                <w:szCs w:val="28"/>
              </w:rPr>
              <w:t>其中：环保投资（万元）</w:t>
            </w:r>
          </w:p>
        </w:tc>
        <w:tc>
          <w:tcPr>
            <w:tcW w:w="1317" w:type="dxa"/>
            <w:vAlign w:val="center"/>
          </w:tcPr>
          <w:p>
            <w:pPr>
              <w:jc w:val="center"/>
              <w:rPr>
                <w:rFonts w:hint="eastAsia"/>
                <w:sz w:val="28"/>
                <w:szCs w:val="28"/>
              </w:rPr>
            </w:pPr>
            <w:r>
              <w:rPr>
                <w:rFonts w:hint="eastAsia"/>
                <w:sz w:val="28"/>
                <w:szCs w:val="28"/>
              </w:rPr>
              <w:t>411.9</w:t>
            </w:r>
          </w:p>
        </w:tc>
        <w:tc>
          <w:tcPr>
            <w:tcW w:w="2298" w:type="dxa"/>
            <w:gridSpan w:val="4"/>
            <w:vAlign w:val="center"/>
          </w:tcPr>
          <w:p>
            <w:pPr>
              <w:jc w:val="center"/>
              <w:rPr>
                <w:sz w:val="28"/>
                <w:szCs w:val="28"/>
              </w:rPr>
            </w:pPr>
            <w:r>
              <w:rPr>
                <w:sz w:val="28"/>
                <w:szCs w:val="28"/>
              </w:rPr>
              <w:t>环保投资占总投资比例</w:t>
            </w:r>
          </w:p>
        </w:tc>
        <w:tc>
          <w:tcPr>
            <w:tcW w:w="1177" w:type="dxa"/>
            <w:vAlign w:val="center"/>
          </w:tcPr>
          <w:p>
            <w:pPr>
              <w:jc w:val="center"/>
              <w:rPr>
                <w:sz w:val="28"/>
                <w:szCs w:val="28"/>
              </w:rPr>
            </w:pPr>
            <w:r>
              <w:rPr>
                <w:rFonts w:hint="eastAsia"/>
                <w:sz w:val="28"/>
                <w:szCs w:val="28"/>
              </w:rPr>
              <w:t>3.5</w:t>
            </w:r>
            <w:r>
              <w:rPr>
                <w:sz w:val="28"/>
                <w:szCs w:val="2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1435" w:type="dxa"/>
            <w:vAlign w:val="center"/>
          </w:tcPr>
          <w:p>
            <w:pPr>
              <w:jc w:val="center"/>
              <w:rPr>
                <w:sz w:val="28"/>
                <w:szCs w:val="28"/>
              </w:rPr>
            </w:pPr>
            <w:r>
              <w:rPr>
                <w:sz w:val="28"/>
                <w:szCs w:val="28"/>
              </w:rPr>
              <w:t>评价经费</w:t>
            </w:r>
          </w:p>
          <w:p>
            <w:pPr>
              <w:jc w:val="center"/>
              <w:rPr>
                <w:sz w:val="28"/>
                <w:szCs w:val="28"/>
              </w:rPr>
            </w:pPr>
            <w:r>
              <w:rPr>
                <w:sz w:val="28"/>
                <w:szCs w:val="28"/>
              </w:rPr>
              <w:t>（万元）</w:t>
            </w:r>
          </w:p>
        </w:tc>
        <w:tc>
          <w:tcPr>
            <w:tcW w:w="1256" w:type="dxa"/>
            <w:gridSpan w:val="2"/>
            <w:vAlign w:val="center"/>
          </w:tcPr>
          <w:p>
            <w:pPr>
              <w:jc w:val="center"/>
              <w:rPr>
                <w:sz w:val="28"/>
                <w:szCs w:val="28"/>
              </w:rPr>
            </w:pPr>
          </w:p>
        </w:tc>
        <w:tc>
          <w:tcPr>
            <w:tcW w:w="2117" w:type="dxa"/>
            <w:gridSpan w:val="4"/>
            <w:vAlign w:val="center"/>
          </w:tcPr>
          <w:p>
            <w:pPr>
              <w:jc w:val="center"/>
              <w:rPr>
                <w:sz w:val="28"/>
                <w:szCs w:val="28"/>
              </w:rPr>
            </w:pPr>
            <w:r>
              <w:rPr>
                <w:sz w:val="28"/>
                <w:szCs w:val="28"/>
              </w:rPr>
              <w:t>预期投产日期</w:t>
            </w:r>
          </w:p>
        </w:tc>
        <w:tc>
          <w:tcPr>
            <w:tcW w:w="4792" w:type="dxa"/>
            <w:gridSpan w:val="6"/>
            <w:vAlign w:val="center"/>
          </w:tcPr>
          <w:p>
            <w:pPr>
              <w:jc w:val="center"/>
              <w:rPr>
                <w:sz w:val="28"/>
                <w:szCs w:val="28"/>
              </w:rPr>
            </w:pPr>
            <w:r>
              <w:rPr>
                <w:sz w:val="28"/>
                <w:szCs w:val="28"/>
              </w:rPr>
              <w:t>2018年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9600" w:type="dxa"/>
            <w:gridSpan w:val="13"/>
            <w:vAlign w:val="center"/>
          </w:tcPr>
          <w:p>
            <w:pPr>
              <w:spacing w:line="360" w:lineRule="auto"/>
              <w:ind w:right="101" w:rightChars="48"/>
              <w:rPr>
                <w:kern w:val="0"/>
                <w:sz w:val="28"/>
                <w:szCs w:val="28"/>
              </w:rPr>
            </w:pPr>
            <w:r>
              <w:rPr>
                <w:kern w:val="0"/>
                <w:sz w:val="28"/>
                <w:szCs w:val="28"/>
              </w:rPr>
              <w:t>1 项目概况</w:t>
            </w:r>
          </w:p>
          <w:p>
            <w:pPr>
              <w:tabs>
                <w:tab w:val="left" w:pos="720"/>
              </w:tabs>
              <w:spacing w:line="360" w:lineRule="auto"/>
              <w:ind w:firstLine="560" w:firstLineChars="200"/>
              <w:rPr>
                <w:kern w:val="0"/>
                <w:sz w:val="28"/>
                <w:szCs w:val="28"/>
              </w:rPr>
            </w:pPr>
            <w:r>
              <w:rPr>
                <w:kern w:val="0"/>
                <w:sz w:val="28"/>
                <w:szCs w:val="28"/>
              </w:rPr>
              <w:t>邵阳市2017年第一批输变电工程包括邵阳隆回县城东110kV输变电工程、邵阳洞口县高沙110kV变电站2#主变扩建工程、邵阳宝莲二期风电110kV送出工程、邵阳邵东县黄陂桥110kV变电站2#主变扩建工程、邵阳县大岭110kV变电站2#主变扩建工程、邵阳大唐华银绥宁宝鼎山风电二期三期110kV送出工程、隆回金坪110kV风电送出工程及邵阳六岭110kV输变电工程。</w:t>
            </w:r>
          </w:p>
          <w:p>
            <w:pPr>
              <w:numPr>
                <w:ilvl w:val="1"/>
                <w:numId w:val="1"/>
              </w:numPr>
              <w:spacing w:line="360" w:lineRule="auto"/>
              <w:rPr>
                <w:kern w:val="0"/>
                <w:sz w:val="28"/>
                <w:szCs w:val="28"/>
              </w:rPr>
            </w:pPr>
            <w:r>
              <w:rPr>
                <w:rFonts w:hint="eastAsia"/>
                <w:kern w:val="0"/>
                <w:sz w:val="28"/>
                <w:szCs w:val="28"/>
              </w:rPr>
              <w:t xml:space="preserve"> </w:t>
            </w:r>
            <w:r>
              <w:rPr>
                <w:kern w:val="0"/>
                <w:sz w:val="28"/>
                <w:szCs w:val="28"/>
              </w:rPr>
              <w:t>项目建设必要性</w:t>
            </w:r>
          </w:p>
          <w:p>
            <w:pPr>
              <w:tabs>
                <w:tab w:val="left" w:pos="720"/>
              </w:tabs>
              <w:spacing w:line="360" w:lineRule="auto"/>
              <w:rPr>
                <w:kern w:val="0"/>
                <w:sz w:val="28"/>
                <w:szCs w:val="28"/>
              </w:rPr>
            </w:pPr>
            <w:r>
              <w:rPr>
                <w:kern w:val="0"/>
                <w:sz w:val="28"/>
                <w:szCs w:val="28"/>
              </w:rPr>
              <w:t>（1）邵阳隆回县城东110kV输变电工程</w:t>
            </w:r>
          </w:p>
          <w:p>
            <w:pPr>
              <w:tabs>
                <w:tab w:val="left" w:pos="720"/>
              </w:tabs>
              <w:spacing w:line="360" w:lineRule="auto"/>
              <w:ind w:firstLine="560" w:firstLineChars="200"/>
              <w:rPr>
                <w:sz w:val="28"/>
                <w:szCs w:val="28"/>
              </w:rPr>
            </w:pPr>
            <w:r>
              <w:rPr>
                <w:kern w:val="0"/>
                <w:sz w:val="28"/>
                <w:szCs w:val="28"/>
              </w:rPr>
              <w:t>隆回县城现由茶山及寺山二座110 kV变电站、一座35 kV桃花坪变电站供电。茶山变已接近满载，寺山变负载率约50%，桃花坪变负载率约83.4%，负责向县城供电的各变电站剩余容量不足，无法满足县城的负荷发展需求。县城东部线路普遍存在供电半径过长问题，供电质量不佳。35kV桃花坪变已运行40 多年，站内设备老化严重，供电可靠性很差，且变电站无法征地扩容。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595" w:hRule="atLeast"/>
          <w:jc w:val="center"/>
        </w:trPr>
        <w:tc>
          <w:tcPr>
            <w:tcW w:w="9600" w:type="dxa"/>
            <w:gridSpan w:val="13"/>
            <w:vAlign w:val="top"/>
          </w:tcPr>
          <w:p>
            <w:pPr>
              <w:tabs>
                <w:tab w:val="left" w:pos="720"/>
              </w:tabs>
              <w:spacing w:line="360" w:lineRule="auto"/>
              <w:rPr>
                <w:kern w:val="0"/>
                <w:sz w:val="28"/>
                <w:szCs w:val="28"/>
              </w:rPr>
            </w:pPr>
            <w:r>
              <w:rPr>
                <w:kern w:val="0"/>
                <w:sz w:val="28"/>
                <w:szCs w:val="28"/>
              </w:rPr>
              <w:t>因此，为了满足负荷发展的需求，改善隆回县东部10 kV网架结构，提高供电可靠性，解决35 kV桃花坪变拔点问题，建设隆回城东110 kV输变电工程是十分必要的。</w:t>
            </w:r>
          </w:p>
          <w:p>
            <w:pPr>
              <w:spacing w:after="156" w:afterLines="50"/>
              <w:ind w:right="101" w:rightChars="48"/>
              <w:rPr>
                <w:kern w:val="0"/>
                <w:sz w:val="28"/>
                <w:szCs w:val="28"/>
              </w:rPr>
            </w:pPr>
            <w:r>
              <w:rPr>
                <w:kern w:val="0"/>
                <w:sz w:val="28"/>
                <w:szCs w:val="28"/>
              </w:rPr>
              <w:t>（2）邵阳洞口县高沙110kV变电站2#主变扩建工程</w:t>
            </w:r>
          </w:p>
          <w:p>
            <w:pPr>
              <w:spacing w:after="156" w:afterLines="50" w:line="360" w:lineRule="auto"/>
              <w:ind w:right="101" w:rightChars="48" w:firstLine="560" w:firstLineChars="200"/>
              <w:rPr>
                <w:kern w:val="0"/>
                <w:sz w:val="28"/>
                <w:szCs w:val="28"/>
              </w:rPr>
            </w:pPr>
            <w:r>
              <w:rPr>
                <w:kern w:val="0"/>
                <w:sz w:val="28"/>
                <w:szCs w:val="28"/>
              </w:rPr>
              <w:t>高沙变电站于2012 年投运，现有主变1台，容量为31.5MVA，负载率高达81.3%，属于重载状态。周边2 座110kV 变电站（老马山变、江潭变）都处于重过载状态，且调度运行方式都已达到极致，无法再通过调整供带35kV 变电站的办法来缓解高沙变主变重过载问题。高沙变供电区于2016年完成部分农网改造升级，还有部分农改村，受当时条件所限制，未能改造到位，供区内存在大量的压抑负荷尚未体现，为满足新增负荷增长需要，需要高沙变进行增容扩建。此外，高沙变单台主变运行目前已无法满足居民用电对供电可靠性的要求，也需要对高沙变进行扩建，以满足供电N—1 校验。因此，扩建高沙110kV 变是非常必要的。</w:t>
            </w:r>
          </w:p>
          <w:p>
            <w:pPr>
              <w:spacing w:after="156" w:afterLines="50"/>
              <w:ind w:right="101" w:rightChars="48"/>
              <w:rPr>
                <w:kern w:val="0"/>
                <w:sz w:val="28"/>
                <w:szCs w:val="28"/>
              </w:rPr>
            </w:pPr>
            <w:r>
              <w:rPr>
                <w:kern w:val="0"/>
                <w:sz w:val="28"/>
                <w:szCs w:val="28"/>
              </w:rPr>
              <w:t>（3）邵阳宝莲二期风电110kV送出工程</w:t>
            </w:r>
          </w:p>
          <w:p>
            <w:pPr>
              <w:tabs>
                <w:tab w:val="left" w:pos="720"/>
              </w:tabs>
              <w:spacing w:line="360" w:lineRule="auto"/>
              <w:ind w:firstLine="560" w:firstLineChars="200"/>
              <w:rPr>
                <w:kern w:val="0"/>
                <w:sz w:val="28"/>
                <w:szCs w:val="28"/>
              </w:rPr>
            </w:pPr>
            <w:r>
              <w:rPr>
                <w:kern w:val="0"/>
                <w:sz w:val="28"/>
                <w:szCs w:val="28"/>
              </w:rPr>
              <w:t>宝莲二期风电场位于湖南省邵阳市隆回县小沙江镇，风电场规划场区面积约29.5km2，规划总装机规模为50 MW，预计年上网电量为1.082 亿千瓦时。宝莲二期风电场一期已于2017 年初开工建设，2017 年12月全部建成投产，将为隆回县新增50 MW的发电容量。隆回宝莲二期风电场主要供带隆回当地负荷，目前隆回电网只有1 座220 kV变电站，且负荷压力大，本工程建成并接入隆回电网可提高隆回电网的电源支持能力。本项目符合国家能源战略和可持续发展的原则，有利于缓解环境保护压力，具有良好的经济效益和社会效益，并可促进经济可持续发展。</w:t>
            </w:r>
          </w:p>
          <w:p>
            <w:pPr>
              <w:spacing w:after="156" w:afterLines="50"/>
              <w:ind w:right="101" w:rightChars="48"/>
              <w:rPr>
                <w:kern w:val="0"/>
                <w:sz w:val="28"/>
                <w:szCs w:val="28"/>
              </w:rPr>
            </w:pPr>
            <w:r>
              <w:rPr>
                <w:kern w:val="0"/>
                <w:sz w:val="28"/>
                <w:szCs w:val="28"/>
              </w:rPr>
              <w:t>（4）邵东县黄陂桥110kV变电站主变扩建工程</w:t>
            </w:r>
          </w:p>
          <w:p>
            <w:pPr>
              <w:tabs>
                <w:tab w:val="left" w:pos="720"/>
              </w:tabs>
              <w:spacing w:line="360" w:lineRule="auto"/>
              <w:ind w:firstLine="560" w:firstLineChars="200"/>
              <w:rPr>
                <w:kern w:val="0"/>
                <w:sz w:val="28"/>
                <w:szCs w:val="28"/>
              </w:rPr>
            </w:pPr>
            <w:r>
              <w:rPr>
                <w:kern w:val="0"/>
                <w:sz w:val="28"/>
                <w:szCs w:val="28"/>
              </w:rPr>
              <w:t>黄陂桥变电站于2013 年投运，现有主变1 台，容量为50MVA。2016 年黄陂桥负载率高达60%，负荷年均以20%的增长率进行增加。周边荷花塘变和宋家塘变负载率也已高达88%以上，因此必须扩建黄陂桥变，提高供电能力。目前黄陂桥供带的邦盛凤凰城（含五星级酒店）、邵东国际商贸城一期、兴隆地区工业园标准化厂房负荷不断增加，预计2018、2020 年黄陂桥负荷将分别增至48MW、78MW。目前黄陂桥变单台主变运行无法满足10kV 黄绿Ⅰ回、Ⅱ回、黄昭I、II 回等工业负荷用电及高层建筑商住区民用电对供电可靠性的要求。此外，黄陂桥变扩建后，通过配套建设，可以与周边变电站形成10kV 有效互联，提高县城互联率，优化10kV 网络，大大提高供电可靠性。</w:t>
            </w:r>
          </w:p>
          <w:p>
            <w:pPr>
              <w:spacing w:after="156" w:afterLines="50"/>
              <w:ind w:right="101" w:rightChars="48"/>
              <w:rPr>
                <w:kern w:val="0"/>
                <w:sz w:val="28"/>
                <w:szCs w:val="28"/>
              </w:rPr>
            </w:pPr>
            <w:r>
              <w:rPr>
                <w:kern w:val="0"/>
                <w:sz w:val="28"/>
                <w:szCs w:val="28"/>
              </w:rPr>
              <w:t>（5）邵阳县大岭110kV变电站2#主变扩建工程</w:t>
            </w:r>
          </w:p>
          <w:p>
            <w:pPr>
              <w:tabs>
                <w:tab w:val="left" w:pos="720"/>
              </w:tabs>
              <w:spacing w:line="360" w:lineRule="auto"/>
              <w:ind w:firstLine="560" w:firstLineChars="200"/>
              <w:rPr>
                <w:kern w:val="0"/>
                <w:sz w:val="28"/>
                <w:szCs w:val="28"/>
              </w:rPr>
            </w:pPr>
            <w:r>
              <w:rPr>
                <w:kern w:val="0"/>
                <w:sz w:val="28"/>
                <w:szCs w:val="28"/>
              </w:rPr>
              <w:t>邵阳县大岭变位于邵阳县城区，目前供带整个邵阳县城区10kV负荷，另外供带蔡桥、黄亭寺、云丰等3个35kV站。现有主变2台，容量为63MVA。2016年截止至11月大岭变最大负荷达59.62MW，最大负载率94.6%，预计2016年底至2017年春节期间将满载运行。周边有35kV互联的白仓、九公桥和下花桥等3座110kV变电站均已经满载或接近满载，无法为大岭变转供负荷。目前邵阳县城区附近红石工业园企业已陆续入住，县城区房地产住户也陆续入住。考虑大岭变负荷增长率达6%，2018年在负荷将达到68MW，负载率达到108%已过载，若再考虑已有实际报装负载预计2018年将达70MW，负载率将超过111%，为保证邵阳县城区供电可靠性并满足未来几年发展需求，建议更换大岭变主变1台，容量50MVA。</w:t>
            </w:r>
          </w:p>
          <w:p>
            <w:pPr>
              <w:spacing w:after="156" w:afterLines="50"/>
              <w:ind w:right="101" w:rightChars="48"/>
              <w:rPr>
                <w:kern w:val="0"/>
                <w:sz w:val="28"/>
                <w:szCs w:val="28"/>
              </w:rPr>
            </w:pPr>
            <w:r>
              <w:rPr>
                <w:kern w:val="0"/>
                <w:sz w:val="28"/>
                <w:szCs w:val="28"/>
              </w:rPr>
              <w:t>（6）邵阳大唐华银绥宁宝鼎山风电二期三期110kV送出工程</w:t>
            </w:r>
          </w:p>
          <w:p>
            <w:pPr>
              <w:tabs>
                <w:tab w:val="left" w:pos="720"/>
              </w:tabs>
              <w:spacing w:line="360" w:lineRule="auto"/>
              <w:ind w:firstLine="560" w:firstLineChars="200"/>
              <w:rPr>
                <w:kern w:val="0"/>
                <w:sz w:val="28"/>
                <w:szCs w:val="28"/>
              </w:rPr>
            </w:pPr>
            <w:r>
              <w:rPr>
                <w:kern w:val="0"/>
                <w:sz w:val="28"/>
                <w:szCs w:val="28"/>
              </w:rPr>
              <w:t>为保护环境，改善能源结构，充分开发利用可再生清洁能源，减少温室气体排放，绥宁宝鼎山风电场二期、三期工程是清洁能源的开发利用项目，符合我国能源产业政策、当地总体发展规划和环境保护要求，具有明显的经济效益、社会效益和环境效益。在项目设计、建设和运营阶段严格执行报告中提出的环境保护与水土保持措施，项目建设对当地区域环境影响较小，符合国家相应环保法规要求。因此，从环境保护和可持续发展的角度来讲，本风电场项目可行。 绥宁宝鼎山风电场二期、三期的建设将充分利用绥宁县宝鼎山、银子山脉风能资源，大力发展清洁能源，促进当地经济可持续发展具有积极作用，具有良好的社会效益和环保效益。</w:t>
            </w:r>
          </w:p>
          <w:p>
            <w:pPr>
              <w:spacing w:after="156" w:afterLines="50"/>
              <w:ind w:right="101" w:rightChars="48"/>
              <w:rPr>
                <w:kern w:val="0"/>
                <w:sz w:val="28"/>
                <w:szCs w:val="28"/>
              </w:rPr>
            </w:pPr>
            <w:r>
              <w:rPr>
                <w:kern w:val="0"/>
                <w:sz w:val="28"/>
                <w:szCs w:val="28"/>
              </w:rPr>
              <w:t>（7）隆回金坪110kV风电送出工程</w:t>
            </w:r>
          </w:p>
          <w:p>
            <w:pPr>
              <w:tabs>
                <w:tab w:val="left" w:pos="720"/>
              </w:tabs>
              <w:spacing w:line="360" w:lineRule="auto"/>
              <w:ind w:firstLine="560" w:firstLineChars="200"/>
              <w:rPr>
                <w:kern w:val="0"/>
                <w:sz w:val="28"/>
                <w:szCs w:val="28"/>
              </w:rPr>
            </w:pPr>
            <w:r>
              <w:rPr>
                <w:kern w:val="0"/>
                <w:sz w:val="28"/>
                <w:szCs w:val="28"/>
              </w:rPr>
              <w:t>该地区风电场开发条件较好，具备建设风电场的场址条件；风电场的建设符合可持续发展的原则，是国家能源战略的重要体现；有利于缓解环境保护压力，实现经济与环境的协调发展；可取的良好的经济效益，有利于企业的长远发展。为满足金坪风电场的送出，建设金坪风电场~小沙江110kV线路是十分必要的。</w:t>
            </w:r>
          </w:p>
          <w:p>
            <w:pPr>
              <w:tabs>
                <w:tab w:val="left" w:pos="720"/>
              </w:tabs>
              <w:spacing w:line="360" w:lineRule="auto"/>
              <w:rPr>
                <w:kern w:val="0"/>
                <w:sz w:val="28"/>
                <w:szCs w:val="28"/>
              </w:rPr>
            </w:pPr>
            <w:r>
              <w:rPr>
                <w:kern w:val="0"/>
                <w:sz w:val="28"/>
                <w:szCs w:val="28"/>
              </w:rPr>
              <w:t>（8）邵阳六岭110kV输变电工程</w:t>
            </w:r>
          </w:p>
          <w:p>
            <w:pPr>
              <w:tabs>
                <w:tab w:val="left" w:pos="720"/>
              </w:tabs>
              <w:spacing w:line="360" w:lineRule="auto"/>
              <w:ind w:firstLine="700" w:firstLineChars="250"/>
              <w:rPr>
                <w:kern w:val="0"/>
                <w:sz w:val="28"/>
                <w:szCs w:val="28"/>
              </w:rPr>
            </w:pPr>
            <w:r>
              <w:rPr>
                <w:kern w:val="0"/>
                <w:sz w:val="28"/>
                <w:szCs w:val="28"/>
              </w:rPr>
              <w:t>满足六岭地区负荷发展的需要，促进中心城区经济发展。六岭片区位于邵阳市中心城区，周边为邵阳市党政军人大政协等主要机关，是邵阳市政治文化中心，地理位置重要。当前六岭变供区尚无110kV变电站布点，随着六岭片区的负荷发展，该区域负荷将不断增加。六岭变处于城南变、双清变、城西变三站几何中心位置，本项目建成投产后，将分流三站负荷，能有效缓解三站供电压力。新建六岭110kV变电站可以与区域其他变电站形成手拉手供电格局，减轻重载线路供电压力，同时可以加强配电网结构，减小城区配电网供电半径，降低网络损耗，有效提高该地区电能质量、供电可靠性和供电能力。综上所述，新建六岭110kV变电站是必要的。</w:t>
            </w:r>
          </w:p>
          <w:p>
            <w:pPr>
              <w:spacing w:line="360" w:lineRule="auto"/>
              <w:ind w:right="101" w:rightChars="48"/>
              <w:rPr>
                <w:kern w:val="0"/>
                <w:sz w:val="28"/>
                <w:szCs w:val="28"/>
              </w:rPr>
            </w:pPr>
            <w:r>
              <w:rPr>
                <w:kern w:val="0"/>
                <w:sz w:val="28"/>
                <w:szCs w:val="28"/>
              </w:rPr>
              <w:t>1.2 项目地理位置</w:t>
            </w:r>
          </w:p>
          <w:p>
            <w:pPr>
              <w:tabs>
                <w:tab w:val="left" w:pos="720"/>
              </w:tabs>
              <w:spacing w:line="360" w:lineRule="auto"/>
              <w:ind w:firstLine="560" w:firstLineChars="200"/>
              <w:rPr>
                <w:kern w:val="0"/>
                <w:sz w:val="28"/>
                <w:szCs w:val="28"/>
              </w:rPr>
            </w:pPr>
            <w:r>
              <w:rPr>
                <w:kern w:val="0"/>
                <w:sz w:val="28"/>
                <w:szCs w:val="28"/>
              </w:rPr>
              <w:t>邵阳市2017年第一批输变电工程位于湖南省邵阳市隆回县、洞口县、邵东县、邵阳县境内。地理位置见附图1～8。</w:t>
            </w:r>
          </w:p>
          <w:p>
            <w:pPr>
              <w:tabs>
                <w:tab w:val="left" w:pos="720"/>
              </w:tabs>
              <w:spacing w:line="360" w:lineRule="auto"/>
              <w:rPr>
                <w:kern w:val="0"/>
                <w:sz w:val="28"/>
                <w:szCs w:val="28"/>
              </w:rPr>
            </w:pPr>
            <w:r>
              <w:rPr>
                <w:kern w:val="0"/>
                <w:sz w:val="28"/>
                <w:szCs w:val="28"/>
              </w:rPr>
              <w:t>（1）邵阳隆回县城东110kV输变电工程</w:t>
            </w:r>
          </w:p>
          <w:p>
            <w:pPr>
              <w:pStyle w:val="13"/>
              <w:spacing w:line="360" w:lineRule="auto"/>
              <w:ind w:firstLine="700" w:firstLineChars="250"/>
              <w:rPr>
                <w:rFonts w:ascii="Times New Roman" w:hAnsi="Times New Roman"/>
                <w:sz w:val="28"/>
                <w:szCs w:val="28"/>
                <w:lang w:val="en-US" w:eastAsia="zh-CN"/>
              </w:rPr>
            </w:pPr>
            <w:r>
              <w:rPr>
                <w:rFonts w:ascii="Times New Roman" w:hAnsi="Times New Roman"/>
                <w:sz w:val="28"/>
                <w:szCs w:val="28"/>
                <w:lang w:val="en-US" w:eastAsia="zh-CN"/>
              </w:rPr>
              <w:t>拟建站址位于邵阳市隆回县桃洪镇马杓村。距离西侧村道约30 m，交通十分便利。站址离负荷中心较近，系统位置较好。站址地形平坦，站址最低标高为270.11 m，最高标高为270.87 m，最大高差约0.7 m。地表植被发育，水土保持较好，站址范围内主要为旱地，南北两侧为农业用地，东侧为林地。进站道路拟从站址西侧的村道引接。站址占地约4.74亩，站址场平标高暂定为270.85 m。地势较高，不受五十年一遇洪水位260.5 m威胁。站址地势开阔，进出线终端塔布置方便。</w:t>
            </w:r>
          </w:p>
          <w:p>
            <w:pPr>
              <w:pStyle w:val="13"/>
              <w:spacing w:line="360" w:lineRule="auto"/>
              <w:ind w:firstLine="560" w:firstLineChars="200"/>
              <w:rPr>
                <w:rFonts w:ascii="Times New Roman" w:hAnsi="Times New Roman"/>
                <w:sz w:val="28"/>
                <w:szCs w:val="28"/>
                <w:lang w:val="en-US" w:eastAsia="zh-CN"/>
              </w:rPr>
            </w:pPr>
            <w:r>
              <w:rPr>
                <w:rFonts w:ascii="Times New Roman" w:hAnsi="Times New Roman"/>
                <w:sz w:val="28"/>
                <w:szCs w:val="28"/>
                <w:lang w:val="en-US" w:eastAsia="zh-CN"/>
              </w:rPr>
              <w:t>本工程本期新上1 台容量50MVA 的主变，新建双回线路长约1.1km，单回路长约0.6 km，曲折系数1.14，新立杆塔共计8基（单回转角塔2 基，双回转角塔4 基，双回直线塔2 基）。</w:t>
            </w:r>
          </w:p>
          <w:p>
            <w:pPr>
              <w:spacing w:after="156" w:afterLines="50"/>
              <w:ind w:right="101" w:rightChars="48"/>
              <w:rPr>
                <w:kern w:val="0"/>
                <w:sz w:val="28"/>
                <w:szCs w:val="28"/>
              </w:rPr>
            </w:pPr>
            <w:r>
              <w:rPr>
                <w:kern w:val="0"/>
                <w:sz w:val="28"/>
                <w:szCs w:val="28"/>
              </w:rPr>
              <w:t>（2）邵阳洞口县高沙110kV变电站2#主变扩建工程</w:t>
            </w:r>
          </w:p>
          <w:p>
            <w:pPr>
              <w:tabs>
                <w:tab w:val="left" w:pos="720"/>
              </w:tabs>
              <w:spacing w:line="360" w:lineRule="auto"/>
              <w:ind w:firstLine="560" w:firstLineChars="200"/>
              <w:rPr>
                <w:kern w:val="0"/>
                <w:sz w:val="28"/>
                <w:szCs w:val="28"/>
              </w:rPr>
            </w:pPr>
            <w:r>
              <w:rPr>
                <w:kern w:val="0"/>
                <w:sz w:val="28"/>
                <w:szCs w:val="28"/>
              </w:rPr>
              <w:t>高沙110kV 变电站位于洞口县高沙镇，于2012 年投运，变电站分110kV、35kV、10kV 三个电压等级。现有主变1台，容量1×31.5MVA，110kV出线2回，35kV出线3回，10kV 已有出线间隔11 个（其中备用间隔4 个），无功补偿现有容量（1×6.0）MVar，采用户外框架式并联电容器成套装置。本期改造后为2×31.5MVA，扩建110kV 2 号主变进线间隔1 个，扩建110kV母线设备间隔1 个；扩建35kV #2 主变进线间隔1 个</w:t>
            </w:r>
            <w:r>
              <w:rPr>
                <w:rFonts w:hint="eastAsia"/>
                <w:kern w:val="0"/>
                <w:sz w:val="28"/>
                <w:szCs w:val="28"/>
              </w:rPr>
              <w:t>，</w:t>
            </w:r>
            <w:r>
              <w:rPr>
                <w:kern w:val="0"/>
                <w:sz w:val="28"/>
                <w:szCs w:val="28"/>
              </w:rPr>
              <w:t>扩建35kV 母线设备间隔1 个，扩建35kV 消弧线圈隔离开关1 极；无功补偿新上户外框架式电容器1 组，容量为4.8 MVar。</w:t>
            </w:r>
          </w:p>
          <w:p>
            <w:pPr>
              <w:spacing w:after="156" w:afterLines="50"/>
              <w:ind w:right="101" w:rightChars="48"/>
              <w:rPr>
                <w:kern w:val="0"/>
                <w:sz w:val="28"/>
                <w:szCs w:val="28"/>
              </w:rPr>
            </w:pPr>
            <w:r>
              <w:rPr>
                <w:kern w:val="0"/>
                <w:sz w:val="28"/>
                <w:szCs w:val="28"/>
              </w:rPr>
              <w:t>（3）邵阳宝莲二期风电110kV送出工程</w:t>
            </w:r>
          </w:p>
          <w:p>
            <w:pPr>
              <w:tabs>
                <w:tab w:val="left" w:pos="720"/>
              </w:tabs>
              <w:spacing w:line="360" w:lineRule="auto"/>
              <w:ind w:firstLine="560" w:firstLineChars="200"/>
              <w:rPr>
                <w:kern w:val="0"/>
                <w:sz w:val="28"/>
                <w:szCs w:val="28"/>
              </w:rPr>
            </w:pPr>
            <w:r>
              <w:rPr>
                <w:kern w:val="0"/>
                <w:sz w:val="28"/>
                <w:szCs w:val="28"/>
              </w:rPr>
              <w:t>本工程起自隆回宝莲二期风电场110 kV升压站（隆回县小沙江镇境内），止于隆回宝莲一期风电场升压站。新建线路全线按30mm 重冰区考虑，线路长约5.5 km；单回路架设。线路由宝莲二期风电场110 kV升压站东南方向出线后，避开白马山森林公园以及宝莲风电二期的19#、22#风机，连续左转至蔡家冲，跨越深沟后避开宝莲仙寺，右转至白马山山腰，右转，避让宝莲一期23#、24#、25#号风机后至宝莲一期升压站。线路长约5.5km，航空距离5.2，曲折系数1.06。</w:t>
            </w:r>
          </w:p>
          <w:p>
            <w:pPr>
              <w:spacing w:after="156" w:afterLines="50"/>
              <w:ind w:right="101" w:rightChars="48"/>
              <w:rPr>
                <w:kern w:val="0"/>
                <w:sz w:val="28"/>
                <w:szCs w:val="28"/>
              </w:rPr>
            </w:pPr>
            <w:r>
              <w:rPr>
                <w:kern w:val="0"/>
                <w:sz w:val="28"/>
                <w:szCs w:val="28"/>
              </w:rPr>
              <w:t>（4）邵东县黄陂桥110kV变电站2#主变扩建工程</w:t>
            </w:r>
          </w:p>
          <w:p>
            <w:pPr>
              <w:tabs>
                <w:tab w:val="left" w:pos="720"/>
              </w:tabs>
              <w:spacing w:line="360" w:lineRule="auto"/>
              <w:ind w:firstLine="560" w:firstLineChars="200"/>
              <w:rPr>
                <w:kern w:val="0"/>
                <w:sz w:val="28"/>
                <w:szCs w:val="28"/>
              </w:rPr>
            </w:pPr>
            <w:r>
              <w:rPr>
                <w:kern w:val="0"/>
                <w:sz w:val="28"/>
                <w:szCs w:val="28"/>
              </w:rPr>
              <w:t>黄陂桥变位于邵东县黄陂桥乡，于2013 年投运。目前主要供带黄陂桥镇以及邵东县绿汀大道、兴隆地区邵东工业园负荷，均为10kV 负荷。现有主变1台，容量1×50MVA，110kV出线2回，35kV出线1回和1 个备用间隔，10kV出线12回，无功补偿现有容量（1×3.6+1×4.8）MVar，采用户外框架式并联电容器成套装置。本期改造后为2×50MVA，扩建110kV 2 号主变进线间隔1 个，扩建110kV母线设备间隔1 个，完善110kV 母线分段间1 个；扩建35kV II 段母线，扩建35kV 2 号主变进线间隔1 个，扩建35kV 母线设备间隔1 个，完善35kV 母线分段间1 个；扩建10kV 开关柜14 面：主变进线柜1 面，主变进线隔离柜1 面，出线柜7 面，母线设备柜1 面,电容器柜2 面，消弧线圈</w:t>
            </w:r>
          </w:p>
          <w:p>
            <w:pPr>
              <w:tabs>
                <w:tab w:val="left" w:pos="720"/>
              </w:tabs>
              <w:spacing w:line="360" w:lineRule="auto"/>
              <w:rPr>
                <w:kern w:val="0"/>
                <w:sz w:val="28"/>
                <w:szCs w:val="28"/>
              </w:rPr>
            </w:pPr>
            <w:r>
              <w:rPr>
                <w:kern w:val="0"/>
                <w:sz w:val="28"/>
                <w:szCs w:val="28"/>
              </w:rPr>
              <w:t>柜1 面，分段柜1 面；因中间空有屏柜需新增封闭连接母线7 m；无功补偿新上户外框架式电容器2 组，容量为（4.8+3.6）MVar。</w:t>
            </w:r>
          </w:p>
          <w:p>
            <w:pPr>
              <w:spacing w:after="156" w:afterLines="50"/>
              <w:ind w:right="101" w:rightChars="48"/>
              <w:rPr>
                <w:kern w:val="0"/>
                <w:sz w:val="28"/>
                <w:szCs w:val="28"/>
              </w:rPr>
            </w:pPr>
            <w:r>
              <w:rPr>
                <w:kern w:val="0"/>
                <w:sz w:val="28"/>
                <w:szCs w:val="28"/>
              </w:rPr>
              <w:t>（5）邵阳县大岭110kV变电站2#主变扩建工程</w:t>
            </w:r>
          </w:p>
          <w:p>
            <w:pPr>
              <w:tabs>
                <w:tab w:val="left" w:pos="720"/>
              </w:tabs>
              <w:spacing w:line="360" w:lineRule="auto"/>
              <w:ind w:firstLine="560" w:firstLineChars="200"/>
              <w:rPr>
                <w:kern w:val="0"/>
                <w:sz w:val="28"/>
                <w:szCs w:val="28"/>
              </w:rPr>
            </w:pPr>
            <w:r>
              <w:rPr>
                <w:kern w:val="0"/>
                <w:sz w:val="28"/>
                <w:szCs w:val="28"/>
              </w:rPr>
              <w:t>邵阳县大岭110kV变电站位于邵阳县城白虎街与下马巷交汇处北侧，2000年投运，现有主变2台，容量2×31.5MVA，110kV设计出线规模4回，已出线4回；现有35kV线路间隔5个，其中已有出线5回；现有10kV线路间隔12个，其中已有出线12回，目前供带整个邵阳县城区10kV负荷，另外供带蔡桥、黄亭寺、云丰等3个35kV站。本期改造后为1×31.5+1×50MVA，110kV出线4回（本期110kV出线规模同现状不变），35kV出线5回，10kV出线14回（按邵阳县公司意见在10kVⅡ段新增2回），容性无功补偿1×4.2+1×（3.6+4.8）Mvar。</w:t>
            </w:r>
          </w:p>
          <w:p>
            <w:pPr>
              <w:spacing w:after="156" w:afterLines="50"/>
              <w:ind w:right="101" w:rightChars="48"/>
              <w:rPr>
                <w:kern w:val="0"/>
                <w:sz w:val="28"/>
                <w:szCs w:val="28"/>
              </w:rPr>
            </w:pPr>
            <w:r>
              <w:rPr>
                <w:kern w:val="0"/>
                <w:sz w:val="28"/>
                <w:szCs w:val="28"/>
              </w:rPr>
              <w:t>（6）邵阳大唐华银绥宁宝鼎山风电二期三期110kV送出工程</w:t>
            </w:r>
          </w:p>
          <w:p>
            <w:pPr>
              <w:tabs>
                <w:tab w:val="left" w:pos="720"/>
              </w:tabs>
              <w:spacing w:line="360" w:lineRule="auto"/>
              <w:ind w:firstLine="560" w:firstLineChars="200"/>
              <w:rPr>
                <w:kern w:val="0"/>
                <w:sz w:val="28"/>
                <w:szCs w:val="28"/>
              </w:rPr>
            </w:pPr>
            <w:r>
              <w:rPr>
                <w:kern w:val="0"/>
                <w:sz w:val="28"/>
                <w:szCs w:val="28"/>
              </w:rPr>
              <w:t>宝鼎山风电场位于绥宁县西北边境。线路从赧水变电缆出线后向西南方向走线，电缆路径长约为0.35km。跨越茅方线π进赧水变茅侧110kV线、穿越220kV平儒线，走线至庵堂里、邓家庄后跨越洞新高速城步支线（S91），小转角避开扒船塘、麻园里、后溪头等居民区后到达圳头刘家，跨越073县道到达鹅公山后右转至鼻子冲。线路走线至杨家坑、木柳树后至广竹水附近后向西走线到达大竹山，跨越221省道和063县道后连续3个右转，接入110kV武阳变门架。</w:t>
            </w:r>
          </w:p>
          <w:p>
            <w:pPr>
              <w:tabs>
                <w:tab w:val="left" w:pos="720"/>
              </w:tabs>
              <w:spacing w:line="360" w:lineRule="auto"/>
              <w:ind w:firstLine="560" w:firstLineChars="200"/>
              <w:rPr>
                <w:kern w:val="0"/>
                <w:sz w:val="28"/>
                <w:szCs w:val="28"/>
              </w:rPr>
            </w:pPr>
            <w:r>
              <w:rPr>
                <w:kern w:val="0"/>
                <w:sz w:val="28"/>
                <w:szCs w:val="28"/>
              </w:rPr>
              <w:t>本工程将现有的110kV赧武线15mm、20mm冰区段导线更换为240mm2截面的耐热导线，长度约26.99km，将现有的赧武线2.05km重冰区线路拆除，新建约2.2km长400mm2截面的铝合金芯铝绞线。</w:t>
            </w:r>
          </w:p>
          <w:p>
            <w:pPr>
              <w:spacing w:after="156" w:afterLines="50"/>
              <w:ind w:right="101" w:rightChars="48"/>
              <w:rPr>
                <w:kern w:val="0"/>
                <w:sz w:val="28"/>
                <w:szCs w:val="28"/>
              </w:rPr>
            </w:pPr>
            <w:r>
              <w:rPr>
                <w:kern w:val="0"/>
                <w:sz w:val="28"/>
                <w:szCs w:val="28"/>
              </w:rPr>
              <w:t>（7）隆回金坪110kV风电送出工程</w:t>
            </w:r>
          </w:p>
          <w:p>
            <w:pPr>
              <w:tabs>
                <w:tab w:val="left" w:pos="720"/>
              </w:tabs>
              <w:spacing w:line="360" w:lineRule="auto"/>
              <w:ind w:firstLine="560" w:firstLineChars="200"/>
              <w:rPr>
                <w:kern w:val="0"/>
                <w:sz w:val="28"/>
                <w:szCs w:val="28"/>
              </w:rPr>
            </w:pPr>
            <w:r>
              <w:rPr>
                <w:kern w:val="0"/>
                <w:sz w:val="28"/>
                <w:szCs w:val="28"/>
              </w:rPr>
              <w:t>金坪风电场主要位于湖南省邵阳市隆回县境内，距隆回县城约30km。线路起自待建的隆回县小沙江金坪风电场110kV升压站，从升压站西面出线后，过烂草冲然后直走袁家，在袁家左转至梨子坳，然后绕开鱼鳞洞，左转至坟山下，在马颈坳右转直坪上然后直走直杉树槽，后跨冲里接至小沙江110kV变1Y间隔。线路全长约5.8km，曲折系数1.15，全线采用单回路架设，线路长10.2km，沿线地形以山地为主。</w:t>
            </w:r>
          </w:p>
          <w:p>
            <w:pPr>
              <w:tabs>
                <w:tab w:val="left" w:pos="720"/>
              </w:tabs>
              <w:spacing w:line="360" w:lineRule="auto"/>
              <w:rPr>
                <w:kern w:val="0"/>
                <w:sz w:val="28"/>
                <w:szCs w:val="28"/>
              </w:rPr>
            </w:pPr>
            <w:r>
              <w:rPr>
                <w:kern w:val="0"/>
                <w:sz w:val="28"/>
                <w:szCs w:val="28"/>
              </w:rPr>
              <w:t>（8）邵阳六岭 110kV 输变电工程</w:t>
            </w:r>
          </w:p>
          <w:p>
            <w:pPr>
              <w:tabs>
                <w:tab w:val="left" w:pos="720"/>
              </w:tabs>
              <w:spacing w:line="360" w:lineRule="auto"/>
              <w:ind w:firstLine="700" w:firstLineChars="250"/>
              <w:rPr>
                <w:kern w:val="0"/>
                <w:sz w:val="28"/>
                <w:szCs w:val="28"/>
              </w:rPr>
            </w:pPr>
            <w:r>
              <w:rPr>
                <w:kern w:val="0"/>
                <w:sz w:val="28"/>
                <w:szCs w:val="28"/>
              </w:rPr>
              <w:t>站址位于邵阳市大祥区六岭公园东南角，距红旗路约140m，站址内主要建筑物为一栋单层的民用砖房，站址南侧、东侧为拟建的小区规划路，站址西北侧为六岭公园，变电站距离公园山顶围墙水平距离约15m，变电站占地约0.1016 hm</w:t>
            </w:r>
            <w:r>
              <w:rPr>
                <w:kern w:val="0"/>
                <w:sz w:val="28"/>
                <w:szCs w:val="28"/>
                <w:vertAlign w:val="superscript"/>
              </w:rPr>
              <w:t>2</w:t>
            </w:r>
            <w:r>
              <w:rPr>
                <w:rFonts w:hint="eastAsia"/>
                <w:kern w:val="0"/>
                <w:sz w:val="28"/>
                <w:szCs w:val="28"/>
              </w:rPr>
              <w:t>（公顷）</w:t>
            </w:r>
            <w:r>
              <w:rPr>
                <w:kern w:val="0"/>
                <w:sz w:val="28"/>
                <w:szCs w:val="28"/>
              </w:rPr>
              <w:t xml:space="preserve">。本工程规模为远期2台50MVA主变压器，本期一次上齐，容性无功补偿2×(3.6+4) Mvar；110kV出线远期2回，本期2回（六岭变新建一回线路“T”接110kV宝庆-双清变线路，同时新建一回线路“T”接110kV檀江-双清变线路），线路长度为4.32km，电缆型号为YJLW02-110/1×630，架空导线采用JL/G1A-300/40；10kV远期24回出线，本期18回。 </w:t>
            </w:r>
          </w:p>
          <w:p>
            <w:pPr>
              <w:tabs>
                <w:tab w:val="left" w:pos="720"/>
              </w:tabs>
              <w:spacing w:line="360" w:lineRule="auto"/>
              <w:rPr>
                <w:kern w:val="0"/>
                <w:sz w:val="28"/>
                <w:szCs w:val="28"/>
              </w:rPr>
            </w:pPr>
            <w:r>
              <w:rPr>
                <w:kern w:val="0"/>
                <w:sz w:val="28"/>
                <w:szCs w:val="28"/>
              </w:rPr>
              <w:t>1.3 工程进展情况及环评过程</w:t>
            </w:r>
          </w:p>
          <w:p>
            <w:pPr>
              <w:tabs>
                <w:tab w:val="left" w:pos="720"/>
              </w:tabs>
              <w:spacing w:line="360" w:lineRule="auto"/>
              <w:ind w:firstLine="560" w:firstLineChars="200"/>
              <w:rPr>
                <w:kern w:val="0"/>
                <w:sz w:val="28"/>
                <w:szCs w:val="28"/>
              </w:rPr>
            </w:pPr>
            <w:r>
              <w:rPr>
                <w:kern w:val="0"/>
                <w:sz w:val="28"/>
                <w:szCs w:val="28"/>
              </w:rPr>
              <w:t>邵阳六岭110kV输变电工程在2012年已取得国家电网公司文件国家电网发</w:t>
            </w:r>
            <w:r>
              <w:rPr>
                <w:rFonts w:hint="eastAsia"/>
                <w:kern w:val="0"/>
                <w:sz w:val="28"/>
                <w:szCs w:val="28"/>
              </w:rPr>
              <w:t>[</w:t>
            </w:r>
            <w:r>
              <w:rPr>
                <w:kern w:val="0"/>
                <w:sz w:val="28"/>
                <w:szCs w:val="28"/>
              </w:rPr>
              <w:t>2012</w:t>
            </w:r>
            <w:r>
              <w:rPr>
                <w:rFonts w:hint="eastAsia"/>
                <w:kern w:val="0"/>
                <w:sz w:val="28"/>
                <w:szCs w:val="28"/>
              </w:rPr>
              <w:t>]</w:t>
            </w:r>
            <w:r>
              <w:rPr>
                <w:kern w:val="0"/>
                <w:sz w:val="28"/>
                <w:szCs w:val="28"/>
              </w:rPr>
              <w:t>710号《关于湖南电网安化东等220、110kV输变电工程可行性研究报告的批复》，2015年取得《湖南省环境保护厅关于对2015年第一批输变电工程（长沙、岳阳、邵阳、常德、衡阳、娄底）建设项目环境影响报告表的批复》（湘环评辐表</w:t>
            </w:r>
            <w:r>
              <w:rPr>
                <w:rFonts w:hint="eastAsia"/>
                <w:kern w:val="0"/>
                <w:sz w:val="28"/>
                <w:szCs w:val="28"/>
              </w:rPr>
              <w:t>[</w:t>
            </w:r>
            <w:r>
              <w:rPr>
                <w:kern w:val="0"/>
                <w:sz w:val="28"/>
                <w:szCs w:val="28"/>
              </w:rPr>
              <w:t>2015</w:t>
            </w:r>
            <w:r>
              <w:rPr>
                <w:rFonts w:hint="eastAsia"/>
                <w:kern w:val="0"/>
                <w:sz w:val="28"/>
                <w:szCs w:val="28"/>
              </w:rPr>
              <w:t>]</w:t>
            </w:r>
            <w:r>
              <w:rPr>
                <w:kern w:val="0"/>
                <w:sz w:val="28"/>
                <w:szCs w:val="28"/>
              </w:rPr>
              <w:t>46号），后因政府拆迁工作无法实施等原因，导致该工程被搁置，本次修编主要体现在变电站占地面积由原来的0.21 hm</w:t>
            </w:r>
            <w:r>
              <w:rPr>
                <w:kern w:val="0"/>
                <w:sz w:val="28"/>
                <w:szCs w:val="28"/>
                <w:vertAlign w:val="superscript"/>
              </w:rPr>
              <w:t>2</w:t>
            </w:r>
            <w:r>
              <w:rPr>
                <w:kern w:val="0"/>
                <w:sz w:val="28"/>
                <w:szCs w:val="28"/>
              </w:rPr>
              <w:t xml:space="preserve"> </w:t>
            </w:r>
            <w:r>
              <w:rPr>
                <w:rFonts w:hint="eastAsia"/>
                <w:kern w:val="0"/>
                <w:sz w:val="28"/>
                <w:szCs w:val="28"/>
              </w:rPr>
              <w:t>（公顷）</w:t>
            </w:r>
            <w:r>
              <w:rPr>
                <w:kern w:val="0"/>
                <w:sz w:val="28"/>
                <w:szCs w:val="28"/>
              </w:rPr>
              <w:t>减小为0.1016 hm</w:t>
            </w:r>
            <w:r>
              <w:rPr>
                <w:kern w:val="0"/>
                <w:sz w:val="28"/>
                <w:szCs w:val="28"/>
                <w:vertAlign w:val="superscript"/>
              </w:rPr>
              <w:t>2</w:t>
            </w:r>
            <w:r>
              <w:rPr>
                <w:rFonts w:hint="eastAsia"/>
                <w:kern w:val="0"/>
                <w:sz w:val="28"/>
                <w:szCs w:val="28"/>
              </w:rPr>
              <w:t>（公顷）</w:t>
            </w:r>
            <w:r>
              <w:rPr>
                <w:kern w:val="0"/>
                <w:sz w:val="28"/>
                <w:szCs w:val="28"/>
              </w:rPr>
              <w:t>，变电站户内布置方案相应进行调整；线路敷设方式由全电缆改为架空和电缆方式，架空部分为线路跨越邵水段，长度为2×0.11km；变电站周边负荷变化，建设规模发生变化，变电站本期主变容量由原批复的1台50MVA变压器调整2台50MVA，其他均保持不变，本次仅对邵阳六岭110kV输变电工程发生重大变更部分进行环评。</w:t>
            </w:r>
          </w:p>
          <w:p>
            <w:pPr>
              <w:tabs>
                <w:tab w:val="left" w:pos="720"/>
              </w:tabs>
              <w:spacing w:line="360" w:lineRule="auto"/>
              <w:ind w:firstLine="560" w:firstLineChars="200"/>
              <w:rPr>
                <w:rFonts w:hint="eastAsia"/>
                <w:kern w:val="0"/>
                <w:sz w:val="28"/>
                <w:szCs w:val="28"/>
              </w:rPr>
            </w:pPr>
            <w:r>
              <w:rPr>
                <w:kern w:val="0"/>
                <w:sz w:val="28"/>
                <w:szCs w:val="28"/>
              </w:rPr>
              <w:t>隆回金坪110千伏风电送出工程于2014年编制《隆回金坪110kV风电送出工程可行性研究报告》，2015年取得《湖南省环境保护厅关于对邵阳市第二批输变电工程环境影响报告表的批复》（湘环评辐表</w:t>
            </w:r>
            <w:r>
              <w:rPr>
                <w:rFonts w:hint="eastAsia"/>
                <w:kern w:val="0"/>
                <w:sz w:val="28"/>
                <w:szCs w:val="28"/>
              </w:rPr>
              <w:t>[</w:t>
            </w:r>
            <w:r>
              <w:rPr>
                <w:kern w:val="0"/>
                <w:sz w:val="28"/>
                <w:szCs w:val="28"/>
              </w:rPr>
              <w:t>2015</w:t>
            </w:r>
            <w:r>
              <w:rPr>
                <w:rFonts w:hint="eastAsia"/>
                <w:kern w:val="0"/>
                <w:sz w:val="28"/>
                <w:szCs w:val="28"/>
              </w:rPr>
              <w:t>]</w:t>
            </w:r>
            <w:r>
              <w:rPr>
                <w:kern w:val="0"/>
                <w:sz w:val="28"/>
                <w:szCs w:val="28"/>
              </w:rPr>
              <w:t>75号）。根据华润公司风电项目规模变化，风电项目由原来的一期，陆续开发到了三期，为满足风电项目远期发展规模，将升压站的位置调整到三个风电场的中心位置，使得各风电场更好的送出。因此对隆回金坪项目可研进行修编，对原计入方案进行变更，本次针对该项目修编进行环境影响评价。</w:t>
            </w:r>
          </w:p>
          <w:p>
            <w:pPr>
              <w:tabs>
                <w:tab w:val="left" w:pos="720"/>
              </w:tabs>
              <w:spacing w:line="360" w:lineRule="auto"/>
              <w:ind w:firstLine="560" w:firstLineChars="200"/>
              <w:rPr>
                <w:kern w:val="0"/>
                <w:sz w:val="28"/>
                <w:szCs w:val="28"/>
                <w:u w:val="wave"/>
              </w:rPr>
            </w:pPr>
            <w:r>
              <w:rPr>
                <w:rFonts w:hint="eastAsia"/>
                <w:kern w:val="0"/>
                <w:sz w:val="28"/>
                <w:szCs w:val="28"/>
                <w:u w:val="wave"/>
              </w:rPr>
              <w:t>拟</w:t>
            </w:r>
            <w:r>
              <w:rPr>
                <w:kern w:val="0"/>
                <w:sz w:val="28"/>
                <w:szCs w:val="28"/>
                <w:u w:val="wave"/>
              </w:rPr>
              <w:t>扩建的高沙110kV变电站于20</w:t>
            </w:r>
            <w:r>
              <w:rPr>
                <w:rFonts w:hint="eastAsia"/>
                <w:kern w:val="0"/>
                <w:sz w:val="28"/>
                <w:szCs w:val="28"/>
                <w:u w:val="wave"/>
              </w:rPr>
              <w:t>09</w:t>
            </w:r>
            <w:r>
              <w:rPr>
                <w:kern w:val="0"/>
                <w:sz w:val="28"/>
                <w:szCs w:val="28"/>
                <w:u w:val="wave"/>
              </w:rPr>
              <w:t>年取得环评批复（湘环评表[20</w:t>
            </w:r>
            <w:r>
              <w:rPr>
                <w:rFonts w:hint="eastAsia"/>
                <w:kern w:val="0"/>
                <w:sz w:val="28"/>
                <w:szCs w:val="28"/>
                <w:u w:val="wave"/>
              </w:rPr>
              <w:t>09</w:t>
            </w:r>
            <w:r>
              <w:rPr>
                <w:kern w:val="0"/>
                <w:sz w:val="28"/>
                <w:szCs w:val="28"/>
                <w:u w:val="wave"/>
              </w:rPr>
              <w:t>]</w:t>
            </w:r>
            <w:r>
              <w:rPr>
                <w:rFonts w:hint="eastAsia"/>
                <w:kern w:val="0"/>
                <w:sz w:val="28"/>
                <w:szCs w:val="28"/>
                <w:u w:val="wave"/>
              </w:rPr>
              <w:t>48</w:t>
            </w:r>
            <w:r>
              <w:rPr>
                <w:kern w:val="0"/>
                <w:sz w:val="28"/>
                <w:szCs w:val="28"/>
                <w:u w:val="wave"/>
              </w:rPr>
              <w:t>号），201</w:t>
            </w:r>
            <w:r>
              <w:rPr>
                <w:rFonts w:hint="eastAsia"/>
                <w:kern w:val="0"/>
                <w:sz w:val="28"/>
                <w:szCs w:val="28"/>
                <w:u w:val="wave"/>
              </w:rPr>
              <w:t>3</w:t>
            </w:r>
            <w:r>
              <w:rPr>
                <w:kern w:val="0"/>
                <w:sz w:val="28"/>
                <w:szCs w:val="28"/>
                <w:u w:val="wave"/>
              </w:rPr>
              <w:t>年投运</w:t>
            </w:r>
            <w:r>
              <w:rPr>
                <w:rFonts w:hint="eastAsia"/>
                <w:kern w:val="0"/>
                <w:sz w:val="28"/>
                <w:szCs w:val="28"/>
                <w:u w:val="wave"/>
              </w:rPr>
              <w:t>，2014年取得环保验收批复（湘环评辐验表[2014]18号）</w:t>
            </w:r>
            <w:r>
              <w:rPr>
                <w:kern w:val="0"/>
                <w:sz w:val="28"/>
                <w:szCs w:val="28"/>
                <w:u w:val="wave"/>
              </w:rPr>
              <w:t>；</w:t>
            </w:r>
            <w:r>
              <w:rPr>
                <w:rFonts w:hint="eastAsia"/>
                <w:kern w:val="0"/>
                <w:sz w:val="28"/>
                <w:szCs w:val="28"/>
                <w:u w:val="wave"/>
              </w:rPr>
              <w:t>拟扩建的</w:t>
            </w:r>
            <w:r>
              <w:rPr>
                <w:kern w:val="0"/>
                <w:sz w:val="28"/>
                <w:szCs w:val="28"/>
                <w:u w:val="wave"/>
              </w:rPr>
              <w:t>黄陂桥110kV变电站于20</w:t>
            </w:r>
            <w:r>
              <w:rPr>
                <w:rFonts w:hint="eastAsia"/>
                <w:kern w:val="0"/>
                <w:sz w:val="28"/>
                <w:szCs w:val="28"/>
                <w:u w:val="wave"/>
              </w:rPr>
              <w:t>10</w:t>
            </w:r>
            <w:r>
              <w:rPr>
                <w:kern w:val="0"/>
                <w:sz w:val="28"/>
                <w:szCs w:val="28"/>
                <w:u w:val="wave"/>
              </w:rPr>
              <w:t>年取得环评批复（</w:t>
            </w:r>
            <w:r>
              <w:rPr>
                <w:rFonts w:hint="eastAsia"/>
                <w:kern w:val="0"/>
                <w:sz w:val="28"/>
                <w:szCs w:val="28"/>
                <w:u w:val="wave"/>
              </w:rPr>
              <w:t>湘环评表[2010]15号</w:t>
            </w:r>
            <w:r>
              <w:rPr>
                <w:kern w:val="0"/>
                <w:sz w:val="28"/>
                <w:szCs w:val="28"/>
                <w:u w:val="wave"/>
              </w:rPr>
              <w:t>），201</w:t>
            </w:r>
            <w:r>
              <w:rPr>
                <w:rFonts w:hint="eastAsia"/>
                <w:kern w:val="0"/>
                <w:sz w:val="28"/>
                <w:szCs w:val="28"/>
                <w:u w:val="wave"/>
              </w:rPr>
              <w:t>4</w:t>
            </w:r>
            <w:r>
              <w:rPr>
                <w:kern w:val="0"/>
                <w:sz w:val="28"/>
                <w:szCs w:val="28"/>
                <w:u w:val="wave"/>
              </w:rPr>
              <w:t>年投运</w:t>
            </w:r>
            <w:r>
              <w:rPr>
                <w:rFonts w:hint="eastAsia"/>
                <w:kern w:val="0"/>
                <w:sz w:val="28"/>
                <w:szCs w:val="28"/>
                <w:u w:val="wave"/>
              </w:rPr>
              <w:t>，2015年取得环保验收批复（湘环评辐验表[2015]12号）</w:t>
            </w:r>
            <w:r>
              <w:rPr>
                <w:kern w:val="0"/>
                <w:sz w:val="28"/>
                <w:szCs w:val="28"/>
                <w:u w:val="wave"/>
              </w:rPr>
              <w:t>；</w:t>
            </w:r>
            <w:r>
              <w:rPr>
                <w:rFonts w:hint="eastAsia"/>
                <w:kern w:val="0"/>
                <w:sz w:val="28"/>
                <w:szCs w:val="28"/>
                <w:u w:val="wave"/>
              </w:rPr>
              <w:t>拟扩建的</w:t>
            </w:r>
            <w:r>
              <w:rPr>
                <w:kern w:val="0"/>
                <w:sz w:val="28"/>
                <w:szCs w:val="28"/>
                <w:u w:val="wave"/>
              </w:rPr>
              <w:t>大岭110kV变电站于1999年开工建设，2000年投运；新建的六岭110kV变电站于2015年取得环评批复（湘环评辐表[2015]46号），本次</w:t>
            </w:r>
            <w:r>
              <w:rPr>
                <w:rFonts w:hint="eastAsia"/>
                <w:kern w:val="0"/>
                <w:sz w:val="28"/>
                <w:szCs w:val="28"/>
                <w:u w:val="wave"/>
              </w:rPr>
              <w:t>因可研</w:t>
            </w:r>
            <w:r>
              <w:rPr>
                <w:kern w:val="0"/>
                <w:sz w:val="28"/>
                <w:szCs w:val="28"/>
                <w:u w:val="wave"/>
              </w:rPr>
              <w:t>修编</w:t>
            </w:r>
            <w:r>
              <w:rPr>
                <w:rFonts w:hint="eastAsia"/>
                <w:kern w:val="0"/>
                <w:sz w:val="28"/>
                <w:szCs w:val="28"/>
                <w:u w:val="wave"/>
              </w:rPr>
              <w:t>重做环评</w:t>
            </w:r>
            <w:r>
              <w:rPr>
                <w:kern w:val="0"/>
                <w:sz w:val="28"/>
                <w:szCs w:val="28"/>
                <w:u w:val="wave"/>
              </w:rPr>
              <w:t>。</w:t>
            </w:r>
          </w:p>
          <w:p>
            <w:pPr>
              <w:tabs>
                <w:tab w:val="left" w:pos="720"/>
              </w:tabs>
              <w:spacing w:line="360" w:lineRule="auto"/>
              <w:ind w:firstLine="570"/>
              <w:rPr>
                <w:kern w:val="0"/>
                <w:sz w:val="28"/>
                <w:szCs w:val="28"/>
              </w:rPr>
            </w:pPr>
            <w:r>
              <w:rPr>
                <w:kern w:val="0"/>
                <w:sz w:val="28"/>
                <w:szCs w:val="28"/>
              </w:rPr>
              <w:t>受</w:t>
            </w:r>
            <w:r>
              <w:rPr>
                <w:rFonts w:hint="eastAsia"/>
                <w:kern w:val="0"/>
                <w:sz w:val="28"/>
                <w:szCs w:val="28"/>
              </w:rPr>
              <w:t>湖南省电力公司</w:t>
            </w:r>
            <w:r>
              <w:rPr>
                <w:kern w:val="0"/>
                <w:sz w:val="28"/>
                <w:szCs w:val="28"/>
              </w:rPr>
              <w:t>委托，我公司于2017年4月17日至22日对本项目新建及扩建变电站站址及相关线路沿线进行了实地踏勘和调查，收集了自然环境、社会环境及有关资料，并委托湖南省电力环境监测中心站进行了工程所在区域工频电场强度、工频磁感应强度的现状监测。在此基础上，根据相关的技术规范、技术导则要求，进行了环境影响预测及评价，结合工程目前的进展情况制定了相应环境保护措施，编制完成了本项目的环境影响报告表。</w:t>
            </w:r>
          </w:p>
          <w:p>
            <w:pPr>
              <w:spacing w:line="360" w:lineRule="auto"/>
              <w:ind w:right="101" w:rightChars="48"/>
              <w:rPr>
                <w:kern w:val="0"/>
                <w:sz w:val="28"/>
                <w:szCs w:val="28"/>
              </w:rPr>
            </w:pPr>
            <w:r>
              <w:rPr>
                <w:kern w:val="0"/>
                <w:sz w:val="28"/>
                <w:szCs w:val="28"/>
              </w:rPr>
              <w:t>1.4 工程主要内容及设备选型</w:t>
            </w:r>
          </w:p>
          <w:p>
            <w:pPr>
              <w:tabs>
                <w:tab w:val="left" w:pos="720"/>
              </w:tabs>
              <w:spacing w:line="360" w:lineRule="auto"/>
              <w:rPr>
                <w:kern w:val="0"/>
                <w:sz w:val="28"/>
                <w:szCs w:val="28"/>
              </w:rPr>
            </w:pPr>
            <w:r>
              <w:rPr>
                <w:kern w:val="0"/>
                <w:sz w:val="28"/>
                <w:szCs w:val="28"/>
              </w:rPr>
              <w:t>1.4.1建设内容</w:t>
            </w:r>
          </w:p>
          <w:p>
            <w:pPr>
              <w:tabs>
                <w:tab w:val="left" w:pos="720"/>
              </w:tabs>
              <w:spacing w:line="360" w:lineRule="auto"/>
              <w:ind w:firstLine="570"/>
              <w:rPr>
                <w:kern w:val="0"/>
                <w:sz w:val="28"/>
                <w:szCs w:val="28"/>
              </w:rPr>
            </w:pPr>
            <w:r>
              <w:rPr>
                <w:kern w:val="0"/>
                <w:sz w:val="28"/>
                <w:szCs w:val="28"/>
              </w:rPr>
              <w:t>邵阳市2017年第一批输变电工程建设项目建设内容见表1。</w:t>
            </w:r>
          </w:p>
          <w:p>
            <w:pPr>
              <w:jc w:val="center"/>
              <w:rPr>
                <w:kern w:val="0"/>
                <w:sz w:val="28"/>
                <w:szCs w:val="28"/>
                <w:u w:val="wave"/>
              </w:rPr>
            </w:pPr>
            <w:r>
              <w:rPr>
                <w:kern w:val="0"/>
                <w:sz w:val="28"/>
                <w:szCs w:val="28"/>
                <w:u w:val="wave"/>
              </w:rPr>
              <w:t>表1  邵阳市2017年第一批线路工程建设内容一览表</w:t>
            </w:r>
          </w:p>
          <w:tbl>
            <w:tblPr>
              <w:tblStyle w:val="11"/>
              <w:tblW w:w="926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2"/>
              <w:gridCol w:w="1492"/>
              <w:gridCol w:w="6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54" w:type="dxa"/>
                  <w:gridSpan w:val="2"/>
                  <w:shd w:val="clear" w:color="auto" w:fill="auto"/>
                  <w:vAlign w:val="center"/>
                </w:tcPr>
                <w:p>
                  <w:pPr>
                    <w:jc w:val="center"/>
                    <w:rPr>
                      <w:kern w:val="0"/>
                      <w:szCs w:val="21"/>
                    </w:rPr>
                  </w:pPr>
                  <w:r>
                    <w:rPr>
                      <w:kern w:val="0"/>
                      <w:szCs w:val="21"/>
                    </w:rPr>
                    <w:t>项目名称</w:t>
                  </w:r>
                </w:p>
              </w:tc>
              <w:tc>
                <w:tcPr>
                  <w:tcW w:w="6112" w:type="dxa"/>
                  <w:shd w:val="clear" w:color="auto" w:fill="auto"/>
                  <w:vAlign w:val="center"/>
                </w:tcPr>
                <w:p>
                  <w:pPr>
                    <w:jc w:val="center"/>
                    <w:rPr>
                      <w:kern w:val="0"/>
                      <w:szCs w:val="21"/>
                    </w:rPr>
                  </w:pPr>
                  <w:r>
                    <w:rPr>
                      <w:kern w:val="0"/>
                      <w:szCs w:val="21"/>
                    </w:rPr>
                    <w:t>建设内容及规模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3" w:hRule="atLeast"/>
                <w:jc w:val="center"/>
              </w:trPr>
              <w:tc>
                <w:tcPr>
                  <w:tcW w:w="1662" w:type="dxa"/>
                  <w:vMerge w:val="restart"/>
                  <w:shd w:val="clear" w:color="auto" w:fill="auto"/>
                  <w:vAlign w:val="center"/>
                </w:tcPr>
                <w:p>
                  <w:pPr>
                    <w:jc w:val="center"/>
                    <w:rPr>
                      <w:kern w:val="0"/>
                      <w:szCs w:val="21"/>
                    </w:rPr>
                  </w:pPr>
                  <w:r>
                    <w:rPr>
                      <w:kern w:val="0"/>
                      <w:szCs w:val="21"/>
                    </w:rPr>
                    <w:t>邵阳隆回县城东110kV输变电工程</w:t>
                  </w:r>
                </w:p>
              </w:tc>
              <w:tc>
                <w:tcPr>
                  <w:tcW w:w="1492" w:type="dxa"/>
                  <w:shd w:val="clear" w:color="auto" w:fill="auto"/>
                  <w:vAlign w:val="center"/>
                </w:tcPr>
                <w:p>
                  <w:pPr>
                    <w:jc w:val="center"/>
                    <w:rPr>
                      <w:kern w:val="0"/>
                      <w:szCs w:val="21"/>
                    </w:rPr>
                  </w:pPr>
                  <w:r>
                    <w:rPr>
                      <w:kern w:val="0"/>
                      <w:szCs w:val="21"/>
                    </w:rPr>
                    <w:t>变电站</w:t>
                  </w:r>
                </w:p>
              </w:tc>
              <w:tc>
                <w:tcPr>
                  <w:tcW w:w="6112" w:type="dxa"/>
                  <w:shd w:val="clear" w:color="auto" w:fill="auto"/>
                  <w:vAlign w:val="center"/>
                </w:tcPr>
                <w:p>
                  <w:pPr>
                    <w:jc w:val="left"/>
                    <w:rPr>
                      <w:kern w:val="0"/>
                      <w:szCs w:val="21"/>
                    </w:rPr>
                  </w:pPr>
                  <w:r>
                    <w:rPr>
                      <w:kern w:val="0"/>
                      <w:szCs w:val="21"/>
                    </w:rPr>
                    <w:t>远期2×50MVA，本期1×50MVA；110kV出线远期4 回，本期2 回；10kV出线远期24 回，本期12 回；容性无功补偿为远期2× （ 4.8+3.6） MVar， 本期1×（4.8+3.6）MVar</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3" w:hRule="atLeast"/>
                <w:jc w:val="center"/>
              </w:trPr>
              <w:tc>
                <w:tcPr>
                  <w:tcW w:w="1662" w:type="dxa"/>
                  <w:vMerge w:val="continue"/>
                  <w:shd w:val="clear" w:color="auto" w:fill="auto"/>
                  <w:vAlign w:val="center"/>
                </w:tcPr>
                <w:p>
                  <w:pPr>
                    <w:jc w:val="center"/>
                    <w:rPr>
                      <w:kern w:val="0"/>
                      <w:szCs w:val="21"/>
                    </w:rPr>
                  </w:pPr>
                </w:p>
              </w:tc>
              <w:tc>
                <w:tcPr>
                  <w:tcW w:w="1492" w:type="dxa"/>
                  <w:shd w:val="clear" w:color="auto" w:fill="auto"/>
                  <w:vAlign w:val="center"/>
                </w:tcPr>
                <w:p>
                  <w:pPr>
                    <w:jc w:val="center"/>
                    <w:rPr>
                      <w:kern w:val="0"/>
                      <w:szCs w:val="21"/>
                    </w:rPr>
                  </w:pPr>
                  <w:r>
                    <w:rPr>
                      <w:kern w:val="0"/>
                      <w:szCs w:val="21"/>
                    </w:rPr>
                    <w:t>110kV线路</w:t>
                  </w:r>
                </w:p>
              </w:tc>
              <w:tc>
                <w:tcPr>
                  <w:tcW w:w="6112" w:type="dxa"/>
                  <w:shd w:val="clear" w:color="auto" w:fill="auto"/>
                  <w:vAlign w:val="center"/>
                </w:tcPr>
                <w:p>
                  <w:pPr>
                    <w:jc w:val="left"/>
                    <w:rPr>
                      <w:kern w:val="0"/>
                      <w:szCs w:val="21"/>
                    </w:rPr>
                  </w:pPr>
                  <w:r>
                    <w:rPr>
                      <w:kern w:val="0"/>
                      <w:szCs w:val="21"/>
                    </w:rPr>
                    <w:t>将110 kV隆回～寺山II 回线路开π剖入城东变电站，剖接线路路径长度为双回1.1 km，单回0.6 km，线型为LGJ-300/40。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3" w:hRule="atLeast"/>
                <w:jc w:val="center"/>
              </w:trPr>
              <w:tc>
                <w:tcPr>
                  <w:tcW w:w="1662" w:type="dxa"/>
                  <w:vMerge w:val="continue"/>
                  <w:shd w:val="clear" w:color="auto" w:fill="auto"/>
                  <w:vAlign w:val="center"/>
                </w:tcPr>
                <w:p>
                  <w:pPr>
                    <w:jc w:val="center"/>
                    <w:rPr>
                      <w:kern w:val="0"/>
                      <w:szCs w:val="21"/>
                    </w:rPr>
                  </w:pPr>
                </w:p>
              </w:tc>
              <w:tc>
                <w:tcPr>
                  <w:tcW w:w="1492" w:type="dxa"/>
                  <w:shd w:val="clear" w:color="auto" w:fill="auto"/>
                  <w:vAlign w:val="center"/>
                </w:tcPr>
                <w:p>
                  <w:pPr>
                    <w:jc w:val="center"/>
                    <w:rPr>
                      <w:kern w:val="0"/>
                      <w:szCs w:val="21"/>
                    </w:rPr>
                  </w:pPr>
                  <w:r>
                    <w:rPr>
                      <w:kern w:val="0"/>
                      <w:szCs w:val="21"/>
                    </w:rPr>
                    <w:t>配套光纤通信</w:t>
                  </w:r>
                </w:p>
              </w:tc>
              <w:tc>
                <w:tcPr>
                  <w:tcW w:w="6112" w:type="dxa"/>
                  <w:shd w:val="clear" w:color="auto" w:fill="auto"/>
                  <w:vAlign w:val="center"/>
                </w:tcPr>
                <w:p>
                  <w:pPr>
                    <w:jc w:val="left"/>
                    <w:rPr>
                      <w:kern w:val="0"/>
                      <w:szCs w:val="21"/>
                    </w:rPr>
                  </w:pPr>
                  <w:r>
                    <w:rPr>
                      <w:kern w:val="0"/>
                      <w:szCs w:val="21"/>
                    </w:rPr>
                    <w:t>沿新建隆茶Ⅱ线剖入隆回城东变110kV 线路架设OPGW 光缆，剖入剖出长度约2×1.6 km，分别与原光缆于P21#杆、P22#杆接续。城东变站端引入光缆采用ADSS 光缆2×0.3=0.6km，光缆芯数按24 芯G.652D 纤芯进行配置。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3" w:hRule="atLeast"/>
                <w:jc w:val="center"/>
              </w:trPr>
              <w:tc>
                <w:tcPr>
                  <w:tcW w:w="3154" w:type="dxa"/>
                  <w:gridSpan w:val="2"/>
                  <w:shd w:val="clear" w:color="auto" w:fill="auto"/>
                  <w:vAlign w:val="center"/>
                </w:tcPr>
                <w:p>
                  <w:pPr>
                    <w:jc w:val="center"/>
                    <w:rPr>
                      <w:kern w:val="0"/>
                      <w:szCs w:val="21"/>
                    </w:rPr>
                  </w:pPr>
                  <w:r>
                    <w:rPr>
                      <w:kern w:val="0"/>
                      <w:szCs w:val="21"/>
                    </w:rPr>
                    <w:t>邵阳洞口县高沙110kV变电站2#主变扩建工程</w:t>
                  </w:r>
                </w:p>
              </w:tc>
              <w:tc>
                <w:tcPr>
                  <w:tcW w:w="6112" w:type="dxa"/>
                  <w:shd w:val="clear" w:color="auto" w:fill="auto"/>
                  <w:vAlign w:val="top"/>
                </w:tcPr>
                <w:p>
                  <w:pPr>
                    <w:jc w:val="left"/>
                    <w:rPr>
                      <w:kern w:val="0"/>
                      <w:szCs w:val="21"/>
                    </w:rPr>
                  </w:pPr>
                  <w:r>
                    <w:rPr>
                      <w:kern w:val="0"/>
                      <w:szCs w:val="21"/>
                    </w:rPr>
                    <w:t>现  状：主变压器1×31.5MVA；1×6.0Mvar容性无功补偿；</w:t>
                  </w:r>
                </w:p>
                <w:p>
                  <w:pPr>
                    <w:jc w:val="left"/>
                    <w:rPr>
                      <w:kern w:val="0"/>
                      <w:szCs w:val="21"/>
                    </w:rPr>
                  </w:pPr>
                  <w:r>
                    <w:rPr>
                      <w:kern w:val="0"/>
                      <w:szCs w:val="21"/>
                    </w:rPr>
                    <w:t>扩建后：主变压器2×31.5MVA； 6.0+4.8Mvar容性无功补偿。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3" w:hRule="atLeast"/>
                <w:jc w:val="center"/>
              </w:trPr>
              <w:tc>
                <w:tcPr>
                  <w:tcW w:w="3154" w:type="dxa"/>
                  <w:gridSpan w:val="2"/>
                  <w:shd w:val="clear" w:color="auto" w:fill="auto"/>
                  <w:vAlign w:val="center"/>
                </w:tcPr>
                <w:p>
                  <w:pPr>
                    <w:jc w:val="center"/>
                    <w:rPr>
                      <w:kern w:val="0"/>
                      <w:szCs w:val="21"/>
                    </w:rPr>
                  </w:pPr>
                  <w:r>
                    <w:rPr>
                      <w:kern w:val="0"/>
                      <w:szCs w:val="21"/>
                    </w:rPr>
                    <w:t>邵阳宝莲二期风电110kV送出工程</w:t>
                  </w:r>
                </w:p>
              </w:tc>
              <w:tc>
                <w:tcPr>
                  <w:tcW w:w="6112" w:type="dxa"/>
                  <w:shd w:val="clear" w:color="auto" w:fill="auto"/>
                  <w:vAlign w:val="center"/>
                </w:tcPr>
                <w:p>
                  <w:pPr>
                    <w:jc w:val="left"/>
                    <w:rPr>
                      <w:kern w:val="0"/>
                      <w:szCs w:val="21"/>
                    </w:rPr>
                  </w:pPr>
                  <w:r>
                    <w:rPr>
                      <w:kern w:val="0"/>
                      <w:szCs w:val="21"/>
                    </w:rPr>
                    <w:t>新建1回110kV线路，起于隆回宝莲二期风电场110 kV升压站，止于隆回宝莲一期风电场升压站。新建线路全线按30mm 重冰区考虑，线路长约5.5 km，单回路架设。导线推荐采用JLHA2/G1A-300/50 型钢芯铝合金绞线，两根地线采用XGJ-100 型锌铝烯土合金镀层钢绞线。全线新立杆塔21 基，其中转角塔7 基，终端塔2 基，直线12 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3" w:hRule="atLeast"/>
                <w:jc w:val="center"/>
              </w:trPr>
              <w:tc>
                <w:tcPr>
                  <w:tcW w:w="3154" w:type="dxa"/>
                  <w:gridSpan w:val="2"/>
                  <w:shd w:val="clear" w:color="auto" w:fill="auto"/>
                  <w:vAlign w:val="center"/>
                </w:tcPr>
                <w:p>
                  <w:pPr>
                    <w:jc w:val="center"/>
                    <w:rPr>
                      <w:kern w:val="0"/>
                      <w:szCs w:val="21"/>
                    </w:rPr>
                  </w:pPr>
                  <w:r>
                    <w:rPr>
                      <w:kern w:val="0"/>
                      <w:szCs w:val="21"/>
                    </w:rPr>
                    <w:t>邵阳邵东县黄陂桥110kV变电站主变扩建工程</w:t>
                  </w:r>
                </w:p>
              </w:tc>
              <w:tc>
                <w:tcPr>
                  <w:tcW w:w="6112" w:type="dxa"/>
                  <w:shd w:val="clear" w:color="auto" w:fill="auto"/>
                  <w:vAlign w:val="center"/>
                </w:tcPr>
                <w:p>
                  <w:pPr>
                    <w:jc w:val="left"/>
                    <w:rPr>
                      <w:kern w:val="0"/>
                      <w:szCs w:val="21"/>
                    </w:rPr>
                  </w:pPr>
                  <w:r>
                    <w:rPr>
                      <w:kern w:val="0"/>
                      <w:szCs w:val="21"/>
                    </w:rPr>
                    <w:t>现  状：主变压器1×50MVA；1×3.6+1×4.8Mvar容性无功补偿。</w:t>
                  </w:r>
                </w:p>
                <w:p>
                  <w:pPr>
                    <w:jc w:val="left"/>
                    <w:rPr>
                      <w:kern w:val="0"/>
                      <w:szCs w:val="21"/>
                    </w:rPr>
                  </w:pPr>
                  <w:r>
                    <w:rPr>
                      <w:kern w:val="0"/>
                      <w:szCs w:val="21"/>
                    </w:rPr>
                    <w:t>扩建后：主变压器2×50MVA； 2×(4.8+3.6) Mvar容性无功补偿。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3" w:hRule="atLeast"/>
                <w:jc w:val="center"/>
              </w:trPr>
              <w:tc>
                <w:tcPr>
                  <w:tcW w:w="3154" w:type="dxa"/>
                  <w:gridSpan w:val="2"/>
                  <w:shd w:val="clear" w:color="auto" w:fill="auto"/>
                  <w:vAlign w:val="center"/>
                </w:tcPr>
                <w:p>
                  <w:pPr>
                    <w:jc w:val="center"/>
                    <w:rPr>
                      <w:kern w:val="0"/>
                      <w:szCs w:val="21"/>
                    </w:rPr>
                  </w:pPr>
                  <w:r>
                    <w:rPr>
                      <w:kern w:val="0"/>
                      <w:szCs w:val="21"/>
                    </w:rPr>
                    <w:t>邵阳县大岭110kV变电站2#主变扩建工程</w:t>
                  </w:r>
                </w:p>
              </w:tc>
              <w:tc>
                <w:tcPr>
                  <w:tcW w:w="6112" w:type="dxa"/>
                  <w:shd w:val="clear" w:color="auto" w:fill="auto"/>
                  <w:vAlign w:val="center"/>
                </w:tcPr>
                <w:p>
                  <w:pPr>
                    <w:jc w:val="left"/>
                    <w:rPr>
                      <w:kern w:val="0"/>
                      <w:szCs w:val="21"/>
                    </w:rPr>
                  </w:pPr>
                  <w:r>
                    <w:rPr>
                      <w:kern w:val="0"/>
                      <w:szCs w:val="21"/>
                    </w:rPr>
                    <w:t>现  状：主变压器2×31.5MVA；2×4.2Mvar容性无功补偿；</w:t>
                  </w:r>
                </w:p>
                <w:p>
                  <w:pPr>
                    <w:jc w:val="left"/>
                    <w:rPr>
                      <w:kern w:val="0"/>
                      <w:szCs w:val="21"/>
                    </w:rPr>
                  </w:pPr>
                  <w:r>
                    <w:rPr>
                      <w:kern w:val="0"/>
                      <w:szCs w:val="21"/>
                    </w:rPr>
                    <w:t>扩建后：1×31.5+1×50MVA； 1×4.2+1×（3.6+4.8）Mvar容性无功补偿。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3" w:hRule="atLeast"/>
                <w:jc w:val="center"/>
              </w:trPr>
              <w:tc>
                <w:tcPr>
                  <w:tcW w:w="3154" w:type="dxa"/>
                  <w:gridSpan w:val="2"/>
                  <w:shd w:val="clear" w:color="auto" w:fill="auto"/>
                  <w:vAlign w:val="center"/>
                </w:tcPr>
                <w:p>
                  <w:pPr>
                    <w:jc w:val="center"/>
                    <w:rPr>
                      <w:kern w:val="0"/>
                      <w:szCs w:val="21"/>
                    </w:rPr>
                  </w:pPr>
                  <w:r>
                    <w:rPr>
                      <w:kern w:val="0"/>
                      <w:szCs w:val="21"/>
                    </w:rPr>
                    <w:t>邵阳大唐华银绥宁宝鼎山风电二期三期110kV送出工程</w:t>
                  </w:r>
                </w:p>
              </w:tc>
              <w:tc>
                <w:tcPr>
                  <w:tcW w:w="6112" w:type="dxa"/>
                  <w:shd w:val="clear" w:color="auto" w:fill="auto"/>
                  <w:vAlign w:val="center"/>
                </w:tcPr>
                <w:p>
                  <w:pPr>
                    <w:jc w:val="left"/>
                    <w:rPr>
                      <w:kern w:val="0"/>
                      <w:szCs w:val="21"/>
                    </w:rPr>
                  </w:pPr>
                  <w:r>
                    <w:rPr>
                      <w:kern w:val="0"/>
                      <w:szCs w:val="21"/>
                    </w:rPr>
                    <w:t>将现有的110kV赧武线15mm、20mm冰区段导线更换为240mm2截面的耐热导线，长度约26.99km；将现有的赧武线2.05km重冰区线路拆除，新建约2.2km长400mm2截面的铝合金芯铝绞线。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3" w:hRule="atLeast"/>
                <w:jc w:val="center"/>
              </w:trPr>
              <w:tc>
                <w:tcPr>
                  <w:tcW w:w="3154" w:type="dxa"/>
                  <w:gridSpan w:val="2"/>
                  <w:shd w:val="clear" w:color="auto" w:fill="auto"/>
                  <w:vAlign w:val="center"/>
                </w:tcPr>
                <w:p>
                  <w:pPr>
                    <w:jc w:val="center"/>
                    <w:rPr>
                      <w:kern w:val="0"/>
                      <w:szCs w:val="21"/>
                    </w:rPr>
                  </w:pPr>
                  <w:r>
                    <w:rPr>
                      <w:kern w:val="0"/>
                      <w:szCs w:val="21"/>
                    </w:rPr>
                    <w:t>隆回金坪110kV风电送出工程</w:t>
                  </w:r>
                </w:p>
              </w:tc>
              <w:tc>
                <w:tcPr>
                  <w:tcW w:w="6112" w:type="dxa"/>
                  <w:shd w:val="clear" w:color="auto" w:fill="auto"/>
                  <w:vAlign w:val="center"/>
                </w:tcPr>
                <w:p>
                  <w:pPr>
                    <w:jc w:val="left"/>
                    <w:rPr>
                      <w:kern w:val="0"/>
                      <w:szCs w:val="21"/>
                    </w:rPr>
                  </w:pPr>
                  <w:r>
                    <w:rPr>
                      <w:kern w:val="0"/>
                      <w:szCs w:val="21"/>
                    </w:rPr>
                    <w:t>新建一回金坪风电-小沙江110kV线路，线路长5.8km，导线采用JLHA1/G1A-300/50。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3" w:hRule="atLeast"/>
                <w:jc w:val="center"/>
              </w:trPr>
              <w:tc>
                <w:tcPr>
                  <w:tcW w:w="1662" w:type="dxa"/>
                  <w:vMerge w:val="restart"/>
                  <w:shd w:val="clear" w:color="auto" w:fill="auto"/>
                  <w:vAlign w:val="center"/>
                </w:tcPr>
                <w:p>
                  <w:pPr>
                    <w:jc w:val="center"/>
                    <w:rPr>
                      <w:kern w:val="0"/>
                      <w:szCs w:val="21"/>
                    </w:rPr>
                  </w:pPr>
                  <w:r>
                    <w:rPr>
                      <w:kern w:val="0"/>
                      <w:szCs w:val="21"/>
                    </w:rPr>
                    <w:t>邵阳六岭110kV输变电工程</w:t>
                  </w:r>
                </w:p>
              </w:tc>
              <w:tc>
                <w:tcPr>
                  <w:tcW w:w="1492" w:type="dxa"/>
                  <w:shd w:val="clear" w:color="auto" w:fill="auto"/>
                  <w:vAlign w:val="center"/>
                </w:tcPr>
                <w:p>
                  <w:pPr>
                    <w:jc w:val="center"/>
                    <w:rPr>
                      <w:kern w:val="0"/>
                      <w:szCs w:val="21"/>
                    </w:rPr>
                  </w:pPr>
                  <w:r>
                    <w:rPr>
                      <w:kern w:val="0"/>
                      <w:szCs w:val="21"/>
                    </w:rPr>
                    <w:t>变电站</w:t>
                  </w:r>
                </w:p>
              </w:tc>
              <w:tc>
                <w:tcPr>
                  <w:tcW w:w="6112" w:type="dxa"/>
                  <w:shd w:val="clear" w:color="auto" w:fill="auto"/>
                  <w:vAlign w:val="center"/>
                </w:tcPr>
                <w:p>
                  <w:pPr>
                    <w:jc w:val="left"/>
                    <w:rPr>
                      <w:kern w:val="0"/>
                      <w:szCs w:val="21"/>
                    </w:rPr>
                  </w:pPr>
                  <w:r>
                    <w:rPr>
                      <w:kern w:val="0"/>
                      <w:szCs w:val="21"/>
                    </w:rPr>
                    <w:t>本期主变容量2×50MVA；110kV出线远期2 回，本期2 回；容性无功补偿为本期2×（4.8+3.6）MVar。</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3" w:hRule="atLeast"/>
                <w:jc w:val="center"/>
              </w:trPr>
              <w:tc>
                <w:tcPr>
                  <w:tcW w:w="1662" w:type="dxa"/>
                  <w:vMerge w:val="continue"/>
                  <w:shd w:val="clear" w:color="auto" w:fill="auto"/>
                  <w:vAlign w:val="center"/>
                </w:tcPr>
                <w:p>
                  <w:pPr>
                    <w:jc w:val="center"/>
                    <w:rPr>
                      <w:kern w:val="0"/>
                      <w:szCs w:val="21"/>
                    </w:rPr>
                  </w:pPr>
                </w:p>
              </w:tc>
              <w:tc>
                <w:tcPr>
                  <w:tcW w:w="1492" w:type="dxa"/>
                  <w:shd w:val="clear" w:color="auto" w:fill="auto"/>
                  <w:vAlign w:val="center"/>
                </w:tcPr>
                <w:p>
                  <w:pPr>
                    <w:jc w:val="center"/>
                    <w:rPr>
                      <w:kern w:val="0"/>
                      <w:szCs w:val="21"/>
                    </w:rPr>
                  </w:pPr>
                  <w:r>
                    <w:rPr>
                      <w:kern w:val="0"/>
                      <w:szCs w:val="21"/>
                    </w:rPr>
                    <w:t>110kV线路</w:t>
                  </w:r>
                </w:p>
              </w:tc>
              <w:tc>
                <w:tcPr>
                  <w:tcW w:w="6112" w:type="dxa"/>
                  <w:shd w:val="clear" w:color="auto" w:fill="auto"/>
                  <w:vAlign w:val="center"/>
                </w:tcPr>
                <w:p>
                  <w:pPr>
                    <w:jc w:val="left"/>
                    <w:rPr>
                      <w:kern w:val="0"/>
                      <w:szCs w:val="21"/>
                    </w:rPr>
                  </w:pPr>
                  <w:r>
                    <w:rPr>
                      <w:kern w:val="0"/>
                      <w:szCs w:val="21"/>
                    </w:rPr>
                    <w:t>六岭变新建一回线路“T”接110kV宝庆-双清变线路，同时新建一回线路“T”接110kV檀江-双清变线路；邵水段双回架空2×0.11km。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63" w:hRule="atLeast"/>
                <w:jc w:val="center"/>
              </w:trPr>
              <w:tc>
                <w:tcPr>
                  <w:tcW w:w="1662" w:type="dxa"/>
                  <w:vMerge w:val="continue"/>
                  <w:shd w:val="clear" w:color="auto" w:fill="auto"/>
                  <w:vAlign w:val="center"/>
                </w:tcPr>
                <w:p>
                  <w:pPr>
                    <w:jc w:val="center"/>
                    <w:rPr>
                      <w:kern w:val="0"/>
                      <w:szCs w:val="21"/>
                    </w:rPr>
                  </w:pPr>
                </w:p>
              </w:tc>
              <w:tc>
                <w:tcPr>
                  <w:tcW w:w="1492" w:type="dxa"/>
                  <w:shd w:val="clear" w:color="auto" w:fill="auto"/>
                  <w:vAlign w:val="center"/>
                </w:tcPr>
                <w:p>
                  <w:pPr>
                    <w:jc w:val="center"/>
                    <w:rPr>
                      <w:kern w:val="0"/>
                      <w:szCs w:val="21"/>
                    </w:rPr>
                  </w:pPr>
                  <w:r>
                    <w:rPr>
                      <w:kern w:val="0"/>
                      <w:szCs w:val="21"/>
                    </w:rPr>
                    <w:t>配套光纤通信</w:t>
                  </w:r>
                </w:p>
              </w:tc>
              <w:tc>
                <w:tcPr>
                  <w:tcW w:w="6112" w:type="dxa"/>
                  <w:shd w:val="clear" w:color="auto" w:fill="auto"/>
                  <w:vAlign w:val="center"/>
                </w:tcPr>
                <w:p>
                  <w:pPr>
                    <w:jc w:val="left"/>
                    <w:rPr>
                      <w:kern w:val="0"/>
                      <w:szCs w:val="21"/>
                    </w:rPr>
                  </w:pPr>
                  <w:r>
                    <w:rPr>
                      <w:kern w:val="0"/>
                      <w:szCs w:val="21"/>
                    </w:rPr>
                    <w:t>沿T接110kV檀江-双清变线路路径（六岭-T接点-双清变）和T接110kV宝庆-双清变线路路径（六岭-T接点-双清变）各建设1根24芯光缆，其中架空段采用OPGW光缆，路径长度2×0.11km，光缆芯数型式均按24芯G.652进行配置。</w:t>
                  </w:r>
                </w:p>
              </w:tc>
            </w:tr>
          </w:tbl>
          <w:p>
            <w:pPr>
              <w:spacing w:before="156" w:beforeLines="50" w:line="360" w:lineRule="auto"/>
              <w:ind w:right="101" w:rightChars="48"/>
              <w:rPr>
                <w:kern w:val="0"/>
                <w:sz w:val="28"/>
                <w:szCs w:val="28"/>
              </w:rPr>
            </w:pPr>
            <w:r>
              <w:rPr>
                <w:kern w:val="0"/>
                <w:sz w:val="28"/>
                <w:szCs w:val="28"/>
              </w:rPr>
              <w:t>1.4.2设备选型</w:t>
            </w:r>
          </w:p>
          <w:p>
            <w:pPr>
              <w:ind w:firstLine="560" w:firstLineChars="200"/>
              <w:rPr>
                <w:kern w:val="0"/>
                <w:sz w:val="28"/>
                <w:szCs w:val="28"/>
              </w:rPr>
            </w:pPr>
            <w:r>
              <w:rPr>
                <w:kern w:val="0"/>
                <w:sz w:val="28"/>
                <w:szCs w:val="28"/>
              </w:rPr>
              <w:t>变电站主要设备见表2。</w:t>
            </w:r>
          </w:p>
          <w:p>
            <w:pPr>
              <w:jc w:val="center"/>
              <w:rPr>
                <w:kern w:val="0"/>
                <w:sz w:val="28"/>
                <w:szCs w:val="28"/>
              </w:rPr>
            </w:pPr>
            <w:r>
              <w:rPr>
                <w:kern w:val="0"/>
                <w:sz w:val="28"/>
                <w:szCs w:val="28"/>
              </w:rPr>
              <w:t>表2  变电站主要设备选型表</w:t>
            </w:r>
          </w:p>
          <w:tbl>
            <w:tblPr>
              <w:tblStyle w:val="11"/>
              <w:tblW w:w="8605" w:type="dxa"/>
              <w:jc w:val="center"/>
              <w:tblInd w:w="48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06"/>
              <w:gridCol w:w="62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2306" w:type="dxa"/>
                  <w:vAlign w:val="center"/>
                </w:tcPr>
                <w:p>
                  <w:pPr>
                    <w:adjustRightInd w:val="0"/>
                    <w:snapToGrid w:val="0"/>
                    <w:jc w:val="center"/>
                    <w:rPr>
                      <w:kern w:val="0"/>
                      <w:szCs w:val="21"/>
                    </w:rPr>
                  </w:pPr>
                  <w:r>
                    <w:rPr>
                      <w:kern w:val="0"/>
                      <w:szCs w:val="21"/>
                    </w:rPr>
                    <w:t>变电站</w:t>
                  </w:r>
                </w:p>
              </w:tc>
              <w:tc>
                <w:tcPr>
                  <w:tcW w:w="6299" w:type="dxa"/>
                  <w:vAlign w:val="center"/>
                </w:tcPr>
                <w:p>
                  <w:pPr>
                    <w:adjustRightInd w:val="0"/>
                    <w:snapToGrid w:val="0"/>
                    <w:jc w:val="center"/>
                    <w:rPr>
                      <w:kern w:val="0"/>
                      <w:szCs w:val="21"/>
                    </w:rPr>
                  </w:pPr>
                  <w:r>
                    <w:rPr>
                      <w:kern w:val="0"/>
                      <w:szCs w:val="21"/>
                    </w:rPr>
                    <w:t>主要设备选型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6" w:type="dxa"/>
                  <w:vAlign w:val="center"/>
                </w:tcPr>
                <w:p>
                  <w:pPr>
                    <w:adjustRightInd w:val="0"/>
                    <w:snapToGrid w:val="0"/>
                    <w:jc w:val="center"/>
                    <w:rPr>
                      <w:kern w:val="0"/>
                      <w:szCs w:val="21"/>
                    </w:rPr>
                  </w:pPr>
                  <w:r>
                    <w:rPr>
                      <w:kern w:val="0"/>
                      <w:szCs w:val="21"/>
                    </w:rPr>
                    <w:t>城东110kV变电站</w:t>
                  </w:r>
                </w:p>
              </w:tc>
              <w:tc>
                <w:tcPr>
                  <w:tcW w:w="6299" w:type="dxa"/>
                  <w:vAlign w:val="center"/>
                </w:tcPr>
                <w:p>
                  <w:pPr>
                    <w:autoSpaceDE w:val="0"/>
                    <w:autoSpaceDN w:val="0"/>
                    <w:adjustRightInd w:val="0"/>
                    <w:jc w:val="left"/>
                    <w:rPr>
                      <w:kern w:val="0"/>
                      <w:szCs w:val="21"/>
                    </w:rPr>
                  </w:pPr>
                  <w:r>
                    <w:rPr>
                      <w:kern w:val="0"/>
                      <w:szCs w:val="21"/>
                    </w:rPr>
                    <w:t xml:space="preserve">主变压器：选用50MVA的三相双绕组自冷式有载调压变压器。 </w:t>
                  </w:r>
                </w:p>
                <w:p>
                  <w:pPr>
                    <w:adjustRightInd w:val="0"/>
                    <w:snapToGrid w:val="0"/>
                    <w:rPr>
                      <w:kern w:val="0"/>
                      <w:szCs w:val="21"/>
                    </w:rPr>
                  </w:pPr>
                  <w:r>
                    <w:rPr>
                      <w:kern w:val="0"/>
                      <w:szCs w:val="21"/>
                    </w:rPr>
                    <w:t>110kV：   户外AIS设备。</w:t>
                  </w:r>
                </w:p>
                <w:p>
                  <w:pPr>
                    <w:autoSpaceDE w:val="0"/>
                    <w:autoSpaceDN w:val="0"/>
                    <w:adjustRightInd w:val="0"/>
                    <w:jc w:val="left"/>
                    <w:rPr>
                      <w:kern w:val="0"/>
                      <w:szCs w:val="21"/>
                    </w:rPr>
                  </w:pPr>
                  <w:r>
                    <w:rPr>
                      <w:kern w:val="0"/>
                      <w:szCs w:val="21"/>
                    </w:rPr>
                    <w:t>无功补偿：1×（4.8+3.6）容性无功补偿。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6" w:type="dxa"/>
                  <w:vAlign w:val="center"/>
                </w:tcPr>
                <w:p>
                  <w:pPr>
                    <w:adjustRightInd w:val="0"/>
                    <w:snapToGrid w:val="0"/>
                    <w:jc w:val="center"/>
                    <w:rPr>
                      <w:kern w:val="0"/>
                      <w:szCs w:val="21"/>
                    </w:rPr>
                  </w:pPr>
                  <w:r>
                    <w:rPr>
                      <w:kern w:val="0"/>
                      <w:szCs w:val="21"/>
                    </w:rPr>
                    <w:t>高沙110 kV变电站</w:t>
                  </w:r>
                </w:p>
              </w:tc>
              <w:tc>
                <w:tcPr>
                  <w:tcW w:w="6299" w:type="dxa"/>
                  <w:vAlign w:val="center"/>
                </w:tcPr>
                <w:p>
                  <w:pPr>
                    <w:autoSpaceDE w:val="0"/>
                    <w:autoSpaceDN w:val="0"/>
                    <w:adjustRightInd w:val="0"/>
                    <w:jc w:val="left"/>
                    <w:rPr>
                      <w:kern w:val="0"/>
                      <w:szCs w:val="21"/>
                    </w:rPr>
                  </w:pPr>
                  <w:r>
                    <w:rPr>
                      <w:kern w:val="0"/>
                      <w:szCs w:val="21"/>
                    </w:rPr>
                    <w:t>主变压器：新上1 台31.5MVA 的三相三绕组自冷式有载调压变压器</w:t>
                  </w:r>
                </w:p>
                <w:p>
                  <w:pPr>
                    <w:adjustRightInd w:val="0"/>
                    <w:snapToGrid w:val="0"/>
                    <w:rPr>
                      <w:kern w:val="0"/>
                      <w:szCs w:val="21"/>
                    </w:rPr>
                  </w:pPr>
                  <w:r>
                    <w:rPr>
                      <w:kern w:val="0"/>
                      <w:szCs w:val="21"/>
                    </w:rPr>
                    <w:t>110kV：   户外AIS设备。</w:t>
                  </w:r>
                </w:p>
                <w:p>
                  <w:pPr>
                    <w:autoSpaceDE w:val="0"/>
                    <w:autoSpaceDN w:val="0"/>
                    <w:adjustRightInd w:val="0"/>
                    <w:jc w:val="left"/>
                    <w:rPr>
                      <w:kern w:val="0"/>
                      <w:szCs w:val="21"/>
                    </w:rPr>
                  </w:pPr>
                  <w:r>
                    <w:rPr>
                      <w:kern w:val="0"/>
                      <w:szCs w:val="21"/>
                    </w:rPr>
                    <w:t>无功补偿：6.0+4.8Mvar容性无功补偿。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6" w:type="dxa"/>
                  <w:vAlign w:val="center"/>
                </w:tcPr>
                <w:p>
                  <w:pPr>
                    <w:adjustRightInd w:val="0"/>
                    <w:snapToGrid w:val="0"/>
                    <w:jc w:val="center"/>
                    <w:rPr>
                      <w:kern w:val="0"/>
                      <w:szCs w:val="21"/>
                    </w:rPr>
                  </w:pPr>
                  <w:r>
                    <w:rPr>
                      <w:kern w:val="0"/>
                      <w:szCs w:val="21"/>
                    </w:rPr>
                    <w:t>黄陂桥110 kV变电站</w:t>
                  </w:r>
                </w:p>
              </w:tc>
              <w:tc>
                <w:tcPr>
                  <w:tcW w:w="6299" w:type="dxa"/>
                  <w:vAlign w:val="center"/>
                </w:tcPr>
                <w:p>
                  <w:pPr>
                    <w:autoSpaceDE w:val="0"/>
                    <w:autoSpaceDN w:val="0"/>
                    <w:adjustRightInd w:val="0"/>
                    <w:jc w:val="left"/>
                    <w:rPr>
                      <w:kern w:val="0"/>
                      <w:szCs w:val="21"/>
                    </w:rPr>
                  </w:pPr>
                  <w:r>
                    <w:rPr>
                      <w:kern w:val="0"/>
                      <w:szCs w:val="21"/>
                    </w:rPr>
                    <w:t>主变压器：新上1 台50MVA 的三相三绕组自冷式有载调压变压器</w:t>
                  </w:r>
                </w:p>
                <w:p>
                  <w:pPr>
                    <w:adjustRightInd w:val="0"/>
                    <w:snapToGrid w:val="0"/>
                    <w:rPr>
                      <w:kern w:val="0"/>
                      <w:szCs w:val="21"/>
                    </w:rPr>
                  </w:pPr>
                  <w:r>
                    <w:rPr>
                      <w:kern w:val="0"/>
                      <w:szCs w:val="21"/>
                    </w:rPr>
                    <w:t>110kV：   户外AIS设备。</w:t>
                  </w:r>
                </w:p>
                <w:p>
                  <w:pPr>
                    <w:autoSpaceDE w:val="0"/>
                    <w:autoSpaceDN w:val="0"/>
                    <w:adjustRightInd w:val="0"/>
                    <w:jc w:val="left"/>
                    <w:rPr>
                      <w:kern w:val="0"/>
                      <w:szCs w:val="21"/>
                    </w:rPr>
                  </w:pPr>
                  <w:r>
                    <w:rPr>
                      <w:kern w:val="0"/>
                      <w:szCs w:val="21"/>
                    </w:rPr>
                    <w:t>无功补偿：1×(4.8+3.6)Mvar容性无功补偿。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6" w:type="dxa"/>
                  <w:vAlign w:val="center"/>
                </w:tcPr>
                <w:p>
                  <w:pPr>
                    <w:adjustRightInd w:val="0"/>
                    <w:snapToGrid w:val="0"/>
                    <w:jc w:val="center"/>
                    <w:rPr>
                      <w:kern w:val="0"/>
                      <w:szCs w:val="21"/>
                    </w:rPr>
                  </w:pPr>
                  <w:r>
                    <w:rPr>
                      <w:kern w:val="0"/>
                      <w:szCs w:val="21"/>
                    </w:rPr>
                    <w:t>大岭110 kV变电站</w:t>
                  </w:r>
                </w:p>
              </w:tc>
              <w:tc>
                <w:tcPr>
                  <w:tcW w:w="6299" w:type="dxa"/>
                  <w:vAlign w:val="center"/>
                </w:tcPr>
                <w:p>
                  <w:pPr>
                    <w:autoSpaceDE w:val="0"/>
                    <w:autoSpaceDN w:val="0"/>
                    <w:adjustRightInd w:val="0"/>
                    <w:jc w:val="left"/>
                    <w:rPr>
                      <w:kern w:val="0"/>
                      <w:szCs w:val="21"/>
                    </w:rPr>
                  </w:pPr>
                  <w:r>
                    <w:rPr>
                      <w:kern w:val="0"/>
                      <w:szCs w:val="21"/>
                    </w:rPr>
                    <w:t>主变压器：新上1 台50MVA 的三相三绕组自冷式有载调压变压器</w:t>
                  </w:r>
                </w:p>
                <w:p>
                  <w:pPr>
                    <w:adjustRightInd w:val="0"/>
                    <w:snapToGrid w:val="0"/>
                    <w:rPr>
                      <w:kern w:val="0"/>
                      <w:szCs w:val="21"/>
                    </w:rPr>
                  </w:pPr>
                  <w:r>
                    <w:rPr>
                      <w:kern w:val="0"/>
                      <w:szCs w:val="21"/>
                    </w:rPr>
                    <w:t>110kV：   户外AIS设备。</w:t>
                  </w:r>
                </w:p>
                <w:p>
                  <w:pPr>
                    <w:autoSpaceDE w:val="0"/>
                    <w:autoSpaceDN w:val="0"/>
                    <w:adjustRightInd w:val="0"/>
                    <w:jc w:val="left"/>
                    <w:rPr>
                      <w:kern w:val="0"/>
                      <w:szCs w:val="21"/>
                    </w:rPr>
                  </w:pPr>
                  <w:r>
                    <w:rPr>
                      <w:kern w:val="0"/>
                      <w:szCs w:val="21"/>
                    </w:rPr>
                    <w:t>无功补偿：1×4.2+1×（3.6+4.8）Mvar容性无功补偿。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06" w:type="dxa"/>
                  <w:vAlign w:val="center"/>
                </w:tcPr>
                <w:p>
                  <w:pPr>
                    <w:adjustRightInd w:val="0"/>
                    <w:snapToGrid w:val="0"/>
                    <w:jc w:val="center"/>
                    <w:rPr>
                      <w:kern w:val="0"/>
                      <w:szCs w:val="21"/>
                    </w:rPr>
                  </w:pPr>
                  <w:r>
                    <w:rPr>
                      <w:kern w:val="0"/>
                      <w:szCs w:val="21"/>
                    </w:rPr>
                    <w:t>六岭110 kV变电站</w:t>
                  </w:r>
                </w:p>
              </w:tc>
              <w:tc>
                <w:tcPr>
                  <w:tcW w:w="6299" w:type="dxa"/>
                  <w:vAlign w:val="center"/>
                </w:tcPr>
                <w:p>
                  <w:pPr>
                    <w:autoSpaceDE w:val="0"/>
                    <w:autoSpaceDN w:val="0"/>
                    <w:adjustRightInd w:val="0"/>
                    <w:jc w:val="left"/>
                    <w:rPr>
                      <w:kern w:val="0"/>
                      <w:szCs w:val="21"/>
                    </w:rPr>
                  </w:pPr>
                  <w:r>
                    <w:rPr>
                      <w:kern w:val="0"/>
                      <w:szCs w:val="21"/>
                    </w:rPr>
                    <w:t>主变压器：新上2 台50MVA 三相两圈有载调压变压器</w:t>
                  </w:r>
                </w:p>
                <w:p>
                  <w:pPr>
                    <w:adjustRightInd w:val="0"/>
                    <w:snapToGrid w:val="0"/>
                    <w:rPr>
                      <w:kern w:val="0"/>
                      <w:szCs w:val="21"/>
                    </w:rPr>
                  </w:pPr>
                  <w:r>
                    <w:rPr>
                      <w:kern w:val="0"/>
                      <w:szCs w:val="21"/>
                    </w:rPr>
                    <w:t>110kV： 全户内AIS设备。</w:t>
                  </w:r>
                </w:p>
                <w:p>
                  <w:pPr>
                    <w:autoSpaceDE w:val="0"/>
                    <w:autoSpaceDN w:val="0"/>
                    <w:adjustRightInd w:val="0"/>
                    <w:jc w:val="left"/>
                    <w:rPr>
                      <w:kern w:val="0"/>
                      <w:szCs w:val="21"/>
                    </w:rPr>
                  </w:pPr>
                  <w:r>
                    <w:rPr>
                      <w:kern w:val="0"/>
                      <w:szCs w:val="21"/>
                    </w:rPr>
                    <w:t>无功补偿：2×（3.6+4.8）Mvar容性无功补偿。</w:t>
                  </w:r>
                </w:p>
              </w:tc>
            </w:tr>
          </w:tbl>
          <w:p>
            <w:pPr>
              <w:spacing w:line="360" w:lineRule="auto"/>
              <w:ind w:firstLine="280" w:firstLineChars="100"/>
              <w:rPr>
                <w:kern w:val="0"/>
                <w:sz w:val="28"/>
                <w:szCs w:val="28"/>
              </w:rPr>
            </w:pPr>
            <w:r>
              <w:rPr>
                <w:kern w:val="0"/>
                <w:sz w:val="28"/>
                <w:szCs w:val="28"/>
              </w:rPr>
              <w:t>输电线路导、地线及杆塔基础见表3。</w:t>
            </w:r>
          </w:p>
          <w:p>
            <w:pPr>
              <w:jc w:val="center"/>
              <w:rPr>
                <w:kern w:val="0"/>
                <w:sz w:val="28"/>
                <w:szCs w:val="28"/>
              </w:rPr>
            </w:pPr>
            <w:r>
              <w:rPr>
                <w:kern w:val="0"/>
                <w:sz w:val="28"/>
                <w:szCs w:val="28"/>
              </w:rPr>
              <w:t>表3  输电线路导、地线及杆塔基础选型表</w:t>
            </w:r>
          </w:p>
          <w:tbl>
            <w:tblPr>
              <w:tblStyle w:val="11"/>
              <w:tblW w:w="8561" w:type="dxa"/>
              <w:jc w:val="center"/>
              <w:tblInd w:w="54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3965"/>
              <w:gridCol w:w="28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735" w:type="dxa"/>
                  <w:vAlign w:val="center"/>
                </w:tcPr>
                <w:p>
                  <w:pPr>
                    <w:adjustRightInd w:val="0"/>
                    <w:snapToGrid w:val="0"/>
                    <w:jc w:val="center"/>
                    <w:rPr>
                      <w:kern w:val="0"/>
                      <w:szCs w:val="21"/>
                    </w:rPr>
                  </w:pPr>
                  <w:r>
                    <w:rPr>
                      <w:kern w:val="0"/>
                      <w:szCs w:val="21"/>
                    </w:rPr>
                    <w:t>工程</w:t>
                  </w:r>
                </w:p>
              </w:tc>
              <w:tc>
                <w:tcPr>
                  <w:tcW w:w="3965" w:type="dxa"/>
                  <w:vAlign w:val="center"/>
                </w:tcPr>
                <w:p>
                  <w:pPr>
                    <w:adjustRightInd w:val="0"/>
                    <w:snapToGrid w:val="0"/>
                    <w:jc w:val="center"/>
                    <w:rPr>
                      <w:kern w:val="0"/>
                      <w:szCs w:val="21"/>
                    </w:rPr>
                  </w:pPr>
                  <w:r>
                    <w:rPr>
                      <w:kern w:val="0"/>
                      <w:szCs w:val="21"/>
                    </w:rPr>
                    <w:t>导地线选型</w:t>
                  </w:r>
                </w:p>
              </w:tc>
              <w:tc>
                <w:tcPr>
                  <w:tcW w:w="2861" w:type="dxa"/>
                  <w:vAlign w:val="center"/>
                </w:tcPr>
                <w:p>
                  <w:pPr>
                    <w:adjustRightInd w:val="0"/>
                    <w:snapToGrid w:val="0"/>
                    <w:jc w:val="center"/>
                    <w:rPr>
                      <w:kern w:val="0"/>
                      <w:szCs w:val="21"/>
                    </w:rPr>
                  </w:pPr>
                  <w:r>
                    <w:rPr>
                      <w:kern w:val="0"/>
                      <w:szCs w:val="21"/>
                    </w:rPr>
                    <w:t>杆塔与基础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36" w:hRule="atLeast"/>
                <w:jc w:val="center"/>
              </w:trPr>
              <w:tc>
                <w:tcPr>
                  <w:tcW w:w="1735" w:type="dxa"/>
                  <w:vAlign w:val="center"/>
                </w:tcPr>
                <w:p>
                  <w:pPr>
                    <w:adjustRightInd w:val="0"/>
                    <w:snapToGrid w:val="0"/>
                    <w:jc w:val="center"/>
                    <w:rPr>
                      <w:kern w:val="0"/>
                      <w:szCs w:val="21"/>
                    </w:rPr>
                  </w:pPr>
                  <w:r>
                    <w:rPr>
                      <w:kern w:val="0"/>
                      <w:szCs w:val="21"/>
                    </w:rPr>
                    <w:t>城东110kV输变电工程配套线路</w:t>
                  </w:r>
                </w:p>
              </w:tc>
              <w:tc>
                <w:tcPr>
                  <w:tcW w:w="3965" w:type="dxa"/>
                  <w:vAlign w:val="center"/>
                </w:tcPr>
                <w:p>
                  <w:pPr>
                    <w:autoSpaceDE w:val="0"/>
                    <w:autoSpaceDN w:val="0"/>
                    <w:adjustRightInd w:val="0"/>
                    <w:jc w:val="left"/>
                    <w:rPr>
                      <w:kern w:val="0"/>
                      <w:szCs w:val="21"/>
                    </w:rPr>
                  </w:pPr>
                  <w:r>
                    <w:rPr>
                      <w:kern w:val="0"/>
                      <w:szCs w:val="21"/>
                    </w:rPr>
                    <w:t>导线采用JL/G1A-300/40（GB/T 1179-2008）型钢芯铝绞线，地线两根采用GJ-80(1×19-11.5-1270-B)镀锌钢绞线</w:t>
                  </w:r>
                </w:p>
              </w:tc>
              <w:tc>
                <w:tcPr>
                  <w:tcW w:w="2861" w:type="dxa"/>
                  <w:vAlign w:val="center"/>
                </w:tcPr>
                <w:p>
                  <w:pPr>
                    <w:autoSpaceDE w:val="0"/>
                    <w:autoSpaceDN w:val="0"/>
                    <w:adjustRightInd w:val="0"/>
                    <w:jc w:val="left"/>
                    <w:rPr>
                      <w:kern w:val="0"/>
                      <w:szCs w:val="21"/>
                    </w:rPr>
                  </w:pPr>
                  <w:r>
                    <w:rPr>
                      <w:kern w:val="0"/>
                      <w:szCs w:val="21"/>
                    </w:rPr>
                    <w:t>新建铁塔8 基（其中直线塔2 基，转角塔6 基），平均档距200m。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36" w:hRule="atLeast"/>
                <w:jc w:val="center"/>
              </w:trPr>
              <w:tc>
                <w:tcPr>
                  <w:tcW w:w="1735" w:type="dxa"/>
                  <w:vAlign w:val="center"/>
                </w:tcPr>
                <w:p>
                  <w:pPr>
                    <w:adjustRightInd w:val="0"/>
                    <w:snapToGrid w:val="0"/>
                    <w:jc w:val="center"/>
                    <w:rPr>
                      <w:kern w:val="0"/>
                      <w:szCs w:val="21"/>
                    </w:rPr>
                  </w:pPr>
                  <w:r>
                    <w:rPr>
                      <w:kern w:val="0"/>
                      <w:szCs w:val="21"/>
                    </w:rPr>
                    <w:t>邵阳宝莲二期风电110kV送出工程</w:t>
                  </w:r>
                </w:p>
              </w:tc>
              <w:tc>
                <w:tcPr>
                  <w:tcW w:w="3965" w:type="dxa"/>
                  <w:vAlign w:val="center"/>
                </w:tcPr>
                <w:p>
                  <w:pPr>
                    <w:autoSpaceDE w:val="0"/>
                    <w:autoSpaceDN w:val="0"/>
                    <w:adjustRightInd w:val="0"/>
                    <w:jc w:val="left"/>
                    <w:rPr>
                      <w:kern w:val="0"/>
                      <w:szCs w:val="21"/>
                    </w:rPr>
                  </w:pPr>
                  <w:r>
                    <w:rPr>
                      <w:kern w:val="0"/>
                      <w:szCs w:val="21"/>
                    </w:rPr>
                    <w:t>导线型号为JLHA2/G1A-300/50 型钢芯铝合金绞线，地线拟采用XGJ-100 型锌铝烯土合金镀层钢绞线。</w:t>
                  </w:r>
                </w:p>
              </w:tc>
              <w:tc>
                <w:tcPr>
                  <w:tcW w:w="2861" w:type="dxa"/>
                  <w:vAlign w:val="center"/>
                </w:tcPr>
                <w:p>
                  <w:pPr>
                    <w:autoSpaceDE w:val="0"/>
                    <w:autoSpaceDN w:val="0"/>
                    <w:adjustRightInd w:val="0"/>
                    <w:jc w:val="left"/>
                    <w:rPr>
                      <w:kern w:val="0"/>
                      <w:szCs w:val="21"/>
                    </w:rPr>
                  </w:pPr>
                  <w:r>
                    <w:rPr>
                      <w:kern w:val="0"/>
                      <w:szCs w:val="21"/>
                    </w:rPr>
                    <w:t>共新建杆塔21 基。其中新建单回路直线塔12 基，单回路转角塔7 基，终端塔2 基，线路平均档距262m。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36" w:hRule="atLeast"/>
                <w:jc w:val="center"/>
              </w:trPr>
              <w:tc>
                <w:tcPr>
                  <w:tcW w:w="1735" w:type="dxa"/>
                  <w:vAlign w:val="center"/>
                </w:tcPr>
                <w:p>
                  <w:pPr>
                    <w:adjustRightInd w:val="0"/>
                    <w:snapToGrid w:val="0"/>
                    <w:jc w:val="center"/>
                    <w:rPr>
                      <w:kern w:val="0"/>
                      <w:szCs w:val="21"/>
                    </w:rPr>
                  </w:pPr>
                  <w:r>
                    <w:rPr>
                      <w:kern w:val="0"/>
                      <w:szCs w:val="21"/>
                    </w:rPr>
                    <w:t>邵阳大唐华银绥宁宝鼎山风电二期三期110kV送出工程</w:t>
                  </w:r>
                </w:p>
              </w:tc>
              <w:tc>
                <w:tcPr>
                  <w:tcW w:w="3965" w:type="dxa"/>
                  <w:vAlign w:val="center"/>
                </w:tcPr>
                <w:p>
                  <w:pPr>
                    <w:autoSpaceDE w:val="0"/>
                    <w:autoSpaceDN w:val="0"/>
                    <w:adjustRightInd w:val="0"/>
                    <w:jc w:val="left"/>
                    <w:rPr>
                      <w:kern w:val="0"/>
                      <w:szCs w:val="21"/>
                    </w:rPr>
                  </w:pPr>
                  <w:r>
                    <w:rPr>
                      <w:kern w:val="0"/>
                      <w:szCs w:val="21"/>
                    </w:rPr>
                    <w:t>新建线路导线采用JLHA1/G1A-400/50，改造线路导线采JNRLH60/G1A-240/40。地线为新建线路采用GJ-100（1×19-13.0-1370-B），另一根OPGW光缆，改造段地线1根采用GJ-80（1×7-11.4-1270-B），另一根利用原有OPGW。</w:t>
                  </w:r>
                </w:p>
              </w:tc>
              <w:tc>
                <w:tcPr>
                  <w:tcW w:w="2861" w:type="dxa"/>
                  <w:vAlign w:val="center"/>
                </w:tcPr>
                <w:p>
                  <w:pPr>
                    <w:autoSpaceDE w:val="0"/>
                    <w:autoSpaceDN w:val="0"/>
                    <w:adjustRightInd w:val="0"/>
                    <w:jc w:val="left"/>
                    <w:rPr>
                      <w:kern w:val="0"/>
                      <w:szCs w:val="21"/>
                    </w:rPr>
                  </w:pPr>
                  <w:r>
                    <w:rPr>
                      <w:kern w:val="0"/>
                      <w:szCs w:val="21"/>
                    </w:rPr>
                    <w:t>新建线路杆塔16基，改造线路杆塔。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36" w:hRule="atLeast"/>
                <w:jc w:val="center"/>
              </w:trPr>
              <w:tc>
                <w:tcPr>
                  <w:tcW w:w="1735" w:type="dxa"/>
                  <w:vAlign w:val="center"/>
                </w:tcPr>
                <w:p>
                  <w:pPr>
                    <w:adjustRightInd w:val="0"/>
                    <w:snapToGrid w:val="0"/>
                    <w:jc w:val="center"/>
                    <w:rPr>
                      <w:kern w:val="0"/>
                      <w:szCs w:val="21"/>
                    </w:rPr>
                  </w:pPr>
                  <w:r>
                    <w:rPr>
                      <w:kern w:val="0"/>
                      <w:szCs w:val="21"/>
                    </w:rPr>
                    <w:t>隆回金坪110kV风电送出工程</w:t>
                  </w:r>
                </w:p>
              </w:tc>
              <w:tc>
                <w:tcPr>
                  <w:tcW w:w="3965" w:type="dxa"/>
                  <w:vAlign w:val="center"/>
                </w:tcPr>
                <w:p>
                  <w:pPr>
                    <w:autoSpaceDE w:val="0"/>
                    <w:autoSpaceDN w:val="0"/>
                    <w:adjustRightInd w:val="0"/>
                    <w:jc w:val="left"/>
                    <w:rPr>
                      <w:kern w:val="0"/>
                      <w:szCs w:val="21"/>
                    </w:rPr>
                  </w:pPr>
                  <w:r>
                    <w:rPr>
                      <w:kern w:val="0"/>
                      <w:szCs w:val="21"/>
                    </w:rPr>
                    <w:t>导线采用JLHA1/G1A-300/50型钢芯铝绞线，两根地线采用GJ-I00镀锌钢绞线，通信ADSS单独采用低压杆沿公路架设</w:t>
                  </w:r>
                </w:p>
              </w:tc>
              <w:tc>
                <w:tcPr>
                  <w:tcW w:w="2861" w:type="dxa"/>
                  <w:vAlign w:val="center"/>
                </w:tcPr>
                <w:p>
                  <w:pPr>
                    <w:autoSpaceDE w:val="0"/>
                    <w:autoSpaceDN w:val="0"/>
                    <w:adjustRightInd w:val="0"/>
                    <w:jc w:val="left"/>
                    <w:rPr>
                      <w:kern w:val="0"/>
                      <w:szCs w:val="21"/>
                    </w:rPr>
                  </w:pPr>
                  <w:r>
                    <w:rPr>
                      <w:kern w:val="0"/>
                      <w:szCs w:val="21"/>
                    </w:rPr>
                    <w:t>新建线路杆塔26基。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36" w:hRule="atLeast"/>
                <w:jc w:val="center"/>
              </w:trPr>
              <w:tc>
                <w:tcPr>
                  <w:tcW w:w="1735" w:type="dxa"/>
                  <w:vAlign w:val="center"/>
                </w:tcPr>
                <w:p>
                  <w:pPr>
                    <w:adjustRightInd w:val="0"/>
                    <w:snapToGrid w:val="0"/>
                    <w:jc w:val="center"/>
                    <w:rPr>
                      <w:kern w:val="0"/>
                      <w:szCs w:val="21"/>
                    </w:rPr>
                  </w:pPr>
                  <w:r>
                    <w:rPr>
                      <w:kern w:val="0"/>
                      <w:szCs w:val="21"/>
                    </w:rPr>
                    <w:t>邵阳六岭110kV输变电工程</w:t>
                  </w:r>
                </w:p>
              </w:tc>
              <w:tc>
                <w:tcPr>
                  <w:tcW w:w="3965" w:type="dxa"/>
                  <w:vAlign w:val="center"/>
                </w:tcPr>
                <w:p>
                  <w:pPr>
                    <w:autoSpaceDE w:val="0"/>
                    <w:autoSpaceDN w:val="0"/>
                    <w:adjustRightInd w:val="0"/>
                    <w:jc w:val="left"/>
                    <w:rPr>
                      <w:kern w:val="0"/>
                      <w:szCs w:val="21"/>
                    </w:rPr>
                  </w:pPr>
                  <w:r>
                    <w:rPr>
                      <w:kern w:val="0"/>
                      <w:szCs w:val="21"/>
                    </w:rPr>
                    <w:t>导线采用JL/G1A-300/40型钢芯铝绞线。电缆采用YJLW02-110/1×630 型110kV交联聚乙烯绝缘皱纹铝包PVC外护套阻水加强型铜芯电力电缆。）本工程配套光纤通信，跨邵水河段采用2根OPGW，其余部分采用两根地埋ADSS。</w:t>
                  </w:r>
                </w:p>
              </w:tc>
              <w:tc>
                <w:tcPr>
                  <w:tcW w:w="2861" w:type="dxa"/>
                  <w:vAlign w:val="center"/>
                </w:tcPr>
                <w:p>
                  <w:pPr>
                    <w:autoSpaceDE w:val="0"/>
                    <w:autoSpaceDN w:val="0"/>
                    <w:adjustRightInd w:val="0"/>
                    <w:jc w:val="left"/>
                    <w:rPr>
                      <w:kern w:val="0"/>
                      <w:szCs w:val="21"/>
                    </w:rPr>
                  </w:pPr>
                  <w:r>
                    <w:rPr>
                      <w:kern w:val="0"/>
                      <w:szCs w:val="21"/>
                    </w:rPr>
                    <w:t>双回电缆长度2×2.05+双回架空2×0.11km。</w:t>
                  </w:r>
                </w:p>
                <w:p>
                  <w:pPr>
                    <w:autoSpaceDE w:val="0"/>
                    <w:autoSpaceDN w:val="0"/>
                    <w:adjustRightInd w:val="0"/>
                    <w:jc w:val="left"/>
                    <w:rPr>
                      <w:kern w:val="0"/>
                      <w:szCs w:val="21"/>
                    </w:rPr>
                  </w:pPr>
                  <w:r>
                    <w:rPr>
                      <w:kern w:val="0"/>
                      <w:szCs w:val="21"/>
                    </w:rPr>
                    <w:t xml:space="preserve">杆塔采用两基双回路电缆终端杆110SG-SDJ </w:t>
                  </w:r>
                </w:p>
              </w:tc>
            </w:tr>
          </w:tbl>
          <w:p>
            <w:pPr>
              <w:rPr>
                <w:kern w:val="0"/>
                <w:sz w:val="28"/>
                <w:szCs w:val="28"/>
              </w:rPr>
            </w:pPr>
          </w:p>
          <w:p>
            <w:pPr>
              <w:rPr>
                <w:kern w:val="0"/>
                <w:sz w:val="28"/>
                <w:szCs w:val="28"/>
              </w:rPr>
            </w:pPr>
            <w:r>
              <w:rPr>
                <w:kern w:val="0"/>
                <w:sz w:val="28"/>
                <w:szCs w:val="28"/>
              </w:rPr>
              <w:t>1.4.3配套设备</w:t>
            </w:r>
          </w:p>
          <w:p>
            <w:pPr>
              <w:spacing w:before="156" w:beforeLines="50" w:line="360" w:lineRule="auto"/>
              <w:ind w:firstLine="560" w:firstLineChars="200"/>
              <w:rPr>
                <w:kern w:val="0"/>
                <w:sz w:val="28"/>
                <w:szCs w:val="28"/>
              </w:rPr>
            </w:pPr>
            <w:r>
              <w:rPr>
                <w:kern w:val="0"/>
                <w:sz w:val="28"/>
                <w:szCs w:val="28"/>
              </w:rPr>
              <w:t>（1）城东110kV变电站</w:t>
            </w:r>
          </w:p>
          <w:p>
            <w:pPr>
              <w:spacing w:before="156" w:beforeLines="50" w:line="360" w:lineRule="auto"/>
              <w:ind w:firstLine="560" w:firstLineChars="200"/>
              <w:rPr>
                <w:kern w:val="0"/>
                <w:sz w:val="28"/>
                <w:szCs w:val="28"/>
              </w:rPr>
            </w:pPr>
            <w:r>
              <w:rPr>
                <w:kern w:val="0"/>
                <w:sz w:val="28"/>
                <w:szCs w:val="28"/>
              </w:rPr>
              <w:t>该站配置了系统继电保护及安全自动装置、调度自动化系统、智能型变电站计算机监控系统、通信系统、电能计量系统、消防系统和相应的暖通设备。</w:t>
            </w:r>
          </w:p>
          <w:p>
            <w:pPr>
              <w:spacing w:before="156" w:beforeLines="50" w:line="360" w:lineRule="auto"/>
              <w:ind w:firstLine="560" w:firstLineChars="200"/>
              <w:rPr>
                <w:kern w:val="0"/>
                <w:sz w:val="28"/>
                <w:szCs w:val="28"/>
              </w:rPr>
            </w:pPr>
            <w:r>
              <w:rPr>
                <w:kern w:val="0"/>
                <w:sz w:val="28"/>
                <w:szCs w:val="28"/>
              </w:rPr>
              <w:t>主要环保设施：为保证主变压器一旦发生事故时，变压器油不流到站外而污染环境，同时又能回收变压器油。根据设计规程要求，在站区内设置总事故油池，容量为20m³，具有油水分离功能。</w:t>
            </w:r>
          </w:p>
          <w:p>
            <w:pPr>
              <w:spacing w:before="156" w:beforeLines="50" w:line="360" w:lineRule="auto"/>
              <w:ind w:firstLine="560" w:firstLineChars="200"/>
              <w:rPr>
                <w:kern w:val="0"/>
                <w:sz w:val="28"/>
                <w:szCs w:val="28"/>
                <w:u w:val="wave"/>
              </w:rPr>
            </w:pPr>
            <w:r>
              <w:rPr>
                <w:kern w:val="0"/>
                <w:sz w:val="28"/>
                <w:szCs w:val="28"/>
                <w:u w:val="wave"/>
              </w:rPr>
              <w:t>给排水：站址附近已通自来水，本工程给水采用从西侧的村道旁引接自来水，长度约150 m，采用DN50 钢管。雨水经站内管网收集后排入站外沟渠，生活污水经过化粪池</w:t>
            </w:r>
            <w:r>
              <w:rPr>
                <w:rFonts w:hint="eastAsia"/>
                <w:kern w:val="0"/>
                <w:sz w:val="28"/>
                <w:szCs w:val="28"/>
                <w:u w:val="wave"/>
              </w:rPr>
              <w:t>预</w:t>
            </w:r>
            <w:r>
              <w:rPr>
                <w:kern w:val="0"/>
                <w:sz w:val="28"/>
                <w:szCs w:val="28"/>
                <w:u w:val="wave"/>
              </w:rPr>
              <w:t>处理</w:t>
            </w:r>
            <w:r>
              <w:rPr>
                <w:rFonts w:hint="eastAsia"/>
                <w:kern w:val="0"/>
                <w:sz w:val="28"/>
                <w:szCs w:val="28"/>
                <w:u w:val="wave"/>
              </w:rPr>
              <w:t>后回用与站内绿化</w:t>
            </w:r>
            <w:r>
              <w:rPr>
                <w:kern w:val="0"/>
                <w:sz w:val="28"/>
                <w:szCs w:val="28"/>
                <w:u w:val="wave"/>
              </w:rPr>
              <w:t>。</w:t>
            </w:r>
          </w:p>
          <w:p>
            <w:pPr>
              <w:spacing w:before="156" w:beforeLines="50" w:line="360" w:lineRule="auto"/>
              <w:ind w:firstLine="560" w:firstLineChars="200"/>
              <w:rPr>
                <w:kern w:val="0"/>
                <w:sz w:val="28"/>
                <w:szCs w:val="28"/>
              </w:rPr>
            </w:pPr>
            <w:r>
              <w:rPr>
                <w:kern w:val="0"/>
                <w:sz w:val="28"/>
                <w:szCs w:val="28"/>
              </w:rPr>
              <w:t>（2）高沙110kV变电站</w:t>
            </w:r>
          </w:p>
          <w:p>
            <w:pPr>
              <w:spacing w:before="156" w:beforeLines="50" w:line="360" w:lineRule="auto"/>
              <w:ind w:firstLine="560" w:firstLineChars="200"/>
              <w:rPr>
                <w:kern w:val="0"/>
                <w:sz w:val="28"/>
                <w:szCs w:val="28"/>
              </w:rPr>
            </w:pPr>
            <w:r>
              <w:rPr>
                <w:kern w:val="0"/>
                <w:sz w:val="28"/>
                <w:szCs w:val="28"/>
              </w:rPr>
              <w:t>该站配置了系统继电保护及安全自动装置、调度自动化系统、电力调度数据网接入设备、通信系统、电能计量系统、消防系统和相应的暖通设备。</w:t>
            </w:r>
          </w:p>
          <w:p>
            <w:pPr>
              <w:spacing w:before="156" w:beforeLines="50" w:line="360" w:lineRule="auto"/>
              <w:ind w:firstLine="560" w:firstLineChars="200"/>
              <w:rPr>
                <w:kern w:val="0"/>
                <w:sz w:val="28"/>
                <w:szCs w:val="28"/>
              </w:rPr>
            </w:pPr>
            <w:r>
              <w:rPr>
                <w:kern w:val="0"/>
                <w:sz w:val="28"/>
                <w:szCs w:val="28"/>
              </w:rPr>
              <w:t>主要环保设施：现有容量20 m³事故油池，能满足扩建后事故时储油要求，本期不再新建。</w:t>
            </w:r>
          </w:p>
          <w:p>
            <w:pPr>
              <w:spacing w:before="156" w:beforeLines="50" w:line="360" w:lineRule="auto"/>
              <w:ind w:firstLine="560" w:firstLineChars="200"/>
              <w:rPr>
                <w:kern w:val="0"/>
                <w:sz w:val="28"/>
                <w:szCs w:val="28"/>
              </w:rPr>
            </w:pPr>
            <w:r>
              <w:rPr>
                <w:kern w:val="0"/>
                <w:sz w:val="28"/>
                <w:szCs w:val="28"/>
              </w:rPr>
              <w:t>给排水：本站给水方式为引接自来水，一期工程已完善，本期不考虑给水工程。</w:t>
            </w:r>
            <w:r>
              <w:rPr>
                <w:kern w:val="0"/>
                <w:sz w:val="28"/>
                <w:szCs w:val="28"/>
                <w:u w:val="wave"/>
              </w:rPr>
              <w:t>本站内场地雨水采用管道有组织排水，通过道路旁雨水口汇入站外排水管网，生活污水经过化粪池</w:t>
            </w:r>
            <w:r>
              <w:rPr>
                <w:rFonts w:hint="eastAsia"/>
                <w:kern w:val="0"/>
                <w:sz w:val="28"/>
                <w:szCs w:val="28"/>
                <w:u w:val="wave"/>
              </w:rPr>
              <w:t>预</w:t>
            </w:r>
            <w:r>
              <w:rPr>
                <w:kern w:val="0"/>
                <w:sz w:val="28"/>
                <w:szCs w:val="28"/>
                <w:u w:val="wave"/>
              </w:rPr>
              <w:t>处理后接入站外市政</w:t>
            </w:r>
            <w:r>
              <w:rPr>
                <w:rFonts w:hint="eastAsia"/>
                <w:kern w:val="0"/>
                <w:sz w:val="28"/>
                <w:szCs w:val="28"/>
                <w:u w:val="wave"/>
              </w:rPr>
              <w:t>污水</w:t>
            </w:r>
            <w:r>
              <w:rPr>
                <w:kern w:val="0"/>
                <w:sz w:val="28"/>
                <w:szCs w:val="28"/>
                <w:u w:val="wave"/>
              </w:rPr>
              <w:t>管网。</w:t>
            </w:r>
          </w:p>
          <w:p>
            <w:pPr>
              <w:spacing w:before="156" w:beforeLines="50" w:line="360" w:lineRule="auto"/>
              <w:ind w:firstLine="560" w:firstLineChars="200"/>
              <w:rPr>
                <w:kern w:val="0"/>
                <w:sz w:val="28"/>
                <w:szCs w:val="28"/>
              </w:rPr>
            </w:pPr>
            <w:r>
              <w:rPr>
                <w:kern w:val="0"/>
                <w:sz w:val="28"/>
                <w:szCs w:val="28"/>
              </w:rPr>
              <w:t>（3）黄陂桥110kV变电站</w:t>
            </w:r>
          </w:p>
          <w:p>
            <w:pPr>
              <w:spacing w:before="156" w:beforeLines="50" w:line="360" w:lineRule="auto"/>
              <w:ind w:firstLine="560" w:firstLineChars="200"/>
              <w:rPr>
                <w:kern w:val="0"/>
                <w:sz w:val="28"/>
                <w:szCs w:val="28"/>
              </w:rPr>
            </w:pPr>
            <w:r>
              <w:rPr>
                <w:kern w:val="0"/>
                <w:sz w:val="28"/>
                <w:szCs w:val="28"/>
              </w:rPr>
              <w:t>该站配置了系统继电保护及安全自动装置、调度自动化系统、电力调度数据网接入设备、通信系统、电能计量系统、消防系统和相应的暖通设备。</w:t>
            </w:r>
          </w:p>
          <w:p>
            <w:pPr>
              <w:spacing w:before="156" w:beforeLines="50" w:line="360" w:lineRule="auto"/>
              <w:ind w:firstLine="560" w:firstLineChars="200"/>
              <w:rPr>
                <w:kern w:val="0"/>
                <w:sz w:val="28"/>
                <w:szCs w:val="28"/>
              </w:rPr>
            </w:pPr>
            <w:r>
              <w:rPr>
                <w:kern w:val="0"/>
                <w:sz w:val="28"/>
                <w:szCs w:val="28"/>
              </w:rPr>
              <w:t>主要环保设施：现有容量20 m³事故油池，能满足扩建后事故时储油要求，本期不再新建。</w:t>
            </w:r>
          </w:p>
          <w:p>
            <w:pPr>
              <w:spacing w:before="156" w:beforeLines="50" w:line="360" w:lineRule="auto"/>
              <w:ind w:firstLine="560" w:firstLineChars="200"/>
              <w:rPr>
                <w:kern w:val="0"/>
                <w:sz w:val="28"/>
                <w:szCs w:val="28"/>
              </w:rPr>
            </w:pPr>
            <w:r>
              <w:rPr>
                <w:kern w:val="0"/>
                <w:sz w:val="28"/>
                <w:szCs w:val="28"/>
              </w:rPr>
              <w:t>给排水：本站给水方式为引接市政管网自来水，一期工程已完善，本期不考虑给水工程。</w:t>
            </w:r>
            <w:r>
              <w:rPr>
                <w:kern w:val="0"/>
                <w:sz w:val="28"/>
                <w:szCs w:val="28"/>
                <w:u w:val="wave"/>
              </w:rPr>
              <w:t>本站内场地雨水采用管道有组织排水，通过道路旁雨水口汇入站外排水管网，生活污水经过化粪池</w:t>
            </w:r>
            <w:r>
              <w:rPr>
                <w:rFonts w:hint="eastAsia"/>
                <w:kern w:val="0"/>
                <w:sz w:val="28"/>
                <w:szCs w:val="28"/>
                <w:u w:val="wave"/>
              </w:rPr>
              <w:t>预</w:t>
            </w:r>
            <w:r>
              <w:rPr>
                <w:kern w:val="0"/>
                <w:sz w:val="28"/>
                <w:szCs w:val="28"/>
                <w:u w:val="wave"/>
              </w:rPr>
              <w:t>处理后接入站外市政</w:t>
            </w:r>
            <w:r>
              <w:rPr>
                <w:rFonts w:hint="eastAsia"/>
                <w:kern w:val="0"/>
                <w:sz w:val="28"/>
                <w:szCs w:val="28"/>
                <w:u w:val="wave"/>
              </w:rPr>
              <w:t>污水</w:t>
            </w:r>
            <w:r>
              <w:rPr>
                <w:kern w:val="0"/>
                <w:sz w:val="28"/>
                <w:szCs w:val="28"/>
                <w:u w:val="wave"/>
              </w:rPr>
              <w:t>管网。</w:t>
            </w:r>
          </w:p>
          <w:p>
            <w:pPr>
              <w:spacing w:before="156" w:beforeLines="50" w:line="360" w:lineRule="auto"/>
              <w:ind w:firstLine="560" w:firstLineChars="200"/>
              <w:rPr>
                <w:kern w:val="0"/>
                <w:sz w:val="28"/>
                <w:szCs w:val="28"/>
              </w:rPr>
            </w:pPr>
            <w:r>
              <w:rPr>
                <w:kern w:val="0"/>
                <w:sz w:val="28"/>
                <w:szCs w:val="28"/>
              </w:rPr>
              <w:t>（4）大岭110kV变电站</w:t>
            </w:r>
          </w:p>
          <w:p>
            <w:pPr>
              <w:spacing w:before="156" w:beforeLines="50" w:line="360" w:lineRule="auto"/>
              <w:ind w:firstLine="560" w:firstLineChars="200"/>
              <w:rPr>
                <w:kern w:val="0"/>
                <w:sz w:val="28"/>
                <w:szCs w:val="28"/>
              </w:rPr>
            </w:pPr>
            <w:r>
              <w:rPr>
                <w:kern w:val="0"/>
                <w:sz w:val="28"/>
                <w:szCs w:val="28"/>
              </w:rPr>
              <w:t>该站配置了系统继电保护及安全自动装置、调度自动化系统、电力调度数据网接入设备、通信系统、电能计量系统、消防系统和相应的暖通设备。</w:t>
            </w:r>
          </w:p>
          <w:p>
            <w:pPr>
              <w:spacing w:before="156" w:beforeLines="50" w:line="360" w:lineRule="auto"/>
              <w:ind w:firstLine="560" w:firstLineChars="200"/>
              <w:rPr>
                <w:kern w:val="0"/>
                <w:sz w:val="28"/>
                <w:szCs w:val="28"/>
              </w:rPr>
            </w:pPr>
            <w:r>
              <w:rPr>
                <w:kern w:val="0"/>
                <w:sz w:val="28"/>
                <w:szCs w:val="28"/>
              </w:rPr>
              <w:t>主要环保设施：新建事故油池1座，容积20m³，钢筋混凝土结构，布置在#2主变北侧。</w:t>
            </w:r>
          </w:p>
          <w:p>
            <w:pPr>
              <w:spacing w:before="156" w:beforeLines="50" w:line="360" w:lineRule="auto"/>
              <w:ind w:firstLine="560" w:firstLineChars="200"/>
              <w:rPr>
                <w:kern w:val="0"/>
                <w:sz w:val="28"/>
                <w:szCs w:val="28"/>
              </w:rPr>
            </w:pPr>
            <w:r>
              <w:rPr>
                <w:kern w:val="0"/>
                <w:sz w:val="28"/>
                <w:szCs w:val="28"/>
              </w:rPr>
              <w:t>给排水：本站给水方式为引接市政管网自来水，一期工程已完善，本期给水管道改造60m（原为地上明敷，本次改为埋地敷设，管道采用De50 PPR给水管，埋深0.8m）</w:t>
            </w:r>
            <w:r>
              <w:rPr>
                <w:rFonts w:hint="eastAsia"/>
                <w:kern w:val="0"/>
                <w:sz w:val="28"/>
                <w:szCs w:val="28"/>
              </w:rPr>
              <w:t>。</w:t>
            </w:r>
            <w:r>
              <w:rPr>
                <w:kern w:val="0"/>
                <w:sz w:val="28"/>
                <w:szCs w:val="28"/>
                <w:u w:val="wave"/>
              </w:rPr>
              <w:t>站区内排水为有组织排水系统，生活污水</w:t>
            </w:r>
            <w:r>
              <w:rPr>
                <w:rFonts w:hint="eastAsia"/>
                <w:kern w:val="0"/>
                <w:sz w:val="28"/>
                <w:szCs w:val="28"/>
                <w:u w:val="wave"/>
              </w:rPr>
              <w:t>通过化粪池预</w:t>
            </w:r>
            <w:r>
              <w:rPr>
                <w:kern w:val="0"/>
                <w:sz w:val="28"/>
                <w:szCs w:val="28"/>
                <w:u w:val="wave"/>
              </w:rPr>
              <w:t>处理</w:t>
            </w:r>
            <w:r>
              <w:rPr>
                <w:rFonts w:hint="eastAsia"/>
                <w:kern w:val="0"/>
                <w:sz w:val="28"/>
                <w:szCs w:val="28"/>
                <w:u w:val="wave"/>
              </w:rPr>
              <w:t>回用于站内绿化</w:t>
            </w:r>
            <w:r>
              <w:rPr>
                <w:kern w:val="0"/>
                <w:sz w:val="28"/>
                <w:szCs w:val="28"/>
                <w:u w:val="wave"/>
              </w:rPr>
              <w:t>，场地雨水经砖彻矩形雨水口流入排水检查井，</w:t>
            </w:r>
            <w:r>
              <w:rPr>
                <w:rFonts w:hint="eastAsia"/>
                <w:kern w:val="0"/>
                <w:sz w:val="28"/>
                <w:szCs w:val="28"/>
                <w:u w:val="wave"/>
              </w:rPr>
              <w:t>再</w:t>
            </w:r>
            <w:r>
              <w:rPr>
                <w:kern w:val="0"/>
                <w:sz w:val="28"/>
                <w:szCs w:val="28"/>
                <w:u w:val="wave"/>
              </w:rPr>
              <w:t>经雨水排水管网排出站外。变电站排水系统在前期工程中已完成，本期不改造。</w:t>
            </w:r>
          </w:p>
          <w:p>
            <w:pPr>
              <w:spacing w:before="156" w:beforeLines="50" w:line="360" w:lineRule="auto"/>
              <w:ind w:firstLine="560" w:firstLineChars="200"/>
              <w:rPr>
                <w:kern w:val="0"/>
                <w:sz w:val="28"/>
                <w:szCs w:val="28"/>
              </w:rPr>
            </w:pPr>
            <w:r>
              <w:rPr>
                <w:kern w:val="0"/>
                <w:sz w:val="28"/>
                <w:szCs w:val="28"/>
              </w:rPr>
              <w:t>（5）六岭110kV变电站</w:t>
            </w:r>
          </w:p>
          <w:p>
            <w:pPr>
              <w:spacing w:before="156" w:beforeLines="50" w:line="360" w:lineRule="auto"/>
              <w:ind w:firstLine="560" w:firstLineChars="200"/>
              <w:rPr>
                <w:kern w:val="0"/>
                <w:sz w:val="28"/>
                <w:szCs w:val="28"/>
              </w:rPr>
            </w:pPr>
            <w:r>
              <w:rPr>
                <w:kern w:val="0"/>
                <w:sz w:val="28"/>
                <w:szCs w:val="28"/>
              </w:rPr>
              <w:t>该站配置了系统继电保护及安全自动装置、调度自动化系统、微机监控系统、通信系统、电能计量系统、工业电视遥视系统、消防系统和相应的暖通设备。</w:t>
            </w:r>
          </w:p>
          <w:p>
            <w:pPr>
              <w:spacing w:before="156" w:beforeLines="50" w:line="360" w:lineRule="auto"/>
              <w:ind w:firstLine="560" w:firstLineChars="200"/>
              <w:rPr>
                <w:kern w:val="0"/>
                <w:sz w:val="28"/>
                <w:szCs w:val="28"/>
              </w:rPr>
            </w:pPr>
            <w:r>
              <w:rPr>
                <w:kern w:val="0"/>
                <w:sz w:val="28"/>
                <w:szCs w:val="28"/>
              </w:rPr>
              <w:t>主要环保设施：设置主变压器事故排油池1座，收集事故时变压器的事故排油，事故后，及时清除油池内的事故油。变压器的油量约为30t，事故油池容量按单台主变压器60%油量设计，选用有效容量为25m</w:t>
            </w:r>
            <w:r>
              <w:rPr>
                <w:kern w:val="0"/>
                <w:sz w:val="28"/>
                <w:szCs w:val="28"/>
                <w:vertAlign w:val="superscript"/>
              </w:rPr>
              <w:t>3</w:t>
            </w:r>
            <w:r>
              <w:rPr>
                <w:kern w:val="0"/>
                <w:sz w:val="28"/>
                <w:szCs w:val="28"/>
              </w:rPr>
              <w:t>的事故排油池。事故油池具有油水分离功能，含油废水经事故油池油水分离后排入站区雨水管。事故排油管道管径为DN200，材质焊接钢管，连接方式采用焊接。</w:t>
            </w:r>
          </w:p>
          <w:p>
            <w:pPr>
              <w:spacing w:before="156" w:beforeLines="50" w:line="360" w:lineRule="auto"/>
              <w:ind w:firstLine="560" w:firstLineChars="200"/>
              <w:rPr>
                <w:kern w:val="0"/>
                <w:sz w:val="28"/>
                <w:szCs w:val="28"/>
              </w:rPr>
            </w:pPr>
            <w:r>
              <w:rPr>
                <w:kern w:val="0"/>
                <w:sz w:val="28"/>
                <w:szCs w:val="28"/>
              </w:rPr>
              <w:t>给排水：本站给水方式为引接市政管网自来水，</w:t>
            </w:r>
            <w:r>
              <w:rPr>
                <w:kern w:val="0"/>
                <w:sz w:val="28"/>
                <w:szCs w:val="28"/>
                <w:u w:val="wave"/>
              </w:rPr>
              <w:t>雨水</w:t>
            </w:r>
            <w:r>
              <w:rPr>
                <w:rFonts w:hint="eastAsia"/>
                <w:kern w:val="0"/>
                <w:sz w:val="28"/>
                <w:szCs w:val="28"/>
                <w:u w:val="wave"/>
              </w:rPr>
              <w:t>经站内雨水管网收集后排入站址东侧规划道路市政雨水管网，</w:t>
            </w:r>
            <w:r>
              <w:rPr>
                <w:kern w:val="0"/>
                <w:sz w:val="28"/>
                <w:szCs w:val="28"/>
                <w:u w:val="wave"/>
              </w:rPr>
              <w:t>生活污水经</w:t>
            </w:r>
            <w:r>
              <w:rPr>
                <w:rFonts w:hint="eastAsia"/>
                <w:kern w:val="0"/>
                <w:sz w:val="28"/>
                <w:szCs w:val="28"/>
                <w:u w:val="wave"/>
              </w:rPr>
              <w:t>化粪池预处理</w:t>
            </w:r>
            <w:r>
              <w:rPr>
                <w:kern w:val="0"/>
                <w:sz w:val="28"/>
                <w:szCs w:val="28"/>
                <w:u w:val="wave"/>
              </w:rPr>
              <w:t>后排入</w:t>
            </w:r>
            <w:r>
              <w:rPr>
                <w:rFonts w:hint="eastAsia"/>
                <w:kern w:val="0"/>
                <w:sz w:val="28"/>
                <w:szCs w:val="28"/>
                <w:u w:val="wave"/>
              </w:rPr>
              <w:t>站址</w:t>
            </w:r>
            <w:r>
              <w:rPr>
                <w:kern w:val="0"/>
                <w:sz w:val="28"/>
                <w:szCs w:val="28"/>
                <w:u w:val="wave"/>
              </w:rPr>
              <w:t>东侧规划道路市政</w:t>
            </w:r>
            <w:r>
              <w:rPr>
                <w:rFonts w:hint="eastAsia"/>
                <w:kern w:val="0"/>
                <w:sz w:val="28"/>
                <w:szCs w:val="28"/>
                <w:u w:val="wave"/>
              </w:rPr>
              <w:t>污水管网</w:t>
            </w:r>
            <w:r>
              <w:rPr>
                <w:kern w:val="0"/>
                <w:sz w:val="28"/>
                <w:szCs w:val="28"/>
                <w:u w:val="wave"/>
              </w:rPr>
              <w:t>。</w:t>
            </w:r>
          </w:p>
          <w:p>
            <w:pPr>
              <w:spacing w:before="156" w:beforeLines="50" w:line="360" w:lineRule="auto"/>
              <w:rPr>
                <w:kern w:val="0"/>
                <w:sz w:val="28"/>
                <w:szCs w:val="28"/>
              </w:rPr>
            </w:pPr>
            <w:r>
              <w:rPr>
                <w:kern w:val="0"/>
                <w:sz w:val="28"/>
                <w:szCs w:val="28"/>
              </w:rPr>
              <w:t>1.5 光纤通信</w:t>
            </w:r>
          </w:p>
          <w:p>
            <w:pPr>
              <w:spacing w:line="360" w:lineRule="auto"/>
              <w:ind w:firstLine="560" w:firstLineChars="200"/>
              <w:rPr>
                <w:kern w:val="0"/>
                <w:sz w:val="28"/>
                <w:szCs w:val="28"/>
              </w:rPr>
            </w:pPr>
            <w:r>
              <w:rPr>
                <w:kern w:val="0"/>
                <w:sz w:val="28"/>
                <w:szCs w:val="28"/>
              </w:rPr>
              <w:t>架空线路通信光缆与输电线路同塔架设。</w:t>
            </w:r>
          </w:p>
          <w:p>
            <w:pPr>
              <w:spacing w:line="360" w:lineRule="auto"/>
              <w:rPr>
                <w:kern w:val="0"/>
                <w:sz w:val="28"/>
                <w:szCs w:val="28"/>
              </w:rPr>
            </w:pPr>
            <w:r>
              <w:rPr>
                <w:kern w:val="0"/>
                <w:sz w:val="28"/>
                <w:szCs w:val="28"/>
              </w:rPr>
              <w:t>1.6 变电站规划及总体布置</w:t>
            </w:r>
          </w:p>
          <w:p>
            <w:pPr>
              <w:spacing w:line="360" w:lineRule="auto"/>
              <w:ind w:firstLine="560" w:firstLineChars="200"/>
              <w:rPr>
                <w:kern w:val="0"/>
                <w:sz w:val="28"/>
                <w:szCs w:val="28"/>
              </w:rPr>
            </w:pPr>
            <w:r>
              <w:rPr>
                <w:kern w:val="0"/>
                <w:sz w:val="28"/>
                <w:szCs w:val="28"/>
              </w:rPr>
              <w:t>城东变电站110kV 配电装置、主变压器、10kV 配电装置楼平行布置。110kV 配电装置、主变压器布置均采用户外布置，10kV 配电装置户内布置。110kV 配电装置采用户外GIS 设备，布置在所区西南侧，南向架空出线；Ⅲ型预制式二次组合设备布置在110kV 配电装置场地西侧；10kV 采用户内金属铠装移开式开关柜布置在所区东北侧，电缆出线；主变布置在110kV 配电装置和10kV 高压配电室之间，电容器组及10kV 所用变布置在所区东侧，进站道路由站区西侧村道引接。围墙中心占地面积53 m×46 m=2438 m²。</w:t>
            </w:r>
          </w:p>
          <w:p>
            <w:pPr>
              <w:spacing w:line="360" w:lineRule="auto"/>
              <w:ind w:firstLine="560" w:firstLineChars="200"/>
              <w:rPr>
                <w:kern w:val="0"/>
                <w:sz w:val="28"/>
                <w:szCs w:val="28"/>
              </w:rPr>
            </w:pPr>
            <w:r>
              <w:rPr>
                <w:kern w:val="0"/>
                <w:sz w:val="28"/>
                <w:szCs w:val="28"/>
              </w:rPr>
              <w:t>高沙110kV变电站围墙尺寸为61.2m×64.0m，本站为110/35/10kV 三级电压变电站，属无人值班户外型变电站。110kV 户外配电装置布置在所区西侧，35kV 户外配电装置布置在所区南侧，10kV 配电室布置在东侧。主变压器布置在110kV 配电装置与综合楼之间。进站公路由站区北侧引入。本期新增设备均布置在原规划预留位置，变电站整体布局维持现状不变。</w:t>
            </w:r>
          </w:p>
          <w:p>
            <w:pPr>
              <w:spacing w:line="360" w:lineRule="auto"/>
              <w:ind w:firstLine="560" w:firstLineChars="200"/>
              <w:rPr>
                <w:kern w:val="0"/>
                <w:sz w:val="28"/>
                <w:szCs w:val="28"/>
              </w:rPr>
            </w:pPr>
            <w:r>
              <w:rPr>
                <w:kern w:val="0"/>
                <w:sz w:val="28"/>
                <w:szCs w:val="28"/>
              </w:rPr>
              <w:t>黄陂桥110kV变电站围墙尺寸为64.8m×70.9m，本方案为110/35/10kV 三级电压变电站，属无人值班户外型变电站。110kV 户外配电装置布置在所区东侧，35kV 户外配电装置布置在所区北侧，10kV 配电室布置在西侧。主变压器布置在110kV 配电装置与综合楼之间。进站公路由站区南侧引入。维操楼位于变电站大门左侧。本期扩建部分均布置在站区预留场地上，变电站整体布局维持现状不变。</w:t>
            </w:r>
          </w:p>
          <w:p>
            <w:pPr>
              <w:spacing w:line="360" w:lineRule="auto"/>
              <w:ind w:firstLine="560" w:firstLineChars="200"/>
              <w:rPr>
                <w:kern w:val="0"/>
                <w:sz w:val="28"/>
                <w:szCs w:val="28"/>
              </w:rPr>
            </w:pPr>
            <w:r>
              <w:rPr>
                <w:kern w:val="0"/>
                <w:sz w:val="28"/>
                <w:szCs w:val="28"/>
              </w:rPr>
              <w:t>大岭变电站采用全户外布置，总体呈南北向矩形布置，所区占地面积为9394m²(122m×77m）。进站大门位于站区东侧。站区场地竖向采用平坡式布置。主变布置在中部；南侧为110kV场地；西部为35kV场地，10kV采用开关柜户内布置在10kV高压配电室内，且与主控楼毗邻，共布置在站区北部，无功补偿装置布置在10kV高压配电室北侧。</w:t>
            </w:r>
          </w:p>
          <w:p>
            <w:pPr>
              <w:spacing w:line="360" w:lineRule="auto"/>
              <w:ind w:firstLine="560" w:firstLineChars="200"/>
              <w:rPr>
                <w:kern w:val="0"/>
                <w:sz w:val="28"/>
                <w:szCs w:val="28"/>
              </w:rPr>
            </w:pPr>
            <w:r>
              <w:rPr>
                <w:kern w:val="0"/>
                <w:sz w:val="28"/>
                <w:szCs w:val="28"/>
              </w:rPr>
              <w:t>六岭变电站布置在大祥区六岭公园东南角，110kV出线方向朝向东、10kV出线方向朝向东北，均以电缆方式出线。变电站为全户内方案，不设置围墙。站内地坪为硬化地坪。建筑物平面布置为：综合楼采用长方形布置，为四层的框架结构房屋。综合楼长24m，宽20m，四层全户内布置。一层为主变压器室、10kV配电室、水泵房、工具间、休息室（层高4.5m），该层建筑面积为478m</w:t>
            </w:r>
            <w:r>
              <w:rPr>
                <w:kern w:val="0"/>
                <w:sz w:val="28"/>
                <w:szCs w:val="28"/>
                <w:vertAlign w:val="superscript"/>
              </w:rPr>
              <w:t>2</w:t>
            </w:r>
            <w:r>
              <w:rPr>
                <w:kern w:val="0"/>
                <w:sz w:val="28"/>
                <w:szCs w:val="28"/>
              </w:rPr>
              <w:t>；二层为主变压器室上空、110kVGIS室、电容器室、卫生间（层高4.5m），该层建筑面积为240m</w:t>
            </w:r>
            <w:r>
              <w:rPr>
                <w:kern w:val="0"/>
                <w:sz w:val="28"/>
                <w:szCs w:val="28"/>
                <w:vertAlign w:val="superscript"/>
              </w:rPr>
              <w:t>2</w:t>
            </w:r>
            <w:r>
              <w:rPr>
                <w:kern w:val="0"/>
                <w:sz w:val="28"/>
                <w:szCs w:val="28"/>
              </w:rPr>
              <w:t>；三层为110kVGIS上空、电容器室、备品间（层高4.5m），该层建筑面积为240m</w:t>
            </w:r>
            <w:r>
              <w:rPr>
                <w:kern w:val="0"/>
                <w:sz w:val="28"/>
                <w:szCs w:val="28"/>
                <w:vertAlign w:val="superscript"/>
              </w:rPr>
              <w:t>2</w:t>
            </w:r>
            <w:r>
              <w:rPr>
                <w:kern w:val="0"/>
                <w:sz w:val="28"/>
                <w:szCs w:val="28"/>
              </w:rPr>
              <w:t>；四层为二次设备室、接地变室、蓄电池室、资料室（层高4.5m），该层建筑面积为240m</w:t>
            </w:r>
            <w:r>
              <w:rPr>
                <w:kern w:val="0"/>
                <w:sz w:val="28"/>
                <w:szCs w:val="28"/>
                <w:vertAlign w:val="superscript"/>
              </w:rPr>
              <w:t>2</w:t>
            </w:r>
            <w:r>
              <w:rPr>
                <w:kern w:val="0"/>
                <w:sz w:val="28"/>
                <w:szCs w:val="28"/>
              </w:rPr>
              <w:t>。</w:t>
            </w:r>
          </w:p>
          <w:p>
            <w:pPr>
              <w:spacing w:line="360" w:lineRule="auto"/>
              <w:ind w:firstLine="560" w:firstLineChars="200"/>
              <w:rPr>
                <w:kern w:val="0"/>
                <w:sz w:val="28"/>
                <w:szCs w:val="28"/>
              </w:rPr>
            </w:pPr>
            <w:r>
              <w:rPr>
                <w:kern w:val="0"/>
                <w:sz w:val="28"/>
                <w:szCs w:val="28"/>
              </w:rPr>
              <w:t>各变电站具体布置详见附图9～13。</w:t>
            </w:r>
          </w:p>
          <w:p>
            <w:pPr>
              <w:adjustRightInd w:val="0"/>
              <w:snapToGrid w:val="0"/>
              <w:spacing w:line="360" w:lineRule="auto"/>
              <w:rPr>
                <w:kern w:val="0"/>
                <w:sz w:val="28"/>
                <w:szCs w:val="28"/>
              </w:rPr>
            </w:pPr>
            <w:r>
              <w:rPr>
                <w:kern w:val="0"/>
                <w:sz w:val="28"/>
                <w:szCs w:val="28"/>
              </w:rPr>
              <w:t>2 环境影响评价因子的识别与确定</w:t>
            </w:r>
          </w:p>
          <w:p>
            <w:pPr>
              <w:spacing w:line="360" w:lineRule="auto"/>
              <w:ind w:firstLine="560" w:firstLineChars="200"/>
              <w:outlineLvl w:val="0"/>
              <w:rPr>
                <w:kern w:val="0"/>
                <w:sz w:val="28"/>
                <w:szCs w:val="28"/>
              </w:rPr>
            </w:pPr>
            <w:bookmarkStart w:id="0" w:name="_Toc236106673"/>
            <w:bookmarkStart w:id="1" w:name="_Toc255307053"/>
            <w:r>
              <w:rPr>
                <w:kern w:val="0"/>
                <w:sz w:val="28"/>
                <w:szCs w:val="28"/>
              </w:rPr>
              <w:t>邵阳市2017年第一批输变电工程为输电线路及变电站扩建工程，工程主要环境影响评价因子见表4。</w:t>
            </w:r>
            <w:bookmarkEnd w:id="0"/>
            <w:bookmarkEnd w:id="1"/>
          </w:p>
          <w:p>
            <w:pPr>
              <w:snapToGrid w:val="0"/>
              <w:spacing w:line="360" w:lineRule="auto"/>
              <w:ind w:firstLine="420" w:firstLineChars="150"/>
              <w:jc w:val="center"/>
              <w:rPr>
                <w:kern w:val="0"/>
                <w:sz w:val="28"/>
                <w:szCs w:val="28"/>
              </w:rPr>
            </w:pPr>
            <w:r>
              <w:rPr>
                <w:kern w:val="0"/>
                <w:sz w:val="28"/>
                <w:szCs w:val="28"/>
              </w:rPr>
              <w:t>表4 邵阳市2017年第一批输变电工程主要环境影响评价因子</w:t>
            </w:r>
          </w:p>
          <w:tbl>
            <w:tblPr>
              <w:tblStyle w:val="11"/>
              <w:tblW w:w="910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0"/>
              <w:gridCol w:w="849"/>
              <w:gridCol w:w="2855"/>
              <w:gridCol w:w="846"/>
              <w:gridCol w:w="3013"/>
              <w:gridCol w:w="8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2" w:hRule="atLeast"/>
                <w:jc w:val="center"/>
              </w:trPr>
              <w:tc>
                <w:tcPr>
                  <w:tcW w:w="690"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评价</w:t>
                  </w:r>
                </w:p>
                <w:p>
                  <w:pPr>
                    <w:pStyle w:val="14"/>
                    <w:spacing w:line="360" w:lineRule="auto"/>
                    <w:ind w:left="-107" w:leftChars="-51" w:right="-107" w:rightChars="-51"/>
                    <w:rPr>
                      <w:rFonts w:ascii="Times New Roman" w:hAnsi="Times New Roman"/>
                      <w:szCs w:val="21"/>
                    </w:rPr>
                  </w:pPr>
                  <w:r>
                    <w:rPr>
                      <w:rFonts w:ascii="Times New Roman" w:hAnsi="Times New Roman"/>
                      <w:szCs w:val="21"/>
                    </w:rPr>
                    <w:t>阶段</w:t>
                  </w:r>
                </w:p>
              </w:tc>
              <w:tc>
                <w:tcPr>
                  <w:tcW w:w="849" w:type="dxa"/>
                  <w:vAlign w:val="center"/>
                </w:tcPr>
                <w:p>
                  <w:pPr>
                    <w:pStyle w:val="14"/>
                    <w:spacing w:line="360" w:lineRule="auto"/>
                    <w:ind w:left="-107" w:leftChars="-51" w:right="-107" w:rightChars="-51" w:firstLine="126" w:firstLineChars="60"/>
                    <w:rPr>
                      <w:rFonts w:ascii="Times New Roman" w:hAnsi="Times New Roman"/>
                      <w:szCs w:val="21"/>
                    </w:rPr>
                  </w:pPr>
                  <w:r>
                    <w:rPr>
                      <w:rFonts w:ascii="Times New Roman" w:hAnsi="Times New Roman"/>
                      <w:szCs w:val="21"/>
                    </w:rPr>
                    <w:t>评价</w:t>
                  </w:r>
                </w:p>
                <w:p>
                  <w:pPr>
                    <w:pStyle w:val="14"/>
                    <w:spacing w:line="360" w:lineRule="auto"/>
                    <w:ind w:left="-107" w:leftChars="-51" w:right="-107" w:rightChars="-51" w:firstLine="126" w:firstLineChars="60"/>
                    <w:rPr>
                      <w:rFonts w:ascii="Times New Roman" w:hAnsi="Times New Roman"/>
                      <w:szCs w:val="21"/>
                    </w:rPr>
                  </w:pPr>
                  <w:r>
                    <w:rPr>
                      <w:rFonts w:ascii="Times New Roman" w:hAnsi="Times New Roman"/>
                      <w:szCs w:val="21"/>
                    </w:rPr>
                    <w:t>项目</w:t>
                  </w:r>
                </w:p>
              </w:tc>
              <w:tc>
                <w:tcPr>
                  <w:tcW w:w="2855" w:type="dxa"/>
                  <w:vAlign w:val="center"/>
                </w:tcPr>
                <w:p>
                  <w:pPr>
                    <w:pStyle w:val="14"/>
                    <w:spacing w:line="360" w:lineRule="auto"/>
                    <w:rPr>
                      <w:rFonts w:ascii="Times New Roman" w:hAnsi="Times New Roman"/>
                      <w:szCs w:val="21"/>
                    </w:rPr>
                  </w:pPr>
                  <w:r>
                    <w:rPr>
                      <w:rFonts w:ascii="Times New Roman" w:hAnsi="Times New Roman"/>
                      <w:szCs w:val="21"/>
                    </w:rPr>
                    <w:t>现状评价因子</w:t>
                  </w:r>
                </w:p>
              </w:tc>
              <w:tc>
                <w:tcPr>
                  <w:tcW w:w="846" w:type="dxa"/>
                  <w:vAlign w:val="center"/>
                </w:tcPr>
                <w:p>
                  <w:pPr>
                    <w:pStyle w:val="14"/>
                    <w:spacing w:line="360" w:lineRule="auto"/>
                    <w:ind w:left="-107" w:leftChars="-51" w:firstLine="1"/>
                    <w:rPr>
                      <w:rFonts w:ascii="Times New Roman" w:hAnsi="Times New Roman"/>
                      <w:szCs w:val="21"/>
                    </w:rPr>
                  </w:pPr>
                  <w:r>
                    <w:rPr>
                      <w:rFonts w:ascii="Times New Roman" w:hAnsi="Times New Roman"/>
                      <w:szCs w:val="21"/>
                    </w:rPr>
                    <w:t>单位</w:t>
                  </w:r>
                </w:p>
              </w:tc>
              <w:tc>
                <w:tcPr>
                  <w:tcW w:w="3013" w:type="dxa"/>
                  <w:vAlign w:val="center"/>
                </w:tcPr>
                <w:p>
                  <w:pPr>
                    <w:pStyle w:val="14"/>
                    <w:spacing w:line="360" w:lineRule="auto"/>
                    <w:rPr>
                      <w:rFonts w:ascii="Times New Roman" w:hAnsi="Times New Roman"/>
                      <w:szCs w:val="21"/>
                    </w:rPr>
                  </w:pPr>
                  <w:r>
                    <w:rPr>
                      <w:rFonts w:ascii="Times New Roman" w:hAnsi="Times New Roman"/>
                      <w:szCs w:val="21"/>
                    </w:rPr>
                    <w:t>预测评价因子</w:t>
                  </w:r>
                </w:p>
              </w:tc>
              <w:tc>
                <w:tcPr>
                  <w:tcW w:w="851" w:type="dxa"/>
                  <w:vAlign w:val="center"/>
                </w:tcPr>
                <w:p>
                  <w:pPr>
                    <w:pStyle w:val="14"/>
                    <w:spacing w:line="360" w:lineRule="auto"/>
                    <w:ind w:left="-106" w:leftChars="-51" w:right="-103" w:rightChars="-49" w:hanging="1"/>
                    <w:rPr>
                      <w:rFonts w:ascii="Times New Roman" w:hAnsi="Times New Roman"/>
                      <w:szCs w:val="21"/>
                    </w:rPr>
                  </w:pPr>
                  <w:r>
                    <w:rPr>
                      <w:rFonts w:ascii="Times New Roman" w:hAnsi="Times New Roman"/>
                      <w:szCs w:val="21"/>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8" w:hRule="atLeast"/>
                <w:jc w:val="center"/>
              </w:trPr>
              <w:tc>
                <w:tcPr>
                  <w:tcW w:w="690"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施工期</w:t>
                  </w:r>
                </w:p>
              </w:tc>
              <w:tc>
                <w:tcPr>
                  <w:tcW w:w="849" w:type="dxa"/>
                  <w:vAlign w:val="center"/>
                </w:tcPr>
                <w:p>
                  <w:pPr>
                    <w:pStyle w:val="14"/>
                    <w:spacing w:line="360" w:lineRule="auto"/>
                    <w:ind w:left="-107" w:leftChars="-51" w:right="-107" w:rightChars="-51" w:firstLine="126" w:firstLineChars="60"/>
                    <w:rPr>
                      <w:rFonts w:ascii="Times New Roman" w:hAnsi="Times New Roman"/>
                      <w:szCs w:val="21"/>
                    </w:rPr>
                  </w:pPr>
                  <w:r>
                    <w:rPr>
                      <w:rFonts w:ascii="Times New Roman" w:hAnsi="Times New Roman"/>
                      <w:szCs w:val="21"/>
                    </w:rPr>
                    <w:t>声环境</w:t>
                  </w:r>
                </w:p>
              </w:tc>
              <w:tc>
                <w:tcPr>
                  <w:tcW w:w="2855" w:type="dxa"/>
                  <w:vAlign w:val="center"/>
                </w:tcPr>
                <w:p>
                  <w:pPr>
                    <w:pStyle w:val="14"/>
                    <w:spacing w:line="360" w:lineRule="auto"/>
                    <w:rPr>
                      <w:rFonts w:ascii="Times New Roman" w:hAnsi="Times New Roman"/>
                      <w:szCs w:val="21"/>
                    </w:rPr>
                  </w:pPr>
                  <w:r>
                    <w:rPr>
                      <w:rFonts w:ascii="Times New Roman" w:hAnsi="Times New Roman"/>
                      <w:szCs w:val="21"/>
                    </w:rPr>
                    <w:t>昼间、夜间等效声级，Leq</w:t>
                  </w:r>
                </w:p>
              </w:tc>
              <w:tc>
                <w:tcPr>
                  <w:tcW w:w="846" w:type="dxa"/>
                  <w:vAlign w:val="center"/>
                </w:tcPr>
                <w:p>
                  <w:pPr>
                    <w:pStyle w:val="14"/>
                    <w:spacing w:line="360" w:lineRule="auto"/>
                    <w:ind w:left="-107" w:leftChars="-51" w:right="-105" w:rightChars="-50" w:firstLine="1"/>
                    <w:rPr>
                      <w:rFonts w:ascii="Times New Roman" w:hAnsi="Times New Roman"/>
                      <w:szCs w:val="21"/>
                    </w:rPr>
                  </w:pPr>
                  <w:r>
                    <w:rPr>
                      <w:rFonts w:ascii="Times New Roman" w:hAnsi="Times New Roman"/>
                      <w:szCs w:val="21"/>
                    </w:rPr>
                    <w:t>dB（A）</w:t>
                  </w:r>
                </w:p>
              </w:tc>
              <w:tc>
                <w:tcPr>
                  <w:tcW w:w="3013" w:type="dxa"/>
                  <w:vAlign w:val="center"/>
                </w:tcPr>
                <w:p>
                  <w:pPr>
                    <w:pStyle w:val="14"/>
                    <w:spacing w:line="360" w:lineRule="auto"/>
                    <w:rPr>
                      <w:rFonts w:ascii="Times New Roman" w:hAnsi="Times New Roman"/>
                      <w:szCs w:val="21"/>
                    </w:rPr>
                  </w:pPr>
                  <w:r>
                    <w:rPr>
                      <w:rFonts w:ascii="Times New Roman" w:hAnsi="Times New Roman"/>
                      <w:szCs w:val="21"/>
                    </w:rPr>
                    <w:t>昼间、夜间等效声级，Leq</w:t>
                  </w:r>
                </w:p>
              </w:tc>
              <w:tc>
                <w:tcPr>
                  <w:tcW w:w="851" w:type="dxa"/>
                  <w:vAlign w:val="center"/>
                </w:tcPr>
                <w:p>
                  <w:pPr>
                    <w:pStyle w:val="14"/>
                    <w:spacing w:line="360" w:lineRule="auto"/>
                    <w:ind w:left="-107" w:leftChars="-51" w:right="-103" w:rightChars="-49" w:firstLine="126" w:firstLineChars="60"/>
                    <w:rPr>
                      <w:rFonts w:ascii="Times New Roman" w:hAnsi="Times New Roman"/>
                      <w:szCs w:val="21"/>
                    </w:rPr>
                  </w:pPr>
                  <w:r>
                    <w:rPr>
                      <w:rFonts w:ascii="Times New Roman" w:hAnsi="Times New Roman"/>
                      <w:szCs w:val="21"/>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4" w:hRule="atLeast"/>
                <w:jc w:val="center"/>
              </w:trPr>
              <w:tc>
                <w:tcPr>
                  <w:tcW w:w="690" w:type="dxa"/>
                  <w:vMerge w:val="restart"/>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运行期</w:t>
                  </w:r>
                </w:p>
              </w:tc>
              <w:tc>
                <w:tcPr>
                  <w:tcW w:w="849" w:type="dxa"/>
                  <w:vMerge w:val="restart"/>
                  <w:vAlign w:val="center"/>
                </w:tcPr>
                <w:p>
                  <w:pPr>
                    <w:pStyle w:val="14"/>
                    <w:spacing w:line="360" w:lineRule="auto"/>
                    <w:ind w:left="-107" w:leftChars="-51" w:right="-107" w:rightChars="-51" w:firstLine="126" w:firstLineChars="60"/>
                    <w:rPr>
                      <w:rFonts w:ascii="Times New Roman" w:hAnsi="Times New Roman"/>
                      <w:szCs w:val="21"/>
                    </w:rPr>
                  </w:pPr>
                  <w:r>
                    <w:rPr>
                      <w:rFonts w:ascii="Times New Roman" w:hAnsi="Times New Roman"/>
                      <w:szCs w:val="21"/>
                    </w:rPr>
                    <w:t>电磁</w:t>
                  </w:r>
                </w:p>
                <w:p>
                  <w:pPr>
                    <w:pStyle w:val="14"/>
                    <w:spacing w:line="360" w:lineRule="auto"/>
                    <w:ind w:left="-107" w:leftChars="-51" w:right="-107" w:rightChars="-51" w:firstLine="126" w:firstLineChars="60"/>
                    <w:rPr>
                      <w:rFonts w:ascii="Times New Roman" w:hAnsi="Times New Roman"/>
                      <w:szCs w:val="21"/>
                    </w:rPr>
                  </w:pPr>
                  <w:r>
                    <w:rPr>
                      <w:rFonts w:ascii="Times New Roman" w:hAnsi="Times New Roman"/>
                      <w:szCs w:val="21"/>
                    </w:rPr>
                    <w:t>环境</w:t>
                  </w:r>
                </w:p>
              </w:tc>
              <w:tc>
                <w:tcPr>
                  <w:tcW w:w="2855" w:type="dxa"/>
                  <w:vAlign w:val="center"/>
                </w:tcPr>
                <w:p>
                  <w:pPr>
                    <w:pStyle w:val="14"/>
                    <w:spacing w:line="360" w:lineRule="auto"/>
                    <w:rPr>
                      <w:rFonts w:ascii="Times New Roman" w:hAnsi="Times New Roman"/>
                      <w:szCs w:val="21"/>
                    </w:rPr>
                  </w:pPr>
                  <w:r>
                    <w:rPr>
                      <w:rFonts w:ascii="Times New Roman" w:hAnsi="Times New Roman"/>
                      <w:szCs w:val="21"/>
                    </w:rPr>
                    <w:t>工频电场</w:t>
                  </w:r>
                </w:p>
              </w:tc>
              <w:tc>
                <w:tcPr>
                  <w:tcW w:w="846" w:type="dxa"/>
                  <w:vAlign w:val="center"/>
                </w:tcPr>
                <w:p>
                  <w:pPr>
                    <w:pStyle w:val="14"/>
                    <w:spacing w:line="360" w:lineRule="auto"/>
                    <w:ind w:left="19" w:leftChars="-51" w:right="-105" w:rightChars="-50" w:hanging="126" w:hangingChars="60"/>
                    <w:rPr>
                      <w:rFonts w:ascii="Times New Roman" w:hAnsi="Times New Roman"/>
                      <w:szCs w:val="21"/>
                    </w:rPr>
                  </w:pPr>
                  <w:r>
                    <w:rPr>
                      <w:rFonts w:ascii="Times New Roman" w:hAnsi="Times New Roman"/>
                      <w:szCs w:val="21"/>
                    </w:rPr>
                    <w:t>V/m</w:t>
                  </w:r>
                </w:p>
              </w:tc>
              <w:tc>
                <w:tcPr>
                  <w:tcW w:w="3013" w:type="dxa"/>
                  <w:vAlign w:val="center"/>
                </w:tcPr>
                <w:p>
                  <w:pPr>
                    <w:pStyle w:val="14"/>
                    <w:spacing w:line="360" w:lineRule="auto"/>
                    <w:rPr>
                      <w:rFonts w:ascii="Times New Roman" w:hAnsi="Times New Roman"/>
                      <w:szCs w:val="21"/>
                    </w:rPr>
                  </w:pPr>
                  <w:r>
                    <w:rPr>
                      <w:rFonts w:ascii="Times New Roman" w:hAnsi="Times New Roman"/>
                      <w:szCs w:val="21"/>
                    </w:rPr>
                    <w:t>工频电场</w:t>
                  </w:r>
                </w:p>
              </w:tc>
              <w:tc>
                <w:tcPr>
                  <w:tcW w:w="851" w:type="dxa"/>
                  <w:vAlign w:val="center"/>
                </w:tcPr>
                <w:p>
                  <w:pPr>
                    <w:pStyle w:val="14"/>
                    <w:spacing w:line="360" w:lineRule="auto"/>
                    <w:ind w:left="-107" w:leftChars="-51" w:right="-103" w:rightChars="-49" w:firstLine="126" w:firstLineChars="60"/>
                    <w:rPr>
                      <w:rFonts w:ascii="Times New Roman" w:hAnsi="Times New Roman"/>
                      <w:szCs w:val="21"/>
                    </w:rPr>
                  </w:pPr>
                  <w:r>
                    <w:rPr>
                      <w:rFonts w:ascii="Times New Roman" w:hAnsi="Times New Roman"/>
                      <w:szCs w:val="21"/>
                    </w:rPr>
                    <w:t>V/m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4" w:hRule="atLeast"/>
                <w:jc w:val="center"/>
              </w:trPr>
              <w:tc>
                <w:tcPr>
                  <w:tcW w:w="690" w:type="dxa"/>
                  <w:vMerge w:val="continue"/>
                  <w:vAlign w:val="center"/>
                </w:tcPr>
                <w:p>
                  <w:pPr>
                    <w:pStyle w:val="14"/>
                    <w:spacing w:line="360" w:lineRule="auto"/>
                    <w:rPr>
                      <w:rFonts w:ascii="Times New Roman" w:hAnsi="Times New Roman"/>
                      <w:szCs w:val="21"/>
                    </w:rPr>
                  </w:pPr>
                </w:p>
              </w:tc>
              <w:tc>
                <w:tcPr>
                  <w:tcW w:w="849" w:type="dxa"/>
                  <w:vMerge w:val="continue"/>
                  <w:vAlign w:val="center"/>
                </w:tcPr>
                <w:p>
                  <w:pPr>
                    <w:pStyle w:val="14"/>
                    <w:spacing w:line="360" w:lineRule="auto"/>
                    <w:ind w:left="-107" w:leftChars="-51" w:right="-107" w:rightChars="-51" w:firstLine="126" w:firstLineChars="60"/>
                    <w:rPr>
                      <w:rFonts w:ascii="Times New Roman" w:hAnsi="Times New Roman"/>
                      <w:szCs w:val="21"/>
                    </w:rPr>
                  </w:pPr>
                </w:p>
              </w:tc>
              <w:tc>
                <w:tcPr>
                  <w:tcW w:w="2855" w:type="dxa"/>
                  <w:vAlign w:val="center"/>
                </w:tcPr>
                <w:p>
                  <w:pPr>
                    <w:pStyle w:val="14"/>
                    <w:spacing w:line="360" w:lineRule="auto"/>
                    <w:rPr>
                      <w:rFonts w:ascii="Times New Roman" w:hAnsi="Times New Roman"/>
                      <w:szCs w:val="21"/>
                    </w:rPr>
                  </w:pPr>
                  <w:r>
                    <w:rPr>
                      <w:rFonts w:ascii="Times New Roman" w:hAnsi="Times New Roman"/>
                      <w:szCs w:val="21"/>
                    </w:rPr>
                    <w:t>工频磁场</w:t>
                  </w:r>
                </w:p>
              </w:tc>
              <w:tc>
                <w:tcPr>
                  <w:tcW w:w="846" w:type="dxa"/>
                  <w:vAlign w:val="center"/>
                </w:tcPr>
                <w:p>
                  <w:pPr>
                    <w:pStyle w:val="14"/>
                    <w:spacing w:line="360" w:lineRule="auto"/>
                    <w:ind w:left="19" w:leftChars="-51" w:right="-105" w:rightChars="-50" w:hanging="126" w:hangingChars="60"/>
                    <w:rPr>
                      <w:rFonts w:ascii="Times New Roman" w:hAnsi="Times New Roman"/>
                      <w:szCs w:val="21"/>
                    </w:rPr>
                  </w:pPr>
                  <w:r>
                    <w:rPr>
                      <w:rFonts w:ascii="Times New Roman" w:hAnsi="Times New Roman"/>
                      <w:szCs w:val="21"/>
                    </w:rPr>
                    <w:t>μT</w:t>
                  </w:r>
                </w:p>
              </w:tc>
              <w:tc>
                <w:tcPr>
                  <w:tcW w:w="3013" w:type="dxa"/>
                  <w:vAlign w:val="center"/>
                </w:tcPr>
                <w:p>
                  <w:pPr>
                    <w:pStyle w:val="14"/>
                    <w:spacing w:line="360" w:lineRule="auto"/>
                    <w:rPr>
                      <w:rFonts w:ascii="Times New Roman" w:hAnsi="Times New Roman"/>
                      <w:szCs w:val="21"/>
                    </w:rPr>
                  </w:pPr>
                  <w:r>
                    <w:rPr>
                      <w:rFonts w:ascii="Times New Roman" w:hAnsi="Times New Roman"/>
                      <w:szCs w:val="21"/>
                    </w:rPr>
                    <w:t>工频磁场</w:t>
                  </w:r>
                </w:p>
              </w:tc>
              <w:tc>
                <w:tcPr>
                  <w:tcW w:w="851" w:type="dxa"/>
                  <w:vAlign w:val="center"/>
                </w:tcPr>
                <w:p>
                  <w:pPr>
                    <w:pStyle w:val="14"/>
                    <w:spacing w:line="360" w:lineRule="auto"/>
                    <w:ind w:left="-107" w:leftChars="-51" w:right="-103" w:rightChars="-49" w:firstLine="126" w:firstLineChars="60"/>
                    <w:rPr>
                      <w:rFonts w:ascii="Times New Roman" w:hAnsi="Times New Roman"/>
                      <w:szCs w:val="21"/>
                    </w:rPr>
                  </w:pPr>
                  <w:r>
                    <w:rPr>
                      <w:rFonts w:ascii="Times New Roman" w:hAnsi="Times New Roman"/>
                      <w:szCs w:val="21"/>
                    </w:rPr>
                    <w:t>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4" w:hRule="atLeast"/>
                <w:jc w:val="center"/>
              </w:trPr>
              <w:tc>
                <w:tcPr>
                  <w:tcW w:w="690" w:type="dxa"/>
                  <w:vMerge w:val="continue"/>
                  <w:vAlign w:val="center"/>
                </w:tcPr>
                <w:p>
                  <w:pPr>
                    <w:pStyle w:val="14"/>
                    <w:spacing w:line="360" w:lineRule="auto"/>
                    <w:ind w:firstLine="181"/>
                    <w:rPr>
                      <w:rFonts w:ascii="Times New Roman" w:hAnsi="Times New Roman"/>
                      <w:szCs w:val="21"/>
                    </w:rPr>
                  </w:pPr>
                </w:p>
              </w:tc>
              <w:tc>
                <w:tcPr>
                  <w:tcW w:w="849" w:type="dxa"/>
                  <w:vAlign w:val="center"/>
                </w:tcPr>
                <w:p>
                  <w:pPr>
                    <w:pStyle w:val="14"/>
                    <w:spacing w:line="360" w:lineRule="auto"/>
                    <w:ind w:left="-107" w:leftChars="-51" w:right="-107" w:rightChars="-51" w:firstLine="126" w:firstLineChars="60"/>
                    <w:rPr>
                      <w:rFonts w:ascii="Times New Roman" w:hAnsi="Times New Roman"/>
                      <w:szCs w:val="21"/>
                    </w:rPr>
                  </w:pPr>
                  <w:r>
                    <w:rPr>
                      <w:rFonts w:ascii="Times New Roman" w:hAnsi="Times New Roman"/>
                      <w:szCs w:val="21"/>
                    </w:rPr>
                    <w:t>声环境</w:t>
                  </w:r>
                </w:p>
              </w:tc>
              <w:tc>
                <w:tcPr>
                  <w:tcW w:w="2855" w:type="dxa"/>
                  <w:vAlign w:val="center"/>
                </w:tcPr>
                <w:p>
                  <w:pPr>
                    <w:pStyle w:val="14"/>
                    <w:spacing w:line="360" w:lineRule="auto"/>
                    <w:rPr>
                      <w:rFonts w:ascii="Times New Roman" w:hAnsi="Times New Roman"/>
                      <w:szCs w:val="21"/>
                    </w:rPr>
                  </w:pPr>
                  <w:r>
                    <w:rPr>
                      <w:rFonts w:ascii="Times New Roman" w:hAnsi="Times New Roman"/>
                      <w:szCs w:val="21"/>
                    </w:rPr>
                    <w:t>昼间、夜间等效声级，Leq</w:t>
                  </w:r>
                </w:p>
              </w:tc>
              <w:tc>
                <w:tcPr>
                  <w:tcW w:w="846" w:type="dxa"/>
                  <w:vAlign w:val="center"/>
                </w:tcPr>
                <w:p>
                  <w:pPr>
                    <w:pStyle w:val="14"/>
                    <w:spacing w:line="360" w:lineRule="auto"/>
                    <w:ind w:left="19" w:leftChars="-51" w:right="-105" w:rightChars="-50" w:hanging="126" w:hangingChars="60"/>
                    <w:rPr>
                      <w:rFonts w:ascii="Times New Roman" w:hAnsi="Times New Roman"/>
                      <w:szCs w:val="21"/>
                    </w:rPr>
                  </w:pPr>
                  <w:r>
                    <w:rPr>
                      <w:rFonts w:ascii="Times New Roman" w:hAnsi="Times New Roman"/>
                      <w:szCs w:val="21"/>
                    </w:rPr>
                    <w:t>dB（A）</w:t>
                  </w:r>
                </w:p>
              </w:tc>
              <w:tc>
                <w:tcPr>
                  <w:tcW w:w="3013" w:type="dxa"/>
                  <w:vAlign w:val="center"/>
                </w:tcPr>
                <w:p>
                  <w:pPr>
                    <w:pStyle w:val="14"/>
                    <w:spacing w:line="360" w:lineRule="auto"/>
                    <w:rPr>
                      <w:rFonts w:ascii="Times New Roman" w:hAnsi="Times New Roman"/>
                      <w:szCs w:val="21"/>
                    </w:rPr>
                  </w:pPr>
                  <w:r>
                    <w:rPr>
                      <w:rFonts w:ascii="Times New Roman" w:hAnsi="Times New Roman"/>
                      <w:szCs w:val="21"/>
                    </w:rPr>
                    <w:t>昼间、夜间等效声级，Leq</w:t>
                  </w:r>
                </w:p>
              </w:tc>
              <w:tc>
                <w:tcPr>
                  <w:tcW w:w="851" w:type="dxa"/>
                  <w:vAlign w:val="center"/>
                </w:tcPr>
                <w:p>
                  <w:pPr>
                    <w:pStyle w:val="14"/>
                    <w:spacing w:line="360" w:lineRule="auto"/>
                    <w:ind w:left="-107" w:leftChars="-51" w:right="-103" w:rightChars="-49" w:firstLine="126" w:firstLineChars="60"/>
                    <w:rPr>
                      <w:rFonts w:ascii="Times New Roman" w:hAnsi="Times New Roman"/>
                      <w:szCs w:val="21"/>
                    </w:rPr>
                  </w:pPr>
                  <w:r>
                    <w:rPr>
                      <w:rFonts w:ascii="Times New Roman" w:hAnsi="Times New Roman"/>
                      <w:szCs w:val="21"/>
                    </w:rPr>
                    <w:t>dB（A）</w:t>
                  </w:r>
                </w:p>
              </w:tc>
            </w:tr>
          </w:tbl>
          <w:p>
            <w:pPr>
              <w:spacing w:before="156" w:beforeLines="50" w:after="156" w:afterLines="50" w:line="360" w:lineRule="auto"/>
              <w:rPr>
                <w:kern w:val="0"/>
                <w:sz w:val="28"/>
                <w:szCs w:val="28"/>
              </w:rPr>
            </w:pPr>
            <w:r>
              <w:rPr>
                <w:kern w:val="0"/>
                <w:sz w:val="28"/>
                <w:szCs w:val="28"/>
              </w:rPr>
              <w:t>3 编制依据</w:t>
            </w:r>
          </w:p>
          <w:p>
            <w:pPr>
              <w:pStyle w:val="4"/>
              <w:rPr>
                <w:rFonts w:ascii="Times New Roman" w:hAnsi="Times New Roman"/>
                <w:kern w:val="0"/>
                <w:sz w:val="28"/>
                <w:szCs w:val="28"/>
              </w:rPr>
            </w:pPr>
            <w:bookmarkStart w:id="2" w:name="_Toc116531358"/>
            <w:bookmarkStart w:id="3" w:name="_Toc116531801"/>
            <w:bookmarkStart w:id="4" w:name="_Toc121423796"/>
            <w:bookmarkStart w:id="5" w:name="_Toc255307034"/>
            <w:bookmarkStart w:id="6" w:name="_Toc186275512"/>
            <w:bookmarkStart w:id="7" w:name="_Toc236106658"/>
            <w:r>
              <w:rPr>
                <w:rFonts w:ascii="Times New Roman" w:hAnsi="Times New Roman"/>
                <w:kern w:val="0"/>
                <w:sz w:val="28"/>
                <w:szCs w:val="28"/>
              </w:rPr>
              <w:t>3.1 环境保护法规、条例和文件</w:t>
            </w:r>
            <w:bookmarkEnd w:id="2"/>
            <w:bookmarkEnd w:id="3"/>
            <w:bookmarkEnd w:id="4"/>
            <w:bookmarkEnd w:id="5"/>
            <w:bookmarkEnd w:id="6"/>
            <w:bookmarkEnd w:id="7"/>
          </w:p>
          <w:p>
            <w:pPr>
              <w:adjustRightInd w:val="0"/>
              <w:snapToGrid w:val="0"/>
              <w:spacing w:line="360" w:lineRule="auto"/>
              <w:ind w:firstLine="560" w:firstLineChars="200"/>
              <w:rPr>
                <w:kern w:val="0"/>
                <w:sz w:val="28"/>
                <w:szCs w:val="28"/>
              </w:rPr>
            </w:pPr>
            <w:r>
              <w:rPr>
                <w:kern w:val="0"/>
                <w:sz w:val="28"/>
                <w:szCs w:val="28"/>
              </w:rPr>
              <w:t>（1）《中华人民共和国环境保护法》（2015年1月1日执行）；</w:t>
            </w:r>
          </w:p>
          <w:p>
            <w:pPr>
              <w:adjustRightInd w:val="0"/>
              <w:snapToGrid w:val="0"/>
              <w:spacing w:line="360" w:lineRule="auto"/>
              <w:ind w:firstLine="560" w:firstLineChars="200"/>
              <w:rPr>
                <w:kern w:val="0"/>
                <w:sz w:val="28"/>
                <w:szCs w:val="28"/>
              </w:rPr>
            </w:pPr>
            <w:r>
              <w:rPr>
                <w:kern w:val="0"/>
                <w:sz w:val="28"/>
                <w:szCs w:val="28"/>
              </w:rPr>
              <w:t>（2）《中华人民共和国环境影响评价法》（2016年9月1日执行）；</w:t>
            </w:r>
          </w:p>
          <w:p>
            <w:pPr>
              <w:adjustRightInd w:val="0"/>
              <w:snapToGrid w:val="0"/>
              <w:spacing w:line="360" w:lineRule="auto"/>
              <w:ind w:firstLine="560" w:firstLineChars="200"/>
              <w:rPr>
                <w:kern w:val="0"/>
                <w:sz w:val="28"/>
                <w:szCs w:val="28"/>
              </w:rPr>
            </w:pPr>
            <w:r>
              <w:rPr>
                <w:kern w:val="0"/>
                <w:sz w:val="28"/>
                <w:szCs w:val="28"/>
              </w:rPr>
              <w:t>（3）《中华人民共和国水污染防治法》（2008年6月1日执行）；</w:t>
            </w:r>
          </w:p>
          <w:p>
            <w:pPr>
              <w:adjustRightInd w:val="0"/>
              <w:snapToGrid w:val="0"/>
              <w:spacing w:line="360" w:lineRule="auto"/>
              <w:ind w:firstLine="560" w:firstLineChars="200"/>
              <w:rPr>
                <w:kern w:val="0"/>
                <w:sz w:val="28"/>
                <w:szCs w:val="28"/>
              </w:rPr>
            </w:pPr>
            <w:r>
              <w:rPr>
                <w:kern w:val="0"/>
                <w:sz w:val="28"/>
                <w:szCs w:val="28"/>
              </w:rPr>
              <w:t>（4）《中华人民共和国环境噪声污染防治法》（1997年3月1日执行）；</w:t>
            </w:r>
          </w:p>
          <w:p>
            <w:pPr>
              <w:adjustRightInd w:val="0"/>
              <w:snapToGrid w:val="0"/>
              <w:spacing w:line="360" w:lineRule="auto"/>
              <w:ind w:firstLine="560" w:firstLineChars="200"/>
              <w:rPr>
                <w:kern w:val="0"/>
                <w:sz w:val="28"/>
                <w:szCs w:val="28"/>
              </w:rPr>
            </w:pPr>
            <w:r>
              <w:rPr>
                <w:kern w:val="0"/>
                <w:sz w:val="28"/>
                <w:szCs w:val="28"/>
              </w:rPr>
              <w:t>（5）《中华人民共和国水土保持法》（2011年3月1日执行）；</w:t>
            </w:r>
          </w:p>
          <w:p>
            <w:pPr>
              <w:adjustRightInd w:val="0"/>
              <w:snapToGrid w:val="0"/>
              <w:spacing w:line="360" w:lineRule="auto"/>
              <w:ind w:firstLine="560" w:firstLineChars="200"/>
              <w:rPr>
                <w:kern w:val="0"/>
                <w:sz w:val="28"/>
                <w:szCs w:val="28"/>
              </w:rPr>
            </w:pPr>
            <w:r>
              <w:rPr>
                <w:kern w:val="0"/>
                <w:sz w:val="28"/>
                <w:szCs w:val="28"/>
              </w:rPr>
              <w:t>（6）《中华人民共和国固体废物污染环境防治法》（2015年4月24日执行）；</w:t>
            </w:r>
          </w:p>
          <w:p>
            <w:pPr>
              <w:adjustRightInd w:val="0"/>
              <w:snapToGrid w:val="0"/>
              <w:spacing w:line="360" w:lineRule="auto"/>
              <w:ind w:firstLine="560" w:firstLineChars="200"/>
              <w:rPr>
                <w:kern w:val="0"/>
                <w:sz w:val="28"/>
                <w:szCs w:val="28"/>
              </w:rPr>
            </w:pPr>
            <w:r>
              <w:rPr>
                <w:kern w:val="0"/>
                <w:sz w:val="28"/>
                <w:szCs w:val="28"/>
              </w:rPr>
              <w:t>（7）《建设项目环境保护管理条例》（1998年11月29日执行）；</w:t>
            </w:r>
          </w:p>
          <w:p>
            <w:pPr>
              <w:adjustRightInd w:val="0"/>
              <w:snapToGrid w:val="0"/>
              <w:spacing w:line="360" w:lineRule="auto"/>
              <w:ind w:firstLine="560" w:firstLineChars="200"/>
              <w:rPr>
                <w:kern w:val="0"/>
                <w:sz w:val="28"/>
                <w:szCs w:val="28"/>
              </w:rPr>
            </w:pPr>
            <w:r>
              <w:rPr>
                <w:kern w:val="0"/>
                <w:sz w:val="28"/>
                <w:szCs w:val="28"/>
              </w:rPr>
              <w:t>（8）《建设项目环境影响评价分类管理名录》（2015年6月1日起执行）；</w:t>
            </w:r>
          </w:p>
          <w:p>
            <w:pPr>
              <w:adjustRightInd w:val="0"/>
              <w:snapToGrid w:val="0"/>
              <w:spacing w:line="360" w:lineRule="auto"/>
              <w:ind w:firstLine="560" w:firstLineChars="200"/>
              <w:rPr>
                <w:kern w:val="0"/>
                <w:sz w:val="28"/>
                <w:szCs w:val="28"/>
              </w:rPr>
            </w:pPr>
            <w:r>
              <w:rPr>
                <w:kern w:val="0"/>
                <w:sz w:val="28"/>
                <w:szCs w:val="28"/>
              </w:rPr>
              <w:t>（9） 《电磁辐射环境保护管理办法》（国家环境保护局第18号令[1997])。</w:t>
            </w:r>
          </w:p>
          <w:p>
            <w:pPr>
              <w:adjustRightInd w:val="0"/>
              <w:snapToGrid w:val="0"/>
              <w:spacing w:line="360" w:lineRule="auto"/>
              <w:rPr>
                <w:kern w:val="0"/>
                <w:sz w:val="28"/>
                <w:szCs w:val="28"/>
              </w:rPr>
            </w:pPr>
            <w:bookmarkStart w:id="8" w:name="_Toc116531359"/>
            <w:bookmarkStart w:id="9" w:name="_Toc116531802"/>
            <w:bookmarkStart w:id="10" w:name="_Toc121423797"/>
            <w:bookmarkStart w:id="11" w:name="_Toc186275513"/>
            <w:bookmarkStart w:id="12" w:name="_Toc236106659"/>
            <w:bookmarkStart w:id="13" w:name="_Toc255307035"/>
            <w:r>
              <w:rPr>
                <w:kern w:val="0"/>
                <w:sz w:val="28"/>
                <w:szCs w:val="28"/>
              </w:rPr>
              <w:t>3.2 相关的标准和技术导则</w:t>
            </w:r>
            <w:bookmarkEnd w:id="8"/>
            <w:bookmarkEnd w:id="9"/>
            <w:bookmarkEnd w:id="10"/>
            <w:bookmarkEnd w:id="11"/>
            <w:bookmarkEnd w:id="12"/>
            <w:bookmarkEnd w:id="13"/>
          </w:p>
          <w:p>
            <w:pPr>
              <w:adjustRightInd w:val="0"/>
              <w:snapToGrid w:val="0"/>
              <w:spacing w:line="360" w:lineRule="auto"/>
              <w:ind w:firstLine="560" w:firstLineChars="200"/>
              <w:rPr>
                <w:kern w:val="0"/>
                <w:sz w:val="28"/>
                <w:szCs w:val="28"/>
              </w:rPr>
            </w:pPr>
            <w:r>
              <w:rPr>
                <w:kern w:val="0"/>
                <w:sz w:val="28"/>
                <w:szCs w:val="28"/>
              </w:rPr>
              <w:t>（1）《环境影响评价技术导则-总纲》（HJ 2.1-2016）；</w:t>
            </w:r>
          </w:p>
          <w:p>
            <w:pPr>
              <w:adjustRightInd w:val="0"/>
              <w:snapToGrid w:val="0"/>
              <w:spacing w:line="360" w:lineRule="auto"/>
              <w:ind w:firstLine="560" w:firstLineChars="200"/>
              <w:rPr>
                <w:kern w:val="0"/>
                <w:sz w:val="28"/>
                <w:szCs w:val="28"/>
              </w:rPr>
            </w:pPr>
            <w:r>
              <w:rPr>
                <w:kern w:val="0"/>
                <w:sz w:val="28"/>
                <w:szCs w:val="28"/>
              </w:rPr>
              <w:t>（2）《电磁环境控制限值》（GB 8702-2014）；</w:t>
            </w:r>
          </w:p>
          <w:p>
            <w:pPr>
              <w:adjustRightInd w:val="0"/>
              <w:snapToGrid w:val="0"/>
              <w:spacing w:line="360" w:lineRule="auto"/>
              <w:ind w:firstLine="560" w:firstLineChars="200"/>
              <w:rPr>
                <w:kern w:val="0"/>
                <w:sz w:val="28"/>
                <w:szCs w:val="28"/>
              </w:rPr>
            </w:pPr>
            <w:r>
              <w:rPr>
                <w:kern w:val="0"/>
                <w:sz w:val="28"/>
                <w:szCs w:val="28"/>
              </w:rPr>
              <w:t>（3）《声环境质量标准》（GB 3096-2008）；</w:t>
            </w:r>
          </w:p>
          <w:p>
            <w:pPr>
              <w:adjustRightInd w:val="0"/>
              <w:snapToGrid w:val="0"/>
              <w:spacing w:line="360" w:lineRule="auto"/>
              <w:ind w:firstLine="560" w:firstLineChars="200"/>
              <w:rPr>
                <w:kern w:val="0"/>
                <w:sz w:val="28"/>
                <w:szCs w:val="28"/>
              </w:rPr>
            </w:pPr>
            <w:r>
              <w:rPr>
                <w:kern w:val="0"/>
                <w:sz w:val="28"/>
                <w:szCs w:val="28"/>
              </w:rPr>
              <w:t>（4）《工业企业厂界环境噪声排放标准》（GB 12348-2008）</w:t>
            </w:r>
          </w:p>
          <w:p>
            <w:pPr>
              <w:adjustRightInd w:val="0"/>
              <w:snapToGrid w:val="0"/>
              <w:spacing w:line="360" w:lineRule="auto"/>
              <w:ind w:firstLine="560" w:firstLineChars="200"/>
              <w:rPr>
                <w:kern w:val="0"/>
                <w:sz w:val="28"/>
                <w:szCs w:val="28"/>
              </w:rPr>
            </w:pPr>
            <w:r>
              <w:rPr>
                <w:kern w:val="0"/>
                <w:sz w:val="28"/>
                <w:szCs w:val="28"/>
              </w:rPr>
              <w:t>（5）《环境空气质量标准》（GB 3095-2012）；</w:t>
            </w:r>
          </w:p>
          <w:p>
            <w:pPr>
              <w:adjustRightInd w:val="0"/>
              <w:snapToGrid w:val="0"/>
              <w:spacing w:line="360" w:lineRule="auto"/>
              <w:ind w:firstLine="560" w:firstLineChars="200"/>
              <w:rPr>
                <w:kern w:val="0"/>
                <w:sz w:val="28"/>
                <w:szCs w:val="28"/>
              </w:rPr>
            </w:pPr>
            <w:r>
              <w:rPr>
                <w:kern w:val="0"/>
                <w:sz w:val="28"/>
                <w:szCs w:val="28"/>
              </w:rPr>
              <w:t>（6）《污水综合排放标准》（GB 8978-1996）；</w:t>
            </w:r>
          </w:p>
          <w:p>
            <w:pPr>
              <w:adjustRightInd w:val="0"/>
              <w:snapToGrid w:val="0"/>
              <w:spacing w:line="360" w:lineRule="auto"/>
              <w:ind w:firstLine="560" w:firstLineChars="200"/>
              <w:rPr>
                <w:kern w:val="0"/>
                <w:sz w:val="28"/>
                <w:szCs w:val="28"/>
              </w:rPr>
            </w:pPr>
            <w:r>
              <w:rPr>
                <w:kern w:val="0"/>
                <w:sz w:val="28"/>
                <w:szCs w:val="28"/>
              </w:rPr>
              <w:t>（7）《地表水环境质量标准》（GB 3838-2002）；</w:t>
            </w:r>
          </w:p>
          <w:p>
            <w:pPr>
              <w:adjustRightInd w:val="0"/>
              <w:snapToGrid w:val="0"/>
              <w:spacing w:line="360" w:lineRule="auto"/>
              <w:ind w:firstLine="560" w:firstLineChars="200"/>
              <w:rPr>
                <w:kern w:val="0"/>
                <w:sz w:val="28"/>
                <w:szCs w:val="28"/>
              </w:rPr>
            </w:pPr>
            <w:r>
              <w:rPr>
                <w:kern w:val="0"/>
                <w:sz w:val="28"/>
                <w:szCs w:val="28"/>
              </w:rPr>
              <w:t>（8）《环境影响评价技术导则-声环境》（HJ/T 2.4-2009）</w:t>
            </w:r>
          </w:p>
          <w:p>
            <w:pPr>
              <w:adjustRightInd w:val="0"/>
              <w:snapToGrid w:val="0"/>
              <w:spacing w:line="360" w:lineRule="auto"/>
              <w:ind w:firstLine="560" w:firstLineChars="200"/>
              <w:rPr>
                <w:kern w:val="0"/>
                <w:sz w:val="28"/>
                <w:szCs w:val="28"/>
              </w:rPr>
            </w:pPr>
            <w:r>
              <w:rPr>
                <w:kern w:val="0"/>
                <w:sz w:val="28"/>
                <w:szCs w:val="28"/>
              </w:rPr>
              <w:t>（9）《建筑施工场界环境噪声排放标准》（GB 12523-2011）；</w:t>
            </w:r>
          </w:p>
          <w:p>
            <w:pPr>
              <w:adjustRightInd w:val="0"/>
              <w:snapToGrid w:val="0"/>
              <w:spacing w:line="360" w:lineRule="auto"/>
              <w:ind w:firstLine="560" w:firstLineChars="200"/>
              <w:rPr>
                <w:kern w:val="0"/>
                <w:sz w:val="28"/>
                <w:szCs w:val="28"/>
              </w:rPr>
            </w:pPr>
            <w:r>
              <w:rPr>
                <w:kern w:val="0"/>
                <w:sz w:val="28"/>
                <w:szCs w:val="28"/>
              </w:rPr>
              <w:t>（10）《环境影响评价技术导则-生态影响》（HJ 19-2011）；</w:t>
            </w:r>
          </w:p>
          <w:p>
            <w:pPr>
              <w:adjustRightInd w:val="0"/>
              <w:snapToGrid w:val="0"/>
              <w:spacing w:line="360" w:lineRule="auto"/>
              <w:ind w:firstLine="560" w:firstLineChars="200"/>
              <w:rPr>
                <w:kern w:val="0"/>
                <w:sz w:val="28"/>
                <w:szCs w:val="28"/>
              </w:rPr>
            </w:pPr>
            <w:r>
              <w:rPr>
                <w:kern w:val="0"/>
                <w:sz w:val="28"/>
                <w:szCs w:val="28"/>
              </w:rPr>
              <w:t>（11）《环境影响评价技术导则-输变电工程》（HJ 24-2014）；</w:t>
            </w:r>
          </w:p>
          <w:p>
            <w:pPr>
              <w:adjustRightInd w:val="0"/>
              <w:snapToGrid w:val="0"/>
              <w:spacing w:line="360" w:lineRule="auto"/>
              <w:ind w:firstLine="560" w:firstLineChars="200"/>
              <w:rPr>
                <w:kern w:val="0"/>
                <w:sz w:val="28"/>
                <w:szCs w:val="28"/>
              </w:rPr>
            </w:pPr>
            <w:r>
              <w:rPr>
                <w:kern w:val="0"/>
                <w:sz w:val="28"/>
                <w:szCs w:val="28"/>
              </w:rPr>
              <w:t>（12）《交流输变电工程电磁环境监测方法（试行）》（HJ 681-2013）。</w:t>
            </w:r>
          </w:p>
          <w:p>
            <w:pPr>
              <w:adjustRightInd w:val="0"/>
              <w:snapToGrid w:val="0"/>
              <w:spacing w:line="360" w:lineRule="auto"/>
              <w:rPr>
                <w:kern w:val="0"/>
                <w:sz w:val="28"/>
                <w:szCs w:val="28"/>
              </w:rPr>
            </w:pPr>
            <w:r>
              <w:rPr>
                <w:kern w:val="0"/>
                <w:sz w:val="28"/>
                <w:szCs w:val="28"/>
              </w:rPr>
              <w:t>3.3 设计资料</w:t>
            </w:r>
          </w:p>
          <w:p>
            <w:pPr>
              <w:adjustRightInd w:val="0"/>
              <w:snapToGrid w:val="0"/>
              <w:spacing w:line="360" w:lineRule="auto"/>
              <w:ind w:firstLine="570"/>
              <w:rPr>
                <w:kern w:val="0"/>
                <w:sz w:val="28"/>
                <w:szCs w:val="28"/>
              </w:rPr>
            </w:pPr>
            <w:r>
              <w:rPr>
                <w:kern w:val="0"/>
                <w:sz w:val="28"/>
                <w:szCs w:val="28"/>
              </w:rPr>
              <w:t>（1）《邵阳隆回城东110kV输变电工程可行性研究报告》（收口版）；</w:t>
            </w:r>
          </w:p>
          <w:p>
            <w:pPr>
              <w:adjustRightInd w:val="0"/>
              <w:snapToGrid w:val="0"/>
              <w:spacing w:line="360" w:lineRule="auto"/>
              <w:ind w:firstLine="570"/>
              <w:rPr>
                <w:kern w:val="0"/>
                <w:sz w:val="28"/>
                <w:szCs w:val="28"/>
              </w:rPr>
            </w:pPr>
            <w:r>
              <w:rPr>
                <w:kern w:val="0"/>
                <w:sz w:val="28"/>
                <w:szCs w:val="28"/>
              </w:rPr>
              <w:t>（2）《邵阳洞口高沙110kV 变电站2 号主变扩建工程可行性研究报告》（收口版）；</w:t>
            </w:r>
          </w:p>
          <w:p>
            <w:pPr>
              <w:adjustRightInd w:val="0"/>
              <w:snapToGrid w:val="0"/>
              <w:spacing w:line="360" w:lineRule="auto"/>
              <w:ind w:firstLine="570"/>
              <w:rPr>
                <w:kern w:val="0"/>
                <w:sz w:val="28"/>
                <w:szCs w:val="28"/>
              </w:rPr>
            </w:pPr>
            <w:r>
              <w:rPr>
                <w:kern w:val="0"/>
                <w:sz w:val="28"/>
                <w:szCs w:val="28"/>
              </w:rPr>
              <w:t>（3）《邵阳宝莲二期风电110kV送出工程可行性研究报告》（收口版）；</w:t>
            </w:r>
          </w:p>
          <w:p>
            <w:pPr>
              <w:adjustRightInd w:val="0"/>
              <w:snapToGrid w:val="0"/>
              <w:spacing w:line="360" w:lineRule="auto"/>
              <w:ind w:firstLine="570"/>
              <w:rPr>
                <w:kern w:val="0"/>
                <w:sz w:val="28"/>
                <w:szCs w:val="28"/>
              </w:rPr>
            </w:pPr>
            <w:r>
              <w:rPr>
                <w:kern w:val="0"/>
                <w:sz w:val="28"/>
                <w:szCs w:val="28"/>
              </w:rPr>
              <w:t>（4）《邵阳邵东县黄陂桥110kV变电站主变扩建工程可行性研究报告》（收口版）；</w:t>
            </w:r>
          </w:p>
          <w:p>
            <w:pPr>
              <w:adjustRightInd w:val="0"/>
              <w:snapToGrid w:val="0"/>
              <w:spacing w:line="360" w:lineRule="auto"/>
              <w:ind w:firstLine="570"/>
              <w:rPr>
                <w:kern w:val="0"/>
                <w:sz w:val="28"/>
                <w:szCs w:val="28"/>
              </w:rPr>
            </w:pPr>
            <w:r>
              <w:rPr>
                <w:kern w:val="0"/>
                <w:sz w:val="28"/>
                <w:szCs w:val="28"/>
              </w:rPr>
              <w:t>（5）《邵阳县大岭110kV变电站2#主变扩建工程可行性研究报告》（收口版）；</w:t>
            </w:r>
          </w:p>
          <w:p>
            <w:pPr>
              <w:adjustRightInd w:val="0"/>
              <w:snapToGrid w:val="0"/>
              <w:spacing w:line="360" w:lineRule="auto"/>
              <w:ind w:firstLine="570"/>
              <w:rPr>
                <w:kern w:val="0"/>
                <w:sz w:val="28"/>
                <w:szCs w:val="28"/>
              </w:rPr>
            </w:pPr>
            <w:r>
              <w:rPr>
                <w:kern w:val="0"/>
                <w:sz w:val="28"/>
                <w:szCs w:val="28"/>
              </w:rPr>
              <w:t>（6）《邵阳大唐华银绥宁宝鼎山风电二期三期110kV送出工程可行性研究报告》（收口版）；</w:t>
            </w:r>
          </w:p>
          <w:p>
            <w:pPr>
              <w:adjustRightInd w:val="0"/>
              <w:snapToGrid w:val="0"/>
              <w:spacing w:line="360" w:lineRule="auto"/>
              <w:ind w:firstLine="570"/>
              <w:rPr>
                <w:kern w:val="0"/>
                <w:sz w:val="28"/>
                <w:szCs w:val="28"/>
              </w:rPr>
            </w:pPr>
            <w:r>
              <w:rPr>
                <w:kern w:val="0"/>
                <w:sz w:val="28"/>
                <w:szCs w:val="28"/>
              </w:rPr>
              <w:t>（7）《隆回金坪110kV风电送出工程可行性研究报告》（修编收口版）；</w:t>
            </w:r>
          </w:p>
          <w:p>
            <w:pPr>
              <w:adjustRightInd w:val="0"/>
              <w:snapToGrid w:val="0"/>
              <w:spacing w:line="360" w:lineRule="auto"/>
              <w:ind w:firstLine="570"/>
              <w:rPr>
                <w:kern w:val="0"/>
                <w:sz w:val="28"/>
                <w:szCs w:val="28"/>
              </w:rPr>
            </w:pPr>
            <w:r>
              <w:rPr>
                <w:kern w:val="0"/>
                <w:sz w:val="28"/>
                <w:szCs w:val="28"/>
              </w:rPr>
              <w:t>（8）《邵阳六岭110kV输变电工程可行性研究报告》（修编收口版）。</w:t>
            </w:r>
          </w:p>
          <w:p>
            <w:pPr>
              <w:pStyle w:val="4"/>
              <w:spacing w:before="120"/>
              <w:rPr>
                <w:rFonts w:ascii="Times New Roman" w:hAnsi="Times New Roman"/>
                <w:kern w:val="0"/>
                <w:sz w:val="28"/>
                <w:szCs w:val="28"/>
              </w:rPr>
            </w:pPr>
            <w:r>
              <w:rPr>
                <w:rFonts w:ascii="Times New Roman" w:hAnsi="Times New Roman"/>
                <w:kern w:val="0"/>
                <w:sz w:val="28"/>
                <w:szCs w:val="28"/>
              </w:rPr>
              <w:t>4  评价等级与范围</w:t>
            </w:r>
          </w:p>
          <w:p>
            <w:pPr>
              <w:adjustRightInd w:val="0"/>
              <w:snapToGrid w:val="0"/>
              <w:spacing w:line="360" w:lineRule="auto"/>
              <w:rPr>
                <w:kern w:val="0"/>
                <w:sz w:val="28"/>
                <w:szCs w:val="28"/>
              </w:rPr>
            </w:pPr>
            <w:r>
              <w:rPr>
                <w:kern w:val="0"/>
                <w:sz w:val="28"/>
                <w:szCs w:val="28"/>
              </w:rPr>
              <w:t>4.1 评价等级</w:t>
            </w:r>
          </w:p>
          <w:p>
            <w:pPr>
              <w:autoSpaceDE w:val="0"/>
              <w:autoSpaceDN w:val="0"/>
              <w:adjustRightInd w:val="0"/>
              <w:spacing w:line="360" w:lineRule="auto"/>
              <w:jc w:val="left"/>
              <w:rPr>
                <w:kern w:val="0"/>
                <w:sz w:val="28"/>
                <w:szCs w:val="28"/>
              </w:rPr>
            </w:pPr>
            <w:r>
              <w:rPr>
                <w:kern w:val="0"/>
                <w:sz w:val="28"/>
                <w:szCs w:val="28"/>
              </w:rPr>
              <w:t>4.1.1 电磁环境影响评价工作等级</w:t>
            </w:r>
          </w:p>
          <w:p>
            <w:pPr>
              <w:autoSpaceDE w:val="0"/>
              <w:autoSpaceDN w:val="0"/>
              <w:adjustRightInd w:val="0"/>
              <w:spacing w:line="360" w:lineRule="auto"/>
              <w:ind w:firstLine="560" w:firstLineChars="200"/>
              <w:jc w:val="left"/>
              <w:rPr>
                <w:rFonts w:hint="eastAsia"/>
                <w:kern w:val="0"/>
                <w:sz w:val="28"/>
                <w:szCs w:val="28"/>
              </w:rPr>
            </w:pPr>
            <w:r>
              <w:rPr>
                <w:kern w:val="0"/>
                <w:sz w:val="28"/>
                <w:szCs w:val="28"/>
              </w:rPr>
              <w:t>根据《环境影响评价技术导则-输变电工程》（HJ 24-2014），本项目电磁环境影响评价工作等级划分见表5。</w:t>
            </w:r>
          </w:p>
          <w:p>
            <w:pPr>
              <w:autoSpaceDE w:val="0"/>
              <w:autoSpaceDN w:val="0"/>
              <w:adjustRightInd w:val="0"/>
              <w:spacing w:line="360" w:lineRule="auto"/>
              <w:jc w:val="center"/>
              <w:rPr>
                <w:kern w:val="0"/>
                <w:sz w:val="28"/>
                <w:szCs w:val="28"/>
              </w:rPr>
            </w:pPr>
            <w:r>
              <w:rPr>
                <w:kern w:val="0"/>
                <w:sz w:val="28"/>
                <w:szCs w:val="28"/>
              </w:rPr>
              <w:t>表5  本项目输变电工程电磁环境影响评价工作等级</w:t>
            </w:r>
          </w:p>
          <w:tbl>
            <w:tblPr>
              <w:tblStyle w:val="11"/>
              <w:tblW w:w="792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7"/>
              <w:gridCol w:w="859"/>
              <w:gridCol w:w="2126"/>
              <w:gridCol w:w="3119"/>
              <w:gridCol w:w="9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 w:hRule="atLeast"/>
                <w:jc w:val="center"/>
              </w:trPr>
              <w:tc>
                <w:tcPr>
                  <w:tcW w:w="837"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分类</w:t>
                  </w:r>
                </w:p>
              </w:tc>
              <w:tc>
                <w:tcPr>
                  <w:tcW w:w="859"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电压等级</w:t>
                  </w:r>
                </w:p>
              </w:tc>
              <w:tc>
                <w:tcPr>
                  <w:tcW w:w="2126"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工程</w:t>
                  </w:r>
                </w:p>
              </w:tc>
              <w:tc>
                <w:tcPr>
                  <w:tcW w:w="3119"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条件</w:t>
                  </w:r>
                </w:p>
              </w:tc>
              <w:tc>
                <w:tcPr>
                  <w:tcW w:w="983"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评价等级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 w:hRule="atLeast"/>
                <w:jc w:val="center"/>
              </w:trPr>
              <w:tc>
                <w:tcPr>
                  <w:tcW w:w="837" w:type="dxa"/>
                  <w:vMerge w:val="restart"/>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交流</w:t>
                  </w:r>
                </w:p>
              </w:tc>
              <w:tc>
                <w:tcPr>
                  <w:tcW w:w="859" w:type="dxa"/>
                  <w:vMerge w:val="restart"/>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110kV</w:t>
                  </w:r>
                </w:p>
              </w:tc>
              <w:tc>
                <w:tcPr>
                  <w:tcW w:w="2126"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邵阳隆回县城东110kV输变电工程</w:t>
                  </w:r>
                </w:p>
              </w:tc>
              <w:tc>
                <w:tcPr>
                  <w:tcW w:w="3119" w:type="dxa"/>
                  <w:vAlign w:val="center"/>
                </w:tcPr>
                <w:p>
                  <w:pPr>
                    <w:pStyle w:val="14"/>
                    <w:spacing w:line="360" w:lineRule="auto"/>
                    <w:ind w:left="-107" w:leftChars="-51" w:right="-107" w:rightChars="-51"/>
                    <w:jc w:val="left"/>
                    <w:rPr>
                      <w:rFonts w:ascii="Times New Roman" w:hAnsi="Times New Roman"/>
                      <w:szCs w:val="21"/>
                    </w:rPr>
                  </w:pPr>
                  <w:r>
                    <w:rPr>
                      <w:rFonts w:ascii="Times New Roman" w:hAnsi="Times New Roman"/>
                      <w:szCs w:val="21"/>
                    </w:rPr>
                    <w:t>边导线地面投影外两侧各10m范围内有电磁环境敏感目标的架空线变电站为户外式</w:t>
                  </w:r>
                </w:p>
              </w:tc>
              <w:tc>
                <w:tcPr>
                  <w:tcW w:w="983"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1" w:hRule="atLeast"/>
                <w:jc w:val="center"/>
              </w:trPr>
              <w:tc>
                <w:tcPr>
                  <w:tcW w:w="837" w:type="dxa"/>
                  <w:vMerge w:val="continue"/>
                  <w:vAlign w:val="center"/>
                </w:tcPr>
                <w:p>
                  <w:pPr>
                    <w:pStyle w:val="14"/>
                    <w:spacing w:line="360" w:lineRule="auto"/>
                    <w:ind w:left="-107" w:leftChars="-51" w:right="-107" w:rightChars="-51"/>
                    <w:rPr>
                      <w:rFonts w:ascii="Times New Roman" w:hAnsi="Times New Roman"/>
                      <w:szCs w:val="21"/>
                    </w:rPr>
                  </w:pPr>
                </w:p>
              </w:tc>
              <w:tc>
                <w:tcPr>
                  <w:tcW w:w="859" w:type="dxa"/>
                  <w:vMerge w:val="continue"/>
                  <w:vAlign w:val="center"/>
                </w:tcPr>
                <w:p>
                  <w:pPr>
                    <w:pStyle w:val="14"/>
                    <w:spacing w:line="360" w:lineRule="auto"/>
                    <w:ind w:left="-107" w:leftChars="-51" w:right="-107" w:rightChars="-51"/>
                    <w:rPr>
                      <w:rFonts w:ascii="Times New Roman" w:hAnsi="Times New Roman"/>
                      <w:szCs w:val="21"/>
                    </w:rPr>
                  </w:pPr>
                </w:p>
              </w:tc>
              <w:tc>
                <w:tcPr>
                  <w:tcW w:w="2126" w:type="dxa"/>
                  <w:tcBorders>
                    <w:bottom w:val="single" w:color="auto" w:sz="4" w:space="0"/>
                  </w:tcBorders>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高沙110kV变电站2#主变扩建工程</w:t>
                  </w:r>
                </w:p>
              </w:tc>
              <w:tc>
                <w:tcPr>
                  <w:tcW w:w="3119"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户外式</w:t>
                  </w:r>
                </w:p>
              </w:tc>
              <w:tc>
                <w:tcPr>
                  <w:tcW w:w="983"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1" w:hRule="atLeast"/>
                <w:jc w:val="center"/>
              </w:trPr>
              <w:tc>
                <w:tcPr>
                  <w:tcW w:w="837" w:type="dxa"/>
                  <w:vMerge w:val="continue"/>
                  <w:vAlign w:val="center"/>
                </w:tcPr>
                <w:p>
                  <w:pPr>
                    <w:pStyle w:val="14"/>
                    <w:spacing w:line="360" w:lineRule="auto"/>
                    <w:ind w:left="-107" w:leftChars="-51" w:right="-107" w:rightChars="-51"/>
                    <w:rPr>
                      <w:rFonts w:ascii="Times New Roman" w:hAnsi="Times New Roman"/>
                      <w:szCs w:val="21"/>
                    </w:rPr>
                  </w:pPr>
                </w:p>
              </w:tc>
              <w:tc>
                <w:tcPr>
                  <w:tcW w:w="859" w:type="dxa"/>
                  <w:vMerge w:val="continue"/>
                  <w:vAlign w:val="center"/>
                </w:tcPr>
                <w:p>
                  <w:pPr>
                    <w:pStyle w:val="14"/>
                    <w:spacing w:line="360" w:lineRule="auto"/>
                    <w:ind w:left="-107" w:leftChars="-51" w:right="-107" w:rightChars="-51"/>
                    <w:rPr>
                      <w:rFonts w:ascii="Times New Roman" w:hAnsi="Times New Roman"/>
                      <w:szCs w:val="21"/>
                    </w:rPr>
                  </w:pPr>
                </w:p>
              </w:tc>
              <w:tc>
                <w:tcPr>
                  <w:tcW w:w="2126" w:type="dxa"/>
                  <w:tcBorders>
                    <w:top w:val="single" w:color="auto" w:sz="4" w:space="0"/>
                    <w:bottom w:val="single" w:color="auto" w:sz="4" w:space="0"/>
                  </w:tcBorders>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邵阳宝莲二期风电110kV送出工程</w:t>
                  </w:r>
                </w:p>
              </w:tc>
              <w:tc>
                <w:tcPr>
                  <w:tcW w:w="3119" w:type="dxa"/>
                  <w:vAlign w:val="center"/>
                </w:tcPr>
                <w:p>
                  <w:pPr>
                    <w:pStyle w:val="14"/>
                    <w:spacing w:line="360" w:lineRule="auto"/>
                    <w:ind w:left="-107" w:leftChars="-51" w:right="-107" w:rightChars="-51"/>
                    <w:jc w:val="left"/>
                    <w:rPr>
                      <w:rFonts w:ascii="Times New Roman" w:hAnsi="Times New Roman"/>
                      <w:szCs w:val="21"/>
                    </w:rPr>
                  </w:pPr>
                  <w:r>
                    <w:rPr>
                      <w:rFonts w:ascii="Times New Roman" w:hAnsi="Times New Roman"/>
                      <w:szCs w:val="21"/>
                    </w:rPr>
                    <w:t>边导线地面投影外两侧各10m范围内无电磁环境敏感目标的架空线</w:t>
                  </w:r>
                </w:p>
              </w:tc>
              <w:tc>
                <w:tcPr>
                  <w:tcW w:w="983"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1" w:hRule="atLeast"/>
                <w:jc w:val="center"/>
              </w:trPr>
              <w:tc>
                <w:tcPr>
                  <w:tcW w:w="837" w:type="dxa"/>
                  <w:vMerge w:val="continue"/>
                  <w:vAlign w:val="center"/>
                </w:tcPr>
                <w:p>
                  <w:pPr>
                    <w:pStyle w:val="14"/>
                    <w:spacing w:line="360" w:lineRule="auto"/>
                    <w:ind w:left="-107" w:leftChars="-51" w:right="-107" w:rightChars="-51"/>
                    <w:rPr>
                      <w:rFonts w:ascii="Times New Roman" w:hAnsi="Times New Roman"/>
                      <w:szCs w:val="21"/>
                    </w:rPr>
                  </w:pPr>
                </w:p>
              </w:tc>
              <w:tc>
                <w:tcPr>
                  <w:tcW w:w="859" w:type="dxa"/>
                  <w:vMerge w:val="continue"/>
                  <w:vAlign w:val="center"/>
                </w:tcPr>
                <w:p>
                  <w:pPr>
                    <w:pStyle w:val="14"/>
                    <w:spacing w:line="360" w:lineRule="auto"/>
                    <w:ind w:left="-107" w:leftChars="-51" w:right="-107" w:rightChars="-51"/>
                    <w:rPr>
                      <w:rFonts w:ascii="Times New Roman" w:hAnsi="Times New Roman"/>
                      <w:szCs w:val="21"/>
                    </w:rPr>
                  </w:pPr>
                </w:p>
              </w:tc>
              <w:tc>
                <w:tcPr>
                  <w:tcW w:w="2126" w:type="dxa"/>
                  <w:tcBorders>
                    <w:top w:val="single" w:color="auto" w:sz="4" w:space="0"/>
                    <w:bottom w:val="single" w:color="auto" w:sz="4" w:space="0"/>
                  </w:tcBorders>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黄陂桥110kV变电站主变扩建工程</w:t>
                  </w:r>
                </w:p>
              </w:tc>
              <w:tc>
                <w:tcPr>
                  <w:tcW w:w="3119"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户外式</w:t>
                  </w:r>
                </w:p>
              </w:tc>
              <w:tc>
                <w:tcPr>
                  <w:tcW w:w="983"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1" w:hRule="atLeast"/>
                <w:jc w:val="center"/>
              </w:trPr>
              <w:tc>
                <w:tcPr>
                  <w:tcW w:w="837" w:type="dxa"/>
                  <w:vMerge w:val="continue"/>
                  <w:vAlign w:val="center"/>
                </w:tcPr>
                <w:p>
                  <w:pPr>
                    <w:pStyle w:val="14"/>
                    <w:spacing w:line="360" w:lineRule="auto"/>
                    <w:ind w:left="-107" w:leftChars="-51" w:right="-107" w:rightChars="-51"/>
                    <w:rPr>
                      <w:rFonts w:ascii="Times New Roman" w:hAnsi="Times New Roman"/>
                      <w:szCs w:val="21"/>
                    </w:rPr>
                  </w:pPr>
                </w:p>
              </w:tc>
              <w:tc>
                <w:tcPr>
                  <w:tcW w:w="859" w:type="dxa"/>
                  <w:vMerge w:val="continue"/>
                  <w:vAlign w:val="center"/>
                </w:tcPr>
                <w:p>
                  <w:pPr>
                    <w:pStyle w:val="14"/>
                    <w:spacing w:line="360" w:lineRule="auto"/>
                    <w:ind w:left="-107" w:leftChars="-51" w:right="-107" w:rightChars="-51"/>
                    <w:rPr>
                      <w:rFonts w:ascii="Times New Roman" w:hAnsi="Times New Roman"/>
                      <w:szCs w:val="21"/>
                    </w:rPr>
                  </w:pPr>
                </w:p>
              </w:tc>
              <w:tc>
                <w:tcPr>
                  <w:tcW w:w="2126" w:type="dxa"/>
                  <w:tcBorders>
                    <w:top w:val="single" w:color="auto" w:sz="4" w:space="0"/>
                    <w:bottom w:val="single" w:color="auto" w:sz="4" w:space="0"/>
                  </w:tcBorders>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大岭110kV变电站2#主变扩建工程</w:t>
                  </w:r>
                </w:p>
              </w:tc>
              <w:tc>
                <w:tcPr>
                  <w:tcW w:w="3119"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户外式</w:t>
                  </w:r>
                </w:p>
              </w:tc>
              <w:tc>
                <w:tcPr>
                  <w:tcW w:w="983"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1" w:hRule="atLeast"/>
                <w:jc w:val="center"/>
              </w:trPr>
              <w:tc>
                <w:tcPr>
                  <w:tcW w:w="837" w:type="dxa"/>
                  <w:vMerge w:val="continue"/>
                  <w:vAlign w:val="center"/>
                </w:tcPr>
                <w:p>
                  <w:pPr>
                    <w:pStyle w:val="14"/>
                    <w:spacing w:line="360" w:lineRule="auto"/>
                    <w:ind w:left="-107" w:leftChars="-51" w:right="-107" w:rightChars="-51"/>
                    <w:rPr>
                      <w:rFonts w:ascii="Times New Roman" w:hAnsi="Times New Roman"/>
                      <w:szCs w:val="21"/>
                    </w:rPr>
                  </w:pPr>
                </w:p>
              </w:tc>
              <w:tc>
                <w:tcPr>
                  <w:tcW w:w="859" w:type="dxa"/>
                  <w:vMerge w:val="continue"/>
                  <w:vAlign w:val="center"/>
                </w:tcPr>
                <w:p>
                  <w:pPr>
                    <w:pStyle w:val="14"/>
                    <w:spacing w:line="360" w:lineRule="auto"/>
                    <w:ind w:left="-107" w:leftChars="-51" w:right="-107" w:rightChars="-51"/>
                    <w:rPr>
                      <w:rFonts w:ascii="Times New Roman" w:hAnsi="Times New Roman"/>
                      <w:szCs w:val="21"/>
                    </w:rPr>
                  </w:pPr>
                </w:p>
              </w:tc>
              <w:tc>
                <w:tcPr>
                  <w:tcW w:w="2126" w:type="dxa"/>
                  <w:tcBorders>
                    <w:top w:val="single" w:color="auto" w:sz="4" w:space="0"/>
                    <w:bottom w:val="single" w:color="auto" w:sz="4" w:space="0"/>
                  </w:tcBorders>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大唐华银绥宁宝鼎山风电二期三期110kV送出工程</w:t>
                  </w:r>
                </w:p>
              </w:tc>
              <w:tc>
                <w:tcPr>
                  <w:tcW w:w="3119" w:type="dxa"/>
                  <w:vAlign w:val="center"/>
                </w:tcPr>
                <w:p>
                  <w:pPr>
                    <w:pStyle w:val="14"/>
                    <w:spacing w:line="360" w:lineRule="auto"/>
                    <w:ind w:left="-107" w:leftChars="-51" w:right="-107" w:rightChars="-51"/>
                    <w:jc w:val="left"/>
                    <w:rPr>
                      <w:rFonts w:ascii="Times New Roman" w:hAnsi="Times New Roman"/>
                      <w:szCs w:val="21"/>
                    </w:rPr>
                  </w:pPr>
                  <w:r>
                    <w:rPr>
                      <w:rFonts w:ascii="Times New Roman" w:hAnsi="Times New Roman"/>
                      <w:szCs w:val="21"/>
                    </w:rPr>
                    <w:t>边导线地面投影外两侧各10m范围内有电磁环境敏感目标的架空线</w:t>
                  </w:r>
                </w:p>
              </w:tc>
              <w:tc>
                <w:tcPr>
                  <w:tcW w:w="983"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1" w:hRule="atLeast"/>
                <w:jc w:val="center"/>
              </w:trPr>
              <w:tc>
                <w:tcPr>
                  <w:tcW w:w="837" w:type="dxa"/>
                  <w:vMerge w:val="continue"/>
                  <w:vAlign w:val="center"/>
                </w:tcPr>
                <w:p>
                  <w:pPr>
                    <w:pStyle w:val="14"/>
                    <w:spacing w:line="360" w:lineRule="auto"/>
                    <w:ind w:left="-107" w:leftChars="-51" w:right="-107" w:rightChars="-51"/>
                    <w:rPr>
                      <w:rFonts w:ascii="Times New Roman" w:hAnsi="Times New Roman"/>
                      <w:szCs w:val="21"/>
                    </w:rPr>
                  </w:pPr>
                </w:p>
              </w:tc>
              <w:tc>
                <w:tcPr>
                  <w:tcW w:w="859" w:type="dxa"/>
                  <w:vMerge w:val="continue"/>
                  <w:vAlign w:val="center"/>
                </w:tcPr>
                <w:p>
                  <w:pPr>
                    <w:pStyle w:val="14"/>
                    <w:spacing w:line="360" w:lineRule="auto"/>
                    <w:ind w:left="-107" w:leftChars="-51" w:right="-107" w:rightChars="-51"/>
                    <w:rPr>
                      <w:rFonts w:ascii="Times New Roman" w:hAnsi="Times New Roman"/>
                      <w:szCs w:val="21"/>
                    </w:rPr>
                  </w:pPr>
                </w:p>
              </w:tc>
              <w:tc>
                <w:tcPr>
                  <w:tcW w:w="2126" w:type="dxa"/>
                  <w:tcBorders>
                    <w:top w:val="single" w:color="auto" w:sz="4" w:space="0"/>
                    <w:bottom w:val="single" w:color="auto" w:sz="4" w:space="0"/>
                  </w:tcBorders>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隆回金坪110kV风电送出工程</w:t>
                  </w:r>
                </w:p>
              </w:tc>
              <w:tc>
                <w:tcPr>
                  <w:tcW w:w="3119" w:type="dxa"/>
                  <w:vAlign w:val="center"/>
                </w:tcPr>
                <w:p>
                  <w:pPr>
                    <w:pStyle w:val="14"/>
                    <w:spacing w:line="360" w:lineRule="auto"/>
                    <w:ind w:left="-107" w:leftChars="-51" w:right="-107" w:rightChars="-51"/>
                    <w:jc w:val="left"/>
                    <w:rPr>
                      <w:rFonts w:ascii="Times New Roman" w:hAnsi="Times New Roman"/>
                      <w:szCs w:val="21"/>
                    </w:rPr>
                  </w:pPr>
                  <w:r>
                    <w:rPr>
                      <w:rFonts w:ascii="Times New Roman" w:hAnsi="Times New Roman"/>
                      <w:szCs w:val="21"/>
                    </w:rPr>
                    <w:t>边导线地面投影外两侧各10m范围内有电磁环境敏感目标的架空线</w:t>
                  </w:r>
                </w:p>
              </w:tc>
              <w:tc>
                <w:tcPr>
                  <w:tcW w:w="983"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1" w:hRule="atLeast"/>
                <w:jc w:val="center"/>
              </w:trPr>
              <w:tc>
                <w:tcPr>
                  <w:tcW w:w="837"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交流</w:t>
                  </w:r>
                </w:p>
              </w:tc>
              <w:tc>
                <w:tcPr>
                  <w:tcW w:w="859"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110kV</w:t>
                  </w:r>
                </w:p>
              </w:tc>
              <w:tc>
                <w:tcPr>
                  <w:tcW w:w="2126" w:type="dxa"/>
                  <w:tcBorders>
                    <w:top w:val="single" w:color="auto" w:sz="4" w:space="0"/>
                  </w:tcBorders>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邵阳六岭110kV输变电工程</w:t>
                  </w:r>
                </w:p>
              </w:tc>
              <w:tc>
                <w:tcPr>
                  <w:tcW w:w="3119" w:type="dxa"/>
                  <w:vAlign w:val="center"/>
                </w:tcPr>
                <w:p>
                  <w:pPr>
                    <w:pStyle w:val="14"/>
                    <w:spacing w:line="360" w:lineRule="auto"/>
                    <w:ind w:left="-107" w:leftChars="-51" w:right="-107" w:rightChars="-51"/>
                    <w:jc w:val="left"/>
                    <w:rPr>
                      <w:rFonts w:ascii="Times New Roman" w:hAnsi="Times New Roman"/>
                      <w:szCs w:val="21"/>
                    </w:rPr>
                  </w:pPr>
                  <w:r>
                    <w:rPr>
                      <w:rFonts w:ascii="Times New Roman" w:hAnsi="Times New Roman"/>
                      <w:szCs w:val="21"/>
                    </w:rPr>
                    <w:t>地下电缆及架空线路</w:t>
                  </w:r>
                </w:p>
                <w:p>
                  <w:pPr>
                    <w:pStyle w:val="14"/>
                    <w:spacing w:line="360" w:lineRule="auto"/>
                    <w:ind w:left="-107" w:leftChars="-51" w:right="-107" w:rightChars="-51"/>
                    <w:jc w:val="left"/>
                    <w:rPr>
                      <w:rFonts w:ascii="Times New Roman" w:hAnsi="Times New Roman"/>
                      <w:szCs w:val="21"/>
                    </w:rPr>
                  </w:pPr>
                  <w:r>
                    <w:rPr>
                      <w:rFonts w:ascii="Times New Roman" w:hAnsi="Times New Roman"/>
                      <w:szCs w:val="21"/>
                    </w:rPr>
                    <w:t>变电站为全户内式</w:t>
                  </w:r>
                </w:p>
              </w:tc>
              <w:tc>
                <w:tcPr>
                  <w:tcW w:w="983" w:type="dxa"/>
                  <w:vAlign w:val="center"/>
                </w:tcPr>
                <w:p>
                  <w:pPr>
                    <w:pStyle w:val="14"/>
                    <w:spacing w:line="360" w:lineRule="auto"/>
                    <w:ind w:left="-107" w:leftChars="-51" w:right="-107" w:rightChars="-51"/>
                    <w:rPr>
                      <w:rFonts w:ascii="Times New Roman" w:hAnsi="Times New Roman"/>
                      <w:szCs w:val="21"/>
                    </w:rPr>
                  </w:pPr>
                  <w:r>
                    <w:rPr>
                      <w:rFonts w:ascii="Times New Roman" w:hAnsi="Times New Roman"/>
                      <w:szCs w:val="21"/>
                    </w:rPr>
                    <w:t>三级</w:t>
                  </w:r>
                </w:p>
              </w:tc>
            </w:tr>
          </w:tbl>
          <w:p>
            <w:pPr>
              <w:autoSpaceDE w:val="0"/>
              <w:autoSpaceDN w:val="0"/>
              <w:adjustRightInd w:val="0"/>
              <w:spacing w:line="360" w:lineRule="auto"/>
              <w:jc w:val="left"/>
              <w:rPr>
                <w:kern w:val="0"/>
                <w:sz w:val="28"/>
                <w:szCs w:val="28"/>
              </w:rPr>
            </w:pPr>
          </w:p>
          <w:p>
            <w:pPr>
              <w:autoSpaceDE w:val="0"/>
              <w:autoSpaceDN w:val="0"/>
              <w:adjustRightInd w:val="0"/>
              <w:spacing w:line="360" w:lineRule="auto"/>
              <w:jc w:val="left"/>
              <w:rPr>
                <w:kern w:val="0"/>
                <w:sz w:val="28"/>
                <w:szCs w:val="28"/>
              </w:rPr>
            </w:pPr>
            <w:r>
              <w:rPr>
                <w:kern w:val="0"/>
                <w:sz w:val="28"/>
                <w:szCs w:val="28"/>
              </w:rPr>
              <w:t>4.1.2 生态影响评价工作等级</w:t>
            </w:r>
          </w:p>
          <w:p>
            <w:pPr>
              <w:autoSpaceDE w:val="0"/>
              <w:autoSpaceDN w:val="0"/>
              <w:adjustRightInd w:val="0"/>
              <w:spacing w:line="360" w:lineRule="auto"/>
              <w:jc w:val="left"/>
              <w:rPr>
                <w:kern w:val="0"/>
                <w:sz w:val="28"/>
                <w:szCs w:val="28"/>
              </w:rPr>
            </w:pPr>
            <w:r>
              <w:rPr>
                <w:kern w:val="0"/>
                <w:sz w:val="28"/>
                <w:szCs w:val="28"/>
              </w:rPr>
              <w:t xml:space="preserve">    本项目线路塔基占地面积为0.0018km</w:t>
            </w:r>
            <w:r>
              <w:rPr>
                <w:kern w:val="0"/>
                <w:sz w:val="28"/>
                <w:szCs w:val="28"/>
                <w:vertAlign w:val="superscript"/>
              </w:rPr>
              <w:t>2</w:t>
            </w:r>
            <w:r>
              <w:rPr>
                <w:kern w:val="0"/>
                <w:sz w:val="28"/>
                <w:szCs w:val="28"/>
              </w:rPr>
              <w:t>＜2km</w:t>
            </w:r>
            <w:r>
              <w:rPr>
                <w:kern w:val="0"/>
                <w:sz w:val="28"/>
                <w:szCs w:val="28"/>
                <w:vertAlign w:val="superscript"/>
              </w:rPr>
              <w:t>2</w:t>
            </w:r>
            <w:r>
              <w:rPr>
                <w:kern w:val="0"/>
                <w:sz w:val="28"/>
                <w:szCs w:val="28"/>
              </w:rPr>
              <w:t>，线路路径长度46.8km＜50km，且沿线为一般区域，不经过特殊或重要生态敏感区，根据《环境影响评价技术导则-生态影响》（HJ 19-2011），生态影响评价等级确定为三级，依据HJ 19-2011中的相关规定对主要生态环境影响进行简要分析。</w:t>
            </w:r>
          </w:p>
          <w:p>
            <w:pPr>
              <w:autoSpaceDE w:val="0"/>
              <w:autoSpaceDN w:val="0"/>
              <w:adjustRightInd w:val="0"/>
              <w:spacing w:line="360" w:lineRule="auto"/>
              <w:jc w:val="left"/>
              <w:rPr>
                <w:kern w:val="0"/>
                <w:sz w:val="28"/>
                <w:szCs w:val="28"/>
              </w:rPr>
            </w:pPr>
            <w:r>
              <w:rPr>
                <w:kern w:val="0"/>
                <w:sz w:val="28"/>
                <w:szCs w:val="28"/>
              </w:rPr>
              <w:t>4.1.3 声环境影响评价工作等级</w:t>
            </w:r>
          </w:p>
          <w:p>
            <w:pPr>
              <w:autoSpaceDE w:val="0"/>
              <w:autoSpaceDN w:val="0"/>
              <w:adjustRightInd w:val="0"/>
              <w:spacing w:line="360" w:lineRule="auto"/>
              <w:ind w:firstLine="570"/>
              <w:jc w:val="left"/>
              <w:rPr>
                <w:kern w:val="0"/>
                <w:sz w:val="28"/>
                <w:szCs w:val="28"/>
              </w:rPr>
            </w:pPr>
            <w:r>
              <w:rPr>
                <w:kern w:val="0"/>
                <w:sz w:val="28"/>
                <w:szCs w:val="28"/>
              </w:rPr>
              <w:t>根据《环境影响评价技术导则（声环境）》（HJ/T2.4-2009），邵阳市2017年第一批输变电工程中，黄陂桥变、大岭变所处的声环境功能区为GB</w:t>
            </w:r>
            <w:r>
              <w:rPr>
                <w:rFonts w:hint="eastAsia"/>
                <w:kern w:val="0"/>
                <w:sz w:val="28"/>
                <w:szCs w:val="28"/>
              </w:rPr>
              <w:t xml:space="preserve"> </w:t>
            </w:r>
            <w:r>
              <w:rPr>
                <w:kern w:val="0"/>
                <w:sz w:val="28"/>
                <w:szCs w:val="28"/>
              </w:rPr>
              <w:t>3096 规定的2类地区，城东变、高沙变、六岭变所处的声环境功能区为GB</w:t>
            </w:r>
            <w:r>
              <w:rPr>
                <w:rFonts w:hint="eastAsia"/>
                <w:kern w:val="0"/>
                <w:sz w:val="28"/>
                <w:szCs w:val="28"/>
              </w:rPr>
              <w:t xml:space="preserve"> </w:t>
            </w:r>
            <w:r>
              <w:rPr>
                <w:kern w:val="0"/>
                <w:sz w:val="28"/>
                <w:szCs w:val="28"/>
              </w:rPr>
              <w:t>3096 规定的1类地区；输电线路沿线受影响的环境敏感目标较少，且输电线路对沿线环境敏感点的声环境影响较小，因此对本次项目声环境影响做二级评价。</w:t>
            </w:r>
          </w:p>
          <w:p>
            <w:pPr>
              <w:autoSpaceDE w:val="0"/>
              <w:autoSpaceDN w:val="0"/>
              <w:adjustRightInd w:val="0"/>
              <w:spacing w:line="360" w:lineRule="auto"/>
              <w:jc w:val="left"/>
              <w:rPr>
                <w:kern w:val="0"/>
                <w:sz w:val="28"/>
                <w:szCs w:val="28"/>
              </w:rPr>
            </w:pPr>
            <w:bookmarkStart w:id="14" w:name="_Toc121423803"/>
            <w:bookmarkStart w:id="15" w:name="_Toc116531807"/>
            <w:bookmarkStart w:id="16" w:name="_Toc116531364"/>
            <w:bookmarkStart w:id="17" w:name="_Toc186275518"/>
            <w:bookmarkStart w:id="18" w:name="_Toc236106671"/>
            <w:bookmarkStart w:id="19" w:name="_Toc255307051"/>
            <w:r>
              <w:rPr>
                <w:kern w:val="0"/>
                <w:sz w:val="28"/>
                <w:szCs w:val="28"/>
              </w:rPr>
              <w:t>4.2 评价范围</w:t>
            </w:r>
          </w:p>
          <w:p>
            <w:pPr>
              <w:adjustRightInd w:val="0"/>
              <w:snapToGrid w:val="0"/>
              <w:spacing w:line="360" w:lineRule="auto"/>
              <w:rPr>
                <w:kern w:val="0"/>
                <w:sz w:val="28"/>
                <w:szCs w:val="28"/>
              </w:rPr>
            </w:pPr>
            <w:r>
              <w:rPr>
                <w:kern w:val="0"/>
                <w:sz w:val="28"/>
                <w:szCs w:val="28"/>
              </w:rPr>
              <w:t>4.2.1 电磁环境</w:t>
            </w:r>
          </w:p>
          <w:p>
            <w:pPr>
              <w:adjustRightInd w:val="0"/>
              <w:snapToGrid w:val="0"/>
              <w:spacing w:line="360" w:lineRule="auto"/>
              <w:ind w:firstLine="560" w:firstLineChars="200"/>
              <w:rPr>
                <w:kern w:val="0"/>
                <w:sz w:val="28"/>
                <w:szCs w:val="28"/>
              </w:rPr>
            </w:pPr>
            <w:r>
              <w:rPr>
                <w:kern w:val="0"/>
                <w:sz w:val="28"/>
                <w:szCs w:val="28"/>
              </w:rPr>
              <w:t>110kV变电站电磁环境影响评价范围为厂界外30m，110kV架空线路电磁环境影响评价范围为边导线地面投影外两侧各30m，电缆管廊两侧边缘各外延5m（水平距离）。</w:t>
            </w:r>
          </w:p>
          <w:p>
            <w:pPr>
              <w:adjustRightInd w:val="0"/>
              <w:snapToGrid w:val="0"/>
              <w:spacing w:line="360" w:lineRule="auto"/>
              <w:rPr>
                <w:kern w:val="0"/>
                <w:sz w:val="28"/>
                <w:szCs w:val="28"/>
              </w:rPr>
            </w:pPr>
            <w:r>
              <w:rPr>
                <w:kern w:val="0"/>
                <w:sz w:val="28"/>
                <w:szCs w:val="28"/>
              </w:rPr>
              <w:t>4.2.2 生态环境</w:t>
            </w:r>
          </w:p>
          <w:p>
            <w:pPr>
              <w:adjustRightInd w:val="0"/>
              <w:snapToGrid w:val="0"/>
              <w:spacing w:line="360" w:lineRule="auto"/>
              <w:ind w:firstLine="560" w:firstLineChars="200"/>
              <w:rPr>
                <w:kern w:val="0"/>
                <w:sz w:val="28"/>
                <w:szCs w:val="28"/>
              </w:rPr>
            </w:pPr>
            <w:r>
              <w:rPr>
                <w:kern w:val="0"/>
                <w:sz w:val="28"/>
                <w:szCs w:val="28"/>
              </w:rPr>
              <w:t>根据《环境影响评价技术导则-输变电工程》（HJ 24-2014），变电站生态环境影响评价范围为站场围墙外500m内；不涉及生态敏感区的输电线路段生态环境影响评价范围为线路边导线地面投影外两侧各300m内的带状区域。</w:t>
            </w:r>
          </w:p>
          <w:p>
            <w:pPr>
              <w:adjustRightInd w:val="0"/>
              <w:snapToGrid w:val="0"/>
              <w:spacing w:line="360" w:lineRule="auto"/>
              <w:rPr>
                <w:kern w:val="0"/>
                <w:sz w:val="28"/>
                <w:szCs w:val="28"/>
              </w:rPr>
            </w:pPr>
            <w:r>
              <w:rPr>
                <w:kern w:val="0"/>
                <w:sz w:val="28"/>
                <w:szCs w:val="28"/>
              </w:rPr>
              <w:t>4.2.3 声环境</w:t>
            </w:r>
          </w:p>
          <w:p>
            <w:pPr>
              <w:adjustRightInd w:val="0"/>
              <w:snapToGrid w:val="0"/>
              <w:spacing w:line="360" w:lineRule="auto"/>
              <w:ind w:firstLine="560" w:firstLineChars="200"/>
              <w:rPr>
                <w:kern w:val="0"/>
                <w:sz w:val="28"/>
                <w:szCs w:val="28"/>
              </w:rPr>
            </w:pPr>
            <w:r>
              <w:rPr>
                <w:kern w:val="0"/>
                <w:sz w:val="28"/>
                <w:szCs w:val="28"/>
              </w:rPr>
              <w:t>根据《环境影响评价技术导则（声环境）》（HJ/T2.4-2009），“满足一级评价的要求，一般以建设项目边界向外200m为评价范围，二级、三级评价范围可根据建设项目所在区域和相邻区域的声环境功能区类别及敏感目标等实际情况适当缩小。”</w:t>
            </w:r>
            <w:r>
              <w:rPr>
                <w:rFonts w:hint="eastAsia"/>
                <w:kern w:val="0"/>
                <w:sz w:val="28"/>
                <w:szCs w:val="28"/>
                <w:u w:val="wave"/>
              </w:rPr>
              <w:t>考虑到本次变电站声环境评价等级为二级，且经点源衰减法估算距变电站围墙外50m时，变电站主要噪声源噪声已衰减至背景值</w:t>
            </w:r>
            <w:r>
              <w:rPr>
                <w:kern w:val="0"/>
                <w:sz w:val="28"/>
                <w:szCs w:val="28"/>
                <w:u w:val="wave"/>
              </w:rPr>
              <w:t>10dB</w:t>
            </w:r>
            <w:r>
              <w:rPr>
                <w:rFonts w:hint="eastAsia"/>
                <w:kern w:val="0"/>
                <w:sz w:val="28"/>
                <w:szCs w:val="28"/>
                <w:u w:val="wave"/>
              </w:rPr>
              <w:t>（</w:t>
            </w:r>
            <w:r>
              <w:rPr>
                <w:kern w:val="0"/>
                <w:sz w:val="28"/>
                <w:szCs w:val="28"/>
                <w:u w:val="wave"/>
              </w:rPr>
              <w:t>A</w:t>
            </w:r>
            <w:r>
              <w:rPr>
                <w:rFonts w:hint="eastAsia"/>
                <w:kern w:val="0"/>
                <w:sz w:val="28"/>
                <w:szCs w:val="28"/>
                <w:u w:val="wave"/>
              </w:rPr>
              <w:t>）以下，综合确定本次声环境评价范围为变电站厂界外</w:t>
            </w:r>
            <w:r>
              <w:rPr>
                <w:kern w:val="0"/>
                <w:sz w:val="28"/>
                <w:szCs w:val="28"/>
                <w:u w:val="wave"/>
              </w:rPr>
              <w:t>5</w:t>
            </w:r>
            <w:r>
              <w:rPr>
                <w:rFonts w:hint="eastAsia"/>
                <w:kern w:val="0"/>
                <w:sz w:val="28"/>
                <w:szCs w:val="28"/>
                <w:u w:val="wave"/>
              </w:rPr>
              <w:t>0</w:t>
            </w:r>
            <w:r>
              <w:rPr>
                <w:kern w:val="0"/>
                <w:sz w:val="28"/>
                <w:szCs w:val="28"/>
                <w:u w:val="wave"/>
              </w:rPr>
              <w:t>m</w:t>
            </w:r>
            <w:r>
              <w:rPr>
                <w:rFonts w:hint="eastAsia"/>
                <w:kern w:val="0"/>
                <w:sz w:val="28"/>
                <w:szCs w:val="28"/>
                <w:u w:val="wave"/>
              </w:rPr>
              <w:t>。</w:t>
            </w:r>
            <w:r>
              <w:rPr>
                <w:kern w:val="0"/>
                <w:sz w:val="28"/>
                <w:szCs w:val="28"/>
              </w:rPr>
              <w:t>根据《环境影响评价技术导则-输变电工程》（HJ 24-2014），架空输电线路工程的声环境影响评价范围参照电磁环境影响评价范围，即110kV架空线路边导线地面投影外两侧各30m；电缆管廊两侧边缘各外延5m（水平距离）。</w:t>
            </w:r>
          </w:p>
          <w:bookmarkEnd w:id="14"/>
          <w:bookmarkEnd w:id="15"/>
          <w:bookmarkEnd w:id="16"/>
          <w:bookmarkEnd w:id="17"/>
          <w:bookmarkEnd w:id="18"/>
          <w:bookmarkEnd w:id="19"/>
          <w:p>
            <w:pPr>
              <w:spacing w:line="360" w:lineRule="auto"/>
              <w:rPr>
                <w:kern w:val="0"/>
                <w:sz w:val="28"/>
                <w:szCs w:val="28"/>
              </w:rPr>
            </w:pPr>
            <w:r>
              <w:rPr>
                <w:kern w:val="0"/>
                <w:sz w:val="28"/>
                <w:szCs w:val="28"/>
              </w:rPr>
              <w:t>5 与本项目有关的原有污染情况及主要环境问题</w:t>
            </w:r>
          </w:p>
          <w:p>
            <w:pPr>
              <w:autoSpaceDE w:val="0"/>
              <w:autoSpaceDN w:val="0"/>
              <w:adjustRightInd w:val="0"/>
              <w:spacing w:line="360" w:lineRule="auto"/>
              <w:ind w:firstLine="570"/>
              <w:jc w:val="left"/>
              <w:rPr>
                <w:kern w:val="0"/>
                <w:sz w:val="28"/>
                <w:szCs w:val="28"/>
              </w:rPr>
            </w:pPr>
            <w:r>
              <w:rPr>
                <w:kern w:val="0"/>
                <w:sz w:val="28"/>
                <w:szCs w:val="28"/>
              </w:rPr>
              <w:t>根据现场调查测试，新建城东变电站及改扩建的高沙、黄陂桥、大岭及六岭110kV变电站厂界及周围环境敏感点工频电场、工频磁场和噪声均满足相应的国家标准，周围周边近距离无污染性厂矿。本期拟建输电线路沿线植被覆盖较好，水土保持较好，生态环境较好，未发现明显的污染源。</w:t>
            </w:r>
          </w:p>
          <w:p>
            <w:pPr>
              <w:autoSpaceDE w:val="0"/>
              <w:autoSpaceDN w:val="0"/>
              <w:adjustRightInd w:val="0"/>
              <w:spacing w:line="360" w:lineRule="auto"/>
              <w:ind w:firstLine="570"/>
              <w:jc w:val="left"/>
              <w:rPr>
                <w:kern w:val="0"/>
                <w:sz w:val="28"/>
                <w:szCs w:val="28"/>
              </w:rPr>
            </w:pPr>
          </w:p>
          <w:p>
            <w:pPr>
              <w:autoSpaceDE w:val="0"/>
              <w:autoSpaceDN w:val="0"/>
              <w:adjustRightInd w:val="0"/>
              <w:spacing w:line="360" w:lineRule="auto"/>
              <w:ind w:firstLine="570"/>
              <w:jc w:val="left"/>
              <w:rPr>
                <w:kern w:val="0"/>
                <w:sz w:val="28"/>
                <w:szCs w:val="28"/>
              </w:rPr>
            </w:pPr>
          </w:p>
          <w:p>
            <w:pPr>
              <w:autoSpaceDE w:val="0"/>
              <w:autoSpaceDN w:val="0"/>
              <w:adjustRightInd w:val="0"/>
              <w:spacing w:line="360" w:lineRule="auto"/>
              <w:ind w:firstLine="570"/>
              <w:jc w:val="left"/>
              <w:rPr>
                <w:kern w:val="0"/>
                <w:sz w:val="28"/>
                <w:szCs w:val="28"/>
              </w:rPr>
            </w:pPr>
          </w:p>
          <w:p>
            <w:pPr>
              <w:autoSpaceDE w:val="0"/>
              <w:autoSpaceDN w:val="0"/>
              <w:adjustRightInd w:val="0"/>
              <w:spacing w:line="360" w:lineRule="auto"/>
              <w:ind w:firstLine="570"/>
              <w:jc w:val="left"/>
              <w:rPr>
                <w:kern w:val="0"/>
                <w:sz w:val="28"/>
                <w:szCs w:val="28"/>
              </w:rPr>
            </w:pPr>
          </w:p>
          <w:p>
            <w:pPr>
              <w:autoSpaceDE w:val="0"/>
              <w:autoSpaceDN w:val="0"/>
              <w:adjustRightInd w:val="0"/>
              <w:spacing w:line="360" w:lineRule="auto"/>
              <w:ind w:firstLine="570"/>
              <w:jc w:val="left"/>
              <w:rPr>
                <w:kern w:val="0"/>
                <w:sz w:val="28"/>
                <w:szCs w:val="28"/>
              </w:rPr>
            </w:pPr>
          </w:p>
        </w:tc>
      </w:tr>
    </w:tbl>
    <w:p>
      <w:pPr>
        <w:rPr>
          <w:rFonts w:hint="eastAsia" w:eastAsia="黑体"/>
          <w:b/>
          <w:sz w:val="30"/>
        </w:rPr>
      </w:pPr>
    </w:p>
    <w:p>
      <w:pPr>
        <w:rPr>
          <w:rFonts w:hint="eastAsia" w:eastAsia="黑体"/>
          <w:b/>
          <w:sz w:val="30"/>
        </w:rPr>
      </w:pPr>
    </w:p>
    <w:p>
      <w:pPr>
        <w:rPr>
          <w:rFonts w:eastAsia="黑体"/>
          <w:b/>
          <w:sz w:val="30"/>
        </w:rPr>
      </w:pPr>
      <w:r>
        <w:rPr>
          <w:rFonts w:eastAsia="黑体"/>
          <w:b/>
          <w:sz w:val="30"/>
        </w:rPr>
        <w:t>建设项目所在地自然环境简况</w:t>
      </w:r>
    </w:p>
    <w:tbl>
      <w:tblPr>
        <w:tblStyle w:val="11"/>
        <w:tblW w:w="945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289" w:hRule="atLeast"/>
          <w:jc w:val="center"/>
        </w:trPr>
        <w:tc>
          <w:tcPr>
            <w:tcW w:w="9457" w:type="dxa"/>
            <w:vAlign w:val="top"/>
          </w:tcPr>
          <w:p>
            <w:pPr>
              <w:spacing w:line="360" w:lineRule="auto"/>
              <w:rPr>
                <w:b/>
                <w:sz w:val="28"/>
              </w:rPr>
            </w:pPr>
            <w:r>
              <w:rPr>
                <w:b/>
                <w:sz w:val="28"/>
              </w:rPr>
              <w:t>1 自然环境简况</w:t>
            </w:r>
          </w:p>
          <w:p>
            <w:pPr>
              <w:spacing w:line="360" w:lineRule="auto"/>
              <w:rPr>
                <w:sz w:val="28"/>
              </w:rPr>
            </w:pPr>
            <w:r>
              <w:rPr>
                <w:sz w:val="28"/>
              </w:rPr>
              <w:t>1.1 地质及地形地貌</w:t>
            </w:r>
          </w:p>
          <w:p>
            <w:pPr>
              <w:spacing w:line="360" w:lineRule="auto"/>
              <w:rPr>
                <w:sz w:val="28"/>
              </w:rPr>
            </w:pPr>
            <w:r>
              <w:rPr>
                <w:sz w:val="28"/>
              </w:rPr>
              <w:t>1.1.1</w:t>
            </w:r>
            <w:r>
              <w:rPr>
                <w:iCs/>
                <w:sz w:val="28"/>
                <w:szCs w:val="28"/>
              </w:rPr>
              <w:t>邵阳隆回县城东110kV输变电工程</w:t>
            </w:r>
          </w:p>
          <w:p>
            <w:pPr>
              <w:spacing w:line="360" w:lineRule="auto"/>
              <w:ind w:firstLine="560" w:firstLineChars="200"/>
              <w:rPr>
                <w:sz w:val="28"/>
              </w:rPr>
            </w:pPr>
            <w:r>
              <w:rPr>
                <w:sz w:val="28"/>
              </w:rPr>
              <w:t>本工程新建110kV 线路双回1.1 km，单回0.6 km，沿新建隆茶Ⅱ线剖入隆回城东变110kV 线路架设OPGW 光缆，剖入剖出长度约2×1.6 km，分别与原光缆于P21#杆、P22#杆接续，线路较短，且线路经过区域地势较平坦，无滑坡和不良地质地段，生态环境较好。线路沿线附近均有县道及乡村水泥马路通过，交通条件较好。</w:t>
            </w:r>
          </w:p>
          <w:p>
            <w:pPr>
              <w:spacing w:line="360" w:lineRule="auto"/>
              <w:rPr>
                <w:sz w:val="28"/>
              </w:rPr>
            </w:pPr>
            <w:r>
              <w:rPr>
                <w:sz w:val="28"/>
              </w:rPr>
              <w:t>1.1.2</w:t>
            </w:r>
            <w:r>
              <w:rPr>
                <w:iCs/>
                <w:sz w:val="28"/>
                <w:szCs w:val="28"/>
              </w:rPr>
              <w:t>邵阳宝莲二期风电110kV送出工程</w:t>
            </w:r>
          </w:p>
          <w:p>
            <w:pPr>
              <w:spacing w:line="360" w:lineRule="auto"/>
              <w:ind w:firstLine="560" w:firstLineChars="200"/>
              <w:rPr>
                <w:sz w:val="28"/>
              </w:rPr>
            </w:pPr>
            <w:r>
              <w:rPr>
                <w:sz w:val="28"/>
              </w:rPr>
              <w:t>本工程位于湖南省邵阳市隆回县小沙江镇，线路所经地区海拔高度在1300～1700m 之间，山体大致走向为东北～西南走向。属侵蚀剥蚀低中山地貌，山体峦连绵呈脉状延伸，北部山势整体呈北东向、南部山势近南北向。区内地形切割强烈，地势陡峭，群峰林立，坡陡谷深，山势险峻。山顶、山脊地形相对平缓，地形坡度一般为 3～5°左右。山体两侧斜坡坡度一般为20～40°，平均坡度约 25°，局部较陡。沿线区域地层出露较完整，有轻微节理发育，断裂发育程度低，地壳稳定，沿线构造运动平缓，地块较为稳定，无滑坡和不良地质地段，利于线路杆塔的兴建。</w:t>
            </w:r>
          </w:p>
          <w:p>
            <w:pPr>
              <w:spacing w:line="360" w:lineRule="auto"/>
              <w:rPr>
                <w:sz w:val="28"/>
              </w:rPr>
            </w:pPr>
            <w:r>
              <w:rPr>
                <w:sz w:val="28"/>
              </w:rPr>
              <w:t>1.1.3</w:t>
            </w:r>
            <w:r>
              <w:rPr>
                <w:iCs/>
                <w:sz w:val="28"/>
                <w:szCs w:val="28"/>
              </w:rPr>
              <w:t>邵阳大唐华银绥宁宝鼎山风电二期三期110kV送出工程</w:t>
            </w:r>
          </w:p>
          <w:p>
            <w:pPr>
              <w:spacing w:line="360" w:lineRule="auto"/>
              <w:ind w:firstLine="560" w:firstLineChars="200"/>
              <w:rPr>
                <w:sz w:val="28"/>
              </w:rPr>
            </w:pPr>
            <w:r>
              <w:rPr>
                <w:sz w:val="28"/>
              </w:rPr>
              <w:t>本工程经过于湖南省武冈、绥宁境内，线路所经地区海拔高度在300～1000m之间，线路靠两头变电站位置较为平坦，中间地势较高。线路从新塘冲水库至广竹水段地势起伏较大，线路全线主要为高山和丘陵地貌单元。沿线区域地层出露较完整，有轻微节理发育，断裂发育程度低，地壳稳定，沿线构造运动平缓，地块较为稳定，无滑坡和不良地质地段，利于线路杆塔的兴建。</w:t>
            </w:r>
          </w:p>
          <w:p>
            <w:pPr>
              <w:spacing w:line="360" w:lineRule="auto"/>
              <w:rPr>
                <w:sz w:val="28"/>
              </w:rPr>
            </w:pPr>
            <w:r>
              <w:rPr>
                <w:sz w:val="28"/>
              </w:rPr>
              <w:t>1.1.4</w:t>
            </w:r>
            <w:r>
              <w:rPr>
                <w:iCs/>
                <w:sz w:val="28"/>
                <w:szCs w:val="28"/>
              </w:rPr>
              <w:t>隆回金坪110kV风电送出工程</w:t>
            </w:r>
          </w:p>
          <w:p>
            <w:pPr>
              <w:spacing w:line="360" w:lineRule="auto"/>
              <w:ind w:firstLine="560" w:firstLineChars="200"/>
              <w:rPr>
                <w:sz w:val="28"/>
              </w:rPr>
            </w:pPr>
            <w:r>
              <w:rPr>
                <w:sz w:val="28"/>
              </w:rPr>
              <w:t>线路所经地区位于雪峰山山脉的西部，海拔高度一般在1253m~1396.4m</w:t>
            </w:r>
          </w:p>
          <w:p>
            <w:pPr>
              <w:spacing w:line="360" w:lineRule="auto"/>
              <w:rPr>
                <w:sz w:val="28"/>
              </w:rPr>
            </w:pPr>
            <w:r>
              <w:rPr>
                <w:sz w:val="28"/>
              </w:rPr>
              <w:t>之间，相对高差不大，丘陵为10%，高山为90%。为了线路运行安全避开了海拔1541区域，主要为中山地貌单元，地形起伏一般，植被以松、杉、竹树为主，在山腰有人居住处种植有竹子，数量约占15%。线路区域构造处于小沙江晚近期新华夏系复向斜带之清溪向斜的东翼，断裂发育较少，主要有老鸦山断裂，区域内无活动性大断裂发育，地壳稳定。</w:t>
            </w:r>
          </w:p>
          <w:p>
            <w:pPr>
              <w:spacing w:line="360" w:lineRule="auto"/>
              <w:rPr>
                <w:sz w:val="28"/>
              </w:rPr>
            </w:pPr>
            <w:r>
              <w:rPr>
                <w:sz w:val="28"/>
              </w:rPr>
              <w:t>1.1.5</w:t>
            </w:r>
            <w:r>
              <w:rPr>
                <w:iCs/>
                <w:sz w:val="28"/>
                <w:szCs w:val="28"/>
              </w:rPr>
              <w:t>邵阳六岭110kV输变电工程</w:t>
            </w:r>
          </w:p>
          <w:p>
            <w:pPr>
              <w:spacing w:line="360" w:lineRule="auto"/>
              <w:ind w:firstLine="560" w:firstLineChars="200"/>
              <w:rPr>
                <w:sz w:val="28"/>
              </w:rPr>
            </w:pPr>
            <w:r>
              <w:rPr>
                <w:sz w:val="28"/>
              </w:rPr>
              <w:t>站址为风化剥蚀残积丘陵地貌，丘坡地带。地形起伏较大，西高东低。根据设计要求，场地西北侧开挖后将形成高边坡，卵石层长期自稳性较差，下部岩层易风化，长期自稳性较差，建议边坡开挖后及时进行支护。场地暂未发现塌陷、活动性断裂、泥石流、滑坡等不良地质作用，无其他特殊性岩土。线路工程位于邵阳市市区，沿线地形均为平地，沿线路径未发现地质灾害危险区(点)，沿线附近无明显大规模滑坡、崩塌，无泥石流分布。沿线属于区域稳定区，无强震分布，不良地质作用一般发育。</w:t>
            </w:r>
          </w:p>
          <w:p>
            <w:pPr>
              <w:spacing w:line="360" w:lineRule="auto"/>
              <w:ind w:firstLine="560" w:firstLineChars="200"/>
              <w:rPr>
                <w:sz w:val="28"/>
              </w:rPr>
            </w:pPr>
            <w:r>
              <w:rPr>
                <w:sz w:val="28"/>
              </w:rPr>
              <w:t>邵阳市2007年第一批输变电工程包含变电站及线路所经区域主要为山地、丘陵及少部分水田，为</w:t>
            </w:r>
            <w:r>
              <w:rPr>
                <w:bCs/>
                <w:sz w:val="28"/>
                <w:szCs w:val="28"/>
              </w:rPr>
              <w:t>山间凹地地貌、丘陵地貌、冲积平原地貌，</w:t>
            </w:r>
            <w:r>
              <w:rPr>
                <w:sz w:val="28"/>
              </w:rPr>
              <w:t>据《建筑抗震设计规范》（GB50011-2010）及《中国地震动参考区划图》（GB18306—2015）”，该地区地震动峰值加速度值为0.05g，设计地震分组为第一组，抗震设防烈度为6度，地震动反应谱特征周期为0.35s。</w:t>
            </w:r>
          </w:p>
          <w:p>
            <w:pPr>
              <w:spacing w:line="360" w:lineRule="auto"/>
              <w:ind w:firstLine="560" w:firstLineChars="200"/>
              <w:rPr>
                <w:sz w:val="28"/>
              </w:rPr>
            </w:pPr>
            <w:r>
              <w:rPr>
                <w:sz w:val="28"/>
              </w:rPr>
              <w:t xml:space="preserve">经调查，邵阳市2017年第一批输变电工程各新建项目所处区域无地下矿产资源，站区内无保护的文化遗迹、地下文物、古墓等。变电站站址周围无军事设施、军用光缆、飞机场、导航台、风景旅游区等与变电站相互影响的设施。 </w:t>
            </w:r>
          </w:p>
          <w:p>
            <w:pPr>
              <w:spacing w:line="360" w:lineRule="auto"/>
              <w:rPr>
                <w:sz w:val="28"/>
              </w:rPr>
            </w:pPr>
            <w:r>
              <w:rPr>
                <w:sz w:val="28"/>
              </w:rPr>
              <w:t>1.2 气象</w:t>
            </w:r>
          </w:p>
          <w:p>
            <w:pPr>
              <w:spacing w:line="360" w:lineRule="auto"/>
              <w:ind w:firstLine="560" w:firstLineChars="200"/>
              <w:rPr>
                <w:sz w:val="28"/>
              </w:rPr>
            </w:pPr>
            <w:r>
              <w:rPr>
                <w:sz w:val="28"/>
              </w:rPr>
              <w:t>湖南省邵阳市地处亚热带，属典型的中亚热带湿润季风气候。夏季盛行偏南风，高温多雨，冬季盛行偏北风，低温少雨；四季分明，光热充足，雨水充沛，且雨热同季，对农作物的生长发育十分有利。受地貌地势的影响，气候复杂并垂直变化和地区差异明显。其中7月最热，平均最高气温近33℃，极端最高气温达40℃，高温中心在市区、新邵县、邵阳县和邵东县，1月最冷，平均最低气温3℃，也曾出现过-10℃以下的极端最低温度。邵阳市的年降水量有1300~1400毫m，但受地貌影响明显，各地差异明显，山地降水多，丘岗平地少，山地迎风坡多，背风坡少。</w:t>
            </w:r>
          </w:p>
          <w:p>
            <w:pPr>
              <w:tabs>
                <w:tab w:val="left" w:pos="8187"/>
              </w:tabs>
              <w:spacing w:line="360" w:lineRule="auto"/>
              <w:ind w:right="101" w:rightChars="48"/>
              <w:rPr>
                <w:sz w:val="28"/>
              </w:rPr>
            </w:pPr>
            <w:r>
              <w:rPr>
                <w:sz w:val="28"/>
              </w:rPr>
              <w:t>1.3 水文</w:t>
            </w:r>
          </w:p>
          <w:p>
            <w:pPr>
              <w:spacing w:line="360" w:lineRule="auto"/>
              <w:ind w:firstLine="560" w:firstLineChars="200"/>
              <w:rPr>
                <w:sz w:val="28"/>
              </w:rPr>
            </w:pPr>
            <w:r>
              <w:rPr>
                <w:sz w:val="28"/>
              </w:rPr>
              <w:t>邵阳境内大小河流61条，主要有资水、夫夷水、赧水、檀江、巫水等。芙夷水、赧水汇合于境内双江口，成Y型展布北上，流域面积遍及市辖9县3区。巫水源自城步，横贯绥宁，西入沅江，为境内西南部的主要水道。境内河川水系发育，水域面积为111. 9万亩，多年平均水资源总量为168.3亿立方m，其中河川径流量157.44亿立方m。人均占有水资源2749立方m。水能资源理论蕴藏量144. 73万千瓦，可开发利用量68.77万千瓦。水能资源集中分布于西南部城步、绥宁等山区县。</w:t>
            </w:r>
          </w:p>
          <w:p>
            <w:pPr>
              <w:spacing w:line="360" w:lineRule="auto"/>
              <w:rPr>
                <w:sz w:val="28"/>
              </w:rPr>
            </w:pPr>
            <w:r>
              <w:rPr>
                <w:sz w:val="28"/>
              </w:rPr>
              <w:t>1.4 生态</w:t>
            </w:r>
          </w:p>
          <w:p>
            <w:pPr>
              <w:spacing w:line="360" w:lineRule="auto"/>
              <w:ind w:firstLine="570"/>
              <w:rPr>
                <w:sz w:val="28"/>
              </w:rPr>
            </w:pPr>
            <w:r>
              <w:rPr>
                <w:sz w:val="28"/>
              </w:rPr>
              <w:t>邵阳隆回县城东110kV输变电工程线路所经地区地势平坦、开阔，进出线终端塔布置方便，自然标高在270.11～270.87m 之间，地形起伏不大，主要为山地、丘陵及水田，主要植被为农作物及低矮灌木，植被覆盖率较高，生态环境良好。</w:t>
            </w:r>
          </w:p>
          <w:p>
            <w:pPr>
              <w:spacing w:line="360" w:lineRule="auto"/>
              <w:ind w:firstLine="570"/>
              <w:rPr>
                <w:sz w:val="28"/>
              </w:rPr>
            </w:pPr>
            <w:r>
              <w:rPr>
                <w:sz w:val="28"/>
              </w:rPr>
              <w:t>邵阳宝莲二期风电110kV送出工程线路所经地区海拔高度在1300～1700m 之间，山体大致走向为东北～西南走向，高山地形占20%，山地地形占60%，丘陵为20%，植被发育良好，主要为杉树、松树及其它低矮灌木等，生态环境良好。</w:t>
            </w:r>
          </w:p>
          <w:p>
            <w:pPr>
              <w:spacing w:line="360" w:lineRule="auto"/>
              <w:ind w:firstLine="570"/>
              <w:rPr>
                <w:sz w:val="28"/>
              </w:rPr>
            </w:pPr>
            <w:r>
              <w:rPr>
                <w:sz w:val="28"/>
              </w:rPr>
              <w:t>邵阳大唐华银绥宁宝鼎山风电二期三期110kV送出工程线路所经地区海拔高度在300～1000m之间，线路靠两头变电站位置较为平坦，中间地势较高，线路全线主要为高山和丘陵地貌单元。沿线植被覆盖率高，多松杉树和经济林，生态环境良好。</w:t>
            </w:r>
          </w:p>
          <w:p>
            <w:pPr>
              <w:spacing w:line="360" w:lineRule="auto"/>
              <w:ind w:firstLine="560" w:firstLineChars="200"/>
              <w:rPr>
                <w:sz w:val="28"/>
              </w:rPr>
            </w:pPr>
            <w:r>
              <w:rPr>
                <w:sz w:val="28"/>
              </w:rPr>
              <w:t>隆回金坪110kV风电送出工程所经地区位于雪峰山山脉的西部，海拔高度一般在1253m~1396.4m之间，相对高差不大，丘陵为10%，高山为90%。为了线路运行安全避开了海拔1541区域，主要为中山地貌单元，地形起伏一般，植被以松、杉、竹树为主，在山腰有人居住处种植有竹子，数量约占15%，植被覆盖率较高，生态环境良好。</w:t>
            </w:r>
          </w:p>
          <w:p>
            <w:pPr>
              <w:spacing w:line="360" w:lineRule="auto"/>
              <w:ind w:firstLine="560" w:firstLineChars="200"/>
              <w:rPr>
                <w:sz w:val="28"/>
              </w:rPr>
            </w:pPr>
            <w:r>
              <w:rPr>
                <w:sz w:val="28"/>
              </w:rPr>
              <w:t>邵阳六岭110kV输变电工程线路路径长度2.16km，工程配套线路为地下电缆线路及架空线路，沿线地形为平地和河流，植被主要为城市绿化。</w:t>
            </w:r>
          </w:p>
        </w:tc>
      </w:tr>
    </w:tbl>
    <w:p>
      <w:pPr>
        <w:rPr>
          <w:rFonts w:eastAsia="黑体"/>
          <w:b/>
          <w:sz w:val="30"/>
        </w:rPr>
      </w:pPr>
    </w:p>
    <w:p>
      <w:pPr>
        <w:rPr>
          <w:rFonts w:eastAsia="黑体"/>
          <w:b/>
          <w:sz w:val="30"/>
        </w:rPr>
      </w:pPr>
      <w:r>
        <w:rPr>
          <w:rFonts w:eastAsia="黑体"/>
          <w:b/>
          <w:sz w:val="30"/>
        </w:rPr>
        <w:t>环境质量状况</w:t>
      </w:r>
    </w:p>
    <w:tbl>
      <w:tblPr>
        <w:tblStyle w:val="11"/>
        <w:tblW w:w="945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201" w:hRule="atLeast"/>
          <w:jc w:val="center"/>
        </w:trPr>
        <w:tc>
          <w:tcPr>
            <w:tcW w:w="9457" w:type="dxa"/>
            <w:vAlign w:val="top"/>
          </w:tcPr>
          <w:p>
            <w:pPr>
              <w:spacing w:line="360" w:lineRule="auto"/>
              <w:rPr>
                <w:b/>
                <w:sz w:val="28"/>
              </w:rPr>
            </w:pPr>
            <w:r>
              <w:rPr>
                <w:b/>
                <w:sz w:val="28"/>
              </w:rPr>
              <w:t>建设项目所在地区域环境质量现状及主要环境问题</w:t>
            </w:r>
          </w:p>
          <w:p>
            <w:pPr>
              <w:spacing w:line="360" w:lineRule="auto"/>
              <w:ind w:firstLine="539"/>
              <w:rPr>
                <w:sz w:val="28"/>
              </w:rPr>
            </w:pPr>
            <w:r>
              <w:rPr>
                <w:sz w:val="28"/>
              </w:rPr>
              <w:t>邵阳市2017年第一批输变电工程，对环境的主要影响为电磁、噪声和生态。为了解工程所在地区域环境质量现状，下面从电磁环境、声环境和生态环境三个方面进行调查分析。</w:t>
            </w:r>
          </w:p>
          <w:p>
            <w:pPr>
              <w:spacing w:before="156" w:beforeLines="50" w:line="360" w:lineRule="auto"/>
              <w:ind w:left="1" w:leftChars="-1" w:hanging="3" w:hangingChars="1"/>
              <w:rPr>
                <w:b/>
                <w:sz w:val="28"/>
              </w:rPr>
            </w:pPr>
            <w:r>
              <w:rPr>
                <w:b/>
                <w:sz w:val="28"/>
              </w:rPr>
              <w:t>1 电磁环境</w:t>
            </w:r>
          </w:p>
          <w:p>
            <w:pPr>
              <w:spacing w:line="360" w:lineRule="auto"/>
              <w:rPr>
                <w:sz w:val="28"/>
              </w:rPr>
            </w:pPr>
            <w:r>
              <w:rPr>
                <w:sz w:val="28"/>
              </w:rPr>
              <w:t>1.1 变电站</w:t>
            </w:r>
          </w:p>
          <w:p>
            <w:pPr>
              <w:spacing w:line="360" w:lineRule="auto"/>
              <w:rPr>
                <w:sz w:val="28"/>
              </w:rPr>
            </w:pPr>
            <w:r>
              <w:rPr>
                <w:sz w:val="28"/>
              </w:rPr>
              <w:t xml:space="preserve">    </w:t>
            </w:r>
            <w:r>
              <w:rPr>
                <w:sz w:val="28"/>
                <w:szCs w:val="28"/>
              </w:rPr>
              <w:t>邵阳市2017年第一批输变电工程新建城东变、扩建高沙</w:t>
            </w:r>
            <w:r>
              <w:rPr>
                <w:bCs/>
                <w:sz w:val="28"/>
                <w:szCs w:val="28"/>
              </w:rPr>
              <w:t>、黄陂桥、大岭、六岭</w:t>
            </w:r>
            <w:r>
              <w:rPr>
                <w:sz w:val="28"/>
                <w:szCs w:val="28"/>
              </w:rPr>
              <w:t>110kV变电站5座，为充分了解工程涉及区域的电磁环境值，对上述变电站拟建及扩建站址进行了现场监测。</w:t>
            </w:r>
          </w:p>
          <w:p>
            <w:pPr>
              <w:spacing w:line="360" w:lineRule="auto"/>
              <w:ind w:firstLine="560" w:firstLineChars="200"/>
              <w:rPr>
                <w:sz w:val="28"/>
              </w:rPr>
            </w:pPr>
            <w:r>
              <w:rPr>
                <w:sz w:val="28"/>
              </w:rPr>
              <w:t>监测因子：工频电场强度、工频磁感应强度。</w:t>
            </w:r>
          </w:p>
          <w:p>
            <w:pPr>
              <w:spacing w:line="360" w:lineRule="auto"/>
              <w:ind w:firstLine="560" w:firstLineChars="200"/>
              <w:rPr>
                <w:sz w:val="28"/>
              </w:rPr>
            </w:pPr>
            <w:r>
              <w:rPr>
                <w:sz w:val="28"/>
              </w:rPr>
              <w:t>监测布点：按照《环境影响评价技术导则 输变电工程》（HJ 24-2014）并结合现场情况进行布点。城东、</w:t>
            </w:r>
            <w:r>
              <w:rPr>
                <w:sz w:val="28"/>
                <w:szCs w:val="28"/>
              </w:rPr>
              <w:t>高沙、黄陂桥、大岭、六岭110kV变电站站址</w:t>
            </w:r>
            <w:r>
              <w:rPr>
                <w:sz w:val="28"/>
              </w:rPr>
              <w:t>电磁环境现状监测布点见附图9~13。</w:t>
            </w:r>
          </w:p>
          <w:p>
            <w:pPr>
              <w:spacing w:line="360" w:lineRule="auto"/>
              <w:ind w:firstLine="560" w:firstLineChars="200"/>
              <w:rPr>
                <w:sz w:val="28"/>
              </w:rPr>
            </w:pPr>
            <w:r>
              <w:rPr>
                <w:sz w:val="28"/>
              </w:rPr>
              <w:t>监测方法：按照《交流输变电工程电磁环境监测方法（试行）》（HJ 681-2013）进行。</w:t>
            </w:r>
          </w:p>
          <w:p>
            <w:pPr>
              <w:spacing w:line="360" w:lineRule="auto"/>
              <w:ind w:firstLine="540"/>
              <w:rPr>
                <w:sz w:val="28"/>
                <w:szCs w:val="28"/>
              </w:rPr>
            </w:pPr>
            <w:r>
              <w:rPr>
                <w:sz w:val="28"/>
              </w:rPr>
              <w:t>监测仪器：</w:t>
            </w:r>
            <w:r>
              <w:rPr>
                <w:sz w:val="28"/>
                <w:szCs w:val="28"/>
              </w:rPr>
              <w:t>工频电磁场测试仪、HD200温湿度计，上述设备均在有效检定期内。主要监测设备参数见表6。</w:t>
            </w:r>
          </w:p>
          <w:p>
            <w:pPr>
              <w:jc w:val="center"/>
              <w:rPr>
                <w:b/>
                <w:bCs/>
                <w:sz w:val="24"/>
                <w:szCs w:val="24"/>
              </w:rPr>
            </w:pPr>
            <w:r>
              <w:rPr>
                <w:b/>
                <w:bCs/>
                <w:sz w:val="24"/>
                <w:szCs w:val="24"/>
              </w:rPr>
              <w:t>表6  电磁环境监测仪器检定情况表</w:t>
            </w:r>
          </w:p>
          <w:tbl>
            <w:tblPr>
              <w:tblStyle w:val="11"/>
              <w:tblW w:w="8930"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919"/>
              <w:gridCol w:w="3415"/>
              <w:gridCol w:w="359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77" w:hRule="atLeast"/>
                <w:jc w:val="center"/>
              </w:trPr>
              <w:tc>
                <w:tcPr>
                  <w:tcW w:w="1919" w:type="dxa"/>
                  <w:shd w:val="clear" w:color="auto" w:fill="auto"/>
                  <w:vAlign w:val="center"/>
                </w:tcPr>
                <w:p>
                  <w:pPr>
                    <w:jc w:val="center"/>
                    <w:rPr>
                      <w:szCs w:val="21"/>
                    </w:rPr>
                  </w:pPr>
                  <w:r>
                    <w:rPr>
                      <w:szCs w:val="21"/>
                    </w:rPr>
                    <w:t>监测仪器</w:t>
                  </w:r>
                </w:p>
              </w:tc>
              <w:tc>
                <w:tcPr>
                  <w:tcW w:w="3415" w:type="dxa"/>
                  <w:shd w:val="clear" w:color="auto" w:fill="auto"/>
                  <w:vAlign w:val="center"/>
                </w:tcPr>
                <w:p>
                  <w:pPr>
                    <w:jc w:val="center"/>
                    <w:rPr>
                      <w:szCs w:val="21"/>
                    </w:rPr>
                  </w:pPr>
                  <w:r>
                    <w:rPr>
                      <w:szCs w:val="21"/>
                    </w:rPr>
                    <w:t>LF-01/SEM-600型工频电磁场测试仪</w:t>
                  </w:r>
                </w:p>
              </w:tc>
              <w:tc>
                <w:tcPr>
                  <w:tcW w:w="3596" w:type="dxa"/>
                  <w:vAlign w:val="center"/>
                </w:tcPr>
                <w:p>
                  <w:pPr>
                    <w:jc w:val="center"/>
                    <w:rPr>
                      <w:szCs w:val="21"/>
                    </w:rPr>
                  </w:pPr>
                  <w:r>
                    <w:rPr>
                      <w:szCs w:val="21"/>
                    </w:rPr>
                    <w:t>HD200温湿度计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77" w:hRule="atLeast"/>
                <w:jc w:val="center"/>
              </w:trPr>
              <w:tc>
                <w:tcPr>
                  <w:tcW w:w="1919" w:type="dxa"/>
                  <w:shd w:val="clear" w:color="auto" w:fill="auto"/>
                  <w:vAlign w:val="center"/>
                </w:tcPr>
                <w:p>
                  <w:pPr>
                    <w:jc w:val="center"/>
                    <w:rPr>
                      <w:szCs w:val="21"/>
                    </w:rPr>
                  </w:pPr>
                  <w:r>
                    <w:rPr>
                      <w:szCs w:val="21"/>
                    </w:rPr>
                    <w:t>分辨率</w:t>
                  </w:r>
                </w:p>
              </w:tc>
              <w:tc>
                <w:tcPr>
                  <w:tcW w:w="3415" w:type="dxa"/>
                  <w:shd w:val="clear" w:color="auto" w:fill="auto"/>
                  <w:vAlign w:val="center"/>
                </w:tcPr>
                <w:p>
                  <w:pPr>
                    <w:jc w:val="center"/>
                    <w:rPr>
                      <w:szCs w:val="21"/>
                    </w:rPr>
                  </w:pPr>
                  <w:r>
                    <w:rPr>
                      <w:szCs w:val="21"/>
                    </w:rPr>
                    <w:t>电场：0.1V/m；</w:t>
                  </w:r>
                </w:p>
                <w:p>
                  <w:pPr>
                    <w:jc w:val="center"/>
                    <w:rPr>
                      <w:szCs w:val="21"/>
                    </w:rPr>
                  </w:pPr>
                  <w:r>
                    <w:rPr>
                      <w:szCs w:val="21"/>
                    </w:rPr>
                    <w:t>磁场：0.001μT</w:t>
                  </w:r>
                </w:p>
              </w:tc>
              <w:tc>
                <w:tcPr>
                  <w:tcW w:w="3596" w:type="dxa"/>
                  <w:vAlign w:val="center"/>
                </w:tcPr>
                <w:p>
                  <w:pPr>
                    <w:jc w:val="center"/>
                    <w:rPr>
                      <w:szCs w:val="21"/>
                    </w:rPr>
                  </w:pPr>
                  <w:r>
                    <w:rPr>
                      <w:szCs w:val="21"/>
                    </w:rPr>
                    <w:t>温度：0.1℃；湿度：0.1%RH</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77" w:hRule="atLeast"/>
                <w:jc w:val="center"/>
              </w:trPr>
              <w:tc>
                <w:tcPr>
                  <w:tcW w:w="1919" w:type="dxa"/>
                  <w:shd w:val="clear" w:color="auto" w:fill="auto"/>
                  <w:vAlign w:val="center"/>
                </w:tcPr>
                <w:p>
                  <w:pPr>
                    <w:jc w:val="center"/>
                    <w:rPr>
                      <w:szCs w:val="21"/>
                    </w:rPr>
                  </w:pPr>
                  <w:r>
                    <w:rPr>
                      <w:szCs w:val="21"/>
                    </w:rPr>
                    <w:t>检定单位</w:t>
                  </w:r>
                </w:p>
              </w:tc>
              <w:tc>
                <w:tcPr>
                  <w:tcW w:w="3415" w:type="dxa"/>
                  <w:shd w:val="clear" w:color="auto" w:fill="auto"/>
                  <w:vAlign w:val="center"/>
                </w:tcPr>
                <w:p>
                  <w:pPr>
                    <w:jc w:val="center"/>
                    <w:rPr>
                      <w:szCs w:val="21"/>
                    </w:rPr>
                  </w:pPr>
                  <w:r>
                    <w:rPr>
                      <w:szCs w:val="21"/>
                    </w:rPr>
                    <w:t>中国计量科学研究院</w:t>
                  </w:r>
                </w:p>
              </w:tc>
              <w:tc>
                <w:tcPr>
                  <w:tcW w:w="3596" w:type="dxa"/>
                  <w:vAlign w:val="center"/>
                </w:tcPr>
                <w:p>
                  <w:pPr>
                    <w:jc w:val="center"/>
                    <w:rPr>
                      <w:szCs w:val="21"/>
                    </w:rPr>
                  </w:pPr>
                  <w:r>
                    <w:rPr>
                      <w:szCs w:val="21"/>
                    </w:rPr>
                    <w:t>湖南省计量科学研究院</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77" w:hRule="atLeast"/>
                <w:jc w:val="center"/>
              </w:trPr>
              <w:tc>
                <w:tcPr>
                  <w:tcW w:w="1919" w:type="dxa"/>
                  <w:shd w:val="clear" w:color="auto" w:fill="auto"/>
                  <w:vAlign w:val="center"/>
                </w:tcPr>
                <w:p>
                  <w:pPr>
                    <w:jc w:val="center"/>
                    <w:rPr>
                      <w:szCs w:val="21"/>
                    </w:rPr>
                  </w:pPr>
                  <w:r>
                    <w:rPr>
                      <w:szCs w:val="21"/>
                    </w:rPr>
                    <w:t>证书编号</w:t>
                  </w:r>
                </w:p>
              </w:tc>
              <w:tc>
                <w:tcPr>
                  <w:tcW w:w="3415" w:type="dxa"/>
                  <w:shd w:val="clear" w:color="auto" w:fill="auto"/>
                  <w:vAlign w:val="center"/>
                </w:tcPr>
                <w:p>
                  <w:pPr>
                    <w:jc w:val="center"/>
                    <w:rPr>
                      <w:szCs w:val="21"/>
                    </w:rPr>
                  </w:pPr>
                  <w:r>
                    <w:rPr>
                      <w:szCs w:val="21"/>
                    </w:rPr>
                    <w:t>XDdj2017-3405</w:t>
                  </w:r>
                </w:p>
              </w:tc>
              <w:tc>
                <w:tcPr>
                  <w:tcW w:w="3596" w:type="dxa"/>
                  <w:vAlign w:val="center"/>
                </w:tcPr>
                <w:p>
                  <w:pPr>
                    <w:jc w:val="center"/>
                    <w:rPr>
                      <w:szCs w:val="21"/>
                    </w:rPr>
                  </w:pPr>
                  <w:r>
                    <w:rPr>
                      <w:szCs w:val="21"/>
                    </w:rPr>
                    <w:t>2017060309862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77" w:hRule="atLeast"/>
                <w:jc w:val="center"/>
              </w:trPr>
              <w:tc>
                <w:tcPr>
                  <w:tcW w:w="1919" w:type="dxa"/>
                  <w:shd w:val="clear" w:color="auto" w:fill="auto"/>
                  <w:vAlign w:val="center"/>
                </w:tcPr>
                <w:p>
                  <w:pPr>
                    <w:jc w:val="center"/>
                    <w:rPr>
                      <w:szCs w:val="21"/>
                    </w:rPr>
                  </w:pPr>
                  <w:r>
                    <w:rPr>
                      <w:szCs w:val="21"/>
                    </w:rPr>
                    <w:t>检定有效期限至</w:t>
                  </w:r>
                </w:p>
              </w:tc>
              <w:tc>
                <w:tcPr>
                  <w:tcW w:w="3415" w:type="dxa"/>
                  <w:shd w:val="clear" w:color="auto" w:fill="auto"/>
                  <w:vAlign w:val="center"/>
                </w:tcPr>
                <w:p>
                  <w:pPr>
                    <w:jc w:val="center"/>
                    <w:rPr>
                      <w:szCs w:val="21"/>
                    </w:rPr>
                  </w:pPr>
                  <w:r>
                    <w:rPr>
                      <w:szCs w:val="21"/>
                    </w:rPr>
                    <w:t>2017年9月8日</w:t>
                  </w:r>
                </w:p>
              </w:tc>
              <w:tc>
                <w:tcPr>
                  <w:tcW w:w="3596" w:type="dxa"/>
                  <w:vAlign w:val="center"/>
                </w:tcPr>
                <w:p>
                  <w:pPr>
                    <w:jc w:val="center"/>
                    <w:rPr>
                      <w:szCs w:val="21"/>
                    </w:rPr>
                  </w:pPr>
                  <w:r>
                    <w:rPr>
                      <w:szCs w:val="21"/>
                    </w:rPr>
                    <w:t>2017年6月21日</w:t>
                  </w:r>
                </w:p>
              </w:tc>
            </w:tr>
          </w:tbl>
          <w:p>
            <w:pPr>
              <w:spacing w:line="360" w:lineRule="auto"/>
              <w:ind w:left="-2" w:leftChars="-1" w:firstLine="560" w:firstLineChars="200"/>
              <w:rPr>
                <w:sz w:val="28"/>
              </w:rPr>
            </w:pPr>
          </w:p>
          <w:p>
            <w:pPr>
              <w:ind w:firstLine="560" w:firstLineChars="200"/>
              <w:rPr>
                <w:sz w:val="28"/>
                <w:szCs w:val="28"/>
              </w:rPr>
            </w:pPr>
            <w:r>
              <w:rPr>
                <w:sz w:val="28"/>
              </w:rPr>
              <w:t>监测结果及评价：</w:t>
            </w:r>
            <w:bookmarkStart w:id="20" w:name="OLE_LINK2"/>
            <w:bookmarkStart w:id="21" w:name="OLE_LINK5"/>
            <w:r>
              <w:rPr>
                <w:sz w:val="28"/>
              </w:rPr>
              <w:t>邵阳</w:t>
            </w:r>
            <w:r>
              <w:rPr>
                <w:sz w:val="28"/>
                <w:szCs w:val="28"/>
              </w:rPr>
              <w:t>市2017年第一批输变电工程拟建（扩建）变电站</w:t>
            </w:r>
            <w:bookmarkEnd w:id="20"/>
            <w:bookmarkEnd w:id="21"/>
            <w:r>
              <w:rPr>
                <w:sz w:val="28"/>
                <w:szCs w:val="28"/>
              </w:rPr>
              <w:t>站址及站址周围环境保护目标工频电磁场监测结果分别见表7。</w:t>
            </w:r>
          </w:p>
          <w:p>
            <w:pPr>
              <w:rPr>
                <w:b/>
                <w:sz w:val="24"/>
              </w:rPr>
            </w:pPr>
          </w:p>
          <w:p>
            <w:pPr>
              <w:jc w:val="center"/>
              <w:rPr>
                <w:b/>
                <w:bCs/>
                <w:sz w:val="24"/>
                <w:szCs w:val="24"/>
              </w:rPr>
            </w:pPr>
            <w:r>
              <w:rPr>
                <w:b/>
                <w:sz w:val="24"/>
              </w:rPr>
              <w:t xml:space="preserve">表7  </w:t>
            </w:r>
            <w:r>
              <w:rPr>
                <w:b/>
                <w:bCs/>
                <w:sz w:val="24"/>
                <w:szCs w:val="24"/>
              </w:rPr>
              <w:t>拟建（扩建）变电站站址及周边电磁环境现场监测结果</w:t>
            </w:r>
          </w:p>
          <w:p>
            <w:pPr>
              <w:jc w:val="center"/>
              <w:rPr>
                <w:b/>
                <w:sz w:val="24"/>
              </w:rPr>
            </w:pPr>
          </w:p>
          <w:tbl>
            <w:tblPr>
              <w:tblStyle w:val="11"/>
              <w:tblW w:w="921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092"/>
              <w:gridCol w:w="2592"/>
              <w:gridCol w:w="1151"/>
              <w:gridCol w:w="1126"/>
              <w:gridCol w:w="1126"/>
              <w:gridCol w:w="11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05" w:hRule="atLeast"/>
                <w:jc w:val="center"/>
              </w:trPr>
              <w:tc>
                <w:tcPr>
                  <w:tcW w:w="2092" w:type="dxa"/>
                  <w:vMerge w:val="restart"/>
                  <w:vAlign w:val="center"/>
                </w:tcPr>
                <w:p>
                  <w:pPr>
                    <w:jc w:val="center"/>
                    <w:rPr>
                      <w:szCs w:val="21"/>
                    </w:rPr>
                  </w:pPr>
                  <w:r>
                    <w:rPr>
                      <w:szCs w:val="21"/>
                    </w:rPr>
                    <w:t>变电站名称</w:t>
                  </w:r>
                </w:p>
              </w:tc>
              <w:tc>
                <w:tcPr>
                  <w:tcW w:w="2592" w:type="dxa"/>
                  <w:vMerge w:val="restart"/>
                  <w:vAlign w:val="center"/>
                </w:tcPr>
                <w:p>
                  <w:pPr>
                    <w:jc w:val="center"/>
                    <w:rPr>
                      <w:szCs w:val="21"/>
                    </w:rPr>
                  </w:pPr>
                  <w:r>
                    <w:rPr>
                      <w:szCs w:val="21"/>
                    </w:rPr>
                    <w:t>测  点</w:t>
                  </w:r>
                </w:p>
              </w:tc>
              <w:tc>
                <w:tcPr>
                  <w:tcW w:w="2277" w:type="dxa"/>
                  <w:gridSpan w:val="2"/>
                  <w:tcBorders>
                    <w:bottom w:val="single" w:color="auto" w:sz="4" w:space="0"/>
                  </w:tcBorders>
                  <w:vAlign w:val="center"/>
                </w:tcPr>
                <w:p>
                  <w:pPr>
                    <w:jc w:val="center"/>
                    <w:rPr>
                      <w:szCs w:val="21"/>
                    </w:rPr>
                  </w:pPr>
                  <w:r>
                    <w:rPr>
                      <w:szCs w:val="21"/>
                    </w:rPr>
                    <w:t>监测值</w:t>
                  </w:r>
                </w:p>
              </w:tc>
              <w:tc>
                <w:tcPr>
                  <w:tcW w:w="2250" w:type="dxa"/>
                  <w:gridSpan w:val="2"/>
                  <w:tcBorders>
                    <w:bottom w:val="single" w:color="auto" w:sz="4" w:space="0"/>
                  </w:tcBorders>
                  <w:vAlign w:val="center"/>
                </w:tcPr>
                <w:p>
                  <w:pPr>
                    <w:ind w:right="-3"/>
                    <w:jc w:val="center"/>
                    <w:rPr>
                      <w:szCs w:val="21"/>
                    </w:rPr>
                  </w:pPr>
                  <w:r>
                    <w:rPr>
                      <w:szCs w:val="21"/>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510" w:hRule="atLeast"/>
                <w:jc w:val="center"/>
              </w:trPr>
              <w:tc>
                <w:tcPr>
                  <w:tcW w:w="2092" w:type="dxa"/>
                  <w:vMerge w:val="continue"/>
                  <w:vAlign w:val="center"/>
                </w:tcPr>
                <w:p>
                  <w:pPr>
                    <w:jc w:val="center"/>
                    <w:rPr>
                      <w:szCs w:val="21"/>
                    </w:rPr>
                  </w:pPr>
                </w:p>
              </w:tc>
              <w:tc>
                <w:tcPr>
                  <w:tcW w:w="2592" w:type="dxa"/>
                  <w:vMerge w:val="continue"/>
                  <w:vAlign w:val="center"/>
                </w:tcPr>
                <w:p>
                  <w:pPr>
                    <w:jc w:val="center"/>
                    <w:rPr>
                      <w:szCs w:val="21"/>
                    </w:rPr>
                  </w:pPr>
                </w:p>
              </w:tc>
              <w:tc>
                <w:tcPr>
                  <w:tcW w:w="1151" w:type="dxa"/>
                  <w:tcBorders>
                    <w:top w:val="single" w:color="auto" w:sz="4" w:space="0"/>
                  </w:tcBorders>
                  <w:vAlign w:val="center"/>
                </w:tcPr>
                <w:p>
                  <w:pPr>
                    <w:ind w:right="-3"/>
                    <w:jc w:val="center"/>
                    <w:rPr>
                      <w:szCs w:val="21"/>
                    </w:rPr>
                  </w:pPr>
                  <w:r>
                    <w:rPr>
                      <w:szCs w:val="21"/>
                    </w:rPr>
                    <w:t>工频电场强度</w:t>
                  </w:r>
                </w:p>
                <w:p>
                  <w:pPr>
                    <w:ind w:right="-3"/>
                    <w:jc w:val="center"/>
                    <w:rPr>
                      <w:szCs w:val="21"/>
                    </w:rPr>
                  </w:pPr>
                  <w:r>
                    <w:rPr>
                      <w:szCs w:val="21"/>
                    </w:rPr>
                    <w:t>（V/m）</w:t>
                  </w:r>
                </w:p>
              </w:tc>
              <w:tc>
                <w:tcPr>
                  <w:tcW w:w="1126" w:type="dxa"/>
                  <w:tcBorders>
                    <w:top w:val="single" w:color="auto" w:sz="4" w:space="0"/>
                  </w:tcBorders>
                  <w:vAlign w:val="center"/>
                </w:tcPr>
                <w:p>
                  <w:pPr>
                    <w:ind w:right="-3"/>
                    <w:jc w:val="center"/>
                    <w:rPr>
                      <w:szCs w:val="21"/>
                    </w:rPr>
                  </w:pPr>
                  <w:r>
                    <w:rPr>
                      <w:szCs w:val="21"/>
                    </w:rPr>
                    <w:t>工频磁感应强度</w:t>
                  </w:r>
                </w:p>
                <w:p>
                  <w:pPr>
                    <w:jc w:val="center"/>
                    <w:rPr>
                      <w:szCs w:val="21"/>
                    </w:rPr>
                  </w:pPr>
                  <w:r>
                    <w:rPr>
                      <w:szCs w:val="21"/>
                    </w:rPr>
                    <w:t>（µT）</w:t>
                  </w:r>
                </w:p>
              </w:tc>
              <w:tc>
                <w:tcPr>
                  <w:tcW w:w="1126" w:type="dxa"/>
                  <w:tcBorders>
                    <w:top w:val="single" w:color="auto" w:sz="4" w:space="0"/>
                  </w:tcBorders>
                  <w:vAlign w:val="center"/>
                </w:tcPr>
                <w:p>
                  <w:pPr>
                    <w:ind w:right="-3"/>
                    <w:jc w:val="center"/>
                    <w:rPr>
                      <w:szCs w:val="21"/>
                    </w:rPr>
                  </w:pPr>
                  <w:r>
                    <w:rPr>
                      <w:szCs w:val="21"/>
                    </w:rPr>
                    <w:t>工频电场强度</w:t>
                  </w:r>
                </w:p>
                <w:p>
                  <w:pPr>
                    <w:ind w:right="-3"/>
                    <w:jc w:val="center"/>
                    <w:rPr>
                      <w:szCs w:val="21"/>
                    </w:rPr>
                  </w:pPr>
                  <w:r>
                    <w:rPr>
                      <w:szCs w:val="21"/>
                    </w:rPr>
                    <w:t>（V/m）</w:t>
                  </w:r>
                </w:p>
              </w:tc>
              <w:tc>
                <w:tcPr>
                  <w:tcW w:w="1124" w:type="dxa"/>
                  <w:tcBorders>
                    <w:top w:val="single" w:color="auto" w:sz="4" w:space="0"/>
                  </w:tcBorders>
                  <w:vAlign w:val="center"/>
                </w:tcPr>
                <w:p>
                  <w:pPr>
                    <w:ind w:right="-3"/>
                    <w:jc w:val="center"/>
                    <w:rPr>
                      <w:szCs w:val="21"/>
                    </w:rPr>
                  </w:pPr>
                  <w:r>
                    <w:rPr>
                      <w:szCs w:val="21"/>
                    </w:rPr>
                    <w:t>工频磁感应强度</w:t>
                  </w:r>
                </w:p>
                <w:p>
                  <w:pPr>
                    <w:jc w:val="center"/>
                    <w:rPr>
                      <w:szCs w:val="21"/>
                    </w:rPr>
                  </w:pPr>
                  <w:r>
                    <w:rPr>
                      <w:szCs w:val="21"/>
                    </w:rPr>
                    <w:t>（µT）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Cs w:val="21"/>
                    </w:rPr>
                  </w:pPr>
                  <w:r>
                    <w:rPr>
                      <w:szCs w:val="21"/>
                    </w:rPr>
                    <w:t>城东</w:t>
                  </w:r>
                </w:p>
                <w:p>
                  <w:pPr>
                    <w:jc w:val="center"/>
                    <w:rPr>
                      <w:szCs w:val="21"/>
                    </w:rPr>
                  </w:pPr>
                  <w:r>
                    <w:rPr>
                      <w:szCs w:val="21"/>
                    </w:rPr>
                    <w:t>110kV变电站</w:t>
                  </w:r>
                </w:p>
              </w:tc>
              <w:tc>
                <w:tcPr>
                  <w:tcW w:w="2592" w:type="dxa"/>
                  <w:vAlign w:val="center"/>
                </w:tcPr>
                <w:p>
                  <w:pPr>
                    <w:jc w:val="center"/>
                    <w:rPr>
                      <w:szCs w:val="21"/>
                    </w:rPr>
                  </w:pPr>
                  <w:r>
                    <w:rPr>
                      <w:szCs w:val="21"/>
                    </w:rPr>
                    <w:t>北侧</w:t>
                  </w:r>
                </w:p>
              </w:tc>
              <w:tc>
                <w:tcPr>
                  <w:tcW w:w="1151" w:type="dxa"/>
                  <w:vAlign w:val="center"/>
                </w:tcPr>
                <w:p>
                  <w:pPr>
                    <w:jc w:val="center"/>
                    <w:rPr>
                      <w:szCs w:val="21"/>
                    </w:rPr>
                  </w:pPr>
                  <w:r>
                    <w:rPr>
                      <w:szCs w:val="21"/>
                    </w:rPr>
                    <w:t>0.3</w:t>
                  </w:r>
                </w:p>
              </w:tc>
              <w:tc>
                <w:tcPr>
                  <w:tcW w:w="1126" w:type="dxa"/>
                  <w:vAlign w:val="center"/>
                </w:tcPr>
                <w:p>
                  <w:pPr>
                    <w:jc w:val="center"/>
                    <w:rPr>
                      <w:szCs w:val="21"/>
                    </w:rPr>
                  </w:pPr>
                  <w:r>
                    <w:rPr>
                      <w:szCs w:val="21"/>
                    </w:rPr>
                    <w:t>0.006</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东侧</w:t>
                  </w:r>
                </w:p>
              </w:tc>
              <w:tc>
                <w:tcPr>
                  <w:tcW w:w="1151" w:type="dxa"/>
                  <w:vAlign w:val="center"/>
                </w:tcPr>
                <w:p>
                  <w:pPr>
                    <w:jc w:val="center"/>
                    <w:rPr>
                      <w:szCs w:val="21"/>
                    </w:rPr>
                  </w:pPr>
                  <w:r>
                    <w:rPr>
                      <w:szCs w:val="21"/>
                    </w:rPr>
                    <w:t>0.2</w:t>
                  </w:r>
                </w:p>
              </w:tc>
              <w:tc>
                <w:tcPr>
                  <w:tcW w:w="1126" w:type="dxa"/>
                  <w:vAlign w:val="center"/>
                </w:tcPr>
                <w:p>
                  <w:pPr>
                    <w:jc w:val="center"/>
                    <w:rPr>
                      <w:szCs w:val="21"/>
                    </w:rPr>
                  </w:pPr>
                  <w:r>
                    <w:rPr>
                      <w:szCs w:val="21"/>
                    </w:rPr>
                    <w:t>0.009</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南侧</w:t>
                  </w:r>
                </w:p>
              </w:tc>
              <w:tc>
                <w:tcPr>
                  <w:tcW w:w="1151" w:type="dxa"/>
                  <w:vAlign w:val="center"/>
                </w:tcPr>
                <w:p>
                  <w:pPr>
                    <w:jc w:val="center"/>
                    <w:rPr>
                      <w:szCs w:val="21"/>
                    </w:rPr>
                  </w:pPr>
                  <w:r>
                    <w:rPr>
                      <w:szCs w:val="21"/>
                    </w:rPr>
                    <w:t>0.3</w:t>
                  </w:r>
                </w:p>
              </w:tc>
              <w:tc>
                <w:tcPr>
                  <w:tcW w:w="1126" w:type="dxa"/>
                  <w:vAlign w:val="center"/>
                </w:tcPr>
                <w:p>
                  <w:pPr>
                    <w:jc w:val="center"/>
                    <w:rPr>
                      <w:szCs w:val="21"/>
                    </w:rPr>
                  </w:pPr>
                  <w:r>
                    <w:rPr>
                      <w:szCs w:val="21"/>
                    </w:rPr>
                    <w:t>0.008</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西侧</w:t>
                  </w:r>
                </w:p>
              </w:tc>
              <w:tc>
                <w:tcPr>
                  <w:tcW w:w="1151" w:type="dxa"/>
                  <w:vAlign w:val="center"/>
                </w:tcPr>
                <w:p>
                  <w:pPr>
                    <w:jc w:val="center"/>
                    <w:rPr>
                      <w:szCs w:val="21"/>
                    </w:rPr>
                  </w:pPr>
                  <w:r>
                    <w:rPr>
                      <w:szCs w:val="21"/>
                    </w:rPr>
                    <w:t>0.2</w:t>
                  </w:r>
                </w:p>
              </w:tc>
              <w:tc>
                <w:tcPr>
                  <w:tcW w:w="1126" w:type="dxa"/>
                  <w:vAlign w:val="center"/>
                </w:tcPr>
                <w:p>
                  <w:pPr>
                    <w:jc w:val="center"/>
                    <w:rPr>
                      <w:szCs w:val="21"/>
                    </w:rPr>
                  </w:pPr>
                  <w:r>
                    <w:rPr>
                      <w:szCs w:val="21"/>
                    </w:rPr>
                    <w:t>0.006</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北侧居民楼</w:t>
                  </w:r>
                </w:p>
              </w:tc>
              <w:tc>
                <w:tcPr>
                  <w:tcW w:w="1151" w:type="dxa"/>
                  <w:vAlign w:val="center"/>
                </w:tcPr>
                <w:p>
                  <w:pPr>
                    <w:jc w:val="center"/>
                    <w:rPr>
                      <w:szCs w:val="21"/>
                    </w:rPr>
                  </w:pPr>
                  <w:r>
                    <w:rPr>
                      <w:szCs w:val="21"/>
                    </w:rPr>
                    <w:t>3.1</w:t>
                  </w:r>
                </w:p>
              </w:tc>
              <w:tc>
                <w:tcPr>
                  <w:tcW w:w="1126" w:type="dxa"/>
                  <w:vAlign w:val="center"/>
                </w:tcPr>
                <w:p>
                  <w:pPr>
                    <w:jc w:val="center"/>
                    <w:rPr>
                      <w:szCs w:val="21"/>
                    </w:rPr>
                  </w:pPr>
                  <w:r>
                    <w:rPr>
                      <w:szCs w:val="21"/>
                    </w:rPr>
                    <w:t>0.016</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Cs w:val="21"/>
                    </w:rPr>
                  </w:pPr>
                  <w:r>
                    <w:rPr>
                      <w:szCs w:val="21"/>
                    </w:rPr>
                    <w:t>高沙</w:t>
                  </w:r>
                </w:p>
                <w:p>
                  <w:pPr>
                    <w:jc w:val="center"/>
                    <w:rPr>
                      <w:szCs w:val="21"/>
                    </w:rPr>
                  </w:pPr>
                  <w:r>
                    <w:rPr>
                      <w:szCs w:val="21"/>
                    </w:rPr>
                    <w:t>110kV变电站</w:t>
                  </w:r>
                </w:p>
              </w:tc>
              <w:tc>
                <w:tcPr>
                  <w:tcW w:w="2592" w:type="dxa"/>
                  <w:vAlign w:val="center"/>
                </w:tcPr>
                <w:p>
                  <w:pPr>
                    <w:jc w:val="center"/>
                    <w:rPr>
                      <w:szCs w:val="21"/>
                    </w:rPr>
                  </w:pPr>
                  <w:r>
                    <w:rPr>
                      <w:szCs w:val="21"/>
                    </w:rPr>
                    <w:t>北侧</w:t>
                  </w:r>
                </w:p>
              </w:tc>
              <w:tc>
                <w:tcPr>
                  <w:tcW w:w="1151" w:type="dxa"/>
                  <w:vAlign w:val="center"/>
                </w:tcPr>
                <w:p>
                  <w:pPr>
                    <w:jc w:val="center"/>
                    <w:rPr>
                      <w:szCs w:val="21"/>
                    </w:rPr>
                  </w:pPr>
                  <w:r>
                    <w:rPr>
                      <w:szCs w:val="21"/>
                    </w:rPr>
                    <w:t>12.8</w:t>
                  </w:r>
                </w:p>
              </w:tc>
              <w:tc>
                <w:tcPr>
                  <w:tcW w:w="1126" w:type="dxa"/>
                  <w:vAlign w:val="center"/>
                </w:tcPr>
                <w:p>
                  <w:pPr>
                    <w:jc w:val="center"/>
                    <w:rPr>
                      <w:szCs w:val="21"/>
                    </w:rPr>
                  </w:pPr>
                  <w:r>
                    <w:rPr>
                      <w:szCs w:val="21"/>
                    </w:rPr>
                    <w:t>0.018</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东侧</w:t>
                  </w:r>
                </w:p>
              </w:tc>
              <w:tc>
                <w:tcPr>
                  <w:tcW w:w="1151" w:type="dxa"/>
                  <w:vAlign w:val="center"/>
                </w:tcPr>
                <w:p>
                  <w:pPr>
                    <w:jc w:val="center"/>
                    <w:rPr>
                      <w:szCs w:val="21"/>
                    </w:rPr>
                  </w:pPr>
                  <w:r>
                    <w:rPr>
                      <w:szCs w:val="21"/>
                    </w:rPr>
                    <w:t>3.8</w:t>
                  </w:r>
                </w:p>
              </w:tc>
              <w:tc>
                <w:tcPr>
                  <w:tcW w:w="1126" w:type="dxa"/>
                  <w:vAlign w:val="center"/>
                </w:tcPr>
                <w:p>
                  <w:pPr>
                    <w:jc w:val="center"/>
                    <w:rPr>
                      <w:szCs w:val="21"/>
                    </w:rPr>
                  </w:pPr>
                  <w:r>
                    <w:rPr>
                      <w:szCs w:val="21"/>
                    </w:rPr>
                    <w:t>0.087</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南侧</w:t>
                  </w:r>
                </w:p>
              </w:tc>
              <w:tc>
                <w:tcPr>
                  <w:tcW w:w="1151" w:type="dxa"/>
                  <w:vAlign w:val="center"/>
                </w:tcPr>
                <w:p>
                  <w:pPr>
                    <w:jc w:val="center"/>
                    <w:rPr>
                      <w:szCs w:val="21"/>
                    </w:rPr>
                  </w:pPr>
                  <w:r>
                    <w:rPr>
                      <w:szCs w:val="21"/>
                    </w:rPr>
                    <w:t>60.5</w:t>
                  </w:r>
                </w:p>
              </w:tc>
              <w:tc>
                <w:tcPr>
                  <w:tcW w:w="1126" w:type="dxa"/>
                  <w:vAlign w:val="center"/>
                </w:tcPr>
                <w:p>
                  <w:pPr>
                    <w:jc w:val="center"/>
                    <w:rPr>
                      <w:szCs w:val="21"/>
                    </w:rPr>
                  </w:pPr>
                  <w:r>
                    <w:rPr>
                      <w:szCs w:val="21"/>
                    </w:rPr>
                    <w:t>0.561</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西侧（110kV出线）</w:t>
                  </w:r>
                </w:p>
              </w:tc>
              <w:tc>
                <w:tcPr>
                  <w:tcW w:w="1151" w:type="dxa"/>
                  <w:vAlign w:val="center"/>
                </w:tcPr>
                <w:p>
                  <w:pPr>
                    <w:jc w:val="center"/>
                    <w:rPr>
                      <w:szCs w:val="21"/>
                    </w:rPr>
                  </w:pPr>
                  <w:r>
                    <w:rPr>
                      <w:szCs w:val="21"/>
                    </w:rPr>
                    <w:t>415.3</w:t>
                  </w:r>
                </w:p>
              </w:tc>
              <w:tc>
                <w:tcPr>
                  <w:tcW w:w="1126" w:type="dxa"/>
                  <w:vAlign w:val="center"/>
                </w:tcPr>
                <w:p>
                  <w:pPr>
                    <w:jc w:val="center"/>
                    <w:rPr>
                      <w:szCs w:val="21"/>
                    </w:rPr>
                  </w:pPr>
                  <w:r>
                    <w:rPr>
                      <w:szCs w:val="21"/>
                    </w:rPr>
                    <w:t>0.480</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东北侧居民楼</w:t>
                  </w:r>
                </w:p>
              </w:tc>
              <w:tc>
                <w:tcPr>
                  <w:tcW w:w="1151" w:type="dxa"/>
                  <w:vAlign w:val="center"/>
                </w:tcPr>
                <w:p>
                  <w:pPr>
                    <w:jc w:val="center"/>
                    <w:rPr>
                      <w:szCs w:val="21"/>
                    </w:rPr>
                  </w:pPr>
                  <w:r>
                    <w:rPr>
                      <w:szCs w:val="21"/>
                    </w:rPr>
                    <w:t>1.1</w:t>
                  </w:r>
                </w:p>
              </w:tc>
              <w:tc>
                <w:tcPr>
                  <w:tcW w:w="1126" w:type="dxa"/>
                  <w:vAlign w:val="center"/>
                </w:tcPr>
                <w:p>
                  <w:pPr>
                    <w:jc w:val="center"/>
                    <w:rPr>
                      <w:szCs w:val="21"/>
                    </w:rPr>
                  </w:pPr>
                  <w:r>
                    <w:rPr>
                      <w:szCs w:val="21"/>
                    </w:rPr>
                    <w:t>0.020</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西北侧居民楼</w:t>
                  </w:r>
                </w:p>
              </w:tc>
              <w:tc>
                <w:tcPr>
                  <w:tcW w:w="1151" w:type="dxa"/>
                  <w:vAlign w:val="center"/>
                </w:tcPr>
                <w:p>
                  <w:pPr>
                    <w:jc w:val="center"/>
                    <w:rPr>
                      <w:szCs w:val="21"/>
                    </w:rPr>
                  </w:pPr>
                  <w:r>
                    <w:rPr>
                      <w:szCs w:val="21"/>
                    </w:rPr>
                    <w:t>11.2</w:t>
                  </w:r>
                </w:p>
              </w:tc>
              <w:tc>
                <w:tcPr>
                  <w:tcW w:w="1126" w:type="dxa"/>
                  <w:vAlign w:val="center"/>
                </w:tcPr>
                <w:p>
                  <w:pPr>
                    <w:jc w:val="center"/>
                    <w:rPr>
                      <w:szCs w:val="21"/>
                    </w:rPr>
                  </w:pPr>
                  <w:r>
                    <w:rPr>
                      <w:szCs w:val="21"/>
                    </w:rPr>
                    <w:t>0.095</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Cs w:val="21"/>
                    </w:rPr>
                  </w:pPr>
                  <w:r>
                    <w:rPr>
                      <w:szCs w:val="21"/>
                    </w:rPr>
                    <w:t>黄陂桥</w:t>
                  </w:r>
                </w:p>
                <w:p>
                  <w:pPr>
                    <w:jc w:val="center"/>
                    <w:rPr>
                      <w:szCs w:val="21"/>
                    </w:rPr>
                  </w:pPr>
                  <w:r>
                    <w:rPr>
                      <w:szCs w:val="21"/>
                    </w:rPr>
                    <w:t>110kV变电站</w:t>
                  </w:r>
                </w:p>
              </w:tc>
              <w:tc>
                <w:tcPr>
                  <w:tcW w:w="2592" w:type="dxa"/>
                  <w:vAlign w:val="center"/>
                </w:tcPr>
                <w:p>
                  <w:pPr>
                    <w:jc w:val="center"/>
                    <w:rPr>
                      <w:szCs w:val="21"/>
                    </w:rPr>
                  </w:pPr>
                  <w:r>
                    <w:rPr>
                      <w:szCs w:val="21"/>
                    </w:rPr>
                    <w:t>北侧</w:t>
                  </w:r>
                </w:p>
              </w:tc>
              <w:tc>
                <w:tcPr>
                  <w:tcW w:w="1151" w:type="dxa"/>
                  <w:vAlign w:val="center"/>
                </w:tcPr>
                <w:p>
                  <w:pPr>
                    <w:jc w:val="center"/>
                    <w:rPr>
                      <w:szCs w:val="21"/>
                    </w:rPr>
                  </w:pPr>
                  <w:r>
                    <w:rPr>
                      <w:szCs w:val="21"/>
                    </w:rPr>
                    <w:t>12.3</w:t>
                  </w:r>
                </w:p>
              </w:tc>
              <w:tc>
                <w:tcPr>
                  <w:tcW w:w="1126" w:type="dxa"/>
                  <w:vAlign w:val="center"/>
                </w:tcPr>
                <w:p>
                  <w:pPr>
                    <w:jc w:val="center"/>
                    <w:rPr>
                      <w:szCs w:val="21"/>
                    </w:rPr>
                  </w:pPr>
                  <w:r>
                    <w:rPr>
                      <w:szCs w:val="21"/>
                    </w:rPr>
                    <w:t>0.130</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东侧（110kV出线）</w:t>
                  </w:r>
                </w:p>
              </w:tc>
              <w:tc>
                <w:tcPr>
                  <w:tcW w:w="1151" w:type="dxa"/>
                  <w:vAlign w:val="center"/>
                </w:tcPr>
                <w:p>
                  <w:pPr>
                    <w:jc w:val="center"/>
                    <w:rPr>
                      <w:szCs w:val="21"/>
                    </w:rPr>
                  </w:pPr>
                  <w:r>
                    <w:rPr>
                      <w:szCs w:val="21"/>
                    </w:rPr>
                    <w:t>306.2</w:t>
                  </w:r>
                </w:p>
              </w:tc>
              <w:tc>
                <w:tcPr>
                  <w:tcW w:w="1126" w:type="dxa"/>
                  <w:vAlign w:val="center"/>
                </w:tcPr>
                <w:p>
                  <w:pPr>
                    <w:jc w:val="center"/>
                    <w:rPr>
                      <w:szCs w:val="21"/>
                    </w:rPr>
                  </w:pPr>
                  <w:r>
                    <w:rPr>
                      <w:szCs w:val="21"/>
                    </w:rPr>
                    <w:t>0.083</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西侧</w:t>
                  </w:r>
                </w:p>
              </w:tc>
              <w:tc>
                <w:tcPr>
                  <w:tcW w:w="1151" w:type="dxa"/>
                  <w:vAlign w:val="center"/>
                </w:tcPr>
                <w:p>
                  <w:pPr>
                    <w:jc w:val="center"/>
                    <w:rPr>
                      <w:szCs w:val="21"/>
                    </w:rPr>
                  </w:pPr>
                  <w:r>
                    <w:rPr>
                      <w:szCs w:val="21"/>
                    </w:rPr>
                    <w:t>1.8</w:t>
                  </w:r>
                </w:p>
              </w:tc>
              <w:tc>
                <w:tcPr>
                  <w:tcW w:w="1126" w:type="dxa"/>
                  <w:vAlign w:val="center"/>
                </w:tcPr>
                <w:p>
                  <w:pPr>
                    <w:jc w:val="center"/>
                    <w:rPr>
                      <w:szCs w:val="21"/>
                    </w:rPr>
                  </w:pPr>
                  <w:r>
                    <w:rPr>
                      <w:szCs w:val="21"/>
                    </w:rPr>
                    <w:t>0.094</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南侧</w:t>
                  </w:r>
                </w:p>
              </w:tc>
              <w:tc>
                <w:tcPr>
                  <w:tcW w:w="1151" w:type="dxa"/>
                  <w:vAlign w:val="center"/>
                </w:tcPr>
                <w:p>
                  <w:pPr>
                    <w:jc w:val="center"/>
                    <w:rPr>
                      <w:szCs w:val="21"/>
                    </w:rPr>
                  </w:pPr>
                  <w:r>
                    <w:rPr>
                      <w:szCs w:val="21"/>
                    </w:rPr>
                    <w:t>17.4</w:t>
                  </w:r>
                </w:p>
              </w:tc>
              <w:tc>
                <w:tcPr>
                  <w:tcW w:w="1126" w:type="dxa"/>
                  <w:vAlign w:val="center"/>
                </w:tcPr>
                <w:p>
                  <w:pPr>
                    <w:jc w:val="center"/>
                    <w:rPr>
                      <w:szCs w:val="21"/>
                    </w:rPr>
                  </w:pPr>
                  <w:r>
                    <w:rPr>
                      <w:szCs w:val="21"/>
                    </w:rPr>
                    <w:t>0.053</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Cs w:val="21"/>
                    </w:rPr>
                  </w:pPr>
                  <w:r>
                    <w:rPr>
                      <w:szCs w:val="21"/>
                    </w:rPr>
                    <w:t>大岭</w:t>
                  </w:r>
                </w:p>
                <w:p>
                  <w:pPr>
                    <w:jc w:val="center"/>
                    <w:rPr>
                      <w:szCs w:val="21"/>
                    </w:rPr>
                  </w:pPr>
                  <w:r>
                    <w:rPr>
                      <w:szCs w:val="21"/>
                    </w:rPr>
                    <w:t>110kV变电站</w:t>
                  </w:r>
                </w:p>
              </w:tc>
              <w:tc>
                <w:tcPr>
                  <w:tcW w:w="2592" w:type="dxa"/>
                  <w:vAlign w:val="center"/>
                </w:tcPr>
                <w:p>
                  <w:pPr>
                    <w:jc w:val="center"/>
                    <w:rPr>
                      <w:szCs w:val="21"/>
                    </w:rPr>
                  </w:pPr>
                  <w:r>
                    <w:rPr>
                      <w:szCs w:val="21"/>
                    </w:rPr>
                    <w:t>北侧</w:t>
                  </w:r>
                </w:p>
              </w:tc>
              <w:tc>
                <w:tcPr>
                  <w:tcW w:w="1151" w:type="dxa"/>
                  <w:vAlign w:val="center"/>
                </w:tcPr>
                <w:p>
                  <w:pPr>
                    <w:jc w:val="center"/>
                    <w:rPr>
                      <w:szCs w:val="21"/>
                    </w:rPr>
                  </w:pPr>
                  <w:r>
                    <w:rPr>
                      <w:szCs w:val="21"/>
                    </w:rPr>
                    <w:t>4.4</w:t>
                  </w:r>
                </w:p>
              </w:tc>
              <w:tc>
                <w:tcPr>
                  <w:tcW w:w="1126" w:type="dxa"/>
                  <w:vAlign w:val="center"/>
                </w:tcPr>
                <w:p>
                  <w:pPr>
                    <w:jc w:val="center"/>
                    <w:rPr>
                      <w:szCs w:val="21"/>
                    </w:rPr>
                  </w:pPr>
                  <w:r>
                    <w:rPr>
                      <w:szCs w:val="21"/>
                    </w:rPr>
                    <w:t>0.196</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东侧</w:t>
                  </w:r>
                </w:p>
              </w:tc>
              <w:tc>
                <w:tcPr>
                  <w:tcW w:w="1151" w:type="dxa"/>
                  <w:vAlign w:val="center"/>
                </w:tcPr>
                <w:p>
                  <w:pPr>
                    <w:jc w:val="center"/>
                    <w:rPr>
                      <w:szCs w:val="21"/>
                    </w:rPr>
                  </w:pPr>
                  <w:r>
                    <w:rPr>
                      <w:szCs w:val="21"/>
                    </w:rPr>
                    <w:t>9.4</w:t>
                  </w:r>
                </w:p>
              </w:tc>
              <w:tc>
                <w:tcPr>
                  <w:tcW w:w="1126" w:type="dxa"/>
                  <w:vAlign w:val="center"/>
                </w:tcPr>
                <w:p>
                  <w:pPr>
                    <w:jc w:val="center"/>
                    <w:rPr>
                      <w:szCs w:val="21"/>
                    </w:rPr>
                  </w:pPr>
                  <w:r>
                    <w:rPr>
                      <w:szCs w:val="21"/>
                    </w:rPr>
                    <w:t>0.061</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西侧</w:t>
                  </w:r>
                </w:p>
              </w:tc>
              <w:tc>
                <w:tcPr>
                  <w:tcW w:w="1151" w:type="dxa"/>
                  <w:vAlign w:val="center"/>
                </w:tcPr>
                <w:p>
                  <w:pPr>
                    <w:jc w:val="center"/>
                    <w:rPr>
                      <w:szCs w:val="21"/>
                    </w:rPr>
                  </w:pPr>
                  <w:r>
                    <w:rPr>
                      <w:szCs w:val="21"/>
                    </w:rPr>
                    <w:t>2.3</w:t>
                  </w:r>
                </w:p>
              </w:tc>
              <w:tc>
                <w:tcPr>
                  <w:tcW w:w="1126" w:type="dxa"/>
                  <w:vAlign w:val="center"/>
                </w:tcPr>
                <w:p>
                  <w:pPr>
                    <w:jc w:val="center"/>
                    <w:rPr>
                      <w:szCs w:val="21"/>
                    </w:rPr>
                  </w:pPr>
                  <w:r>
                    <w:rPr>
                      <w:szCs w:val="21"/>
                    </w:rPr>
                    <w:t>0.089</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南侧（110kV出线）</w:t>
                  </w:r>
                </w:p>
              </w:tc>
              <w:tc>
                <w:tcPr>
                  <w:tcW w:w="1151" w:type="dxa"/>
                  <w:vAlign w:val="center"/>
                </w:tcPr>
                <w:p>
                  <w:pPr>
                    <w:jc w:val="center"/>
                    <w:rPr>
                      <w:szCs w:val="21"/>
                    </w:rPr>
                  </w:pPr>
                  <w:r>
                    <w:rPr>
                      <w:szCs w:val="21"/>
                    </w:rPr>
                    <w:t>413.7</w:t>
                  </w:r>
                </w:p>
              </w:tc>
              <w:tc>
                <w:tcPr>
                  <w:tcW w:w="1126" w:type="dxa"/>
                  <w:vAlign w:val="center"/>
                </w:tcPr>
                <w:p>
                  <w:pPr>
                    <w:jc w:val="center"/>
                    <w:rPr>
                      <w:szCs w:val="21"/>
                    </w:rPr>
                  </w:pPr>
                  <w:r>
                    <w:rPr>
                      <w:szCs w:val="21"/>
                    </w:rPr>
                    <w:t>0.369</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东侧居民楼Ⅰ</w:t>
                  </w:r>
                </w:p>
              </w:tc>
              <w:tc>
                <w:tcPr>
                  <w:tcW w:w="1151" w:type="dxa"/>
                  <w:vAlign w:val="center"/>
                </w:tcPr>
                <w:p>
                  <w:pPr>
                    <w:jc w:val="center"/>
                    <w:rPr>
                      <w:szCs w:val="21"/>
                    </w:rPr>
                  </w:pPr>
                  <w:r>
                    <w:rPr>
                      <w:szCs w:val="21"/>
                    </w:rPr>
                    <w:t>0.8</w:t>
                  </w:r>
                </w:p>
              </w:tc>
              <w:tc>
                <w:tcPr>
                  <w:tcW w:w="1126" w:type="dxa"/>
                  <w:vAlign w:val="center"/>
                </w:tcPr>
                <w:p>
                  <w:pPr>
                    <w:jc w:val="center"/>
                    <w:rPr>
                      <w:szCs w:val="21"/>
                    </w:rPr>
                  </w:pPr>
                  <w:r>
                    <w:rPr>
                      <w:szCs w:val="21"/>
                    </w:rPr>
                    <w:t>0.024</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东侧居民楼Ⅱ</w:t>
                  </w:r>
                </w:p>
              </w:tc>
              <w:tc>
                <w:tcPr>
                  <w:tcW w:w="1151" w:type="dxa"/>
                  <w:vAlign w:val="center"/>
                </w:tcPr>
                <w:p>
                  <w:pPr>
                    <w:jc w:val="center"/>
                    <w:rPr>
                      <w:szCs w:val="21"/>
                    </w:rPr>
                  </w:pPr>
                  <w:r>
                    <w:rPr>
                      <w:szCs w:val="21"/>
                    </w:rPr>
                    <w:t>3.5</w:t>
                  </w:r>
                </w:p>
              </w:tc>
              <w:tc>
                <w:tcPr>
                  <w:tcW w:w="1126" w:type="dxa"/>
                  <w:vAlign w:val="center"/>
                </w:tcPr>
                <w:p>
                  <w:pPr>
                    <w:jc w:val="center"/>
                    <w:rPr>
                      <w:szCs w:val="21"/>
                    </w:rPr>
                  </w:pPr>
                  <w:r>
                    <w:rPr>
                      <w:szCs w:val="21"/>
                    </w:rPr>
                    <w:t>0.036</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南侧居民楼Ⅰ</w:t>
                  </w:r>
                </w:p>
              </w:tc>
              <w:tc>
                <w:tcPr>
                  <w:tcW w:w="1151" w:type="dxa"/>
                  <w:vAlign w:val="center"/>
                </w:tcPr>
                <w:p>
                  <w:pPr>
                    <w:jc w:val="center"/>
                    <w:rPr>
                      <w:szCs w:val="21"/>
                    </w:rPr>
                  </w:pPr>
                  <w:r>
                    <w:rPr>
                      <w:szCs w:val="21"/>
                    </w:rPr>
                    <w:t>135.1</w:t>
                  </w:r>
                </w:p>
              </w:tc>
              <w:tc>
                <w:tcPr>
                  <w:tcW w:w="1126" w:type="dxa"/>
                  <w:vAlign w:val="center"/>
                </w:tcPr>
                <w:p>
                  <w:pPr>
                    <w:jc w:val="center"/>
                    <w:rPr>
                      <w:szCs w:val="21"/>
                    </w:rPr>
                  </w:pPr>
                  <w:r>
                    <w:rPr>
                      <w:szCs w:val="21"/>
                    </w:rPr>
                    <w:t>0.258</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南侧居民楼Ⅱ</w:t>
                  </w:r>
                </w:p>
              </w:tc>
              <w:tc>
                <w:tcPr>
                  <w:tcW w:w="1151" w:type="dxa"/>
                  <w:vAlign w:val="center"/>
                </w:tcPr>
                <w:p>
                  <w:pPr>
                    <w:jc w:val="center"/>
                    <w:rPr>
                      <w:szCs w:val="21"/>
                    </w:rPr>
                  </w:pPr>
                  <w:r>
                    <w:rPr>
                      <w:szCs w:val="21"/>
                    </w:rPr>
                    <w:t>1.3</w:t>
                  </w:r>
                </w:p>
              </w:tc>
              <w:tc>
                <w:tcPr>
                  <w:tcW w:w="1126" w:type="dxa"/>
                  <w:vAlign w:val="center"/>
                </w:tcPr>
                <w:p>
                  <w:pPr>
                    <w:jc w:val="center"/>
                    <w:rPr>
                      <w:szCs w:val="21"/>
                    </w:rPr>
                  </w:pPr>
                  <w:r>
                    <w:rPr>
                      <w:szCs w:val="21"/>
                    </w:rPr>
                    <w:t>0.023</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西侧居民楼Ⅰ</w:t>
                  </w:r>
                </w:p>
              </w:tc>
              <w:tc>
                <w:tcPr>
                  <w:tcW w:w="1151" w:type="dxa"/>
                  <w:vAlign w:val="center"/>
                </w:tcPr>
                <w:p>
                  <w:pPr>
                    <w:jc w:val="center"/>
                    <w:rPr>
                      <w:szCs w:val="21"/>
                    </w:rPr>
                  </w:pPr>
                  <w:r>
                    <w:rPr>
                      <w:szCs w:val="21"/>
                    </w:rPr>
                    <w:t>6.7</w:t>
                  </w:r>
                </w:p>
              </w:tc>
              <w:tc>
                <w:tcPr>
                  <w:tcW w:w="1126" w:type="dxa"/>
                  <w:vAlign w:val="center"/>
                </w:tcPr>
                <w:p>
                  <w:pPr>
                    <w:jc w:val="center"/>
                    <w:rPr>
                      <w:szCs w:val="21"/>
                    </w:rPr>
                  </w:pPr>
                  <w:r>
                    <w:rPr>
                      <w:szCs w:val="21"/>
                    </w:rPr>
                    <w:t>0.060</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szCs w:val="21"/>
                    </w:rPr>
                    <w:t>西侧居民楼Ⅱ</w:t>
                  </w:r>
                </w:p>
              </w:tc>
              <w:tc>
                <w:tcPr>
                  <w:tcW w:w="1151" w:type="dxa"/>
                  <w:vAlign w:val="center"/>
                </w:tcPr>
                <w:p>
                  <w:pPr>
                    <w:jc w:val="center"/>
                    <w:rPr>
                      <w:szCs w:val="21"/>
                    </w:rPr>
                  </w:pPr>
                  <w:r>
                    <w:rPr>
                      <w:szCs w:val="21"/>
                    </w:rPr>
                    <w:t>6.3</w:t>
                  </w:r>
                </w:p>
              </w:tc>
              <w:tc>
                <w:tcPr>
                  <w:tcW w:w="1126" w:type="dxa"/>
                  <w:vAlign w:val="center"/>
                </w:tcPr>
                <w:p>
                  <w:pPr>
                    <w:jc w:val="center"/>
                    <w:rPr>
                      <w:szCs w:val="21"/>
                    </w:rPr>
                  </w:pPr>
                  <w:r>
                    <w:rPr>
                      <w:szCs w:val="21"/>
                    </w:rPr>
                    <w:t>0.062</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restart"/>
                  <w:vAlign w:val="center"/>
                </w:tcPr>
                <w:p>
                  <w:pPr>
                    <w:jc w:val="center"/>
                    <w:rPr>
                      <w:szCs w:val="21"/>
                    </w:rPr>
                  </w:pPr>
                  <w:r>
                    <w:rPr>
                      <w:szCs w:val="21"/>
                    </w:rPr>
                    <w:t>六岭110kV变电站</w:t>
                  </w:r>
                </w:p>
              </w:tc>
              <w:tc>
                <w:tcPr>
                  <w:tcW w:w="2592" w:type="dxa"/>
                  <w:vAlign w:val="center"/>
                </w:tcPr>
                <w:p>
                  <w:pPr>
                    <w:jc w:val="center"/>
                    <w:rPr>
                      <w:rFonts w:hint="eastAsia"/>
                      <w:szCs w:val="21"/>
                    </w:rPr>
                  </w:pPr>
                  <w:r>
                    <w:rPr>
                      <w:szCs w:val="21"/>
                    </w:rPr>
                    <w:t>东侧</w:t>
                  </w:r>
                  <w:r>
                    <w:rPr>
                      <w:rFonts w:hint="eastAsia"/>
                      <w:szCs w:val="21"/>
                    </w:rPr>
                    <w:t>*</w:t>
                  </w:r>
                </w:p>
              </w:tc>
              <w:tc>
                <w:tcPr>
                  <w:tcW w:w="1151" w:type="dxa"/>
                  <w:vAlign w:val="center"/>
                </w:tcPr>
                <w:p>
                  <w:pPr>
                    <w:jc w:val="center"/>
                    <w:rPr>
                      <w:szCs w:val="21"/>
                    </w:rPr>
                  </w:pPr>
                  <w:r>
                    <w:rPr>
                      <w:szCs w:val="21"/>
                    </w:rPr>
                    <w:t>0.1</w:t>
                  </w:r>
                </w:p>
              </w:tc>
              <w:tc>
                <w:tcPr>
                  <w:tcW w:w="1126" w:type="dxa"/>
                  <w:vAlign w:val="center"/>
                </w:tcPr>
                <w:p>
                  <w:pPr>
                    <w:jc w:val="center"/>
                    <w:rPr>
                      <w:szCs w:val="21"/>
                    </w:rPr>
                  </w:pPr>
                  <w:r>
                    <w:rPr>
                      <w:szCs w:val="21"/>
                    </w:rPr>
                    <w:t>0.017</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rFonts w:hint="eastAsia"/>
                      <w:szCs w:val="21"/>
                    </w:rPr>
                  </w:pPr>
                  <w:r>
                    <w:rPr>
                      <w:szCs w:val="21"/>
                    </w:rPr>
                    <w:t>南侧</w:t>
                  </w:r>
                  <w:r>
                    <w:rPr>
                      <w:rFonts w:hint="eastAsia"/>
                      <w:szCs w:val="21"/>
                    </w:rPr>
                    <w:t>*</w:t>
                  </w:r>
                </w:p>
              </w:tc>
              <w:tc>
                <w:tcPr>
                  <w:tcW w:w="1151" w:type="dxa"/>
                  <w:vAlign w:val="center"/>
                </w:tcPr>
                <w:p>
                  <w:pPr>
                    <w:jc w:val="center"/>
                    <w:rPr>
                      <w:szCs w:val="21"/>
                    </w:rPr>
                  </w:pPr>
                  <w:r>
                    <w:rPr>
                      <w:szCs w:val="21"/>
                    </w:rPr>
                    <w:t>0.1</w:t>
                  </w:r>
                </w:p>
              </w:tc>
              <w:tc>
                <w:tcPr>
                  <w:tcW w:w="1126" w:type="dxa"/>
                  <w:vAlign w:val="center"/>
                </w:tcPr>
                <w:p>
                  <w:pPr>
                    <w:jc w:val="center"/>
                    <w:rPr>
                      <w:szCs w:val="21"/>
                    </w:rPr>
                  </w:pPr>
                  <w:r>
                    <w:rPr>
                      <w:szCs w:val="21"/>
                    </w:rPr>
                    <w:t>0.007</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rFonts w:hint="eastAsia"/>
                      <w:szCs w:val="21"/>
                    </w:rPr>
                  </w:pPr>
                  <w:r>
                    <w:rPr>
                      <w:szCs w:val="21"/>
                    </w:rPr>
                    <w:t>西侧</w:t>
                  </w:r>
                  <w:r>
                    <w:rPr>
                      <w:rFonts w:hint="eastAsia"/>
                      <w:szCs w:val="21"/>
                    </w:rPr>
                    <w:t>*</w:t>
                  </w:r>
                </w:p>
              </w:tc>
              <w:tc>
                <w:tcPr>
                  <w:tcW w:w="1151" w:type="dxa"/>
                  <w:vAlign w:val="center"/>
                </w:tcPr>
                <w:p>
                  <w:pPr>
                    <w:jc w:val="center"/>
                    <w:rPr>
                      <w:szCs w:val="21"/>
                    </w:rPr>
                  </w:pPr>
                  <w:r>
                    <w:rPr>
                      <w:szCs w:val="21"/>
                    </w:rPr>
                    <w:t>0.2</w:t>
                  </w:r>
                </w:p>
              </w:tc>
              <w:tc>
                <w:tcPr>
                  <w:tcW w:w="1126" w:type="dxa"/>
                  <w:vAlign w:val="center"/>
                </w:tcPr>
                <w:p>
                  <w:pPr>
                    <w:jc w:val="center"/>
                    <w:rPr>
                      <w:szCs w:val="21"/>
                    </w:rPr>
                  </w:pPr>
                  <w:r>
                    <w:rPr>
                      <w:szCs w:val="21"/>
                    </w:rPr>
                    <w:t>0.005</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rFonts w:hint="eastAsia"/>
                      <w:szCs w:val="21"/>
                    </w:rPr>
                  </w:pPr>
                  <w:r>
                    <w:rPr>
                      <w:szCs w:val="21"/>
                    </w:rPr>
                    <w:t>北侧</w:t>
                  </w:r>
                  <w:r>
                    <w:rPr>
                      <w:rFonts w:hint="eastAsia"/>
                      <w:szCs w:val="21"/>
                    </w:rPr>
                    <w:t>*</w:t>
                  </w:r>
                </w:p>
              </w:tc>
              <w:tc>
                <w:tcPr>
                  <w:tcW w:w="1151" w:type="dxa"/>
                  <w:vAlign w:val="center"/>
                </w:tcPr>
                <w:p>
                  <w:pPr>
                    <w:jc w:val="center"/>
                    <w:rPr>
                      <w:szCs w:val="21"/>
                    </w:rPr>
                  </w:pPr>
                  <w:r>
                    <w:rPr>
                      <w:szCs w:val="21"/>
                    </w:rPr>
                    <w:t>0.1</w:t>
                  </w:r>
                </w:p>
              </w:tc>
              <w:tc>
                <w:tcPr>
                  <w:tcW w:w="1126" w:type="dxa"/>
                  <w:vAlign w:val="center"/>
                </w:tcPr>
                <w:p>
                  <w:pPr>
                    <w:jc w:val="center"/>
                    <w:rPr>
                      <w:szCs w:val="21"/>
                    </w:rPr>
                  </w:pPr>
                  <w:r>
                    <w:rPr>
                      <w:szCs w:val="21"/>
                    </w:rPr>
                    <w:t>0.004</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rFonts w:hint="eastAsia"/>
                      <w:szCs w:val="21"/>
                    </w:rPr>
                  </w:pPr>
                  <w:r>
                    <w:rPr>
                      <w:szCs w:val="21"/>
                    </w:rPr>
                    <w:t>东北侧六岭小学</w:t>
                  </w:r>
                  <w:r>
                    <w:rPr>
                      <w:rFonts w:hint="eastAsia"/>
                      <w:szCs w:val="21"/>
                    </w:rPr>
                    <w:t>*</w:t>
                  </w:r>
                </w:p>
              </w:tc>
              <w:tc>
                <w:tcPr>
                  <w:tcW w:w="1151" w:type="dxa"/>
                  <w:vAlign w:val="center"/>
                </w:tcPr>
                <w:p>
                  <w:pPr>
                    <w:jc w:val="center"/>
                    <w:rPr>
                      <w:szCs w:val="21"/>
                    </w:rPr>
                  </w:pPr>
                  <w:r>
                    <w:rPr>
                      <w:szCs w:val="21"/>
                    </w:rPr>
                    <w:t>0.2</w:t>
                  </w:r>
                </w:p>
              </w:tc>
              <w:tc>
                <w:tcPr>
                  <w:tcW w:w="1126" w:type="dxa"/>
                  <w:vAlign w:val="center"/>
                </w:tcPr>
                <w:p>
                  <w:pPr>
                    <w:jc w:val="center"/>
                    <w:rPr>
                      <w:szCs w:val="21"/>
                    </w:rPr>
                  </w:pPr>
                  <w:r>
                    <w:rPr>
                      <w:szCs w:val="21"/>
                    </w:rPr>
                    <w:t>0.024</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rFonts w:hint="eastAsia"/>
                      <w:szCs w:val="21"/>
                    </w:rPr>
                    <w:t>西侧两层住宅</w:t>
                  </w:r>
                </w:p>
              </w:tc>
              <w:tc>
                <w:tcPr>
                  <w:tcW w:w="1151" w:type="dxa"/>
                  <w:vAlign w:val="center"/>
                </w:tcPr>
                <w:p>
                  <w:pPr>
                    <w:jc w:val="center"/>
                    <w:rPr>
                      <w:szCs w:val="21"/>
                    </w:rPr>
                  </w:pPr>
                  <w:r>
                    <w:rPr>
                      <w:rFonts w:hint="eastAsia"/>
                      <w:szCs w:val="21"/>
                    </w:rPr>
                    <w:t>0.2</w:t>
                  </w:r>
                </w:p>
              </w:tc>
              <w:tc>
                <w:tcPr>
                  <w:tcW w:w="1126" w:type="dxa"/>
                  <w:vAlign w:val="center"/>
                </w:tcPr>
                <w:p>
                  <w:pPr>
                    <w:jc w:val="center"/>
                    <w:rPr>
                      <w:szCs w:val="21"/>
                    </w:rPr>
                  </w:pPr>
                  <w:r>
                    <w:rPr>
                      <w:rFonts w:hint="eastAsia"/>
                      <w:szCs w:val="21"/>
                    </w:rPr>
                    <w:t>0.004</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rFonts w:hint="eastAsia"/>
                      <w:szCs w:val="21"/>
                    </w:rPr>
                    <w:t>东北侧拟建29层住宅小区</w:t>
                  </w:r>
                </w:p>
              </w:tc>
              <w:tc>
                <w:tcPr>
                  <w:tcW w:w="1151" w:type="dxa"/>
                  <w:vAlign w:val="center"/>
                </w:tcPr>
                <w:p>
                  <w:pPr>
                    <w:jc w:val="center"/>
                    <w:rPr>
                      <w:szCs w:val="21"/>
                    </w:rPr>
                  </w:pPr>
                  <w:r>
                    <w:rPr>
                      <w:rFonts w:hint="eastAsia"/>
                      <w:szCs w:val="21"/>
                    </w:rPr>
                    <w:t>0.1</w:t>
                  </w:r>
                </w:p>
              </w:tc>
              <w:tc>
                <w:tcPr>
                  <w:tcW w:w="1126" w:type="dxa"/>
                  <w:vAlign w:val="center"/>
                </w:tcPr>
                <w:p>
                  <w:pPr>
                    <w:jc w:val="center"/>
                    <w:rPr>
                      <w:szCs w:val="21"/>
                    </w:rPr>
                  </w:pPr>
                  <w:r>
                    <w:rPr>
                      <w:rFonts w:hint="eastAsia"/>
                      <w:szCs w:val="21"/>
                    </w:rPr>
                    <w:t>0.028</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092" w:type="dxa"/>
                  <w:vMerge w:val="continue"/>
                  <w:vAlign w:val="center"/>
                </w:tcPr>
                <w:p>
                  <w:pPr>
                    <w:jc w:val="center"/>
                    <w:rPr>
                      <w:szCs w:val="21"/>
                    </w:rPr>
                  </w:pPr>
                </w:p>
              </w:tc>
              <w:tc>
                <w:tcPr>
                  <w:tcW w:w="2592" w:type="dxa"/>
                  <w:vAlign w:val="center"/>
                </w:tcPr>
                <w:p>
                  <w:pPr>
                    <w:jc w:val="center"/>
                    <w:rPr>
                      <w:szCs w:val="21"/>
                    </w:rPr>
                  </w:pPr>
                  <w:r>
                    <w:rPr>
                      <w:rFonts w:hint="eastAsia"/>
                      <w:szCs w:val="21"/>
                    </w:rPr>
                    <w:t>南侧拟建27层住宅小区</w:t>
                  </w:r>
                </w:p>
              </w:tc>
              <w:tc>
                <w:tcPr>
                  <w:tcW w:w="1151" w:type="dxa"/>
                  <w:vAlign w:val="center"/>
                </w:tcPr>
                <w:p>
                  <w:pPr>
                    <w:jc w:val="center"/>
                    <w:rPr>
                      <w:szCs w:val="21"/>
                    </w:rPr>
                  </w:pPr>
                  <w:r>
                    <w:rPr>
                      <w:rFonts w:hint="eastAsia"/>
                      <w:szCs w:val="21"/>
                    </w:rPr>
                    <w:t>0.1</w:t>
                  </w:r>
                </w:p>
              </w:tc>
              <w:tc>
                <w:tcPr>
                  <w:tcW w:w="1126" w:type="dxa"/>
                  <w:vAlign w:val="center"/>
                </w:tcPr>
                <w:p>
                  <w:pPr>
                    <w:jc w:val="center"/>
                    <w:rPr>
                      <w:szCs w:val="21"/>
                    </w:rPr>
                  </w:pPr>
                  <w:r>
                    <w:rPr>
                      <w:rFonts w:hint="eastAsia"/>
                      <w:szCs w:val="21"/>
                    </w:rPr>
                    <w:t>0.008</w:t>
                  </w:r>
                </w:p>
              </w:tc>
              <w:tc>
                <w:tcPr>
                  <w:tcW w:w="1126" w:type="dxa"/>
                  <w:vAlign w:val="center"/>
                </w:tcPr>
                <w:p>
                  <w:pPr>
                    <w:ind w:right="-3"/>
                    <w:jc w:val="center"/>
                    <w:rPr>
                      <w:szCs w:val="21"/>
                    </w:rPr>
                  </w:pPr>
                  <w:r>
                    <w:rPr>
                      <w:szCs w:val="21"/>
                    </w:rPr>
                    <w:t>4000</w:t>
                  </w:r>
                </w:p>
              </w:tc>
              <w:tc>
                <w:tcPr>
                  <w:tcW w:w="1124" w:type="dxa"/>
                  <w:vAlign w:val="center"/>
                </w:tcPr>
                <w:p>
                  <w:pPr>
                    <w:ind w:right="-3"/>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9211" w:type="dxa"/>
                  <w:gridSpan w:val="6"/>
                  <w:vAlign w:val="center"/>
                </w:tcPr>
                <w:p>
                  <w:pPr>
                    <w:jc w:val="center"/>
                    <w:rPr>
                      <w:szCs w:val="21"/>
                    </w:rPr>
                  </w:pPr>
                  <w:r>
                    <w:rPr>
                      <w:szCs w:val="21"/>
                    </w:rPr>
                    <w:t>监测时间： 2017年4月17日~22日，阴，温度21.0℃~23.8℃，相对湿度67.1%~69.0%</w:t>
                  </w:r>
                </w:p>
              </w:tc>
            </w:tr>
          </w:tbl>
          <w:p>
            <w:pPr>
              <w:spacing w:before="156" w:beforeLines="50" w:line="360" w:lineRule="auto"/>
              <w:rPr>
                <w:rFonts w:hint="eastAsia"/>
                <w:sz w:val="18"/>
                <w:szCs w:val="18"/>
              </w:rPr>
            </w:pPr>
            <w:r>
              <w:rPr>
                <w:rFonts w:hint="eastAsia"/>
                <w:sz w:val="18"/>
                <w:szCs w:val="18"/>
              </w:rPr>
              <w:t>*注：</w:t>
            </w:r>
            <w:r>
              <w:rPr>
                <w:sz w:val="18"/>
                <w:szCs w:val="18"/>
              </w:rPr>
              <w:t>六岭110kV变电站</w:t>
            </w:r>
            <w:r>
              <w:rPr>
                <w:rFonts w:hint="eastAsia"/>
                <w:sz w:val="18"/>
                <w:szCs w:val="18"/>
              </w:rPr>
              <w:t>各厂界、东北侧六岭小学电磁环境现状监测数据引用自通过省环保厅审批的环评报告《邵阳市2015年第一批输变电工程环境影响报告表》</w:t>
            </w:r>
          </w:p>
          <w:p>
            <w:pPr>
              <w:spacing w:before="156" w:beforeLines="50" w:line="360" w:lineRule="auto"/>
              <w:ind w:left="1" w:firstLine="560" w:firstLineChars="200"/>
              <w:rPr>
                <w:sz w:val="28"/>
              </w:rPr>
            </w:pPr>
            <w:r>
              <w:rPr>
                <w:sz w:val="28"/>
              </w:rPr>
              <w:t>由表7可知，</w:t>
            </w:r>
            <w:r>
              <w:rPr>
                <w:sz w:val="28"/>
                <w:szCs w:val="28"/>
              </w:rPr>
              <w:t>邵阳市2017年第一批输变电工程中新建及扩建变电站厂界及厂界周围环境保护目标工频电场强度、磁场强度最大值分别为415.3V/m、0.561μT，满足《电磁环境控制限值》（GB 8702-2014）工频电场强度4000V/m、工频磁感应强度100μT的限值标准要求。</w:t>
            </w:r>
          </w:p>
          <w:p>
            <w:pPr>
              <w:spacing w:line="360" w:lineRule="auto"/>
              <w:rPr>
                <w:bCs/>
                <w:sz w:val="28"/>
                <w:szCs w:val="28"/>
              </w:rPr>
            </w:pPr>
            <w:r>
              <w:rPr>
                <w:bCs/>
                <w:sz w:val="28"/>
                <w:szCs w:val="28"/>
              </w:rPr>
              <w:t>1.2 送电线路</w:t>
            </w:r>
          </w:p>
          <w:p>
            <w:pPr>
              <w:spacing w:before="156" w:beforeLines="50" w:line="360" w:lineRule="auto"/>
              <w:ind w:firstLine="560" w:firstLineChars="200"/>
              <w:rPr>
                <w:sz w:val="28"/>
              </w:rPr>
            </w:pPr>
            <w:r>
              <w:rPr>
                <w:sz w:val="28"/>
              </w:rPr>
              <w:t>本报告表中包含</w:t>
            </w:r>
            <w:r>
              <w:rPr>
                <w:iCs/>
                <w:sz w:val="28"/>
                <w:szCs w:val="28"/>
              </w:rPr>
              <w:t>邵阳隆回县城东110kV输变电工程配套线路、邵阳宝莲二期风电110kV送出工程、邵阳大唐华银绥宁宝鼎山风电二期三期110kV送出工程、隆回金坪110kV风电送出工程及邵阳六岭110kV输变电工程配套线路</w:t>
            </w:r>
            <w:r>
              <w:rPr>
                <w:sz w:val="28"/>
              </w:rPr>
              <w:t>，按照《环境影响评价技术导则 输变电工程》（HJ 24-2014）中规定及对设计部门提供资料的分析和现场踏勘，根据现场实际情况，对线路评价范围内的环境敏感点进行背景值监测。监测布点见附图</w:t>
            </w:r>
            <w:r>
              <w:rPr>
                <w:sz w:val="28"/>
                <w:szCs w:val="28"/>
              </w:rPr>
              <w:t>1-附图9。</w:t>
            </w:r>
          </w:p>
          <w:p>
            <w:pPr>
              <w:spacing w:line="360" w:lineRule="auto"/>
              <w:ind w:firstLine="560" w:firstLineChars="200"/>
              <w:rPr>
                <w:sz w:val="28"/>
                <w:szCs w:val="28"/>
              </w:rPr>
            </w:pPr>
            <w:r>
              <w:rPr>
                <w:sz w:val="28"/>
                <w:szCs w:val="28"/>
              </w:rPr>
              <w:t>监测仪器和方法：与</w:t>
            </w:r>
            <w:r>
              <w:rPr>
                <w:sz w:val="28"/>
              </w:rPr>
              <w:t>变电站</w:t>
            </w:r>
            <w:r>
              <w:rPr>
                <w:sz w:val="28"/>
                <w:szCs w:val="28"/>
              </w:rPr>
              <w:t>监测仪器和方法相同。</w:t>
            </w:r>
          </w:p>
          <w:p>
            <w:pPr>
              <w:spacing w:before="156" w:beforeLines="50" w:line="360" w:lineRule="auto"/>
              <w:rPr>
                <w:sz w:val="28"/>
              </w:rPr>
            </w:pPr>
            <w:r>
              <w:rPr>
                <w:sz w:val="28"/>
              </w:rPr>
              <w:t>1.2.1 监测结果</w:t>
            </w:r>
          </w:p>
          <w:p>
            <w:pPr>
              <w:spacing w:before="156" w:beforeLines="50" w:line="360" w:lineRule="auto"/>
              <w:ind w:firstLine="560" w:firstLineChars="200"/>
              <w:rPr>
                <w:rFonts w:hint="eastAsia"/>
                <w:sz w:val="28"/>
              </w:rPr>
            </w:pPr>
            <w:r>
              <w:rPr>
                <w:sz w:val="28"/>
              </w:rPr>
              <w:t>本报告所包含的线路拟建区域的电磁环境现状监测结果见表8。</w:t>
            </w:r>
          </w:p>
          <w:p>
            <w:pPr>
              <w:ind w:firstLine="540"/>
              <w:jc w:val="center"/>
              <w:rPr>
                <w:b/>
                <w:bCs/>
                <w:sz w:val="24"/>
                <w:szCs w:val="28"/>
              </w:rPr>
            </w:pPr>
            <w:r>
              <w:rPr>
                <w:b/>
                <w:bCs/>
                <w:sz w:val="24"/>
                <w:szCs w:val="28"/>
              </w:rPr>
              <w:t xml:space="preserve">表8  </w:t>
            </w:r>
            <w:r>
              <w:rPr>
                <w:b/>
                <w:sz w:val="24"/>
                <w:szCs w:val="24"/>
              </w:rPr>
              <w:t>工程</w:t>
            </w:r>
            <w:r>
              <w:rPr>
                <w:b/>
                <w:bCs/>
                <w:sz w:val="24"/>
                <w:szCs w:val="28"/>
              </w:rPr>
              <w:t>配套线路沿线</w:t>
            </w:r>
            <w:r>
              <w:rPr>
                <w:b/>
                <w:bCs/>
                <w:sz w:val="24"/>
                <w:szCs w:val="24"/>
              </w:rPr>
              <w:t>电磁环境现状</w:t>
            </w:r>
            <w:r>
              <w:rPr>
                <w:b/>
                <w:bCs/>
                <w:sz w:val="24"/>
                <w:szCs w:val="28"/>
              </w:rPr>
              <w:t>监测结果</w:t>
            </w:r>
          </w:p>
          <w:tbl>
            <w:tblPr>
              <w:tblStyle w:val="11"/>
              <w:tblW w:w="823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712"/>
              <w:gridCol w:w="1863"/>
              <w:gridCol w:w="1138"/>
              <w:gridCol w:w="1108"/>
              <w:gridCol w:w="1248"/>
              <w:gridCol w:w="11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65" w:hRule="atLeast"/>
                <w:jc w:val="center"/>
              </w:trPr>
              <w:tc>
                <w:tcPr>
                  <w:tcW w:w="1712" w:type="dxa"/>
                  <w:vMerge w:val="restart"/>
                  <w:vAlign w:val="center"/>
                </w:tcPr>
                <w:p>
                  <w:pPr>
                    <w:jc w:val="center"/>
                    <w:rPr>
                      <w:szCs w:val="21"/>
                    </w:rPr>
                  </w:pPr>
                  <w:r>
                    <w:rPr>
                      <w:szCs w:val="21"/>
                    </w:rPr>
                    <w:t>线路名称</w:t>
                  </w:r>
                </w:p>
              </w:tc>
              <w:tc>
                <w:tcPr>
                  <w:tcW w:w="1863" w:type="dxa"/>
                  <w:vMerge w:val="restart"/>
                  <w:vAlign w:val="center"/>
                </w:tcPr>
                <w:p>
                  <w:pPr>
                    <w:jc w:val="center"/>
                    <w:rPr>
                      <w:szCs w:val="21"/>
                    </w:rPr>
                  </w:pPr>
                  <w:r>
                    <w:rPr>
                      <w:szCs w:val="21"/>
                    </w:rPr>
                    <w:t>测  点</w:t>
                  </w:r>
                </w:p>
              </w:tc>
              <w:tc>
                <w:tcPr>
                  <w:tcW w:w="2246" w:type="dxa"/>
                  <w:gridSpan w:val="2"/>
                  <w:vAlign w:val="center"/>
                </w:tcPr>
                <w:p>
                  <w:pPr>
                    <w:jc w:val="center"/>
                    <w:rPr>
                      <w:szCs w:val="21"/>
                    </w:rPr>
                  </w:pPr>
                  <w:r>
                    <w:rPr>
                      <w:szCs w:val="21"/>
                    </w:rPr>
                    <w:t>监测值</w:t>
                  </w:r>
                </w:p>
              </w:tc>
              <w:tc>
                <w:tcPr>
                  <w:tcW w:w="2410" w:type="dxa"/>
                  <w:gridSpan w:val="2"/>
                  <w:vAlign w:val="center"/>
                </w:tcPr>
                <w:p>
                  <w:pPr>
                    <w:jc w:val="center"/>
                    <w:rPr>
                      <w:szCs w:val="21"/>
                    </w:rPr>
                  </w:pPr>
                  <w:r>
                    <w:rPr>
                      <w:szCs w:val="21"/>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65" w:hRule="atLeast"/>
                <w:jc w:val="center"/>
              </w:trPr>
              <w:tc>
                <w:tcPr>
                  <w:tcW w:w="1712" w:type="dxa"/>
                  <w:vMerge w:val="continue"/>
                  <w:vAlign w:val="center"/>
                </w:tcPr>
                <w:p>
                  <w:pPr>
                    <w:jc w:val="center"/>
                    <w:rPr>
                      <w:szCs w:val="21"/>
                    </w:rPr>
                  </w:pPr>
                </w:p>
              </w:tc>
              <w:tc>
                <w:tcPr>
                  <w:tcW w:w="1863" w:type="dxa"/>
                  <w:vMerge w:val="continue"/>
                  <w:vAlign w:val="center"/>
                </w:tcPr>
                <w:p>
                  <w:pPr>
                    <w:jc w:val="center"/>
                    <w:rPr>
                      <w:szCs w:val="21"/>
                    </w:rPr>
                  </w:pPr>
                </w:p>
              </w:tc>
              <w:tc>
                <w:tcPr>
                  <w:tcW w:w="1138" w:type="dxa"/>
                  <w:vAlign w:val="center"/>
                </w:tcPr>
                <w:p>
                  <w:pPr>
                    <w:ind w:right="-3"/>
                    <w:jc w:val="center"/>
                    <w:rPr>
                      <w:szCs w:val="21"/>
                    </w:rPr>
                  </w:pPr>
                  <w:r>
                    <w:rPr>
                      <w:szCs w:val="21"/>
                    </w:rPr>
                    <w:t>工频电场强度</w:t>
                  </w:r>
                </w:p>
                <w:p>
                  <w:pPr>
                    <w:ind w:right="-3"/>
                    <w:jc w:val="center"/>
                    <w:rPr>
                      <w:szCs w:val="21"/>
                    </w:rPr>
                  </w:pPr>
                  <w:r>
                    <w:rPr>
                      <w:szCs w:val="21"/>
                    </w:rPr>
                    <w:t>（V/m）</w:t>
                  </w:r>
                </w:p>
              </w:tc>
              <w:tc>
                <w:tcPr>
                  <w:tcW w:w="1108" w:type="dxa"/>
                  <w:vAlign w:val="center"/>
                </w:tcPr>
                <w:p>
                  <w:pPr>
                    <w:ind w:right="-3"/>
                    <w:jc w:val="center"/>
                    <w:rPr>
                      <w:szCs w:val="21"/>
                    </w:rPr>
                  </w:pPr>
                  <w:r>
                    <w:rPr>
                      <w:szCs w:val="21"/>
                    </w:rPr>
                    <w:t>工频磁感应强度</w:t>
                  </w:r>
                </w:p>
                <w:p>
                  <w:pPr>
                    <w:jc w:val="center"/>
                    <w:rPr>
                      <w:szCs w:val="21"/>
                    </w:rPr>
                  </w:pPr>
                  <w:r>
                    <w:rPr>
                      <w:szCs w:val="21"/>
                    </w:rPr>
                    <w:t>（µT）</w:t>
                  </w:r>
                </w:p>
              </w:tc>
              <w:tc>
                <w:tcPr>
                  <w:tcW w:w="1248" w:type="dxa"/>
                  <w:vAlign w:val="center"/>
                </w:tcPr>
                <w:p>
                  <w:pPr>
                    <w:ind w:right="-3"/>
                    <w:jc w:val="center"/>
                    <w:rPr>
                      <w:szCs w:val="21"/>
                    </w:rPr>
                  </w:pPr>
                  <w:r>
                    <w:rPr>
                      <w:szCs w:val="21"/>
                    </w:rPr>
                    <w:t>工频电场强度</w:t>
                  </w:r>
                </w:p>
                <w:p>
                  <w:pPr>
                    <w:ind w:right="-3"/>
                    <w:jc w:val="center"/>
                    <w:rPr>
                      <w:szCs w:val="21"/>
                    </w:rPr>
                  </w:pPr>
                  <w:r>
                    <w:rPr>
                      <w:szCs w:val="21"/>
                    </w:rPr>
                    <w:t>（V/m）</w:t>
                  </w:r>
                </w:p>
              </w:tc>
              <w:tc>
                <w:tcPr>
                  <w:tcW w:w="1162" w:type="dxa"/>
                  <w:vAlign w:val="center"/>
                </w:tcPr>
                <w:p>
                  <w:pPr>
                    <w:ind w:right="-3"/>
                    <w:jc w:val="center"/>
                    <w:rPr>
                      <w:szCs w:val="21"/>
                    </w:rPr>
                  </w:pPr>
                  <w:r>
                    <w:rPr>
                      <w:szCs w:val="21"/>
                    </w:rPr>
                    <w:t>工频磁感应强度</w:t>
                  </w:r>
                </w:p>
                <w:p>
                  <w:pPr>
                    <w:jc w:val="center"/>
                    <w:rPr>
                      <w:szCs w:val="21"/>
                    </w:rPr>
                  </w:pPr>
                  <w:r>
                    <w:rPr>
                      <w:szCs w:val="21"/>
                    </w:rPr>
                    <w:t>（µT）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1712" w:type="dxa"/>
                  <w:vMerge w:val="restart"/>
                  <w:vAlign w:val="center"/>
                </w:tcPr>
                <w:p>
                  <w:pPr>
                    <w:jc w:val="center"/>
                    <w:rPr>
                      <w:szCs w:val="21"/>
                    </w:rPr>
                  </w:pPr>
                  <w:r>
                    <w:rPr>
                      <w:iCs/>
                      <w:szCs w:val="21"/>
                    </w:rPr>
                    <w:t>隆回县城东110kV输变电工程配套线路</w:t>
                  </w:r>
                </w:p>
              </w:tc>
              <w:tc>
                <w:tcPr>
                  <w:tcW w:w="1863" w:type="dxa"/>
                  <w:vAlign w:val="center"/>
                </w:tcPr>
                <w:p>
                  <w:pPr>
                    <w:jc w:val="center"/>
                    <w:rPr>
                      <w:szCs w:val="21"/>
                    </w:rPr>
                  </w:pPr>
                  <w:r>
                    <w:rPr>
                      <w:szCs w:val="21"/>
                    </w:rPr>
                    <w:t>桃洪镇白竹村</w:t>
                  </w:r>
                </w:p>
              </w:tc>
              <w:tc>
                <w:tcPr>
                  <w:tcW w:w="1138" w:type="dxa"/>
                  <w:vAlign w:val="center"/>
                </w:tcPr>
                <w:p>
                  <w:pPr>
                    <w:jc w:val="center"/>
                    <w:rPr>
                      <w:szCs w:val="21"/>
                    </w:rPr>
                  </w:pPr>
                  <w:r>
                    <w:rPr>
                      <w:szCs w:val="21"/>
                    </w:rPr>
                    <w:t>0.7</w:t>
                  </w:r>
                </w:p>
              </w:tc>
              <w:tc>
                <w:tcPr>
                  <w:tcW w:w="1108" w:type="dxa"/>
                  <w:vAlign w:val="center"/>
                </w:tcPr>
                <w:p>
                  <w:pPr>
                    <w:jc w:val="center"/>
                    <w:rPr>
                      <w:szCs w:val="21"/>
                    </w:rPr>
                  </w:pPr>
                  <w:r>
                    <w:rPr>
                      <w:szCs w:val="21"/>
                    </w:rPr>
                    <w:t>0.006</w:t>
                  </w:r>
                </w:p>
              </w:tc>
              <w:tc>
                <w:tcPr>
                  <w:tcW w:w="1248" w:type="dxa"/>
                  <w:vAlign w:val="center"/>
                </w:tcPr>
                <w:p>
                  <w:pPr>
                    <w:jc w:val="center"/>
                    <w:rPr>
                      <w:szCs w:val="21"/>
                    </w:rPr>
                  </w:pPr>
                  <w:r>
                    <w:rPr>
                      <w:szCs w:val="21"/>
                    </w:rPr>
                    <w:t>4000</w:t>
                  </w:r>
                </w:p>
              </w:tc>
              <w:tc>
                <w:tcPr>
                  <w:tcW w:w="1162" w:type="dxa"/>
                  <w:vAlign w:val="center"/>
                </w:tcPr>
                <w:p>
                  <w:pPr>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1712" w:type="dxa"/>
                  <w:vMerge w:val="continue"/>
                  <w:vAlign w:val="center"/>
                </w:tcPr>
                <w:p>
                  <w:pPr>
                    <w:jc w:val="center"/>
                    <w:rPr>
                      <w:szCs w:val="21"/>
                    </w:rPr>
                  </w:pPr>
                </w:p>
              </w:tc>
              <w:tc>
                <w:tcPr>
                  <w:tcW w:w="1863" w:type="dxa"/>
                  <w:vAlign w:val="center"/>
                </w:tcPr>
                <w:p>
                  <w:pPr>
                    <w:jc w:val="center"/>
                    <w:rPr>
                      <w:szCs w:val="21"/>
                    </w:rPr>
                  </w:pPr>
                  <w:r>
                    <w:rPr>
                      <w:szCs w:val="21"/>
                    </w:rPr>
                    <w:t>桃洪镇白竹村大丰收农庄</w:t>
                  </w:r>
                </w:p>
              </w:tc>
              <w:tc>
                <w:tcPr>
                  <w:tcW w:w="1138" w:type="dxa"/>
                  <w:vAlign w:val="center"/>
                </w:tcPr>
                <w:p>
                  <w:pPr>
                    <w:jc w:val="center"/>
                    <w:rPr>
                      <w:szCs w:val="21"/>
                    </w:rPr>
                  </w:pPr>
                  <w:r>
                    <w:rPr>
                      <w:szCs w:val="21"/>
                    </w:rPr>
                    <w:t>14.1</w:t>
                  </w:r>
                </w:p>
              </w:tc>
              <w:tc>
                <w:tcPr>
                  <w:tcW w:w="1108" w:type="dxa"/>
                  <w:vAlign w:val="center"/>
                </w:tcPr>
                <w:p>
                  <w:pPr>
                    <w:jc w:val="center"/>
                    <w:rPr>
                      <w:szCs w:val="21"/>
                    </w:rPr>
                  </w:pPr>
                  <w:r>
                    <w:rPr>
                      <w:szCs w:val="21"/>
                    </w:rPr>
                    <w:t>0.014</w:t>
                  </w:r>
                </w:p>
              </w:tc>
              <w:tc>
                <w:tcPr>
                  <w:tcW w:w="1248" w:type="dxa"/>
                  <w:vAlign w:val="center"/>
                </w:tcPr>
                <w:p>
                  <w:pPr>
                    <w:jc w:val="center"/>
                    <w:rPr>
                      <w:szCs w:val="21"/>
                    </w:rPr>
                  </w:pPr>
                  <w:r>
                    <w:rPr>
                      <w:szCs w:val="21"/>
                    </w:rPr>
                    <w:t>4000</w:t>
                  </w:r>
                </w:p>
              </w:tc>
              <w:tc>
                <w:tcPr>
                  <w:tcW w:w="1162" w:type="dxa"/>
                  <w:vAlign w:val="center"/>
                </w:tcPr>
                <w:p>
                  <w:pPr>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1712" w:type="dxa"/>
                  <w:vAlign w:val="center"/>
                </w:tcPr>
                <w:p>
                  <w:pPr>
                    <w:jc w:val="center"/>
                    <w:rPr>
                      <w:szCs w:val="21"/>
                    </w:rPr>
                  </w:pPr>
                  <w:r>
                    <w:rPr>
                      <w:szCs w:val="21"/>
                    </w:rPr>
                    <w:t>邵阳宝莲二期风电110kV送出工程</w:t>
                  </w:r>
                </w:p>
              </w:tc>
              <w:tc>
                <w:tcPr>
                  <w:tcW w:w="1863" w:type="dxa"/>
                  <w:vAlign w:val="center"/>
                </w:tcPr>
                <w:p>
                  <w:pPr>
                    <w:jc w:val="center"/>
                    <w:rPr>
                      <w:szCs w:val="21"/>
                    </w:rPr>
                  </w:pPr>
                  <w:r>
                    <w:rPr>
                      <w:szCs w:val="21"/>
                    </w:rPr>
                    <w:t>麻塘山乡蔡家重冲</w:t>
                  </w:r>
                </w:p>
              </w:tc>
              <w:tc>
                <w:tcPr>
                  <w:tcW w:w="1138" w:type="dxa"/>
                  <w:vAlign w:val="center"/>
                </w:tcPr>
                <w:p>
                  <w:pPr>
                    <w:jc w:val="center"/>
                    <w:rPr>
                      <w:szCs w:val="21"/>
                    </w:rPr>
                  </w:pPr>
                  <w:r>
                    <w:rPr>
                      <w:szCs w:val="21"/>
                    </w:rPr>
                    <w:t>0.8</w:t>
                  </w:r>
                </w:p>
              </w:tc>
              <w:tc>
                <w:tcPr>
                  <w:tcW w:w="1108" w:type="dxa"/>
                  <w:vAlign w:val="center"/>
                </w:tcPr>
                <w:p>
                  <w:pPr>
                    <w:jc w:val="center"/>
                    <w:rPr>
                      <w:szCs w:val="21"/>
                    </w:rPr>
                  </w:pPr>
                  <w:r>
                    <w:rPr>
                      <w:szCs w:val="21"/>
                    </w:rPr>
                    <w:t>0.006</w:t>
                  </w:r>
                </w:p>
              </w:tc>
              <w:tc>
                <w:tcPr>
                  <w:tcW w:w="1248" w:type="dxa"/>
                  <w:vAlign w:val="center"/>
                </w:tcPr>
                <w:p>
                  <w:pPr>
                    <w:jc w:val="center"/>
                    <w:rPr>
                      <w:szCs w:val="21"/>
                    </w:rPr>
                  </w:pPr>
                  <w:r>
                    <w:rPr>
                      <w:szCs w:val="21"/>
                    </w:rPr>
                    <w:t>4000</w:t>
                  </w:r>
                </w:p>
              </w:tc>
              <w:tc>
                <w:tcPr>
                  <w:tcW w:w="1162" w:type="dxa"/>
                  <w:vAlign w:val="center"/>
                </w:tcPr>
                <w:p>
                  <w:pPr>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1712" w:type="dxa"/>
                  <w:vMerge w:val="restart"/>
                  <w:vAlign w:val="center"/>
                </w:tcPr>
                <w:p>
                  <w:pPr>
                    <w:jc w:val="center"/>
                    <w:rPr>
                      <w:szCs w:val="21"/>
                    </w:rPr>
                  </w:pPr>
                  <w:r>
                    <w:rPr>
                      <w:szCs w:val="21"/>
                    </w:rPr>
                    <w:t>大唐华银绥宁宝鼎山风电二期三期110kV送出工程</w:t>
                  </w:r>
                </w:p>
              </w:tc>
              <w:tc>
                <w:tcPr>
                  <w:tcW w:w="1863" w:type="dxa"/>
                  <w:vAlign w:val="center"/>
                </w:tcPr>
                <w:p>
                  <w:pPr>
                    <w:jc w:val="center"/>
                    <w:rPr>
                      <w:szCs w:val="21"/>
                    </w:rPr>
                  </w:pPr>
                  <w:r>
                    <w:rPr>
                      <w:szCs w:val="21"/>
                    </w:rPr>
                    <w:t>绥宁县李熙桥镇百家田村祖亭寨台区</w:t>
                  </w:r>
                </w:p>
              </w:tc>
              <w:tc>
                <w:tcPr>
                  <w:tcW w:w="1138" w:type="dxa"/>
                  <w:vAlign w:val="center"/>
                </w:tcPr>
                <w:p>
                  <w:pPr>
                    <w:jc w:val="center"/>
                    <w:rPr>
                      <w:szCs w:val="21"/>
                    </w:rPr>
                  </w:pPr>
                  <w:r>
                    <w:rPr>
                      <w:szCs w:val="21"/>
                    </w:rPr>
                    <w:t>40.8</w:t>
                  </w:r>
                </w:p>
              </w:tc>
              <w:tc>
                <w:tcPr>
                  <w:tcW w:w="1108" w:type="dxa"/>
                  <w:vAlign w:val="center"/>
                </w:tcPr>
                <w:p>
                  <w:pPr>
                    <w:jc w:val="center"/>
                    <w:rPr>
                      <w:szCs w:val="21"/>
                    </w:rPr>
                  </w:pPr>
                  <w:r>
                    <w:rPr>
                      <w:szCs w:val="21"/>
                    </w:rPr>
                    <w:t>0.011</w:t>
                  </w:r>
                </w:p>
              </w:tc>
              <w:tc>
                <w:tcPr>
                  <w:tcW w:w="1248" w:type="dxa"/>
                  <w:vAlign w:val="center"/>
                </w:tcPr>
                <w:p>
                  <w:pPr>
                    <w:jc w:val="center"/>
                    <w:rPr>
                      <w:szCs w:val="21"/>
                    </w:rPr>
                  </w:pPr>
                  <w:r>
                    <w:rPr>
                      <w:szCs w:val="21"/>
                    </w:rPr>
                    <w:t>4000</w:t>
                  </w:r>
                </w:p>
              </w:tc>
              <w:tc>
                <w:tcPr>
                  <w:tcW w:w="1162" w:type="dxa"/>
                  <w:vAlign w:val="center"/>
                </w:tcPr>
                <w:p>
                  <w:pPr>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1712" w:type="dxa"/>
                  <w:vMerge w:val="continue"/>
                  <w:vAlign w:val="center"/>
                </w:tcPr>
                <w:p>
                  <w:pPr>
                    <w:jc w:val="center"/>
                    <w:rPr>
                      <w:szCs w:val="21"/>
                    </w:rPr>
                  </w:pPr>
                </w:p>
              </w:tc>
              <w:tc>
                <w:tcPr>
                  <w:tcW w:w="1863" w:type="dxa"/>
                  <w:vAlign w:val="center"/>
                </w:tcPr>
                <w:p>
                  <w:pPr>
                    <w:jc w:val="center"/>
                    <w:rPr>
                      <w:szCs w:val="21"/>
                    </w:rPr>
                  </w:pPr>
                  <w:r>
                    <w:rPr>
                      <w:szCs w:val="21"/>
                    </w:rPr>
                    <w:t>绥宁县白玉乡檀山庙村大湾里台区</w:t>
                  </w:r>
                </w:p>
              </w:tc>
              <w:tc>
                <w:tcPr>
                  <w:tcW w:w="1138" w:type="dxa"/>
                  <w:vAlign w:val="center"/>
                </w:tcPr>
                <w:p>
                  <w:pPr>
                    <w:jc w:val="center"/>
                    <w:rPr>
                      <w:szCs w:val="21"/>
                    </w:rPr>
                  </w:pPr>
                  <w:r>
                    <w:rPr>
                      <w:szCs w:val="21"/>
                    </w:rPr>
                    <w:t>65.1</w:t>
                  </w:r>
                </w:p>
              </w:tc>
              <w:tc>
                <w:tcPr>
                  <w:tcW w:w="1108" w:type="dxa"/>
                  <w:vAlign w:val="center"/>
                </w:tcPr>
                <w:p>
                  <w:pPr>
                    <w:jc w:val="center"/>
                    <w:rPr>
                      <w:szCs w:val="21"/>
                    </w:rPr>
                  </w:pPr>
                  <w:r>
                    <w:rPr>
                      <w:szCs w:val="21"/>
                    </w:rPr>
                    <w:t>0.024</w:t>
                  </w:r>
                </w:p>
              </w:tc>
              <w:tc>
                <w:tcPr>
                  <w:tcW w:w="1248" w:type="dxa"/>
                  <w:vAlign w:val="center"/>
                </w:tcPr>
                <w:p>
                  <w:pPr>
                    <w:jc w:val="center"/>
                    <w:rPr>
                      <w:szCs w:val="21"/>
                    </w:rPr>
                  </w:pPr>
                  <w:r>
                    <w:rPr>
                      <w:szCs w:val="21"/>
                    </w:rPr>
                    <w:t>4000</w:t>
                  </w:r>
                </w:p>
              </w:tc>
              <w:tc>
                <w:tcPr>
                  <w:tcW w:w="1162" w:type="dxa"/>
                  <w:vAlign w:val="center"/>
                </w:tcPr>
                <w:p>
                  <w:pPr>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1712" w:type="dxa"/>
                  <w:vAlign w:val="center"/>
                </w:tcPr>
                <w:p>
                  <w:pPr>
                    <w:jc w:val="center"/>
                    <w:rPr>
                      <w:szCs w:val="21"/>
                    </w:rPr>
                  </w:pPr>
                  <w:r>
                    <w:rPr>
                      <w:szCs w:val="21"/>
                    </w:rPr>
                    <w:t>隆回金坪110kV风电送出工程</w:t>
                  </w:r>
                </w:p>
              </w:tc>
              <w:tc>
                <w:tcPr>
                  <w:tcW w:w="1863" w:type="dxa"/>
                  <w:vAlign w:val="center"/>
                </w:tcPr>
                <w:p>
                  <w:pPr>
                    <w:jc w:val="center"/>
                    <w:rPr>
                      <w:szCs w:val="21"/>
                    </w:rPr>
                  </w:pPr>
                  <w:r>
                    <w:rPr>
                      <w:szCs w:val="21"/>
                    </w:rPr>
                    <w:t>小沙江镇文明村</w:t>
                  </w:r>
                </w:p>
              </w:tc>
              <w:tc>
                <w:tcPr>
                  <w:tcW w:w="1138" w:type="dxa"/>
                  <w:vAlign w:val="center"/>
                </w:tcPr>
                <w:p>
                  <w:pPr>
                    <w:jc w:val="center"/>
                    <w:rPr>
                      <w:szCs w:val="21"/>
                    </w:rPr>
                  </w:pPr>
                  <w:r>
                    <w:rPr>
                      <w:szCs w:val="21"/>
                    </w:rPr>
                    <w:t>23.6</w:t>
                  </w:r>
                </w:p>
              </w:tc>
              <w:tc>
                <w:tcPr>
                  <w:tcW w:w="1108" w:type="dxa"/>
                  <w:vAlign w:val="center"/>
                </w:tcPr>
                <w:p>
                  <w:pPr>
                    <w:jc w:val="center"/>
                    <w:rPr>
                      <w:szCs w:val="21"/>
                    </w:rPr>
                  </w:pPr>
                  <w:r>
                    <w:rPr>
                      <w:szCs w:val="21"/>
                    </w:rPr>
                    <w:t>0.020</w:t>
                  </w:r>
                </w:p>
              </w:tc>
              <w:tc>
                <w:tcPr>
                  <w:tcW w:w="1248" w:type="dxa"/>
                  <w:vAlign w:val="center"/>
                </w:tcPr>
                <w:p>
                  <w:pPr>
                    <w:jc w:val="center"/>
                    <w:rPr>
                      <w:szCs w:val="21"/>
                    </w:rPr>
                  </w:pPr>
                  <w:r>
                    <w:rPr>
                      <w:szCs w:val="21"/>
                    </w:rPr>
                    <w:t>4000</w:t>
                  </w:r>
                </w:p>
              </w:tc>
              <w:tc>
                <w:tcPr>
                  <w:tcW w:w="1162" w:type="dxa"/>
                  <w:vAlign w:val="center"/>
                </w:tcPr>
                <w:p>
                  <w:pPr>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1712" w:type="dxa"/>
                  <w:vAlign w:val="center"/>
                </w:tcPr>
                <w:p>
                  <w:pPr>
                    <w:jc w:val="center"/>
                    <w:rPr>
                      <w:szCs w:val="21"/>
                    </w:rPr>
                  </w:pPr>
                  <w:r>
                    <w:rPr>
                      <w:szCs w:val="21"/>
                    </w:rPr>
                    <w:t>六岭变配套110kV电缆线路工程</w:t>
                  </w:r>
                </w:p>
              </w:tc>
              <w:tc>
                <w:tcPr>
                  <w:tcW w:w="1863" w:type="dxa"/>
                  <w:vAlign w:val="center"/>
                </w:tcPr>
                <w:p>
                  <w:pPr>
                    <w:jc w:val="center"/>
                    <w:rPr>
                      <w:szCs w:val="21"/>
                    </w:rPr>
                  </w:pPr>
                  <w:r>
                    <w:rPr>
                      <w:szCs w:val="21"/>
                    </w:rPr>
                    <w:t>架空段无环境敏感点</w:t>
                  </w:r>
                </w:p>
              </w:tc>
              <w:tc>
                <w:tcPr>
                  <w:tcW w:w="1138" w:type="dxa"/>
                  <w:vAlign w:val="center"/>
                </w:tcPr>
                <w:p>
                  <w:pPr>
                    <w:jc w:val="center"/>
                    <w:rPr>
                      <w:szCs w:val="21"/>
                    </w:rPr>
                  </w:pPr>
                  <w:r>
                    <w:rPr>
                      <w:szCs w:val="21"/>
                    </w:rPr>
                    <w:t>/</w:t>
                  </w:r>
                </w:p>
              </w:tc>
              <w:tc>
                <w:tcPr>
                  <w:tcW w:w="1108" w:type="dxa"/>
                  <w:vAlign w:val="center"/>
                </w:tcPr>
                <w:p>
                  <w:pPr>
                    <w:jc w:val="center"/>
                    <w:rPr>
                      <w:szCs w:val="21"/>
                    </w:rPr>
                  </w:pPr>
                  <w:r>
                    <w:rPr>
                      <w:szCs w:val="21"/>
                    </w:rPr>
                    <w:t>/</w:t>
                  </w:r>
                </w:p>
              </w:tc>
              <w:tc>
                <w:tcPr>
                  <w:tcW w:w="1248" w:type="dxa"/>
                  <w:vAlign w:val="center"/>
                </w:tcPr>
                <w:p>
                  <w:pPr>
                    <w:jc w:val="center"/>
                    <w:rPr>
                      <w:szCs w:val="21"/>
                    </w:rPr>
                  </w:pPr>
                  <w:r>
                    <w:rPr>
                      <w:szCs w:val="21"/>
                    </w:rPr>
                    <w:t>/</w:t>
                  </w:r>
                </w:p>
              </w:tc>
              <w:tc>
                <w:tcPr>
                  <w:tcW w:w="1162" w:type="dxa"/>
                  <w:vAlign w:val="center"/>
                </w:tcPr>
                <w:p>
                  <w:pPr>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8231" w:type="dxa"/>
                  <w:gridSpan w:val="6"/>
                  <w:vAlign w:val="center"/>
                </w:tcPr>
                <w:p>
                  <w:pPr>
                    <w:jc w:val="center"/>
                    <w:rPr>
                      <w:szCs w:val="21"/>
                    </w:rPr>
                  </w:pPr>
                  <w:r>
                    <w:rPr>
                      <w:szCs w:val="21"/>
                    </w:rPr>
                    <w:t>2017年4月17日~22日，阴，温度21.0℃~23.8℃，相对湿度67.1%~69.0%</w:t>
                  </w:r>
                </w:p>
              </w:tc>
            </w:tr>
          </w:tbl>
          <w:p>
            <w:pPr>
              <w:spacing w:before="156" w:beforeLines="50" w:line="360" w:lineRule="auto"/>
              <w:ind w:firstLine="560" w:firstLineChars="200"/>
              <w:rPr>
                <w:sz w:val="28"/>
              </w:rPr>
            </w:pPr>
            <w:r>
              <w:rPr>
                <w:sz w:val="28"/>
              </w:rPr>
              <w:t>从表8可看出，邵阳市2017年第一批输变电工程110kV送电线路环境敏感点工频电场强度、工频磁感应强度最大监测值分别为65.1V/m、0.024μT，满足《电磁环境控制限值》（GB 8702-2014）工频电场强度4000V/m、工频磁感应强度100μT的限值标准要求。</w:t>
            </w:r>
          </w:p>
          <w:p>
            <w:pPr>
              <w:spacing w:line="360" w:lineRule="auto"/>
              <w:rPr>
                <w:sz w:val="28"/>
              </w:rPr>
            </w:pPr>
            <w:r>
              <w:rPr>
                <w:b/>
                <w:sz w:val="28"/>
              </w:rPr>
              <w:t>2 声环境</w:t>
            </w:r>
          </w:p>
          <w:p>
            <w:pPr>
              <w:spacing w:line="360" w:lineRule="auto"/>
              <w:rPr>
                <w:sz w:val="28"/>
              </w:rPr>
            </w:pPr>
            <w:r>
              <w:rPr>
                <w:sz w:val="28"/>
              </w:rPr>
              <w:t>2.1 变电站</w:t>
            </w:r>
          </w:p>
          <w:p>
            <w:pPr>
              <w:spacing w:line="360" w:lineRule="auto"/>
              <w:ind w:firstLine="560" w:firstLineChars="200"/>
              <w:rPr>
                <w:sz w:val="28"/>
              </w:rPr>
            </w:pPr>
            <w:r>
              <w:rPr>
                <w:sz w:val="28"/>
              </w:rPr>
              <w:t>（1） 监测因子：等效连续A声级。</w:t>
            </w:r>
          </w:p>
          <w:p>
            <w:pPr>
              <w:spacing w:line="360" w:lineRule="auto"/>
              <w:ind w:firstLine="560" w:firstLineChars="200"/>
              <w:rPr>
                <w:sz w:val="28"/>
              </w:rPr>
            </w:pPr>
            <w:r>
              <w:rPr>
                <w:sz w:val="28"/>
              </w:rPr>
              <w:t>（1） 监测布点：监测点位与对应的变电站工频电磁场现状监测布点相同。</w:t>
            </w:r>
          </w:p>
          <w:p>
            <w:pPr>
              <w:spacing w:line="360" w:lineRule="auto"/>
              <w:ind w:firstLine="560" w:firstLineChars="200"/>
              <w:rPr>
                <w:sz w:val="28"/>
              </w:rPr>
            </w:pPr>
            <w:r>
              <w:rPr>
                <w:sz w:val="28"/>
              </w:rPr>
              <w:t>（3） 监测时间及频率：昼间、夜间各监测一次。</w:t>
            </w:r>
          </w:p>
          <w:p>
            <w:pPr>
              <w:spacing w:line="360" w:lineRule="auto"/>
              <w:ind w:firstLine="560" w:firstLineChars="200"/>
              <w:rPr>
                <w:sz w:val="28"/>
              </w:rPr>
            </w:pPr>
            <w:r>
              <w:rPr>
                <w:sz w:val="28"/>
              </w:rPr>
              <w:t>（4） 监测方法：《声环境质量标准》（GB3096-2008）。</w:t>
            </w:r>
          </w:p>
          <w:p>
            <w:pPr>
              <w:spacing w:line="360" w:lineRule="auto"/>
              <w:ind w:firstLine="560" w:firstLineChars="200"/>
              <w:rPr>
                <w:sz w:val="28"/>
              </w:rPr>
            </w:pPr>
            <w:r>
              <w:rPr>
                <w:sz w:val="28"/>
              </w:rPr>
              <w:t>（5） 监测仪器：AWA6228型噪声分析仪（检定有效期至2017年10月18日）。</w:t>
            </w:r>
          </w:p>
          <w:p>
            <w:pPr>
              <w:spacing w:line="360" w:lineRule="exact"/>
              <w:ind w:firstLine="560" w:firstLineChars="200"/>
              <w:rPr>
                <w:sz w:val="28"/>
                <w:szCs w:val="28"/>
              </w:rPr>
            </w:pPr>
            <w:r>
              <w:rPr>
                <w:sz w:val="28"/>
                <w:szCs w:val="28"/>
              </w:rPr>
              <w:t>邵阳市2017年第一批输变电工程新建及拟建变电站站址噪声监测结果见表9。</w:t>
            </w:r>
          </w:p>
          <w:p>
            <w:pPr>
              <w:jc w:val="center"/>
              <w:rPr>
                <w:b/>
                <w:bCs/>
                <w:sz w:val="24"/>
                <w:szCs w:val="24"/>
              </w:rPr>
            </w:pPr>
            <w:bookmarkStart w:id="22" w:name="OLE_LINK12"/>
            <w:r>
              <w:rPr>
                <w:b/>
                <w:bCs/>
                <w:sz w:val="24"/>
                <w:szCs w:val="24"/>
              </w:rPr>
              <w:t>表9 新建及拟建变电站站址噪声监测结果</w:t>
            </w:r>
          </w:p>
          <w:bookmarkEnd w:id="22"/>
          <w:tbl>
            <w:tblPr>
              <w:tblStyle w:val="11"/>
              <w:tblW w:w="801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2"/>
              <w:gridCol w:w="1691"/>
              <w:gridCol w:w="1204"/>
              <w:gridCol w:w="1276"/>
              <w:gridCol w:w="868"/>
              <w:gridCol w:w="904"/>
              <w:gridCol w:w="10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blHeader/>
                <w:jc w:val="center"/>
              </w:trPr>
              <w:tc>
                <w:tcPr>
                  <w:tcW w:w="1042" w:type="dxa"/>
                  <w:vMerge w:val="restart"/>
                  <w:shd w:val="clear" w:color="auto" w:fill="auto"/>
                  <w:vAlign w:val="center"/>
                </w:tcPr>
                <w:p>
                  <w:pPr>
                    <w:jc w:val="center"/>
                    <w:rPr>
                      <w:szCs w:val="21"/>
                    </w:rPr>
                  </w:pPr>
                  <w:r>
                    <w:rPr>
                      <w:szCs w:val="21"/>
                    </w:rPr>
                    <w:t>名称</w:t>
                  </w:r>
                </w:p>
              </w:tc>
              <w:tc>
                <w:tcPr>
                  <w:tcW w:w="1691" w:type="dxa"/>
                  <w:vMerge w:val="restart"/>
                  <w:shd w:val="clear" w:color="auto" w:fill="auto"/>
                  <w:vAlign w:val="center"/>
                </w:tcPr>
                <w:p>
                  <w:pPr>
                    <w:jc w:val="center"/>
                    <w:rPr>
                      <w:szCs w:val="21"/>
                    </w:rPr>
                  </w:pPr>
                  <w:r>
                    <w:rPr>
                      <w:szCs w:val="21"/>
                    </w:rPr>
                    <w:t>监测点位</w:t>
                  </w:r>
                </w:p>
              </w:tc>
              <w:tc>
                <w:tcPr>
                  <w:tcW w:w="2480" w:type="dxa"/>
                  <w:gridSpan w:val="2"/>
                  <w:shd w:val="clear" w:color="auto" w:fill="auto"/>
                  <w:vAlign w:val="center"/>
                </w:tcPr>
                <w:p>
                  <w:pPr>
                    <w:jc w:val="center"/>
                    <w:rPr>
                      <w:szCs w:val="21"/>
                    </w:rPr>
                  </w:pPr>
                  <w:r>
                    <w:rPr>
                      <w:szCs w:val="21"/>
                    </w:rPr>
                    <w:t>监测值[dB（A）]</w:t>
                  </w:r>
                </w:p>
              </w:tc>
              <w:tc>
                <w:tcPr>
                  <w:tcW w:w="1772" w:type="dxa"/>
                  <w:gridSpan w:val="2"/>
                  <w:vAlign w:val="center"/>
                </w:tcPr>
                <w:p>
                  <w:pPr>
                    <w:jc w:val="center"/>
                    <w:rPr>
                      <w:szCs w:val="21"/>
                    </w:rPr>
                  </w:pPr>
                  <w:r>
                    <w:rPr>
                      <w:szCs w:val="21"/>
                    </w:rPr>
                    <w:t>标准限值</w:t>
                  </w:r>
                </w:p>
                <w:p>
                  <w:pPr>
                    <w:jc w:val="center"/>
                    <w:rPr>
                      <w:szCs w:val="21"/>
                    </w:rPr>
                  </w:pPr>
                  <w:r>
                    <w:rPr>
                      <w:szCs w:val="21"/>
                    </w:rPr>
                    <w:t>[dB（A）]</w:t>
                  </w:r>
                </w:p>
              </w:tc>
              <w:tc>
                <w:tcPr>
                  <w:tcW w:w="1027" w:type="dxa"/>
                  <w:vMerge w:val="restart"/>
                  <w:vAlign w:val="center"/>
                </w:tcPr>
                <w:p>
                  <w:pPr>
                    <w:jc w:val="center"/>
                    <w:rPr>
                      <w:szCs w:val="21"/>
                    </w:rPr>
                  </w:pPr>
                  <w:r>
                    <w:rPr>
                      <w:szCs w:val="21"/>
                    </w:rPr>
                    <w:t>是否</w:t>
                  </w:r>
                </w:p>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blHeader/>
                <w:jc w:val="center"/>
              </w:trPr>
              <w:tc>
                <w:tcPr>
                  <w:tcW w:w="1042" w:type="dxa"/>
                  <w:vMerge w:val="continue"/>
                  <w:shd w:val="clear" w:color="auto" w:fill="auto"/>
                  <w:vAlign w:val="center"/>
                </w:tcPr>
                <w:p>
                  <w:pPr>
                    <w:jc w:val="center"/>
                    <w:rPr>
                      <w:szCs w:val="21"/>
                    </w:rPr>
                  </w:pPr>
                </w:p>
              </w:tc>
              <w:tc>
                <w:tcPr>
                  <w:tcW w:w="1691" w:type="dxa"/>
                  <w:vMerge w:val="continue"/>
                  <w:shd w:val="clear" w:color="auto" w:fill="auto"/>
                  <w:vAlign w:val="center"/>
                </w:tcPr>
                <w:p>
                  <w:pPr>
                    <w:jc w:val="center"/>
                    <w:rPr>
                      <w:szCs w:val="21"/>
                    </w:rPr>
                  </w:pPr>
                </w:p>
              </w:tc>
              <w:tc>
                <w:tcPr>
                  <w:tcW w:w="1204" w:type="dxa"/>
                  <w:shd w:val="clear" w:color="auto" w:fill="auto"/>
                  <w:vAlign w:val="center"/>
                </w:tcPr>
                <w:p>
                  <w:pPr>
                    <w:spacing w:line="260" w:lineRule="exact"/>
                    <w:jc w:val="center"/>
                    <w:rPr>
                      <w:szCs w:val="21"/>
                    </w:rPr>
                  </w:pPr>
                  <w:r>
                    <w:rPr>
                      <w:szCs w:val="21"/>
                    </w:rPr>
                    <w:t>昼间</w:t>
                  </w:r>
                </w:p>
              </w:tc>
              <w:tc>
                <w:tcPr>
                  <w:tcW w:w="1276" w:type="dxa"/>
                  <w:shd w:val="clear" w:color="auto" w:fill="auto"/>
                  <w:vAlign w:val="center"/>
                </w:tcPr>
                <w:p>
                  <w:pPr>
                    <w:spacing w:line="260" w:lineRule="exact"/>
                    <w:jc w:val="center"/>
                    <w:rPr>
                      <w:szCs w:val="21"/>
                    </w:rPr>
                  </w:pPr>
                  <w:r>
                    <w:rPr>
                      <w:szCs w:val="21"/>
                    </w:rPr>
                    <w:t>夜间</w:t>
                  </w:r>
                </w:p>
              </w:tc>
              <w:tc>
                <w:tcPr>
                  <w:tcW w:w="868" w:type="dxa"/>
                  <w:vAlign w:val="center"/>
                </w:tcPr>
                <w:p>
                  <w:pPr>
                    <w:spacing w:line="260" w:lineRule="exact"/>
                    <w:jc w:val="center"/>
                    <w:rPr>
                      <w:szCs w:val="21"/>
                    </w:rPr>
                  </w:pPr>
                  <w:r>
                    <w:rPr>
                      <w:szCs w:val="21"/>
                    </w:rPr>
                    <w:t>昼间</w:t>
                  </w:r>
                </w:p>
              </w:tc>
              <w:tc>
                <w:tcPr>
                  <w:tcW w:w="904" w:type="dxa"/>
                  <w:vAlign w:val="center"/>
                </w:tcPr>
                <w:p>
                  <w:pPr>
                    <w:spacing w:line="260" w:lineRule="exact"/>
                    <w:jc w:val="center"/>
                    <w:rPr>
                      <w:szCs w:val="21"/>
                    </w:rPr>
                  </w:pPr>
                  <w:r>
                    <w:rPr>
                      <w:szCs w:val="21"/>
                    </w:rPr>
                    <w:t>夜间</w:t>
                  </w:r>
                </w:p>
              </w:tc>
              <w:tc>
                <w:tcPr>
                  <w:tcW w:w="1027" w:type="dxa"/>
                  <w:vMerge w:val="continue"/>
                  <w:vAlign w:val="top"/>
                </w:tcPr>
                <w:p>
                  <w:pPr>
                    <w:spacing w:line="26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restart"/>
                  <w:vAlign w:val="center"/>
                </w:tcPr>
                <w:p>
                  <w:pPr>
                    <w:jc w:val="center"/>
                    <w:rPr>
                      <w:szCs w:val="21"/>
                    </w:rPr>
                  </w:pPr>
                  <w:r>
                    <w:rPr>
                      <w:szCs w:val="21"/>
                    </w:rPr>
                    <w:t>城东</w:t>
                  </w:r>
                </w:p>
                <w:p>
                  <w:pPr>
                    <w:jc w:val="center"/>
                    <w:rPr>
                      <w:szCs w:val="21"/>
                    </w:rPr>
                  </w:pPr>
                  <w:r>
                    <w:rPr>
                      <w:szCs w:val="21"/>
                    </w:rPr>
                    <w:t>110kV变电站</w:t>
                  </w:r>
                </w:p>
              </w:tc>
              <w:tc>
                <w:tcPr>
                  <w:tcW w:w="1691" w:type="dxa"/>
                  <w:vAlign w:val="center"/>
                </w:tcPr>
                <w:p>
                  <w:pPr>
                    <w:jc w:val="center"/>
                    <w:rPr>
                      <w:szCs w:val="21"/>
                    </w:rPr>
                  </w:pPr>
                  <w:r>
                    <w:rPr>
                      <w:szCs w:val="21"/>
                    </w:rPr>
                    <w:t>北侧</w:t>
                  </w:r>
                </w:p>
              </w:tc>
              <w:tc>
                <w:tcPr>
                  <w:tcW w:w="1204" w:type="dxa"/>
                  <w:vAlign w:val="center"/>
                </w:tcPr>
                <w:p>
                  <w:pPr>
                    <w:jc w:val="center"/>
                    <w:rPr>
                      <w:szCs w:val="21"/>
                    </w:rPr>
                  </w:pPr>
                  <w:r>
                    <w:rPr>
                      <w:szCs w:val="21"/>
                    </w:rPr>
                    <w:t>39.5</w:t>
                  </w:r>
                </w:p>
              </w:tc>
              <w:tc>
                <w:tcPr>
                  <w:tcW w:w="1276" w:type="dxa"/>
                  <w:vAlign w:val="center"/>
                </w:tcPr>
                <w:p>
                  <w:pPr>
                    <w:jc w:val="center"/>
                    <w:rPr>
                      <w:szCs w:val="21"/>
                    </w:rPr>
                  </w:pPr>
                  <w:r>
                    <w:rPr>
                      <w:szCs w:val="21"/>
                    </w:rPr>
                    <w:t>37.3</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东侧</w:t>
                  </w:r>
                </w:p>
              </w:tc>
              <w:tc>
                <w:tcPr>
                  <w:tcW w:w="1204" w:type="dxa"/>
                  <w:vAlign w:val="center"/>
                </w:tcPr>
                <w:p>
                  <w:pPr>
                    <w:jc w:val="center"/>
                    <w:rPr>
                      <w:szCs w:val="21"/>
                    </w:rPr>
                  </w:pPr>
                  <w:r>
                    <w:rPr>
                      <w:szCs w:val="21"/>
                    </w:rPr>
                    <w:t>39.6</w:t>
                  </w:r>
                </w:p>
              </w:tc>
              <w:tc>
                <w:tcPr>
                  <w:tcW w:w="1276" w:type="dxa"/>
                  <w:vAlign w:val="center"/>
                </w:tcPr>
                <w:p>
                  <w:pPr>
                    <w:jc w:val="center"/>
                    <w:rPr>
                      <w:szCs w:val="21"/>
                    </w:rPr>
                  </w:pPr>
                  <w:r>
                    <w:rPr>
                      <w:szCs w:val="21"/>
                    </w:rPr>
                    <w:t>37.3</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南侧</w:t>
                  </w:r>
                </w:p>
              </w:tc>
              <w:tc>
                <w:tcPr>
                  <w:tcW w:w="1204" w:type="dxa"/>
                  <w:vAlign w:val="center"/>
                </w:tcPr>
                <w:p>
                  <w:pPr>
                    <w:jc w:val="center"/>
                    <w:rPr>
                      <w:szCs w:val="21"/>
                    </w:rPr>
                  </w:pPr>
                  <w:r>
                    <w:rPr>
                      <w:szCs w:val="21"/>
                    </w:rPr>
                    <w:t>40.1</w:t>
                  </w:r>
                </w:p>
              </w:tc>
              <w:tc>
                <w:tcPr>
                  <w:tcW w:w="1276" w:type="dxa"/>
                  <w:vAlign w:val="center"/>
                </w:tcPr>
                <w:p>
                  <w:pPr>
                    <w:jc w:val="center"/>
                    <w:rPr>
                      <w:szCs w:val="21"/>
                    </w:rPr>
                  </w:pPr>
                  <w:r>
                    <w:rPr>
                      <w:szCs w:val="21"/>
                    </w:rPr>
                    <w:t>38.2</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西侧</w:t>
                  </w:r>
                </w:p>
              </w:tc>
              <w:tc>
                <w:tcPr>
                  <w:tcW w:w="1204" w:type="dxa"/>
                  <w:vAlign w:val="center"/>
                </w:tcPr>
                <w:p>
                  <w:pPr>
                    <w:jc w:val="center"/>
                    <w:rPr>
                      <w:szCs w:val="21"/>
                    </w:rPr>
                  </w:pPr>
                  <w:r>
                    <w:rPr>
                      <w:szCs w:val="21"/>
                    </w:rPr>
                    <w:t>39.9</w:t>
                  </w:r>
                </w:p>
              </w:tc>
              <w:tc>
                <w:tcPr>
                  <w:tcW w:w="1276" w:type="dxa"/>
                  <w:vAlign w:val="center"/>
                </w:tcPr>
                <w:p>
                  <w:pPr>
                    <w:jc w:val="center"/>
                    <w:rPr>
                      <w:szCs w:val="21"/>
                    </w:rPr>
                  </w:pPr>
                  <w:r>
                    <w:rPr>
                      <w:szCs w:val="21"/>
                    </w:rPr>
                    <w:t>37.6</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北侧居民楼</w:t>
                  </w:r>
                </w:p>
              </w:tc>
              <w:tc>
                <w:tcPr>
                  <w:tcW w:w="1204" w:type="dxa"/>
                  <w:vAlign w:val="center"/>
                </w:tcPr>
                <w:p>
                  <w:pPr>
                    <w:jc w:val="center"/>
                    <w:rPr>
                      <w:szCs w:val="21"/>
                    </w:rPr>
                  </w:pPr>
                  <w:r>
                    <w:rPr>
                      <w:szCs w:val="21"/>
                    </w:rPr>
                    <w:t>40.3</w:t>
                  </w:r>
                </w:p>
              </w:tc>
              <w:tc>
                <w:tcPr>
                  <w:tcW w:w="1276" w:type="dxa"/>
                  <w:vAlign w:val="center"/>
                </w:tcPr>
                <w:p>
                  <w:pPr>
                    <w:jc w:val="center"/>
                    <w:rPr>
                      <w:szCs w:val="21"/>
                    </w:rPr>
                  </w:pPr>
                  <w:r>
                    <w:rPr>
                      <w:szCs w:val="21"/>
                    </w:rPr>
                    <w:t>38.1</w:t>
                  </w:r>
                </w:p>
              </w:tc>
              <w:tc>
                <w:tcPr>
                  <w:tcW w:w="868" w:type="dxa"/>
                  <w:vAlign w:val="center"/>
                </w:tcPr>
                <w:p>
                  <w:pPr>
                    <w:jc w:val="center"/>
                    <w:rPr>
                      <w:szCs w:val="21"/>
                    </w:rPr>
                  </w:pPr>
                  <w:r>
                    <w:rPr>
                      <w:szCs w:val="21"/>
                    </w:rPr>
                    <w:t>55</w:t>
                  </w:r>
                </w:p>
              </w:tc>
              <w:tc>
                <w:tcPr>
                  <w:tcW w:w="904" w:type="dxa"/>
                  <w:vAlign w:val="center"/>
                </w:tcPr>
                <w:p>
                  <w:pPr>
                    <w:jc w:val="center"/>
                    <w:rPr>
                      <w:szCs w:val="21"/>
                    </w:rPr>
                  </w:pPr>
                  <w:r>
                    <w:rPr>
                      <w:szCs w:val="21"/>
                    </w:rPr>
                    <w:t>45</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restart"/>
                  <w:vAlign w:val="center"/>
                </w:tcPr>
                <w:p>
                  <w:pPr>
                    <w:jc w:val="center"/>
                    <w:rPr>
                      <w:szCs w:val="21"/>
                    </w:rPr>
                  </w:pPr>
                  <w:r>
                    <w:rPr>
                      <w:szCs w:val="21"/>
                    </w:rPr>
                    <w:t>高沙</w:t>
                  </w:r>
                </w:p>
                <w:p>
                  <w:pPr>
                    <w:jc w:val="center"/>
                    <w:rPr>
                      <w:szCs w:val="21"/>
                    </w:rPr>
                  </w:pPr>
                  <w:r>
                    <w:rPr>
                      <w:szCs w:val="21"/>
                    </w:rPr>
                    <w:t>110kV变电站</w:t>
                  </w:r>
                </w:p>
              </w:tc>
              <w:tc>
                <w:tcPr>
                  <w:tcW w:w="1691" w:type="dxa"/>
                  <w:vAlign w:val="center"/>
                </w:tcPr>
                <w:p>
                  <w:pPr>
                    <w:jc w:val="center"/>
                    <w:rPr>
                      <w:szCs w:val="21"/>
                    </w:rPr>
                  </w:pPr>
                  <w:r>
                    <w:rPr>
                      <w:szCs w:val="21"/>
                    </w:rPr>
                    <w:t>北侧</w:t>
                  </w:r>
                </w:p>
              </w:tc>
              <w:tc>
                <w:tcPr>
                  <w:tcW w:w="1204" w:type="dxa"/>
                  <w:vAlign w:val="center"/>
                </w:tcPr>
                <w:p>
                  <w:pPr>
                    <w:jc w:val="center"/>
                    <w:rPr>
                      <w:szCs w:val="21"/>
                    </w:rPr>
                  </w:pPr>
                  <w:r>
                    <w:rPr>
                      <w:szCs w:val="21"/>
                    </w:rPr>
                    <w:t>44.6</w:t>
                  </w:r>
                </w:p>
              </w:tc>
              <w:tc>
                <w:tcPr>
                  <w:tcW w:w="1276" w:type="dxa"/>
                  <w:vAlign w:val="center"/>
                </w:tcPr>
                <w:p>
                  <w:pPr>
                    <w:jc w:val="center"/>
                    <w:rPr>
                      <w:szCs w:val="21"/>
                    </w:rPr>
                  </w:pPr>
                  <w:r>
                    <w:rPr>
                      <w:szCs w:val="21"/>
                    </w:rPr>
                    <w:t>42.8</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东侧</w:t>
                  </w:r>
                </w:p>
              </w:tc>
              <w:tc>
                <w:tcPr>
                  <w:tcW w:w="1204" w:type="dxa"/>
                  <w:vAlign w:val="center"/>
                </w:tcPr>
                <w:p>
                  <w:pPr>
                    <w:jc w:val="center"/>
                    <w:rPr>
                      <w:szCs w:val="21"/>
                    </w:rPr>
                  </w:pPr>
                  <w:r>
                    <w:rPr>
                      <w:szCs w:val="21"/>
                    </w:rPr>
                    <w:t>44.3</w:t>
                  </w:r>
                </w:p>
              </w:tc>
              <w:tc>
                <w:tcPr>
                  <w:tcW w:w="1276" w:type="dxa"/>
                  <w:vAlign w:val="center"/>
                </w:tcPr>
                <w:p>
                  <w:pPr>
                    <w:jc w:val="center"/>
                    <w:rPr>
                      <w:szCs w:val="21"/>
                    </w:rPr>
                  </w:pPr>
                  <w:r>
                    <w:rPr>
                      <w:szCs w:val="21"/>
                    </w:rPr>
                    <w:t>43.0</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南侧</w:t>
                  </w:r>
                </w:p>
              </w:tc>
              <w:tc>
                <w:tcPr>
                  <w:tcW w:w="1204" w:type="dxa"/>
                  <w:vAlign w:val="center"/>
                </w:tcPr>
                <w:p>
                  <w:pPr>
                    <w:jc w:val="center"/>
                    <w:rPr>
                      <w:szCs w:val="21"/>
                    </w:rPr>
                  </w:pPr>
                  <w:r>
                    <w:rPr>
                      <w:szCs w:val="21"/>
                    </w:rPr>
                    <w:t>41.5</w:t>
                  </w:r>
                </w:p>
              </w:tc>
              <w:tc>
                <w:tcPr>
                  <w:tcW w:w="1276" w:type="dxa"/>
                  <w:vAlign w:val="center"/>
                </w:tcPr>
                <w:p>
                  <w:pPr>
                    <w:jc w:val="center"/>
                    <w:rPr>
                      <w:szCs w:val="21"/>
                    </w:rPr>
                  </w:pPr>
                  <w:r>
                    <w:rPr>
                      <w:szCs w:val="21"/>
                    </w:rPr>
                    <w:t>38.9</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西侧（110kV出线）</w:t>
                  </w:r>
                </w:p>
              </w:tc>
              <w:tc>
                <w:tcPr>
                  <w:tcW w:w="1204" w:type="dxa"/>
                  <w:vAlign w:val="center"/>
                </w:tcPr>
                <w:p>
                  <w:pPr>
                    <w:jc w:val="center"/>
                    <w:rPr>
                      <w:szCs w:val="21"/>
                    </w:rPr>
                  </w:pPr>
                  <w:r>
                    <w:rPr>
                      <w:szCs w:val="21"/>
                    </w:rPr>
                    <w:t>41.4</w:t>
                  </w:r>
                </w:p>
              </w:tc>
              <w:tc>
                <w:tcPr>
                  <w:tcW w:w="1276" w:type="dxa"/>
                  <w:vAlign w:val="center"/>
                </w:tcPr>
                <w:p>
                  <w:pPr>
                    <w:jc w:val="center"/>
                    <w:rPr>
                      <w:szCs w:val="21"/>
                    </w:rPr>
                  </w:pPr>
                  <w:r>
                    <w:rPr>
                      <w:szCs w:val="21"/>
                    </w:rPr>
                    <w:t>39.9</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东北侧居民楼</w:t>
                  </w:r>
                </w:p>
              </w:tc>
              <w:tc>
                <w:tcPr>
                  <w:tcW w:w="1204" w:type="dxa"/>
                  <w:vAlign w:val="center"/>
                </w:tcPr>
                <w:p>
                  <w:pPr>
                    <w:jc w:val="center"/>
                    <w:rPr>
                      <w:szCs w:val="21"/>
                    </w:rPr>
                  </w:pPr>
                  <w:r>
                    <w:rPr>
                      <w:szCs w:val="21"/>
                    </w:rPr>
                    <w:t>41.9</w:t>
                  </w:r>
                </w:p>
              </w:tc>
              <w:tc>
                <w:tcPr>
                  <w:tcW w:w="1276" w:type="dxa"/>
                  <w:vAlign w:val="center"/>
                </w:tcPr>
                <w:p>
                  <w:pPr>
                    <w:jc w:val="center"/>
                    <w:rPr>
                      <w:szCs w:val="21"/>
                    </w:rPr>
                  </w:pPr>
                  <w:r>
                    <w:rPr>
                      <w:szCs w:val="21"/>
                    </w:rPr>
                    <w:t>40.5</w:t>
                  </w:r>
                </w:p>
              </w:tc>
              <w:tc>
                <w:tcPr>
                  <w:tcW w:w="868" w:type="dxa"/>
                  <w:vAlign w:val="center"/>
                </w:tcPr>
                <w:p>
                  <w:pPr>
                    <w:jc w:val="center"/>
                    <w:rPr>
                      <w:szCs w:val="21"/>
                    </w:rPr>
                  </w:pPr>
                  <w:r>
                    <w:rPr>
                      <w:szCs w:val="21"/>
                    </w:rPr>
                    <w:t>55</w:t>
                  </w:r>
                </w:p>
              </w:tc>
              <w:tc>
                <w:tcPr>
                  <w:tcW w:w="904" w:type="dxa"/>
                  <w:vAlign w:val="center"/>
                </w:tcPr>
                <w:p>
                  <w:pPr>
                    <w:jc w:val="center"/>
                    <w:rPr>
                      <w:szCs w:val="21"/>
                    </w:rPr>
                  </w:pPr>
                  <w:r>
                    <w:rPr>
                      <w:szCs w:val="21"/>
                    </w:rPr>
                    <w:t>45</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西北侧居民楼</w:t>
                  </w:r>
                </w:p>
              </w:tc>
              <w:tc>
                <w:tcPr>
                  <w:tcW w:w="1204" w:type="dxa"/>
                  <w:vAlign w:val="center"/>
                </w:tcPr>
                <w:p>
                  <w:pPr>
                    <w:jc w:val="center"/>
                    <w:rPr>
                      <w:szCs w:val="21"/>
                    </w:rPr>
                  </w:pPr>
                  <w:r>
                    <w:rPr>
                      <w:szCs w:val="21"/>
                    </w:rPr>
                    <w:t>42.1</w:t>
                  </w:r>
                </w:p>
              </w:tc>
              <w:tc>
                <w:tcPr>
                  <w:tcW w:w="1276" w:type="dxa"/>
                  <w:vAlign w:val="center"/>
                </w:tcPr>
                <w:p>
                  <w:pPr>
                    <w:jc w:val="center"/>
                    <w:rPr>
                      <w:szCs w:val="21"/>
                    </w:rPr>
                  </w:pPr>
                  <w:r>
                    <w:rPr>
                      <w:szCs w:val="21"/>
                    </w:rPr>
                    <w:t>39.9</w:t>
                  </w:r>
                </w:p>
              </w:tc>
              <w:tc>
                <w:tcPr>
                  <w:tcW w:w="868" w:type="dxa"/>
                  <w:vAlign w:val="center"/>
                </w:tcPr>
                <w:p>
                  <w:pPr>
                    <w:jc w:val="center"/>
                    <w:rPr>
                      <w:szCs w:val="21"/>
                    </w:rPr>
                  </w:pPr>
                  <w:r>
                    <w:rPr>
                      <w:szCs w:val="21"/>
                    </w:rPr>
                    <w:t>55</w:t>
                  </w:r>
                </w:p>
              </w:tc>
              <w:tc>
                <w:tcPr>
                  <w:tcW w:w="904" w:type="dxa"/>
                  <w:vAlign w:val="center"/>
                </w:tcPr>
                <w:p>
                  <w:pPr>
                    <w:jc w:val="center"/>
                    <w:rPr>
                      <w:szCs w:val="21"/>
                    </w:rPr>
                  </w:pPr>
                  <w:r>
                    <w:rPr>
                      <w:szCs w:val="21"/>
                    </w:rPr>
                    <w:t>45</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restart"/>
                  <w:vAlign w:val="center"/>
                </w:tcPr>
                <w:p>
                  <w:pPr>
                    <w:jc w:val="center"/>
                    <w:rPr>
                      <w:szCs w:val="21"/>
                    </w:rPr>
                  </w:pPr>
                  <w:r>
                    <w:rPr>
                      <w:szCs w:val="21"/>
                    </w:rPr>
                    <w:t>黄陂桥</w:t>
                  </w:r>
                </w:p>
                <w:p>
                  <w:pPr>
                    <w:jc w:val="center"/>
                    <w:rPr>
                      <w:szCs w:val="21"/>
                    </w:rPr>
                  </w:pPr>
                  <w:r>
                    <w:rPr>
                      <w:szCs w:val="21"/>
                    </w:rPr>
                    <w:t>110kV变电站</w:t>
                  </w:r>
                </w:p>
              </w:tc>
              <w:tc>
                <w:tcPr>
                  <w:tcW w:w="1691" w:type="dxa"/>
                  <w:vAlign w:val="center"/>
                </w:tcPr>
                <w:p>
                  <w:pPr>
                    <w:jc w:val="center"/>
                    <w:rPr>
                      <w:szCs w:val="21"/>
                    </w:rPr>
                  </w:pPr>
                  <w:r>
                    <w:rPr>
                      <w:szCs w:val="21"/>
                    </w:rPr>
                    <w:t>北侧</w:t>
                  </w:r>
                </w:p>
              </w:tc>
              <w:tc>
                <w:tcPr>
                  <w:tcW w:w="1204" w:type="dxa"/>
                  <w:vAlign w:val="center"/>
                </w:tcPr>
                <w:p>
                  <w:pPr>
                    <w:jc w:val="center"/>
                    <w:rPr>
                      <w:szCs w:val="21"/>
                    </w:rPr>
                  </w:pPr>
                  <w:r>
                    <w:rPr>
                      <w:szCs w:val="21"/>
                    </w:rPr>
                    <w:t>50.8</w:t>
                  </w:r>
                </w:p>
              </w:tc>
              <w:tc>
                <w:tcPr>
                  <w:tcW w:w="1276" w:type="dxa"/>
                  <w:vAlign w:val="center"/>
                </w:tcPr>
                <w:p>
                  <w:pPr>
                    <w:jc w:val="center"/>
                    <w:rPr>
                      <w:szCs w:val="21"/>
                    </w:rPr>
                  </w:pPr>
                  <w:r>
                    <w:rPr>
                      <w:szCs w:val="21"/>
                    </w:rPr>
                    <w:t>47.7</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东侧（110kV出线）</w:t>
                  </w:r>
                </w:p>
              </w:tc>
              <w:tc>
                <w:tcPr>
                  <w:tcW w:w="1204" w:type="dxa"/>
                  <w:vAlign w:val="center"/>
                </w:tcPr>
                <w:p>
                  <w:pPr>
                    <w:jc w:val="center"/>
                    <w:rPr>
                      <w:szCs w:val="21"/>
                    </w:rPr>
                  </w:pPr>
                  <w:r>
                    <w:rPr>
                      <w:szCs w:val="21"/>
                    </w:rPr>
                    <w:t>52.4</w:t>
                  </w:r>
                </w:p>
              </w:tc>
              <w:tc>
                <w:tcPr>
                  <w:tcW w:w="1276" w:type="dxa"/>
                  <w:vAlign w:val="center"/>
                </w:tcPr>
                <w:p>
                  <w:pPr>
                    <w:jc w:val="center"/>
                    <w:rPr>
                      <w:szCs w:val="21"/>
                    </w:rPr>
                  </w:pPr>
                  <w:r>
                    <w:rPr>
                      <w:szCs w:val="21"/>
                    </w:rPr>
                    <w:t>48.9</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西侧</w:t>
                  </w:r>
                </w:p>
              </w:tc>
              <w:tc>
                <w:tcPr>
                  <w:tcW w:w="1204" w:type="dxa"/>
                  <w:vAlign w:val="center"/>
                </w:tcPr>
                <w:p>
                  <w:pPr>
                    <w:jc w:val="center"/>
                    <w:rPr>
                      <w:szCs w:val="21"/>
                    </w:rPr>
                  </w:pPr>
                  <w:r>
                    <w:rPr>
                      <w:szCs w:val="21"/>
                    </w:rPr>
                    <w:t>53.1</w:t>
                  </w:r>
                </w:p>
              </w:tc>
              <w:tc>
                <w:tcPr>
                  <w:tcW w:w="1276" w:type="dxa"/>
                  <w:vAlign w:val="center"/>
                </w:tcPr>
                <w:p>
                  <w:pPr>
                    <w:jc w:val="center"/>
                    <w:rPr>
                      <w:szCs w:val="21"/>
                    </w:rPr>
                  </w:pPr>
                  <w:r>
                    <w:rPr>
                      <w:szCs w:val="21"/>
                    </w:rPr>
                    <w:t>48.8</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南侧</w:t>
                  </w:r>
                </w:p>
              </w:tc>
              <w:tc>
                <w:tcPr>
                  <w:tcW w:w="1204" w:type="dxa"/>
                  <w:vAlign w:val="center"/>
                </w:tcPr>
                <w:p>
                  <w:pPr>
                    <w:jc w:val="center"/>
                    <w:rPr>
                      <w:szCs w:val="21"/>
                    </w:rPr>
                  </w:pPr>
                  <w:r>
                    <w:rPr>
                      <w:szCs w:val="21"/>
                    </w:rPr>
                    <w:t>53.9</w:t>
                  </w:r>
                </w:p>
              </w:tc>
              <w:tc>
                <w:tcPr>
                  <w:tcW w:w="1276" w:type="dxa"/>
                  <w:vAlign w:val="center"/>
                </w:tcPr>
                <w:p>
                  <w:pPr>
                    <w:jc w:val="center"/>
                    <w:rPr>
                      <w:szCs w:val="21"/>
                    </w:rPr>
                  </w:pPr>
                  <w:r>
                    <w:rPr>
                      <w:szCs w:val="21"/>
                    </w:rPr>
                    <w:t>48.2</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restart"/>
                  <w:vAlign w:val="center"/>
                </w:tcPr>
                <w:p>
                  <w:pPr>
                    <w:jc w:val="center"/>
                    <w:rPr>
                      <w:szCs w:val="21"/>
                    </w:rPr>
                  </w:pPr>
                  <w:r>
                    <w:rPr>
                      <w:szCs w:val="21"/>
                    </w:rPr>
                    <w:t>大岭110kV变电站</w:t>
                  </w:r>
                </w:p>
              </w:tc>
              <w:tc>
                <w:tcPr>
                  <w:tcW w:w="1691" w:type="dxa"/>
                  <w:vAlign w:val="center"/>
                </w:tcPr>
                <w:p>
                  <w:pPr>
                    <w:jc w:val="center"/>
                    <w:rPr>
                      <w:szCs w:val="21"/>
                    </w:rPr>
                  </w:pPr>
                  <w:r>
                    <w:rPr>
                      <w:szCs w:val="21"/>
                    </w:rPr>
                    <w:t>北侧</w:t>
                  </w:r>
                </w:p>
              </w:tc>
              <w:tc>
                <w:tcPr>
                  <w:tcW w:w="1204" w:type="dxa"/>
                  <w:vAlign w:val="center"/>
                </w:tcPr>
                <w:p>
                  <w:pPr>
                    <w:jc w:val="center"/>
                    <w:rPr>
                      <w:szCs w:val="21"/>
                    </w:rPr>
                  </w:pPr>
                  <w:r>
                    <w:rPr>
                      <w:szCs w:val="21"/>
                    </w:rPr>
                    <w:t>43.7</w:t>
                  </w:r>
                </w:p>
              </w:tc>
              <w:tc>
                <w:tcPr>
                  <w:tcW w:w="1276" w:type="dxa"/>
                  <w:vAlign w:val="center"/>
                </w:tcPr>
                <w:p>
                  <w:pPr>
                    <w:jc w:val="center"/>
                    <w:rPr>
                      <w:szCs w:val="21"/>
                    </w:rPr>
                  </w:pPr>
                  <w:r>
                    <w:rPr>
                      <w:szCs w:val="21"/>
                    </w:rPr>
                    <w:t>41.5</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东侧</w:t>
                  </w:r>
                </w:p>
              </w:tc>
              <w:tc>
                <w:tcPr>
                  <w:tcW w:w="1204" w:type="dxa"/>
                  <w:vAlign w:val="center"/>
                </w:tcPr>
                <w:p>
                  <w:pPr>
                    <w:jc w:val="center"/>
                    <w:rPr>
                      <w:szCs w:val="21"/>
                    </w:rPr>
                  </w:pPr>
                  <w:r>
                    <w:rPr>
                      <w:szCs w:val="21"/>
                    </w:rPr>
                    <w:t>49.6</w:t>
                  </w:r>
                </w:p>
              </w:tc>
              <w:tc>
                <w:tcPr>
                  <w:tcW w:w="1276" w:type="dxa"/>
                  <w:vAlign w:val="center"/>
                </w:tcPr>
                <w:p>
                  <w:pPr>
                    <w:jc w:val="center"/>
                    <w:rPr>
                      <w:szCs w:val="21"/>
                    </w:rPr>
                  </w:pPr>
                  <w:r>
                    <w:rPr>
                      <w:szCs w:val="21"/>
                    </w:rPr>
                    <w:t>46.9</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西侧</w:t>
                  </w:r>
                </w:p>
              </w:tc>
              <w:tc>
                <w:tcPr>
                  <w:tcW w:w="1204" w:type="dxa"/>
                  <w:vAlign w:val="center"/>
                </w:tcPr>
                <w:p>
                  <w:pPr>
                    <w:jc w:val="center"/>
                    <w:rPr>
                      <w:szCs w:val="21"/>
                    </w:rPr>
                  </w:pPr>
                  <w:r>
                    <w:rPr>
                      <w:szCs w:val="21"/>
                    </w:rPr>
                    <w:t>44.7</w:t>
                  </w:r>
                </w:p>
              </w:tc>
              <w:tc>
                <w:tcPr>
                  <w:tcW w:w="1276" w:type="dxa"/>
                  <w:vAlign w:val="center"/>
                </w:tcPr>
                <w:p>
                  <w:pPr>
                    <w:jc w:val="center"/>
                    <w:rPr>
                      <w:szCs w:val="21"/>
                    </w:rPr>
                  </w:pPr>
                  <w:r>
                    <w:rPr>
                      <w:szCs w:val="21"/>
                    </w:rPr>
                    <w:t>42.7</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南侧（110kV出线）</w:t>
                  </w:r>
                </w:p>
              </w:tc>
              <w:tc>
                <w:tcPr>
                  <w:tcW w:w="1204" w:type="dxa"/>
                  <w:vAlign w:val="center"/>
                </w:tcPr>
                <w:p>
                  <w:pPr>
                    <w:jc w:val="center"/>
                    <w:rPr>
                      <w:szCs w:val="21"/>
                    </w:rPr>
                  </w:pPr>
                  <w:r>
                    <w:rPr>
                      <w:szCs w:val="21"/>
                    </w:rPr>
                    <w:t>48.7</w:t>
                  </w:r>
                </w:p>
              </w:tc>
              <w:tc>
                <w:tcPr>
                  <w:tcW w:w="1276" w:type="dxa"/>
                  <w:vAlign w:val="center"/>
                </w:tcPr>
                <w:p>
                  <w:pPr>
                    <w:jc w:val="center"/>
                    <w:rPr>
                      <w:szCs w:val="21"/>
                    </w:rPr>
                  </w:pPr>
                  <w:r>
                    <w:rPr>
                      <w:szCs w:val="21"/>
                    </w:rPr>
                    <w:t>46.2</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东侧居民楼Ⅰ</w:t>
                  </w:r>
                </w:p>
              </w:tc>
              <w:tc>
                <w:tcPr>
                  <w:tcW w:w="1204" w:type="dxa"/>
                  <w:vAlign w:val="center"/>
                </w:tcPr>
                <w:p>
                  <w:pPr>
                    <w:jc w:val="center"/>
                    <w:rPr>
                      <w:szCs w:val="21"/>
                    </w:rPr>
                  </w:pPr>
                  <w:r>
                    <w:rPr>
                      <w:szCs w:val="21"/>
                    </w:rPr>
                    <w:t>49.6</w:t>
                  </w:r>
                </w:p>
              </w:tc>
              <w:tc>
                <w:tcPr>
                  <w:tcW w:w="1276" w:type="dxa"/>
                  <w:vAlign w:val="center"/>
                </w:tcPr>
                <w:p>
                  <w:pPr>
                    <w:jc w:val="center"/>
                    <w:rPr>
                      <w:szCs w:val="21"/>
                    </w:rPr>
                  </w:pPr>
                  <w:r>
                    <w:rPr>
                      <w:szCs w:val="21"/>
                    </w:rPr>
                    <w:t>47.8</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东侧居民楼Ⅱ</w:t>
                  </w:r>
                </w:p>
              </w:tc>
              <w:tc>
                <w:tcPr>
                  <w:tcW w:w="1204" w:type="dxa"/>
                  <w:vAlign w:val="center"/>
                </w:tcPr>
                <w:p>
                  <w:pPr>
                    <w:jc w:val="center"/>
                    <w:rPr>
                      <w:szCs w:val="21"/>
                    </w:rPr>
                  </w:pPr>
                  <w:r>
                    <w:rPr>
                      <w:szCs w:val="21"/>
                    </w:rPr>
                    <w:t>49.1</w:t>
                  </w:r>
                </w:p>
              </w:tc>
              <w:tc>
                <w:tcPr>
                  <w:tcW w:w="1276" w:type="dxa"/>
                  <w:vAlign w:val="center"/>
                </w:tcPr>
                <w:p>
                  <w:pPr>
                    <w:jc w:val="center"/>
                    <w:rPr>
                      <w:szCs w:val="21"/>
                    </w:rPr>
                  </w:pPr>
                  <w:r>
                    <w:rPr>
                      <w:szCs w:val="21"/>
                    </w:rPr>
                    <w:t>47.5</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南侧居民楼Ⅰ</w:t>
                  </w:r>
                </w:p>
              </w:tc>
              <w:tc>
                <w:tcPr>
                  <w:tcW w:w="1204" w:type="dxa"/>
                  <w:vAlign w:val="center"/>
                </w:tcPr>
                <w:p>
                  <w:pPr>
                    <w:jc w:val="center"/>
                    <w:rPr>
                      <w:szCs w:val="21"/>
                    </w:rPr>
                  </w:pPr>
                  <w:r>
                    <w:rPr>
                      <w:szCs w:val="21"/>
                    </w:rPr>
                    <w:t>48.4</w:t>
                  </w:r>
                </w:p>
              </w:tc>
              <w:tc>
                <w:tcPr>
                  <w:tcW w:w="1276" w:type="dxa"/>
                  <w:vAlign w:val="center"/>
                </w:tcPr>
                <w:p>
                  <w:pPr>
                    <w:jc w:val="center"/>
                    <w:rPr>
                      <w:szCs w:val="21"/>
                    </w:rPr>
                  </w:pPr>
                  <w:r>
                    <w:rPr>
                      <w:szCs w:val="21"/>
                    </w:rPr>
                    <w:t>45.9</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南侧居民楼Ⅱ</w:t>
                  </w:r>
                </w:p>
              </w:tc>
              <w:tc>
                <w:tcPr>
                  <w:tcW w:w="1204" w:type="dxa"/>
                  <w:vAlign w:val="center"/>
                </w:tcPr>
                <w:p>
                  <w:pPr>
                    <w:jc w:val="center"/>
                    <w:rPr>
                      <w:szCs w:val="21"/>
                    </w:rPr>
                  </w:pPr>
                  <w:r>
                    <w:rPr>
                      <w:szCs w:val="21"/>
                    </w:rPr>
                    <w:t>43.4</w:t>
                  </w:r>
                </w:p>
              </w:tc>
              <w:tc>
                <w:tcPr>
                  <w:tcW w:w="1276" w:type="dxa"/>
                  <w:vAlign w:val="center"/>
                </w:tcPr>
                <w:p>
                  <w:pPr>
                    <w:jc w:val="center"/>
                    <w:rPr>
                      <w:szCs w:val="21"/>
                    </w:rPr>
                  </w:pPr>
                  <w:r>
                    <w:rPr>
                      <w:szCs w:val="21"/>
                    </w:rPr>
                    <w:t>41.2</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西侧居民楼Ⅰ</w:t>
                  </w:r>
                </w:p>
              </w:tc>
              <w:tc>
                <w:tcPr>
                  <w:tcW w:w="1204" w:type="dxa"/>
                  <w:vAlign w:val="center"/>
                </w:tcPr>
                <w:p>
                  <w:pPr>
                    <w:jc w:val="center"/>
                    <w:rPr>
                      <w:szCs w:val="21"/>
                    </w:rPr>
                  </w:pPr>
                  <w:r>
                    <w:rPr>
                      <w:szCs w:val="21"/>
                    </w:rPr>
                    <w:t>44.3</w:t>
                  </w:r>
                </w:p>
              </w:tc>
              <w:tc>
                <w:tcPr>
                  <w:tcW w:w="1276" w:type="dxa"/>
                  <w:vAlign w:val="center"/>
                </w:tcPr>
                <w:p>
                  <w:pPr>
                    <w:jc w:val="center"/>
                    <w:rPr>
                      <w:szCs w:val="21"/>
                    </w:rPr>
                  </w:pPr>
                  <w:r>
                    <w:rPr>
                      <w:szCs w:val="21"/>
                    </w:rPr>
                    <w:t>42.6</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szCs w:val="21"/>
                    </w:rPr>
                    <w:t>西侧居民楼Ⅱ</w:t>
                  </w:r>
                </w:p>
              </w:tc>
              <w:tc>
                <w:tcPr>
                  <w:tcW w:w="1204" w:type="dxa"/>
                  <w:vAlign w:val="center"/>
                </w:tcPr>
                <w:p>
                  <w:pPr>
                    <w:jc w:val="center"/>
                    <w:rPr>
                      <w:szCs w:val="21"/>
                    </w:rPr>
                  </w:pPr>
                  <w:r>
                    <w:rPr>
                      <w:szCs w:val="21"/>
                    </w:rPr>
                    <w:t>44.2</w:t>
                  </w:r>
                </w:p>
              </w:tc>
              <w:tc>
                <w:tcPr>
                  <w:tcW w:w="1276" w:type="dxa"/>
                  <w:vAlign w:val="center"/>
                </w:tcPr>
                <w:p>
                  <w:pPr>
                    <w:jc w:val="center"/>
                    <w:rPr>
                      <w:szCs w:val="21"/>
                    </w:rPr>
                  </w:pPr>
                  <w:r>
                    <w:rPr>
                      <w:szCs w:val="21"/>
                    </w:rPr>
                    <w:t>42.1</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restart"/>
                  <w:vAlign w:val="center"/>
                </w:tcPr>
                <w:p>
                  <w:pPr>
                    <w:jc w:val="center"/>
                    <w:rPr>
                      <w:szCs w:val="21"/>
                    </w:rPr>
                  </w:pPr>
                  <w:r>
                    <w:rPr>
                      <w:szCs w:val="21"/>
                    </w:rPr>
                    <w:t>六岭110kV变电站</w:t>
                  </w:r>
                </w:p>
              </w:tc>
              <w:tc>
                <w:tcPr>
                  <w:tcW w:w="1691" w:type="dxa"/>
                  <w:vAlign w:val="center"/>
                </w:tcPr>
                <w:p>
                  <w:pPr>
                    <w:jc w:val="center"/>
                    <w:rPr>
                      <w:rFonts w:hint="eastAsia"/>
                      <w:szCs w:val="21"/>
                    </w:rPr>
                  </w:pPr>
                  <w:r>
                    <w:rPr>
                      <w:szCs w:val="21"/>
                    </w:rPr>
                    <w:t>东侧</w:t>
                  </w:r>
                  <w:r>
                    <w:rPr>
                      <w:rFonts w:hint="eastAsia"/>
                      <w:szCs w:val="21"/>
                    </w:rPr>
                    <w:t>*</w:t>
                  </w:r>
                </w:p>
              </w:tc>
              <w:tc>
                <w:tcPr>
                  <w:tcW w:w="1204" w:type="dxa"/>
                  <w:vAlign w:val="center"/>
                </w:tcPr>
                <w:p>
                  <w:pPr>
                    <w:jc w:val="center"/>
                    <w:rPr>
                      <w:szCs w:val="21"/>
                    </w:rPr>
                  </w:pPr>
                  <w:r>
                    <w:rPr>
                      <w:szCs w:val="21"/>
                    </w:rPr>
                    <w:t>43.2</w:t>
                  </w:r>
                </w:p>
              </w:tc>
              <w:tc>
                <w:tcPr>
                  <w:tcW w:w="1276" w:type="dxa"/>
                  <w:vAlign w:val="center"/>
                </w:tcPr>
                <w:p>
                  <w:pPr>
                    <w:jc w:val="center"/>
                    <w:rPr>
                      <w:szCs w:val="21"/>
                    </w:rPr>
                  </w:pPr>
                  <w:r>
                    <w:rPr>
                      <w:szCs w:val="21"/>
                    </w:rPr>
                    <w:t>39.1</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rFonts w:hint="eastAsia"/>
                      <w:szCs w:val="21"/>
                    </w:rPr>
                  </w:pPr>
                  <w:r>
                    <w:rPr>
                      <w:szCs w:val="21"/>
                    </w:rPr>
                    <w:t>南侧</w:t>
                  </w:r>
                  <w:r>
                    <w:rPr>
                      <w:rFonts w:hint="eastAsia"/>
                      <w:szCs w:val="21"/>
                    </w:rPr>
                    <w:t>*</w:t>
                  </w:r>
                </w:p>
              </w:tc>
              <w:tc>
                <w:tcPr>
                  <w:tcW w:w="1204" w:type="dxa"/>
                  <w:vAlign w:val="center"/>
                </w:tcPr>
                <w:p>
                  <w:pPr>
                    <w:jc w:val="center"/>
                    <w:rPr>
                      <w:szCs w:val="21"/>
                    </w:rPr>
                  </w:pPr>
                  <w:r>
                    <w:rPr>
                      <w:szCs w:val="21"/>
                    </w:rPr>
                    <w:t>42.7</w:t>
                  </w:r>
                </w:p>
              </w:tc>
              <w:tc>
                <w:tcPr>
                  <w:tcW w:w="1276" w:type="dxa"/>
                  <w:vAlign w:val="center"/>
                </w:tcPr>
                <w:p>
                  <w:pPr>
                    <w:jc w:val="center"/>
                    <w:rPr>
                      <w:szCs w:val="21"/>
                    </w:rPr>
                  </w:pPr>
                  <w:r>
                    <w:rPr>
                      <w:szCs w:val="21"/>
                    </w:rPr>
                    <w:t>39.7</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rFonts w:hint="eastAsia"/>
                      <w:szCs w:val="21"/>
                    </w:rPr>
                  </w:pPr>
                  <w:r>
                    <w:rPr>
                      <w:szCs w:val="21"/>
                    </w:rPr>
                    <w:t>西侧</w:t>
                  </w:r>
                  <w:r>
                    <w:rPr>
                      <w:rFonts w:hint="eastAsia"/>
                      <w:szCs w:val="21"/>
                    </w:rPr>
                    <w:t>*</w:t>
                  </w:r>
                </w:p>
              </w:tc>
              <w:tc>
                <w:tcPr>
                  <w:tcW w:w="1204" w:type="dxa"/>
                  <w:vAlign w:val="center"/>
                </w:tcPr>
                <w:p>
                  <w:pPr>
                    <w:jc w:val="center"/>
                    <w:rPr>
                      <w:szCs w:val="21"/>
                    </w:rPr>
                  </w:pPr>
                  <w:r>
                    <w:rPr>
                      <w:szCs w:val="21"/>
                    </w:rPr>
                    <w:t>42.5</w:t>
                  </w:r>
                </w:p>
              </w:tc>
              <w:tc>
                <w:tcPr>
                  <w:tcW w:w="1276" w:type="dxa"/>
                  <w:vAlign w:val="center"/>
                </w:tcPr>
                <w:p>
                  <w:pPr>
                    <w:jc w:val="center"/>
                    <w:rPr>
                      <w:szCs w:val="21"/>
                    </w:rPr>
                  </w:pPr>
                  <w:r>
                    <w:rPr>
                      <w:szCs w:val="21"/>
                    </w:rPr>
                    <w:t>40.1</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rFonts w:hint="eastAsia"/>
                      <w:szCs w:val="21"/>
                    </w:rPr>
                  </w:pPr>
                  <w:r>
                    <w:rPr>
                      <w:szCs w:val="21"/>
                    </w:rPr>
                    <w:t>北侧</w:t>
                  </w:r>
                  <w:r>
                    <w:rPr>
                      <w:rFonts w:hint="eastAsia"/>
                      <w:szCs w:val="21"/>
                    </w:rPr>
                    <w:t>*</w:t>
                  </w:r>
                </w:p>
              </w:tc>
              <w:tc>
                <w:tcPr>
                  <w:tcW w:w="1204" w:type="dxa"/>
                  <w:vAlign w:val="center"/>
                </w:tcPr>
                <w:p>
                  <w:pPr>
                    <w:jc w:val="center"/>
                    <w:rPr>
                      <w:szCs w:val="21"/>
                    </w:rPr>
                  </w:pPr>
                  <w:r>
                    <w:rPr>
                      <w:szCs w:val="21"/>
                    </w:rPr>
                    <w:t>41.3</w:t>
                  </w:r>
                </w:p>
              </w:tc>
              <w:tc>
                <w:tcPr>
                  <w:tcW w:w="1276" w:type="dxa"/>
                  <w:vAlign w:val="center"/>
                </w:tcPr>
                <w:p>
                  <w:pPr>
                    <w:jc w:val="center"/>
                    <w:rPr>
                      <w:szCs w:val="21"/>
                    </w:rPr>
                  </w:pPr>
                  <w:r>
                    <w:rPr>
                      <w:szCs w:val="21"/>
                    </w:rPr>
                    <w:t>40.3</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rFonts w:hint="eastAsia"/>
                      <w:szCs w:val="21"/>
                    </w:rPr>
                  </w:pPr>
                  <w:r>
                    <w:rPr>
                      <w:szCs w:val="21"/>
                    </w:rPr>
                    <w:t>东北侧六岭小学</w:t>
                  </w:r>
                  <w:r>
                    <w:rPr>
                      <w:rFonts w:hint="eastAsia"/>
                      <w:szCs w:val="21"/>
                    </w:rPr>
                    <w:t>*</w:t>
                  </w:r>
                </w:p>
              </w:tc>
              <w:tc>
                <w:tcPr>
                  <w:tcW w:w="1204" w:type="dxa"/>
                  <w:vAlign w:val="center"/>
                </w:tcPr>
                <w:p>
                  <w:pPr>
                    <w:jc w:val="center"/>
                    <w:rPr>
                      <w:szCs w:val="21"/>
                    </w:rPr>
                  </w:pPr>
                  <w:r>
                    <w:rPr>
                      <w:szCs w:val="21"/>
                    </w:rPr>
                    <w:t>43.9</w:t>
                  </w:r>
                </w:p>
              </w:tc>
              <w:tc>
                <w:tcPr>
                  <w:tcW w:w="1276" w:type="dxa"/>
                  <w:vAlign w:val="center"/>
                </w:tcPr>
                <w:p>
                  <w:pPr>
                    <w:jc w:val="center"/>
                    <w:rPr>
                      <w:szCs w:val="21"/>
                    </w:rPr>
                  </w:pPr>
                  <w:r>
                    <w:rPr>
                      <w:szCs w:val="21"/>
                    </w:rPr>
                    <w:t>41.2</w:t>
                  </w:r>
                </w:p>
              </w:tc>
              <w:tc>
                <w:tcPr>
                  <w:tcW w:w="868" w:type="dxa"/>
                  <w:vAlign w:val="center"/>
                </w:tcPr>
                <w:p>
                  <w:pPr>
                    <w:jc w:val="center"/>
                    <w:rPr>
                      <w:szCs w:val="21"/>
                    </w:rPr>
                  </w:pPr>
                  <w:r>
                    <w:rPr>
                      <w:szCs w:val="21"/>
                    </w:rPr>
                    <w:t>60</w:t>
                  </w:r>
                </w:p>
              </w:tc>
              <w:tc>
                <w:tcPr>
                  <w:tcW w:w="904" w:type="dxa"/>
                  <w:vAlign w:val="center"/>
                </w:tcPr>
                <w:p>
                  <w:pPr>
                    <w:jc w:val="center"/>
                    <w:rPr>
                      <w:szCs w:val="21"/>
                    </w:rPr>
                  </w:pPr>
                  <w:r>
                    <w:rPr>
                      <w:szCs w:val="21"/>
                    </w:rPr>
                    <w:t>50</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rFonts w:hint="eastAsia"/>
                      <w:szCs w:val="21"/>
                    </w:rPr>
                    <w:t>西侧两层住宅</w:t>
                  </w:r>
                </w:p>
              </w:tc>
              <w:tc>
                <w:tcPr>
                  <w:tcW w:w="1204" w:type="dxa"/>
                  <w:vAlign w:val="center"/>
                </w:tcPr>
                <w:p>
                  <w:pPr>
                    <w:jc w:val="center"/>
                    <w:rPr>
                      <w:szCs w:val="21"/>
                    </w:rPr>
                  </w:pPr>
                  <w:r>
                    <w:rPr>
                      <w:rFonts w:hint="eastAsia"/>
                      <w:szCs w:val="21"/>
                    </w:rPr>
                    <w:t>42.7</w:t>
                  </w:r>
                </w:p>
              </w:tc>
              <w:tc>
                <w:tcPr>
                  <w:tcW w:w="1276" w:type="dxa"/>
                  <w:vAlign w:val="center"/>
                </w:tcPr>
                <w:p>
                  <w:pPr>
                    <w:jc w:val="center"/>
                    <w:rPr>
                      <w:szCs w:val="21"/>
                    </w:rPr>
                  </w:pPr>
                  <w:r>
                    <w:rPr>
                      <w:rFonts w:hint="eastAsia"/>
                      <w:szCs w:val="21"/>
                    </w:rPr>
                    <w:t>40.6</w:t>
                  </w:r>
                </w:p>
              </w:tc>
              <w:tc>
                <w:tcPr>
                  <w:tcW w:w="868" w:type="dxa"/>
                  <w:vAlign w:val="center"/>
                </w:tcPr>
                <w:p>
                  <w:pPr>
                    <w:jc w:val="center"/>
                    <w:rPr>
                      <w:szCs w:val="21"/>
                    </w:rPr>
                  </w:pPr>
                  <w:r>
                    <w:rPr>
                      <w:szCs w:val="21"/>
                    </w:rPr>
                    <w:t>55</w:t>
                  </w:r>
                </w:p>
              </w:tc>
              <w:tc>
                <w:tcPr>
                  <w:tcW w:w="904" w:type="dxa"/>
                  <w:vAlign w:val="center"/>
                </w:tcPr>
                <w:p>
                  <w:pPr>
                    <w:jc w:val="center"/>
                    <w:rPr>
                      <w:szCs w:val="21"/>
                    </w:rPr>
                  </w:pPr>
                  <w:r>
                    <w:rPr>
                      <w:szCs w:val="21"/>
                    </w:rPr>
                    <w:t>45</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rFonts w:hint="eastAsia"/>
                      <w:szCs w:val="21"/>
                    </w:rPr>
                    <w:t>东北侧29层住宅小区</w:t>
                  </w:r>
                </w:p>
              </w:tc>
              <w:tc>
                <w:tcPr>
                  <w:tcW w:w="1204" w:type="dxa"/>
                  <w:vAlign w:val="center"/>
                </w:tcPr>
                <w:p>
                  <w:pPr>
                    <w:jc w:val="center"/>
                    <w:rPr>
                      <w:szCs w:val="21"/>
                    </w:rPr>
                  </w:pPr>
                  <w:r>
                    <w:rPr>
                      <w:rFonts w:hint="eastAsia"/>
                      <w:szCs w:val="21"/>
                    </w:rPr>
                    <w:t>44.1</w:t>
                  </w:r>
                </w:p>
              </w:tc>
              <w:tc>
                <w:tcPr>
                  <w:tcW w:w="1276" w:type="dxa"/>
                  <w:vAlign w:val="center"/>
                </w:tcPr>
                <w:p>
                  <w:pPr>
                    <w:jc w:val="center"/>
                    <w:rPr>
                      <w:szCs w:val="21"/>
                    </w:rPr>
                  </w:pPr>
                  <w:r>
                    <w:rPr>
                      <w:rFonts w:hint="eastAsia"/>
                      <w:szCs w:val="21"/>
                    </w:rPr>
                    <w:t>42.7</w:t>
                  </w:r>
                </w:p>
              </w:tc>
              <w:tc>
                <w:tcPr>
                  <w:tcW w:w="868" w:type="dxa"/>
                  <w:vAlign w:val="center"/>
                </w:tcPr>
                <w:p>
                  <w:pPr>
                    <w:jc w:val="center"/>
                    <w:rPr>
                      <w:szCs w:val="21"/>
                    </w:rPr>
                  </w:pPr>
                  <w:r>
                    <w:rPr>
                      <w:szCs w:val="21"/>
                    </w:rPr>
                    <w:t>55</w:t>
                  </w:r>
                </w:p>
              </w:tc>
              <w:tc>
                <w:tcPr>
                  <w:tcW w:w="904" w:type="dxa"/>
                  <w:vAlign w:val="center"/>
                </w:tcPr>
                <w:p>
                  <w:pPr>
                    <w:jc w:val="center"/>
                    <w:rPr>
                      <w:szCs w:val="21"/>
                    </w:rPr>
                  </w:pPr>
                  <w:r>
                    <w:rPr>
                      <w:szCs w:val="21"/>
                    </w:rPr>
                    <w:t>45</w:t>
                  </w:r>
                </w:p>
              </w:tc>
              <w:tc>
                <w:tcPr>
                  <w:tcW w:w="1027"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1042" w:type="dxa"/>
                  <w:vMerge w:val="continue"/>
                  <w:vAlign w:val="center"/>
                </w:tcPr>
                <w:p>
                  <w:pPr>
                    <w:jc w:val="center"/>
                    <w:rPr>
                      <w:szCs w:val="21"/>
                    </w:rPr>
                  </w:pPr>
                </w:p>
              </w:tc>
              <w:tc>
                <w:tcPr>
                  <w:tcW w:w="1691" w:type="dxa"/>
                  <w:vAlign w:val="center"/>
                </w:tcPr>
                <w:p>
                  <w:pPr>
                    <w:jc w:val="center"/>
                    <w:rPr>
                      <w:szCs w:val="21"/>
                    </w:rPr>
                  </w:pPr>
                  <w:r>
                    <w:rPr>
                      <w:rFonts w:hint="eastAsia"/>
                      <w:szCs w:val="21"/>
                    </w:rPr>
                    <w:t>南侧27层住宅小区</w:t>
                  </w:r>
                </w:p>
              </w:tc>
              <w:tc>
                <w:tcPr>
                  <w:tcW w:w="1204" w:type="dxa"/>
                  <w:vAlign w:val="center"/>
                </w:tcPr>
                <w:p>
                  <w:pPr>
                    <w:jc w:val="center"/>
                    <w:rPr>
                      <w:szCs w:val="21"/>
                    </w:rPr>
                  </w:pPr>
                  <w:r>
                    <w:rPr>
                      <w:rFonts w:hint="eastAsia"/>
                      <w:szCs w:val="21"/>
                    </w:rPr>
                    <w:t>43.3</w:t>
                  </w:r>
                </w:p>
              </w:tc>
              <w:tc>
                <w:tcPr>
                  <w:tcW w:w="1276" w:type="dxa"/>
                  <w:vAlign w:val="center"/>
                </w:tcPr>
                <w:p>
                  <w:pPr>
                    <w:jc w:val="center"/>
                    <w:rPr>
                      <w:szCs w:val="21"/>
                    </w:rPr>
                  </w:pPr>
                  <w:r>
                    <w:rPr>
                      <w:rFonts w:hint="eastAsia"/>
                      <w:szCs w:val="21"/>
                    </w:rPr>
                    <w:t>40.5</w:t>
                  </w:r>
                </w:p>
              </w:tc>
              <w:tc>
                <w:tcPr>
                  <w:tcW w:w="868" w:type="dxa"/>
                  <w:vAlign w:val="center"/>
                </w:tcPr>
                <w:p>
                  <w:pPr>
                    <w:jc w:val="center"/>
                    <w:rPr>
                      <w:szCs w:val="21"/>
                    </w:rPr>
                  </w:pPr>
                  <w:r>
                    <w:rPr>
                      <w:szCs w:val="21"/>
                    </w:rPr>
                    <w:t>55</w:t>
                  </w:r>
                </w:p>
              </w:tc>
              <w:tc>
                <w:tcPr>
                  <w:tcW w:w="904" w:type="dxa"/>
                  <w:vAlign w:val="center"/>
                </w:tcPr>
                <w:p>
                  <w:pPr>
                    <w:jc w:val="center"/>
                    <w:rPr>
                      <w:szCs w:val="21"/>
                    </w:rPr>
                  </w:pPr>
                  <w:r>
                    <w:rPr>
                      <w:szCs w:val="21"/>
                    </w:rPr>
                    <w:t>45</w:t>
                  </w:r>
                </w:p>
              </w:tc>
              <w:tc>
                <w:tcPr>
                  <w:tcW w:w="1027" w:type="dxa"/>
                  <w:vAlign w:val="center"/>
                </w:tcPr>
                <w:p>
                  <w:pPr>
                    <w:jc w:val="center"/>
                    <w:rPr>
                      <w:szCs w:val="21"/>
                    </w:rPr>
                  </w:pPr>
                  <w:r>
                    <w:rPr>
                      <w:szCs w:val="21"/>
                    </w:rPr>
                    <w:t>达标</w:t>
                  </w:r>
                </w:p>
              </w:tc>
            </w:tr>
          </w:tbl>
          <w:p>
            <w:pPr>
              <w:spacing w:before="156" w:beforeLines="50" w:line="360" w:lineRule="auto"/>
              <w:rPr>
                <w:rFonts w:hint="eastAsia"/>
                <w:sz w:val="18"/>
                <w:szCs w:val="18"/>
              </w:rPr>
            </w:pPr>
            <w:r>
              <w:rPr>
                <w:rFonts w:hint="eastAsia"/>
                <w:sz w:val="18"/>
                <w:szCs w:val="18"/>
              </w:rPr>
              <w:t>*注：</w:t>
            </w:r>
            <w:r>
              <w:rPr>
                <w:sz w:val="18"/>
                <w:szCs w:val="18"/>
              </w:rPr>
              <w:t>六岭110kV变电站</w:t>
            </w:r>
            <w:r>
              <w:rPr>
                <w:rFonts w:hint="eastAsia"/>
                <w:sz w:val="18"/>
                <w:szCs w:val="18"/>
              </w:rPr>
              <w:t>各厂界、东北侧六岭小学噪声现状监测数据引用自通过省环保厅审批的环评报告《邵阳市2015年第一批输变电工程环境影响报告表》</w:t>
            </w:r>
          </w:p>
          <w:p>
            <w:pPr>
              <w:spacing w:before="156" w:beforeLines="50" w:line="360" w:lineRule="auto"/>
              <w:ind w:firstLine="560" w:firstLineChars="200"/>
              <w:rPr>
                <w:sz w:val="28"/>
                <w:szCs w:val="28"/>
              </w:rPr>
            </w:pPr>
            <w:r>
              <w:rPr>
                <w:sz w:val="28"/>
                <w:szCs w:val="28"/>
              </w:rPr>
              <w:t>从表9可看出，邵阳市2017年第一批输变电工程各变电站拟建（扩建）站址（厂界）周围声环境昼夜间最大值分别为53.9dB（A）、48.9dB（A）；周围环境保护目标声环境昼夜间最大值分别为49.6dB（A）、47.8dB（A）。所有监测值均符合相关的噪声标准要求。</w:t>
            </w:r>
          </w:p>
          <w:p>
            <w:pPr>
              <w:spacing w:before="156" w:beforeLines="50" w:line="360" w:lineRule="auto"/>
              <w:ind w:firstLine="560" w:firstLineChars="200"/>
              <w:rPr>
                <w:sz w:val="28"/>
                <w:szCs w:val="28"/>
              </w:rPr>
            </w:pPr>
          </w:p>
          <w:p>
            <w:pPr>
              <w:spacing w:line="400" w:lineRule="exact"/>
              <w:ind w:left="0" w:leftChars="-1" w:hanging="2" w:hangingChars="1"/>
              <w:rPr>
                <w:sz w:val="28"/>
                <w:szCs w:val="28"/>
              </w:rPr>
            </w:pPr>
            <w:r>
              <w:rPr>
                <w:sz w:val="28"/>
                <w:szCs w:val="28"/>
              </w:rPr>
              <w:t>2.2 送电线路</w:t>
            </w:r>
          </w:p>
          <w:p>
            <w:pPr>
              <w:spacing w:before="156" w:beforeLines="50" w:line="360" w:lineRule="auto"/>
              <w:ind w:firstLine="560" w:firstLineChars="200"/>
              <w:rPr>
                <w:sz w:val="28"/>
                <w:szCs w:val="28"/>
              </w:rPr>
            </w:pPr>
            <w:r>
              <w:rPr>
                <w:sz w:val="28"/>
                <w:szCs w:val="28"/>
              </w:rPr>
              <w:t>线路噪声现状监测仪器、方法，监测时间频率等同变电站噪声现状监测，监测布点则同线路电磁环境现状监测布点。</w:t>
            </w:r>
          </w:p>
          <w:p>
            <w:pPr>
              <w:spacing w:line="360" w:lineRule="auto"/>
              <w:ind w:firstLine="560" w:firstLineChars="200"/>
              <w:rPr>
                <w:sz w:val="28"/>
                <w:szCs w:val="28"/>
              </w:rPr>
            </w:pPr>
            <w:r>
              <w:rPr>
                <w:sz w:val="28"/>
                <w:szCs w:val="28"/>
              </w:rPr>
              <w:t>新建线路拟建区域监测点的噪声现状监测结果见表10。</w:t>
            </w:r>
          </w:p>
          <w:p>
            <w:pPr>
              <w:ind w:leftChars="-1" w:hanging="2" w:hangingChars="1"/>
              <w:jc w:val="center"/>
              <w:rPr>
                <w:b/>
                <w:sz w:val="24"/>
                <w:szCs w:val="24"/>
              </w:rPr>
            </w:pPr>
            <w:r>
              <w:rPr>
                <w:b/>
                <w:sz w:val="24"/>
                <w:szCs w:val="24"/>
              </w:rPr>
              <w:t>表10  工程配套线路沿线噪声监测结果</w:t>
            </w:r>
          </w:p>
          <w:tbl>
            <w:tblPr>
              <w:tblStyle w:val="11"/>
              <w:tblW w:w="848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331"/>
              <w:gridCol w:w="1702"/>
              <w:gridCol w:w="832"/>
              <w:gridCol w:w="833"/>
              <w:gridCol w:w="832"/>
              <w:gridCol w:w="833"/>
              <w:gridCol w:w="11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65" w:hRule="atLeast"/>
                <w:jc w:val="center"/>
              </w:trPr>
              <w:tc>
                <w:tcPr>
                  <w:tcW w:w="2331" w:type="dxa"/>
                  <w:vMerge w:val="restart"/>
                  <w:vAlign w:val="center"/>
                </w:tcPr>
                <w:p>
                  <w:pPr>
                    <w:jc w:val="center"/>
                    <w:rPr>
                      <w:szCs w:val="21"/>
                    </w:rPr>
                  </w:pPr>
                  <w:r>
                    <w:rPr>
                      <w:szCs w:val="21"/>
                    </w:rPr>
                    <w:t>所属工程</w:t>
                  </w:r>
                </w:p>
              </w:tc>
              <w:tc>
                <w:tcPr>
                  <w:tcW w:w="1702" w:type="dxa"/>
                  <w:vMerge w:val="restart"/>
                  <w:vAlign w:val="center"/>
                </w:tcPr>
                <w:p>
                  <w:pPr>
                    <w:jc w:val="center"/>
                    <w:rPr>
                      <w:szCs w:val="21"/>
                    </w:rPr>
                  </w:pPr>
                  <w:r>
                    <w:rPr>
                      <w:szCs w:val="21"/>
                    </w:rPr>
                    <w:t>测  点</w:t>
                  </w:r>
                </w:p>
              </w:tc>
              <w:tc>
                <w:tcPr>
                  <w:tcW w:w="1665" w:type="dxa"/>
                  <w:gridSpan w:val="2"/>
                  <w:vAlign w:val="center"/>
                </w:tcPr>
                <w:p>
                  <w:pPr>
                    <w:jc w:val="center"/>
                    <w:rPr>
                      <w:szCs w:val="21"/>
                    </w:rPr>
                  </w:pPr>
                  <w:r>
                    <w:rPr>
                      <w:szCs w:val="21"/>
                    </w:rPr>
                    <w:t>监测值</w:t>
                  </w:r>
                </w:p>
                <w:p>
                  <w:pPr>
                    <w:jc w:val="center"/>
                    <w:rPr>
                      <w:szCs w:val="21"/>
                    </w:rPr>
                  </w:pPr>
                  <w:r>
                    <w:rPr>
                      <w:szCs w:val="21"/>
                    </w:rPr>
                    <w:t>[dB（A）]</w:t>
                  </w:r>
                </w:p>
              </w:tc>
              <w:tc>
                <w:tcPr>
                  <w:tcW w:w="1665" w:type="dxa"/>
                  <w:gridSpan w:val="2"/>
                  <w:vAlign w:val="center"/>
                </w:tcPr>
                <w:p>
                  <w:pPr>
                    <w:jc w:val="center"/>
                    <w:rPr>
                      <w:szCs w:val="21"/>
                    </w:rPr>
                  </w:pPr>
                  <w:r>
                    <w:rPr>
                      <w:szCs w:val="21"/>
                    </w:rPr>
                    <w:t>标准限值</w:t>
                  </w:r>
                </w:p>
                <w:p>
                  <w:pPr>
                    <w:jc w:val="center"/>
                    <w:rPr>
                      <w:szCs w:val="21"/>
                    </w:rPr>
                  </w:pPr>
                  <w:r>
                    <w:rPr>
                      <w:szCs w:val="21"/>
                    </w:rPr>
                    <w:t>[dB（A）]</w:t>
                  </w:r>
                </w:p>
              </w:tc>
              <w:tc>
                <w:tcPr>
                  <w:tcW w:w="1122" w:type="dxa"/>
                  <w:vMerge w:val="restart"/>
                  <w:vAlign w:val="center"/>
                </w:tcPr>
                <w:p>
                  <w:pPr>
                    <w:jc w:val="center"/>
                    <w:rPr>
                      <w:szCs w:val="21"/>
                    </w:rPr>
                  </w:pPr>
                  <w:r>
                    <w:rPr>
                      <w:szCs w:val="21"/>
                    </w:rPr>
                    <w:t>是否</w:t>
                  </w:r>
                </w:p>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65" w:hRule="atLeast"/>
                <w:jc w:val="center"/>
              </w:trPr>
              <w:tc>
                <w:tcPr>
                  <w:tcW w:w="2331" w:type="dxa"/>
                  <w:vMerge w:val="continue"/>
                  <w:vAlign w:val="center"/>
                </w:tcPr>
                <w:p>
                  <w:pPr>
                    <w:jc w:val="center"/>
                    <w:rPr>
                      <w:szCs w:val="21"/>
                    </w:rPr>
                  </w:pPr>
                </w:p>
              </w:tc>
              <w:tc>
                <w:tcPr>
                  <w:tcW w:w="1702" w:type="dxa"/>
                  <w:vMerge w:val="continue"/>
                  <w:vAlign w:val="center"/>
                </w:tcPr>
                <w:p>
                  <w:pPr>
                    <w:jc w:val="center"/>
                    <w:rPr>
                      <w:szCs w:val="21"/>
                    </w:rPr>
                  </w:pPr>
                </w:p>
              </w:tc>
              <w:tc>
                <w:tcPr>
                  <w:tcW w:w="832" w:type="dxa"/>
                  <w:vAlign w:val="center"/>
                </w:tcPr>
                <w:p>
                  <w:pPr>
                    <w:jc w:val="center"/>
                    <w:rPr>
                      <w:szCs w:val="21"/>
                    </w:rPr>
                  </w:pPr>
                  <w:r>
                    <w:rPr>
                      <w:szCs w:val="21"/>
                    </w:rPr>
                    <w:t>昼间</w:t>
                  </w:r>
                </w:p>
              </w:tc>
              <w:tc>
                <w:tcPr>
                  <w:tcW w:w="833" w:type="dxa"/>
                  <w:vAlign w:val="center"/>
                </w:tcPr>
                <w:p>
                  <w:pPr>
                    <w:jc w:val="center"/>
                    <w:rPr>
                      <w:szCs w:val="21"/>
                    </w:rPr>
                  </w:pPr>
                  <w:r>
                    <w:rPr>
                      <w:szCs w:val="21"/>
                    </w:rPr>
                    <w:t>夜间</w:t>
                  </w:r>
                </w:p>
              </w:tc>
              <w:tc>
                <w:tcPr>
                  <w:tcW w:w="832" w:type="dxa"/>
                  <w:vAlign w:val="center"/>
                </w:tcPr>
                <w:p>
                  <w:pPr>
                    <w:jc w:val="center"/>
                    <w:rPr>
                      <w:szCs w:val="21"/>
                    </w:rPr>
                  </w:pPr>
                  <w:r>
                    <w:rPr>
                      <w:szCs w:val="21"/>
                    </w:rPr>
                    <w:t>昼间</w:t>
                  </w:r>
                </w:p>
              </w:tc>
              <w:tc>
                <w:tcPr>
                  <w:tcW w:w="833" w:type="dxa"/>
                  <w:vAlign w:val="center"/>
                </w:tcPr>
                <w:p>
                  <w:pPr>
                    <w:jc w:val="center"/>
                    <w:rPr>
                      <w:szCs w:val="21"/>
                    </w:rPr>
                  </w:pPr>
                  <w:r>
                    <w:rPr>
                      <w:szCs w:val="21"/>
                    </w:rPr>
                    <w:t>夜间</w:t>
                  </w:r>
                </w:p>
              </w:tc>
              <w:tc>
                <w:tcPr>
                  <w:tcW w:w="1122" w:type="dxa"/>
                  <w:vMerge w:val="continue"/>
                  <w:vAlign w:val="top"/>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331" w:type="dxa"/>
                  <w:vMerge w:val="restart"/>
                  <w:vAlign w:val="center"/>
                </w:tcPr>
                <w:p>
                  <w:pPr>
                    <w:jc w:val="center"/>
                    <w:rPr>
                      <w:szCs w:val="21"/>
                    </w:rPr>
                  </w:pPr>
                  <w:r>
                    <w:rPr>
                      <w:iCs/>
                      <w:szCs w:val="21"/>
                    </w:rPr>
                    <w:t>隆回县城东110kV输变电工程配套线路</w:t>
                  </w:r>
                </w:p>
              </w:tc>
              <w:tc>
                <w:tcPr>
                  <w:tcW w:w="1702" w:type="dxa"/>
                  <w:vAlign w:val="center"/>
                </w:tcPr>
                <w:p>
                  <w:pPr>
                    <w:jc w:val="center"/>
                    <w:rPr>
                      <w:szCs w:val="21"/>
                    </w:rPr>
                  </w:pPr>
                  <w:r>
                    <w:rPr>
                      <w:szCs w:val="21"/>
                    </w:rPr>
                    <w:t>桃洪镇白竹村</w:t>
                  </w:r>
                </w:p>
              </w:tc>
              <w:tc>
                <w:tcPr>
                  <w:tcW w:w="832" w:type="dxa"/>
                  <w:vAlign w:val="center"/>
                </w:tcPr>
                <w:p>
                  <w:pPr>
                    <w:jc w:val="center"/>
                    <w:rPr>
                      <w:szCs w:val="21"/>
                    </w:rPr>
                  </w:pPr>
                  <w:r>
                    <w:rPr>
                      <w:szCs w:val="21"/>
                    </w:rPr>
                    <w:t>42.1</w:t>
                  </w:r>
                </w:p>
              </w:tc>
              <w:tc>
                <w:tcPr>
                  <w:tcW w:w="833" w:type="dxa"/>
                  <w:vAlign w:val="center"/>
                </w:tcPr>
                <w:p>
                  <w:pPr>
                    <w:jc w:val="center"/>
                    <w:rPr>
                      <w:szCs w:val="21"/>
                    </w:rPr>
                  </w:pPr>
                  <w:r>
                    <w:rPr>
                      <w:szCs w:val="21"/>
                    </w:rPr>
                    <w:t>39.8</w:t>
                  </w:r>
                </w:p>
              </w:tc>
              <w:tc>
                <w:tcPr>
                  <w:tcW w:w="832" w:type="dxa"/>
                  <w:vAlign w:val="center"/>
                </w:tcPr>
                <w:p>
                  <w:pPr>
                    <w:jc w:val="center"/>
                    <w:rPr>
                      <w:szCs w:val="21"/>
                    </w:rPr>
                  </w:pPr>
                  <w:r>
                    <w:rPr>
                      <w:szCs w:val="21"/>
                    </w:rPr>
                    <w:t>55</w:t>
                  </w:r>
                </w:p>
              </w:tc>
              <w:tc>
                <w:tcPr>
                  <w:tcW w:w="833" w:type="dxa"/>
                  <w:vAlign w:val="center"/>
                </w:tcPr>
                <w:p>
                  <w:pPr>
                    <w:jc w:val="center"/>
                    <w:rPr>
                      <w:szCs w:val="21"/>
                    </w:rPr>
                  </w:pPr>
                  <w:r>
                    <w:rPr>
                      <w:szCs w:val="21"/>
                    </w:rPr>
                    <w:t>45</w:t>
                  </w:r>
                </w:p>
              </w:tc>
              <w:tc>
                <w:tcPr>
                  <w:tcW w:w="1122"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331" w:type="dxa"/>
                  <w:vMerge w:val="continue"/>
                  <w:vAlign w:val="center"/>
                </w:tcPr>
                <w:p>
                  <w:pPr>
                    <w:jc w:val="center"/>
                    <w:rPr>
                      <w:iCs/>
                      <w:szCs w:val="21"/>
                    </w:rPr>
                  </w:pPr>
                </w:p>
              </w:tc>
              <w:tc>
                <w:tcPr>
                  <w:tcW w:w="1702" w:type="dxa"/>
                  <w:vAlign w:val="center"/>
                </w:tcPr>
                <w:p>
                  <w:pPr>
                    <w:jc w:val="center"/>
                    <w:rPr>
                      <w:szCs w:val="21"/>
                    </w:rPr>
                  </w:pPr>
                  <w:r>
                    <w:rPr>
                      <w:szCs w:val="21"/>
                    </w:rPr>
                    <w:t>桃洪镇白竹村大丰收农庄</w:t>
                  </w:r>
                </w:p>
              </w:tc>
              <w:tc>
                <w:tcPr>
                  <w:tcW w:w="832" w:type="dxa"/>
                  <w:vAlign w:val="center"/>
                </w:tcPr>
                <w:p>
                  <w:pPr>
                    <w:jc w:val="center"/>
                    <w:rPr>
                      <w:szCs w:val="21"/>
                    </w:rPr>
                  </w:pPr>
                  <w:r>
                    <w:rPr>
                      <w:szCs w:val="21"/>
                    </w:rPr>
                    <w:t>48.9</w:t>
                  </w:r>
                </w:p>
              </w:tc>
              <w:tc>
                <w:tcPr>
                  <w:tcW w:w="833" w:type="dxa"/>
                  <w:vAlign w:val="center"/>
                </w:tcPr>
                <w:p>
                  <w:pPr>
                    <w:jc w:val="center"/>
                    <w:rPr>
                      <w:szCs w:val="21"/>
                    </w:rPr>
                  </w:pPr>
                  <w:r>
                    <w:rPr>
                      <w:szCs w:val="21"/>
                    </w:rPr>
                    <w:t>41.2</w:t>
                  </w:r>
                </w:p>
              </w:tc>
              <w:tc>
                <w:tcPr>
                  <w:tcW w:w="832" w:type="dxa"/>
                  <w:vAlign w:val="center"/>
                </w:tcPr>
                <w:p>
                  <w:pPr>
                    <w:jc w:val="center"/>
                    <w:rPr>
                      <w:szCs w:val="21"/>
                    </w:rPr>
                  </w:pPr>
                  <w:r>
                    <w:rPr>
                      <w:szCs w:val="21"/>
                    </w:rPr>
                    <w:t>55</w:t>
                  </w:r>
                </w:p>
              </w:tc>
              <w:tc>
                <w:tcPr>
                  <w:tcW w:w="833" w:type="dxa"/>
                  <w:vAlign w:val="center"/>
                </w:tcPr>
                <w:p>
                  <w:pPr>
                    <w:jc w:val="center"/>
                    <w:rPr>
                      <w:szCs w:val="21"/>
                    </w:rPr>
                  </w:pPr>
                  <w:r>
                    <w:rPr>
                      <w:szCs w:val="21"/>
                    </w:rPr>
                    <w:t>45</w:t>
                  </w:r>
                </w:p>
              </w:tc>
              <w:tc>
                <w:tcPr>
                  <w:tcW w:w="1122"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331" w:type="dxa"/>
                  <w:vAlign w:val="center"/>
                </w:tcPr>
                <w:p>
                  <w:pPr>
                    <w:jc w:val="center"/>
                    <w:rPr>
                      <w:szCs w:val="21"/>
                    </w:rPr>
                  </w:pPr>
                  <w:r>
                    <w:rPr>
                      <w:szCs w:val="21"/>
                    </w:rPr>
                    <w:t>邵阳宝莲二期风电110kV送出工程</w:t>
                  </w:r>
                </w:p>
              </w:tc>
              <w:tc>
                <w:tcPr>
                  <w:tcW w:w="1702" w:type="dxa"/>
                  <w:vAlign w:val="center"/>
                </w:tcPr>
                <w:p>
                  <w:pPr>
                    <w:jc w:val="center"/>
                    <w:rPr>
                      <w:szCs w:val="21"/>
                    </w:rPr>
                  </w:pPr>
                  <w:r>
                    <w:rPr>
                      <w:szCs w:val="21"/>
                    </w:rPr>
                    <w:t>麻塘山乡蔡家重冲</w:t>
                  </w:r>
                </w:p>
              </w:tc>
              <w:tc>
                <w:tcPr>
                  <w:tcW w:w="832" w:type="dxa"/>
                  <w:vAlign w:val="center"/>
                </w:tcPr>
                <w:p>
                  <w:pPr>
                    <w:jc w:val="center"/>
                    <w:rPr>
                      <w:szCs w:val="21"/>
                    </w:rPr>
                  </w:pPr>
                  <w:r>
                    <w:rPr>
                      <w:szCs w:val="21"/>
                    </w:rPr>
                    <w:t>40.3</w:t>
                  </w:r>
                </w:p>
              </w:tc>
              <w:tc>
                <w:tcPr>
                  <w:tcW w:w="833" w:type="dxa"/>
                  <w:vAlign w:val="center"/>
                </w:tcPr>
                <w:p>
                  <w:pPr>
                    <w:jc w:val="center"/>
                    <w:rPr>
                      <w:szCs w:val="21"/>
                    </w:rPr>
                  </w:pPr>
                  <w:r>
                    <w:rPr>
                      <w:szCs w:val="21"/>
                    </w:rPr>
                    <w:t>38.1</w:t>
                  </w:r>
                </w:p>
              </w:tc>
              <w:tc>
                <w:tcPr>
                  <w:tcW w:w="832" w:type="dxa"/>
                  <w:vAlign w:val="center"/>
                </w:tcPr>
                <w:p>
                  <w:pPr>
                    <w:jc w:val="center"/>
                    <w:rPr>
                      <w:szCs w:val="21"/>
                    </w:rPr>
                  </w:pPr>
                  <w:r>
                    <w:rPr>
                      <w:szCs w:val="21"/>
                    </w:rPr>
                    <w:t>55</w:t>
                  </w:r>
                </w:p>
              </w:tc>
              <w:tc>
                <w:tcPr>
                  <w:tcW w:w="833" w:type="dxa"/>
                  <w:vAlign w:val="center"/>
                </w:tcPr>
                <w:p>
                  <w:pPr>
                    <w:jc w:val="center"/>
                    <w:rPr>
                      <w:szCs w:val="21"/>
                    </w:rPr>
                  </w:pPr>
                  <w:r>
                    <w:rPr>
                      <w:szCs w:val="21"/>
                    </w:rPr>
                    <w:t>45</w:t>
                  </w:r>
                </w:p>
              </w:tc>
              <w:tc>
                <w:tcPr>
                  <w:tcW w:w="1122"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331" w:type="dxa"/>
                  <w:vMerge w:val="restart"/>
                  <w:vAlign w:val="center"/>
                </w:tcPr>
                <w:p>
                  <w:pPr>
                    <w:jc w:val="center"/>
                    <w:rPr>
                      <w:szCs w:val="21"/>
                    </w:rPr>
                  </w:pPr>
                  <w:r>
                    <w:rPr>
                      <w:szCs w:val="21"/>
                    </w:rPr>
                    <w:t>大唐华银绥宁宝鼎山风电二期三期110kV送出工程</w:t>
                  </w:r>
                </w:p>
              </w:tc>
              <w:tc>
                <w:tcPr>
                  <w:tcW w:w="1702" w:type="dxa"/>
                  <w:vAlign w:val="center"/>
                </w:tcPr>
                <w:p>
                  <w:pPr>
                    <w:jc w:val="center"/>
                    <w:rPr>
                      <w:szCs w:val="21"/>
                    </w:rPr>
                  </w:pPr>
                  <w:r>
                    <w:rPr>
                      <w:szCs w:val="21"/>
                    </w:rPr>
                    <w:t>绥宁县李熙桥镇百家田村祖亭寨台区</w:t>
                  </w:r>
                </w:p>
              </w:tc>
              <w:tc>
                <w:tcPr>
                  <w:tcW w:w="832" w:type="dxa"/>
                  <w:vAlign w:val="center"/>
                </w:tcPr>
                <w:p>
                  <w:pPr>
                    <w:jc w:val="center"/>
                    <w:rPr>
                      <w:szCs w:val="21"/>
                    </w:rPr>
                  </w:pPr>
                  <w:r>
                    <w:rPr>
                      <w:szCs w:val="21"/>
                    </w:rPr>
                    <w:t>41.2</w:t>
                  </w:r>
                </w:p>
              </w:tc>
              <w:tc>
                <w:tcPr>
                  <w:tcW w:w="833" w:type="dxa"/>
                  <w:vAlign w:val="center"/>
                </w:tcPr>
                <w:p>
                  <w:pPr>
                    <w:jc w:val="center"/>
                    <w:rPr>
                      <w:szCs w:val="21"/>
                    </w:rPr>
                  </w:pPr>
                  <w:r>
                    <w:rPr>
                      <w:szCs w:val="21"/>
                    </w:rPr>
                    <w:t>38.9</w:t>
                  </w:r>
                </w:p>
              </w:tc>
              <w:tc>
                <w:tcPr>
                  <w:tcW w:w="832" w:type="dxa"/>
                  <w:vAlign w:val="center"/>
                </w:tcPr>
                <w:p>
                  <w:pPr>
                    <w:jc w:val="center"/>
                    <w:rPr>
                      <w:szCs w:val="21"/>
                    </w:rPr>
                  </w:pPr>
                  <w:r>
                    <w:rPr>
                      <w:szCs w:val="21"/>
                    </w:rPr>
                    <w:t>55</w:t>
                  </w:r>
                </w:p>
              </w:tc>
              <w:tc>
                <w:tcPr>
                  <w:tcW w:w="833" w:type="dxa"/>
                  <w:vAlign w:val="center"/>
                </w:tcPr>
                <w:p>
                  <w:pPr>
                    <w:jc w:val="center"/>
                    <w:rPr>
                      <w:szCs w:val="21"/>
                    </w:rPr>
                  </w:pPr>
                  <w:r>
                    <w:rPr>
                      <w:szCs w:val="21"/>
                    </w:rPr>
                    <w:t>45</w:t>
                  </w:r>
                </w:p>
              </w:tc>
              <w:tc>
                <w:tcPr>
                  <w:tcW w:w="1122"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331" w:type="dxa"/>
                  <w:vMerge w:val="continue"/>
                  <w:vAlign w:val="center"/>
                </w:tcPr>
                <w:p>
                  <w:pPr>
                    <w:jc w:val="center"/>
                    <w:rPr>
                      <w:szCs w:val="21"/>
                    </w:rPr>
                  </w:pPr>
                </w:p>
              </w:tc>
              <w:tc>
                <w:tcPr>
                  <w:tcW w:w="1702" w:type="dxa"/>
                  <w:vAlign w:val="center"/>
                </w:tcPr>
                <w:p>
                  <w:pPr>
                    <w:jc w:val="center"/>
                    <w:rPr>
                      <w:szCs w:val="21"/>
                    </w:rPr>
                  </w:pPr>
                  <w:r>
                    <w:rPr>
                      <w:szCs w:val="21"/>
                    </w:rPr>
                    <w:t>绥宁县白玉乡檀山庙村大湾里台区</w:t>
                  </w:r>
                </w:p>
              </w:tc>
              <w:tc>
                <w:tcPr>
                  <w:tcW w:w="832" w:type="dxa"/>
                  <w:vAlign w:val="center"/>
                </w:tcPr>
                <w:p>
                  <w:pPr>
                    <w:jc w:val="center"/>
                    <w:rPr>
                      <w:szCs w:val="21"/>
                    </w:rPr>
                  </w:pPr>
                  <w:r>
                    <w:rPr>
                      <w:szCs w:val="21"/>
                    </w:rPr>
                    <w:t>42.4</w:t>
                  </w:r>
                </w:p>
              </w:tc>
              <w:tc>
                <w:tcPr>
                  <w:tcW w:w="833" w:type="dxa"/>
                  <w:vAlign w:val="center"/>
                </w:tcPr>
                <w:p>
                  <w:pPr>
                    <w:jc w:val="center"/>
                    <w:rPr>
                      <w:szCs w:val="21"/>
                    </w:rPr>
                  </w:pPr>
                  <w:r>
                    <w:rPr>
                      <w:szCs w:val="21"/>
                    </w:rPr>
                    <w:t>40.8</w:t>
                  </w:r>
                </w:p>
              </w:tc>
              <w:tc>
                <w:tcPr>
                  <w:tcW w:w="832" w:type="dxa"/>
                  <w:vAlign w:val="center"/>
                </w:tcPr>
                <w:p>
                  <w:pPr>
                    <w:jc w:val="center"/>
                    <w:rPr>
                      <w:szCs w:val="21"/>
                    </w:rPr>
                  </w:pPr>
                  <w:r>
                    <w:rPr>
                      <w:szCs w:val="21"/>
                    </w:rPr>
                    <w:t>55</w:t>
                  </w:r>
                </w:p>
              </w:tc>
              <w:tc>
                <w:tcPr>
                  <w:tcW w:w="833" w:type="dxa"/>
                  <w:vAlign w:val="center"/>
                </w:tcPr>
                <w:p>
                  <w:pPr>
                    <w:jc w:val="center"/>
                    <w:rPr>
                      <w:szCs w:val="21"/>
                    </w:rPr>
                  </w:pPr>
                  <w:r>
                    <w:rPr>
                      <w:szCs w:val="21"/>
                    </w:rPr>
                    <w:t>45</w:t>
                  </w:r>
                </w:p>
              </w:tc>
              <w:tc>
                <w:tcPr>
                  <w:tcW w:w="1122"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331" w:type="dxa"/>
                  <w:vAlign w:val="center"/>
                </w:tcPr>
                <w:p>
                  <w:pPr>
                    <w:jc w:val="center"/>
                    <w:rPr>
                      <w:szCs w:val="21"/>
                    </w:rPr>
                  </w:pPr>
                  <w:r>
                    <w:rPr>
                      <w:szCs w:val="21"/>
                    </w:rPr>
                    <w:t>隆回金坪110kV风电送出工程</w:t>
                  </w:r>
                </w:p>
              </w:tc>
              <w:tc>
                <w:tcPr>
                  <w:tcW w:w="1702" w:type="dxa"/>
                  <w:vAlign w:val="center"/>
                </w:tcPr>
                <w:p>
                  <w:pPr>
                    <w:jc w:val="center"/>
                    <w:rPr>
                      <w:szCs w:val="21"/>
                    </w:rPr>
                  </w:pPr>
                  <w:r>
                    <w:rPr>
                      <w:szCs w:val="21"/>
                    </w:rPr>
                    <w:t>小沙江镇文明村</w:t>
                  </w:r>
                </w:p>
              </w:tc>
              <w:tc>
                <w:tcPr>
                  <w:tcW w:w="832" w:type="dxa"/>
                  <w:vAlign w:val="center"/>
                </w:tcPr>
                <w:p>
                  <w:pPr>
                    <w:jc w:val="center"/>
                    <w:rPr>
                      <w:szCs w:val="21"/>
                    </w:rPr>
                  </w:pPr>
                  <w:r>
                    <w:rPr>
                      <w:szCs w:val="21"/>
                    </w:rPr>
                    <w:t>41.3</w:t>
                  </w:r>
                </w:p>
              </w:tc>
              <w:tc>
                <w:tcPr>
                  <w:tcW w:w="833" w:type="dxa"/>
                  <w:vAlign w:val="center"/>
                </w:tcPr>
                <w:p>
                  <w:pPr>
                    <w:jc w:val="center"/>
                    <w:rPr>
                      <w:szCs w:val="21"/>
                    </w:rPr>
                  </w:pPr>
                  <w:r>
                    <w:rPr>
                      <w:szCs w:val="21"/>
                    </w:rPr>
                    <w:t>39.2</w:t>
                  </w:r>
                </w:p>
              </w:tc>
              <w:tc>
                <w:tcPr>
                  <w:tcW w:w="832" w:type="dxa"/>
                  <w:vAlign w:val="center"/>
                </w:tcPr>
                <w:p>
                  <w:pPr>
                    <w:jc w:val="center"/>
                    <w:rPr>
                      <w:szCs w:val="21"/>
                    </w:rPr>
                  </w:pPr>
                  <w:r>
                    <w:rPr>
                      <w:szCs w:val="21"/>
                    </w:rPr>
                    <w:t>55</w:t>
                  </w:r>
                </w:p>
              </w:tc>
              <w:tc>
                <w:tcPr>
                  <w:tcW w:w="833" w:type="dxa"/>
                  <w:vAlign w:val="center"/>
                </w:tcPr>
                <w:p>
                  <w:pPr>
                    <w:jc w:val="center"/>
                    <w:rPr>
                      <w:szCs w:val="21"/>
                    </w:rPr>
                  </w:pPr>
                  <w:r>
                    <w:rPr>
                      <w:szCs w:val="21"/>
                    </w:rPr>
                    <w:t>45</w:t>
                  </w:r>
                </w:p>
              </w:tc>
              <w:tc>
                <w:tcPr>
                  <w:tcW w:w="1122"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459" w:hRule="atLeast"/>
                <w:jc w:val="center"/>
              </w:trPr>
              <w:tc>
                <w:tcPr>
                  <w:tcW w:w="2331" w:type="dxa"/>
                  <w:vAlign w:val="center"/>
                </w:tcPr>
                <w:p>
                  <w:pPr>
                    <w:jc w:val="center"/>
                    <w:rPr>
                      <w:szCs w:val="21"/>
                    </w:rPr>
                  </w:pPr>
                  <w:r>
                    <w:rPr>
                      <w:iCs/>
                      <w:szCs w:val="21"/>
                    </w:rPr>
                    <w:t>邵阳六岭110kV输变电工程配套线路</w:t>
                  </w:r>
                </w:p>
              </w:tc>
              <w:tc>
                <w:tcPr>
                  <w:tcW w:w="1702" w:type="dxa"/>
                  <w:vAlign w:val="center"/>
                </w:tcPr>
                <w:p>
                  <w:pPr>
                    <w:jc w:val="center"/>
                    <w:rPr>
                      <w:szCs w:val="21"/>
                    </w:rPr>
                  </w:pPr>
                  <w:r>
                    <w:rPr>
                      <w:szCs w:val="21"/>
                    </w:rPr>
                    <w:t>架空段无环境敏感点</w:t>
                  </w:r>
                </w:p>
              </w:tc>
              <w:tc>
                <w:tcPr>
                  <w:tcW w:w="832" w:type="dxa"/>
                  <w:vAlign w:val="center"/>
                </w:tcPr>
                <w:p>
                  <w:pPr>
                    <w:jc w:val="center"/>
                    <w:rPr>
                      <w:szCs w:val="21"/>
                    </w:rPr>
                  </w:pPr>
                  <w:r>
                    <w:rPr>
                      <w:szCs w:val="21"/>
                    </w:rPr>
                    <w:t>/</w:t>
                  </w:r>
                </w:p>
              </w:tc>
              <w:tc>
                <w:tcPr>
                  <w:tcW w:w="833" w:type="dxa"/>
                  <w:vAlign w:val="center"/>
                </w:tcPr>
                <w:p>
                  <w:pPr>
                    <w:jc w:val="center"/>
                    <w:rPr>
                      <w:szCs w:val="21"/>
                    </w:rPr>
                  </w:pPr>
                  <w:r>
                    <w:rPr>
                      <w:szCs w:val="21"/>
                    </w:rPr>
                    <w:t>/</w:t>
                  </w:r>
                </w:p>
              </w:tc>
              <w:tc>
                <w:tcPr>
                  <w:tcW w:w="832" w:type="dxa"/>
                  <w:vAlign w:val="center"/>
                </w:tcPr>
                <w:p>
                  <w:pPr>
                    <w:jc w:val="center"/>
                    <w:rPr>
                      <w:szCs w:val="21"/>
                    </w:rPr>
                  </w:pPr>
                  <w:r>
                    <w:rPr>
                      <w:szCs w:val="21"/>
                    </w:rPr>
                    <w:t>/</w:t>
                  </w:r>
                </w:p>
              </w:tc>
              <w:tc>
                <w:tcPr>
                  <w:tcW w:w="833" w:type="dxa"/>
                  <w:vAlign w:val="center"/>
                </w:tcPr>
                <w:p>
                  <w:pPr>
                    <w:jc w:val="center"/>
                    <w:rPr>
                      <w:szCs w:val="21"/>
                    </w:rPr>
                  </w:pPr>
                  <w:r>
                    <w:rPr>
                      <w:szCs w:val="21"/>
                    </w:rPr>
                    <w:t>/</w:t>
                  </w:r>
                </w:p>
              </w:tc>
              <w:tc>
                <w:tcPr>
                  <w:tcW w:w="1122" w:type="dxa"/>
                  <w:vAlign w:val="center"/>
                </w:tcPr>
                <w:p>
                  <w:pPr>
                    <w:jc w:val="center"/>
                    <w:rPr>
                      <w:szCs w:val="21"/>
                    </w:rPr>
                  </w:pPr>
                  <w:r>
                    <w:rPr>
                      <w:szCs w:val="21"/>
                    </w:rPr>
                    <w:t>/</w:t>
                  </w:r>
                </w:p>
              </w:tc>
            </w:tr>
          </w:tbl>
          <w:p>
            <w:pPr>
              <w:spacing w:before="156" w:beforeLines="50" w:line="360" w:lineRule="auto"/>
              <w:ind w:firstLine="560" w:firstLineChars="200"/>
              <w:rPr>
                <w:sz w:val="28"/>
                <w:szCs w:val="28"/>
              </w:rPr>
            </w:pPr>
            <w:r>
              <w:rPr>
                <w:sz w:val="28"/>
                <w:szCs w:val="28"/>
              </w:rPr>
              <w:t>从表10可看出，新建线路噪声监测点昼、夜间最大噪声监测值分别为48.9dB（A）、41.2dB（A），满足《声环境质量标准》（GB3096-2008）1类声环境功能区环境噪声限值标准要求[昼间55 dB（A）、夜间45 dB（A）]。</w:t>
            </w:r>
          </w:p>
          <w:p>
            <w:pPr>
              <w:spacing w:before="156" w:beforeLines="50" w:line="360" w:lineRule="auto"/>
              <w:ind w:left="1" w:leftChars="-1" w:hanging="3" w:hangingChars="1"/>
              <w:rPr>
                <w:b/>
                <w:sz w:val="28"/>
              </w:rPr>
            </w:pPr>
            <w:r>
              <w:rPr>
                <w:b/>
                <w:sz w:val="28"/>
              </w:rPr>
              <w:t>3 生态环境</w:t>
            </w:r>
          </w:p>
          <w:p>
            <w:pPr>
              <w:spacing w:line="360" w:lineRule="auto"/>
              <w:ind w:firstLine="570"/>
              <w:rPr>
                <w:sz w:val="28"/>
              </w:rPr>
            </w:pPr>
            <w:r>
              <w:rPr>
                <w:sz w:val="28"/>
              </w:rPr>
              <w:t>邵阳隆回县城东110kV输变电工程线路所经地区地势平坦、开阔，进出线终端塔布置方便，自然标高在270.11～270.87m 之间，地形起伏不大，主要为山地、丘陵及水田，主要植被为农作物及低矮灌木，植被覆盖率较高，生态环境良好。</w:t>
            </w:r>
          </w:p>
          <w:p>
            <w:pPr>
              <w:spacing w:line="360" w:lineRule="auto"/>
              <w:ind w:firstLine="570"/>
              <w:rPr>
                <w:sz w:val="28"/>
              </w:rPr>
            </w:pPr>
            <w:r>
              <w:rPr>
                <w:sz w:val="28"/>
              </w:rPr>
              <w:t>邵阳宝莲二期风电110kV送出工程线路所经地区海拔高度在1300～1700m 之间，山体大致走向为东北～西南走向，高山地形占20%，山地地形占60%，丘陵为20%，植被发育良好，主要为杉树、松树及其它低矮灌木等，生态环境良好。</w:t>
            </w:r>
          </w:p>
          <w:p>
            <w:pPr>
              <w:spacing w:line="360" w:lineRule="auto"/>
              <w:ind w:firstLine="570"/>
              <w:rPr>
                <w:sz w:val="28"/>
              </w:rPr>
            </w:pPr>
            <w:r>
              <w:rPr>
                <w:sz w:val="28"/>
              </w:rPr>
              <w:t>邵阳大唐华银绥宁宝鼎山风电二期三期110kV送出工程线路所经地区海拔高度在300～1000m之间，线路靠两头变电站位置较为平坦，中间地势较高，线路全线主要为高山和丘陵地貌单元。沿线植被覆盖率高，多松杉树和经济林，生态环境良好。</w:t>
            </w:r>
          </w:p>
          <w:p>
            <w:pPr>
              <w:spacing w:line="360" w:lineRule="auto"/>
              <w:ind w:firstLine="570"/>
              <w:rPr>
                <w:sz w:val="28"/>
              </w:rPr>
            </w:pPr>
            <w:r>
              <w:rPr>
                <w:sz w:val="28"/>
              </w:rPr>
              <w:t>隆回金坪110kV风电送出工程所经地区位于雪峰山山脉的西部，海拔高度一般在1253m~1396.4m之间，相对高差不大，丘陵为10%，高山为90%。为了线路运行安全避开了海拔1541区域，主要为中山地貌单元，地形起伏一般，植被以松、杉、竹树为主，在山腰有人居住处种植有竹子，数量约占15%，植被覆盖率较高，生态环境良好。</w:t>
            </w:r>
          </w:p>
          <w:p>
            <w:pPr>
              <w:spacing w:line="360" w:lineRule="auto"/>
              <w:ind w:firstLine="570"/>
              <w:rPr>
                <w:sz w:val="28"/>
                <w:u w:val="wave"/>
              </w:rPr>
            </w:pPr>
            <w:r>
              <w:rPr>
                <w:sz w:val="28"/>
                <w:u w:val="wave"/>
              </w:rPr>
              <w:t>经调查，邵阳市2017年第一批输变电工程变电站、线路评价范围内无自然保护区、风景名胜区、世界文化和自然遗产地等特殊或重要生态敏感区。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830" w:hRule="atLeast"/>
          <w:jc w:val="center"/>
        </w:trPr>
        <w:tc>
          <w:tcPr>
            <w:tcW w:w="9457" w:type="dxa"/>
            <w:vAlign w:val="top"/>
          </w:tcPr>
          <w:p>
            <w:pPr>
              <w:spacing w:line="360" w:lineRule="auto"/>
              <w:rPr>
                <w:b/>
                <w:sz w:val="28"/>
              </w:rPr>
            </w:pPr>
            <w:r>
              <w:rPr>
                <w:b/>
                <w:sz w:val="28"/>
              </w:rPr>
              <w:t>主要环境保护目标：</w:t>
            </w:r>
          </w:p>
          <w:p>
            <w:pPr>
              <w:spacing w:line="360" w:lineRule="auto"/>
              <w:rPr>
                <w:sz w:val="28"/>
              </w:rPr>
            </w:pPr>
            <w:r>
              <w:rPr>
                <w:sz w:val="28"/>
              </w:rPr>
              <w:t>1 电磁环境</w:t>
            </w:r>
          </w:p>
          <w:p>
            <w:pPr>
              <w:spacing w:line="360" w:lineRule="auto"/>
              <w:ind w:firstLine="539"/>
              <w:rPr>
                <w:sz w:val="28"/>
                <w:szCs w:val="28"/>
              </w:rPr>
            </w:pPr>
            <w:r>
              <w:rPr>
                <w:sz w:val="28"/>
                <w:szCs w:val="28"/>
              </w:rPr>
              <w:t>邵阳市2017年第一批输变电工程环境保护目标为变电站周围的学校、工厂、民房等人类为主的活动场所。保护类别为电磁环境、声环境，具体情况详见表11。</w:t>
            </w:r>
          </w:p>
          <w:p>
            <w:pPr>
              <w:jc w:val="center"/>
              <w:rPr>
                <w:b/>
                <w:sz w:val="24"/>
              </w:rPr>
            </w:pPr>
            <w:r>
              <w:rPr>
                <w:b/>
                <w:sz w:val="24"/>
              </w:rPr>
              <w:t>表11  工程主要电磁环境、声环境保护目标</w:t>
            </w:r>
          </w:p>
          <w:tbl>
            <w:tblPr>
              <w:tblStyle w:val="11"/>
              <w:tblW w:w="876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6"/>
              <w:gridCol w:w="1912"/>
              <w:gridCol w:w="1842"/>
              <w:gridCol w:w="1134"/>
              <w:gridCol w:w="993"/>
              <w:gridCol w:w="1434"/>
              <w:gridCol w:w="8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33" w:hRule="atLeast"/>
                <w:jc w:val="center"/>
              </w:trPr>
              <w:tc>
                <w:tcPr>
                  <w:tcW w:w="636" w:type="dxa"/>
                  <w:vAlign w:val="center"/>
                </w:tcPr>
                <w:p>
                  <w:pPr>
                    <w:jc w:val="center"/>
                    <w:rPr>
                      <w:szCs w:val="21"/>
                    </w:rPr>
                  </w:pPr>
                  <w:r>
                    <w:rPr>
                      <w:szCs w:val="21"/>
                    </w:rPr>
                    <w:t>项目</w:t>
                  </w:r>
                </w:p>
              </w:tc>
              <w:tc>
                <w:tcPr>
                  <w:tcW w:w="1912" w:type="dxa"/>
                  <w:vAlign w:val="center"/>
                </w:tcPr>
                <w:p>
                  <w:pPr>
                    <w:jc w:val="center"/>
                    <w:rPr>
                      <w:szCs w:val="21"/>
                    </w:rPr>
                  </w:pPr>
                  <w:r>
                    <w:rPr>
                      <w:szCs w:val="21"/>
                    </w:rPr>
                    <w:t>所属项目</w:t>
                  </w:r>
                </w:p>
              </w:tc>
              <w:tc>
                <w:tcPr>
                  <w:tcW w:w="1842" w:type="dxa"/>
                  <w:vAlign w:val="center"/>
                </w:tcPr>
                <w:p>
                  <w:pPr>
                    <w:jc w:val="center"/>
                    <w:rPr>
                      <w:szCs w:val="21"/>
                    </w:rPr>
                  </w:pPr>
                  <w:r>
                    <w:rPr>
                      <w:szCs w:val="21"/>
                    </w:rPr>
                    <w:t>地点</w:t>
                  </w:r>
                </w:p>
              </w:tc>
              <w:tc>
                <w:tcPr>
                  <w:tcW w:w="1134" w:type="dxa"/>
                  <w:tcBorders>
                    <w:right w:val="single" w:color="auto" w:sz="4" w:space="0"/>
                  </w:tcBorders>
                  <w:vAlign w:val="center"/>
                </w:tcPr>
                <w:p>
                  <w:pPr>
                    <w:jc w:val="center"/>
                    <w:rPr>
                      <w:szCs w:val="21"/>
                    </w:rPr>
                  </w:pPr>
                  <w:r>
                    <w:rPr>
                      <w:szCs w:val="21"/>
                    </w:rPr>
                    <w:t>受影响人数</w:t>
                  </w:r>
                </w:p>
              </w:tc>
              <w:tc>
                <w:tcPr>
                  <w:tcW w:w="993" w:type="dxa"/>
                  <w:tcBorders>
                    <w:left w:val="single" w:color="auto" w:sz="4" w:space="0"/>
                  </w:tcBorders>
                  <w:vAlign w:val="center"/>
                </w:tcPr>
                <w:p>
                  <w:pPr>
                    <w:jc w:val="center"/>
                    <w:rPr>
                      <w:szCs w:val="21"/>
                    </w:rPr>
                  </w:pPr>
                  <w:r>
                    <w:rPr>
                      <w:szCs w:val="21"/>
                    </w:rPr>
                    <w:t>民房特征描述</w:t>
                  </w:r>
                </w:p>
              </w:tc>
              <w:tc>
                <w:tcPr>
                  <w:tcW w:w="1434" w:type="dxa"/>
                  <w:vAlign w:val="center"/>
                </w:tcPr>
                <w:p>
                  <w:pPr>
                    <w:jc w:val="center"/>
                    <w:rPr>
                      <w:szCs w:val="21"/>
                    </w:rPr>
                  </w:pPr>
                  <w:r>
                    <w:rPr>
                      <w:szCs w:val="21"/>
                    </w:rPr>
                    <w:t>与线路距离、方位及保护目标数量</w:t>
                  </w:r>
                </w:p>
              </w:tc>
              <w:tc>
                <w:tcPr>
                  <w:tcW w:w="818" w:type="dxa"/>
                  <w:vAlign w:val="center"/>
                </w:tcPr>
                <w:p>
                  <w:pPr>
                    <w:jc w:val="center"/>
                    <w:rPr>
                      <w:szCs w:val="21"/>
                    </w:rPr>
                  </w:pPr>
                  <w:r>
                    <w:rPr>
                      <w:szCs w:val="21"/>
                    </w:rPr>
                    <w:t>图、照片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restart"/>
                  <w:vAlign w:val="center"/>
                </w:tcPr>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r>
                    <w:rPr>
                      <w:szCs w:val="21"/>
                    </w:rPr>
                    <w:t>电磁环境</w:t>
                  </w:r>
                </w:p>
                <w:p>
                  <w:pPr>
                    <w:jc w:val="center"/>
                    <w:rPr>
                      <w:szCs w:val="21"/>
                    </w:rPr>
                  </w:pPr>
                  <w:r>
                    <w:rPr>
                      <w:szCs w:val="21"/>
                    </w:rPr>
                    <w:t>、声环境</w:t>
                  </w:r>
                </w:p>
              </w:tc>
              <w:tc>
                <w:tcPr>
                  <w:tcW w:w="1912" w:type="dxa"/>
                  <w:vMerge w:val="restart"/>
                  <w:vAlign w:val="center"/>
                </w:tcPr>
                <w:p>
                  <w:pPr>
                    <w:jc w:val="center"/>
                    <w:rPr>
                      <w:szCs w:val="21"/>
                    </w:rPr>
                  </w:pPr>
                  <w:r>
                    <w:rPr>
                      <w:szCs w:val="21"/>
                    </w:rPr>
                    <w:t>邵阳隆回县城东110kV输变电工程</w:t>
                  </w:r>
                </w:p>
              </w:tc>
              <w:tc>
                <w:tcPr>
                  <w:tcW w:w="1842" w:type="dxa"/>
                  <w:vAlign w:val="center"/>
                </w:tcPr>
                <w:p>
                  <w:pPr>
                    <w:jc w:val="center"/>
                    <w:rPr>
                      <w:szCs w:val="21"/>
                    </w:rPr>
                  </w:pPr>
                  <w:r>
                    <w:rPr>
                      <w:szCs w:val="21"/>
                    </w:rPr>
                    <w:t>变电站北侧民房</w:t>
                  </w:r>
                </w:p>
              </w:tc>
              <w:tc>
                <w:tcPr>
                  <w:tcW w:w="1134" w:type="dxa"/>
                  <w:tcBorders>
                    <w:right w:val="single" w:color="auto" w:sz="4" w:space="0"/>
                  </w:tcBorders>
                  <w:vAlign w:val="center"/>
                </w:tcPr>
                <w:p>
                  <w:pPr>
                    <w:jc w:val="center"/>
                    <w:rPr>
                      <w:szCs w:val="21"/>
                    </w:rPr>
                  </w:pPr>
                  <w:r>
                    <w:rPr>
                      <w:szCs w:val="21"/>
                    </w:rPr>
                    <w:t>约4人</w:t>
                  </w:r>
                </w:p>
              </w:tc>
              <w:tc>
                <w:tcPr>
                  <w:tcW w:w="993" w:type="dxa"/>
                  <w:tcBorders>
                    <w:left w:val="single" w:color="auto" w:sz="4" w:space="0"/>
                  </w:tcBorders>
                  <w:vAlign w:val="center"/>
                </w:tcPr>
                <w:p>
                  <w:pPr>
                    <w:jc w:val="center"/>
                    <w:rPr>
                      <w:szCs w:val="21"/>
                    </w:rPr>
                  </w:pPr>
                  <w:r>
                    <w:rPr>
                      <w:szCs w:val="21"/>
                    </w:rPr>
                    <w:t>2F尖顶</w:t>
                  </w:r>
                </w:p>
              </w:tc>
              <w:tc>
                <w:tcPr>
                  <w:tcW w:w="1434" w:type="dxa"/>
                  <w:vAlign w:val="center"/>
                </w:tcPr>
                <w:p>
                  <w:pPr>
                    <w:jc w:val="center"/>
                    <w:rPr>
                      <w:szCs w:val="21"/>
                    </w:rPr>
                  </w:pPr>
                  <w:r>
                    <w:rPr>
                      <w:szCs w:val="21"/>
                    </w:rPr>
                    <w:t>北侧约27m，一栋</w:t>
                  </w:r>
                </w:p>
              </w:tc>
              <w:tc>
                <w:tcPr>
                  <w:tcW w:w="818" w:type="dxa"/>
                  <w:vAlign w:val="center"/>
                </w:tcPr>
                <w:p>
                  <w:pPr>
                    <w:jc w:val="center"/>
                    <w:rPr>
                      <w:szCs w:val="21"/>
                    </w:rPr>
                  </w:pPr>
                  <w:r>
                    <w:rPr>
                      <w:szCs w:val="21"/>
                    </w:rPr>
                    <w:t>附图17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Merge w:val="continue"/>
                  <w:vAlign w:val="center"/>
                </w:tcPr>
                <w:p>
                  <w:pPr>
                    <w:jc w:val="center"/>
                    <w:rPr>
                      <w:szCs w:val="21"/>
                    </w:rPr>
                  </w:pPr>
                </w:p>
              </w:tc>
              <w:tc>
                <w:tcPr>
                  <w:tcW w:w="1842" w:type="dxa"/>
                  <w:vAlign w:val="center"/>
                </w:tcPr>
                <w:p>
                  <w:pPr>
                    <w:jc w:val="center"/>
                    <w:rPr>
                      <w:szCs w:val="21"/>
                    </w:rPr>
                  </w:pPr>
                  <w:r>
                    <w:rPr>
                      <w:szCs w:val="21"/>
                    </w:rPr>
                    <w:t>桃洪镇白竹村</w:t>
                  </w:r>
                </w:p>
              </w:tc>
              <w:tc>
                <w:tcPr>
                  <w:tcW w:w="1134" w:type="dxa"/>
                  <w:tcBorders>
                    <w:right w:val="single" w:color="auto" w:sz="4" w:space="0"/>
                  </w:tcBorders>
                  <w:vAlign w:val="center"/>
                </w:tcPr>
                <w:p>
                  <w:pPr>
                    <w:jc w:val="center"/>
                    <w:rPr>
                      <w:szCs w:val="21"/>
                    </w:rPr>
                  </w:pPr>
                  <w:r>
                    <w:rPr>
                      <w:szCs w:val="21"/>
                    </w:rPr>
                    <w:t>约6人</w:t>
                  </w:r>
                </w:p>
              </w:tc>
              <w:tc>
                <w:tcPr>
                  <w:tcW w:w="993" w:type="dxa"/>
                  <w:tcBorders>
                    <w:left w:val="single" w:color="auto" w:sz="4" w:space="0"/>
                  </w:tcBorders>
                  <w:vAlign w:val="center"/>
                </w:tcPr>
                <w:p>
                  <w:pPr>
                    <w:jc w:val="center"/>
                    <w:rPr>
                      <w:szCs w:val="21"/>
                    </w:rPr>
                  </w:pPr>
                  <w:r>
                    <w:rPr>
                      <w:szCs w:val="21"/>
                    </w:rPr>
                    <w:t>2F尖顶</w:t>
                  </w:r>
                </w:p>
              </w:tc>
              <w:tc>
                <w:tcPr>
                  <w:tcW w:w="1434" w:type="dxa"/>
                  <w:vAlign w:val="center"/>
                </w:tcPr>
                <w:p>
                  <w:pPr>
                    <w:rPr>
                      <w:szCs w:val="21"/>
                    </w:rPr>
                  </w:pPr>
                  <w:r>
                    <w:rPr>
                      <w:szCs w:val="21"/>
                    </w:rPr>
                    <w:t>线路东侧约13m，一栋</w:t>
                  </w:r>
                </w:p>
              </w:tc>
              <w:tc>
                <w:tcPr>
                  <w:tcW w:w="818" w:type="dxa"/>
                  <w:vAlign w:val="center"/>
                </w:tcPr>
                <w:p>
                  <w:pPr>
                    <w:jc w:val="center"/>
                    <w:rPr>
                      <w:szCs w:val="21"/>
                    </w:rPr>
                  </w:pPr>
                  <w:r>
                    <w:rPr>
                      <w:szCs w:val="21"/>
                    </w:rPr>
                    <w:t>附图18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Merge w:val="continue"/>
                  <w:vAlign w:val="center"/>
                </w:tcPr>
                <w:p>
                  <w:pPr>
                    <w:jc w:val="center"/>
                    <w:rPr>
                      <w:szCs w:val="21"/>
                    </w:rPr>
                  </w:pPr>
                </w:p>
              </w:tc>
              <w:tc>
                <w:tcPr>
                  <w:tcW w:w="1842" w:type="dxa"/>
                  <w:vAlign w:val="center"/>
                </w:tcPr>
                <w:p>
                  <w:pPr>
                    <w:jc w:val="center"/>
                    <w:rPr>
                      <w:szCs w:val="21"/>
                    </w:rPr>
                  </w:pPr>
                  <w:r>
                    <w:rPr>
                      <w:szCs w:val="21"/>
                    </w:rPr>
                    <w:t>桃洪镇白竹村大丰收农庄</w:t>
                  </w:r>
                </w:p>
              </w:tc>
              <w:tc>
                <w:tcPr>
                  <w:tcW w:w="1134" w:type="dxa"/>
                  <w:tcBorders>
                    <w:right w:val="single" w:color="auto" w:sz="4" w:space="0"/>
                  </w:tcBorders>
                  <w:vAlign w:val="center"/>
                </w:tcPr>
                <w:p>
                  <w:pPr>
                    <w:jc w:val="center"/>
                    <w:rPr>
                      <w:szCs w:val="21"/>
                    </w:rPr>
                  </w:pPr>
                  <w:r>
                    <w:rPr>
                      <w:szCs w:val="21"/>
                    </w:rPr>
                    <w:t>约6人</w:t>
                  </w:r>
                </w:p>
              </w:tc>
              <w:tc>
                <w:tcPr>
                  <w:tcW w:w="993" w:type="dxa"/>
                  <w:tcBorders>
                    <w:left w:val="single" w:color="auto" w:sz="4" w:space="0"/>
                  </w:tcBorders>
                  <w:vAlign w:val="center"/>
                </w:tcPr>
                <w:p>
                  <w:pPr>
                    <w:jc w:val="center"/>
                    <w:rPr>
                      <w:szCs w:val="21"/>
                    </w:rPr>
                  </w:pPr>
                  <w:r>
                    <w:rPr>
                      <w:szCs w:val="21"/>
                    </w:rPr>
                    <w:t>5F尖顶</w:t>
                  </w:r>
                </w:p>
              </w:tc>
              <w:tc>
                <w:tcPr>
                  <w:tcW w:w="1434" w:type="dxa"/>
                  <w:vAlign w:val="center"/>
                </w:tcPr>
                <w:p>
                  <w:pPr>
                    <w:jc w:val="center"/>
                    <w:rPr>
                      <w:szCs w:val="21"/>
                    </w:rPr>
                  </w:pPr>
                  <w:r>
                    <w:rPr>
                      <w:szCs w:val="21"/>
                    </w:rPr>
                    <w:t>东侧约13m，一栋</w:t>
                  </w:r>
                </w:p>
              </w:tc>
              <w:tc>
                <w:tcPr>
                  <w:tcW w:w="818" w:type="dxa"/>
                  <w:vAlign w:val="center"/>
                </w:tcPr>
                <w:p>
                  <w:pPr>
                    <w:jc w:val="center"/>
                    <w:rPr>
                      <w:szCs w:val="21"/>
                    </w:rPr>
                  </w:pPr>
                  <w:r>
                    <w:rPr>
                      <w:szCs w:val="21"/>
                    </w:rPr>
                    <w:t>附图19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Merge w:val="restart"/>
                  <w:vAlign w:val="center"/>
                </w:tcPr>
                <w:p>
                  <w:pPr>
                    <w:jc w:val="center"/>
                    <w:rPr>
                      <w:szCs w:val="21"/>
                    </w:rPr>
                  </w:pPr>
                  <w:r>
                    <w:rPr>
                      <w:szCs w:val="21"/>
                    </w:rPr>
                    <w:t>高沙110kV</w:t>
                  </w:r>
                </w:p>
                <w:p>
                  <w:pPr>
                    <w:jc w:val="center"/>
                    <w:rPr>
                      <w:szCs w:val="21"/>
                    </w:rPr>
                  </w:pPr>
                  <w:r>
                    <w:rPr>
                      <w:szCs w:val="21"/>
                    </w:rPr>
                    <w:t>变电站</w:t>
                  </w:r>
                </w:p>
              </w:tc>
              <w:tc>
                <w:tcPr>
                  <w:tcW w:w="1842" w:type="dxa"/>
                  <w:vAlign w:val="center"/>
                </w:tcPr>
                <w:p>
                  <w:pPr>
                    <w:jc w:val="center"/>
                    <w:rPr>
                      <w:szCs w:val="21"/>
                    </w:rPr>
                  </w:pPr>
                  <w:r>
                    <w:rPr>
                      <w:szCs w:val="21"/>
                    </w:rPr>
                    <w:t>变电站东侧</w:t>
                  </w:r>
                </w:p>
              </w:tc>
              <w:tc>
                <w:tcPr>
                  <w:tcW w:w="1134" w:type="dxa"/>
                  <w:tcBorders>
                    <w:right w:val="single" w:color="auto" w:sz="4" w:space="0"/>
                  </w:tcBorders>
                  <w:vAlign w:val="center"/>
                </w:tcPr>
                <w:p>
                  <w:pPr>
                    <w:jc w:val="center"/>
                    <w:rPr>
                      <w:szCs w:val="21"/>
                    </w:rPr>
                  </w:pPr>
                  <w:r>
                    <w:rPr>
                      <w:szCs w:val="21"/>
                    </w:rPr>
                    <w:t>约6人</w:t>
                  </w:r>
                </w:p>
              </w:tc>
              <w:tc>
                <w:tcPr>
                  <w:tcW w:w="993" w:type="dxa"/>
                  <w:tcBorders>
                    <w:left w:val="single" w:color="auto" w:sz="4" w:space="0"/>
                  </w:tcBorders>
                  <w:vAlign w:val="center"/>
                </w:tcPr>
                <w:p>
                  <w:pPr>
                    <w:jc w:val="center"/>
                    <w:rPr>
                      <w:szCs w:val="21"/>
                    </w:rPr>
                  </w:pPr>
                  <w:r>
                    <w:rPr>
                      <w:szCs w:val="21"/>
                    </w:rPr>
                    <w:t>3F平顶</w:t>
                  </w:r>
                </w:p>
              </w:tc>
              <w:tc>
                <w:tcPr>
                  <w:tcW w:w="1434" w:type="dxa"/>
                  <w:vAlign w:val="center"/>
                </w:tcPr>
                <w:p>
                  <w:pPr>
                    <w:jc w:val="center"/>
                    <w:rPr>
                      <w:szCs w:val="21"/>
                    </w:rPr>
                  </w:pPr>
                  <w:r>
                    <w:rPr>
                      <w:szCs w:val="21"/>
                    </w:rPr>
                    <w:t>东侧约3m</w:t>
                  </w:r>
                </w:p>
              </w:tc>
              <w:tc>
                <w:tcPr>
                  <w:tcW w:w="818" w:type="dxa"/>
                  <w:vAlign w:val="center"/>
                </w:tcPr>
                <w:p>
                  <w:pPr>
                    <w:jc w:val="center"/>
                    <w:rPr>
                      <w:szCs w:val="21"/>
                    </w:rPr>
                  </w:pPr>
                  <w:r>
                    <w:rPr>
                      <w:szCs w:val="21"/>
                    </w:rPr>
                    <w:t>附图10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Merge w:val="continue"/>
                  <w:vAlign w:val="center"/>
                </w:tcPr>
                <w:p>
                  <w:pPr>
                    <w:jc w:val="center"/>
                    <w:rPr>
                      <w:szCs w:val="21"/>
                    </w:rPr>
                  </w:pPr>
                </w:p>
              </w:tc>
              <w:tc>
                <w:tcPr>
                  <w:tcW w:w="1842" w:type="dxa"/>
                  <w:vAlign w:val="center"/>
                </w:tcPr>
                <w:p>
                  <w:pPr>
                    <w:jc w:val="center"/>
                    <w:rPr>
                      <w:szCs w:val="21"/>
                    </w:rPr>
                  </w:pPr>
                  <w:r>
                    <w:rPr>
                      <w:szCs w:val="21"/>
                    </w:rPr>
                    <w:t>变电站西侧</w:t>
                  </w:r>
                </w:p>
              </w:tc>
              <w:tc>
                <w:tcPr>
                  <w:tcW w:w="1134" w:type="dxa"/>
                  <w:tcBorders>
                    <w:right w:val="single" w:color="auto" w:sz="4" w:space="0"/>
                  </w:tcBorders>
                  <w:vAlign w:val="center"/>
                </w:tcPr>
                <w:p>
                  <w:pPr>
                    <w:jc w:val="center"/>
                    <w:rPr>
                      <w:szCs w:val="21"/>
                    </w:rPr>
                  </w:pPr>
                  <w:r>
                    <w:rPr>
                      <w:szCs w:val="21"/>
                    </w:rPr>
                    <w:t>约5人</w:t>
                  </w:r>
                </w:p>
              </w:tc>
              <w:tc>
                <w:tcPr>
                  <w:tcW w:w="993" w:type="dxa"/>
                  <w:tcBorders>
                    <w:left w:val="single" w:color="auto" w:sz="4" w:space="0"/>
                  </w:tcBorders>
                  <w:vAlign w:val="center"/>
                </w:tcPr>
                <w:p>
                  <w:pPr>
                    <w:jc w:val="center"/>
                    <w:rPr>
                      <w:szCs w:val="21"/>
                    </w:rPr>
                  </w:pPr>
                  <w:r>
                    <w:rPr>
                      <w:szCs w:val="21"/>
                    </w:rPr>
                    <w:t>3F尖顶</w:t>
                  </w:r>
                </w:p>
              </w:tc>
              <w:tc>
                <w:tcPr>
                  <w:tcW w:w="1434" w:type="dxa"/>
                  <w:vAlign w:val="center"/>
                </w:tcPr>
                <w:p>
                  <w:pPr>
                    <w:jc w:val="center"/>
                    <w:rPr>
                      <w:szCs w:val="21"/>
                    </w:rPr>
                  </w:pPr>
                  <w:r>
                    <w:rPr>
                      <w:szCs w:val="21"/>
                    </w:rPr>
                    <w:t>西侧约25m</w:t>
                  </w:r>
                </w:p>
              </w:tc>
              <w:tc>
                <w:tcPr>
                  <w:tcW w:w="818" w:type="dxa"/>
                  <w:vAlign w:val="center"/>
                </w:tcPr>
                <w:p>
                  <w:pPr>
                    <w:jc w:val="center"/>
                    <w:rPr>
                      <w:szCs w:val="21"/>
                    </w:rPr>
                  </w:pPr>
                  <w:r>
                    <w:rPr>
                      <w:szCs w:val="21"/>
                    </w:rPr>
                    <w:t>附图10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Align w:val="center"/>
                </w:tcPr>
                <w:p>
                  <w:pPr>
                    <w:jc w:val="center"/>
                    <w:rPr>
                      <w:szCs w:val="21"/>
                    </w:rPr>
                  </w:pPr>
                  <w:r>
                    <w:rPr>
                      <w:kern w:val="0"/>
                      <w:szCs w:val="21"/>
                    </w:rPr>
                    <w:t>宝莲二期风电110kV送出工程</w:t>
                  </w:r>
                </w:p>
              </w:tc>
              <w:tc>
                <w:tcPr>
                  <w:tcW w:w="1842" w:type="dxa"/>
                  <w:vAlign w:val="center"/>
                </w:tcPr>
                <w:p>
                  <w:pPr>
                    <w:jc w:val="center"/>
                    <w:rPr>
                      <w:szCs w:val="21"/>
                    </w:rPr>
                  </w:pPr>
                  <w:r>
                    <w:rPr>
                      <w:szCs w:val="21"/>
                    </w:rPr>
                    <w:t>/</w:t>
                  </w:r>
                </w:p>
              </w:tc>
              <w:tc>
                <w:tcPr>
                  <w:tcW w:w="1134" w:type="dxa"/>
                  <w:tcBorders>
                    <w:right w:val="single" w:color="auto" w:sz="4" w:space="0"/>
                  </w:tcBorders>
                  <w:vAlign w:val="center"/>
                </w:tcPr>
                <w:p>
                  <w:pPr>
                    <w:jc w:val="center"/>
                    <w:rPr>
                      <w:szCs w:val="21"/>
                    </w:rPr>
                  </w:pPr>
                  <w:r>
                    <w:rPr>
                      <w:szCs w:val="21"/>
                    </w:rPr>
                    <w:t>/</w:t>
                  </w:r>
                </w:p>
              </w:tc>
              <w:tc>
                <w:tcPr>
                  <w:tcW w:w="993" w:type="dxa"/>
                  <w:tcBorders>
                    <w:left w:val="single" w:color="auto" w:sz="4" w:space="0"/>
                  </w:tcBorders>
                  <w:vAlign w:val="center"/>
                </w:tcPr>
                <w:p>
                  <w:pPr>
                    <w:jc w:val="center"/>
                    <w:rPr>
                      <w:szCs w:val="21"/>
                    </w:rPr>
                  </w:pPr>
                  <w:r>
                    <w:rPr>
                      <w:szCs w:val="21"/>
                    </w:rPr>
                    <w:t>/</w:t>
                  </w:r>
                </w:p>
              </w:tc>
              <w:tc>
                <w:tcPr>
                  <w:tcW w:w="1434" w:type="dxa"/>
                  <w:vAlign w:val="center"/>
                </w:tcPr>
                <w:p>
                  <w:pPr>
                    <w:jc w:val="center"/>
                    <w:rPr>
                      <w:szCs w:val="21"/>
                    </w:rPr>
                  </w:pPr>
                  <w:r>
                    <w:rPr>
                      <w:szCs w:val="21"/>
                    </w:rPr>
                    <w:t>/</w:t>
                  </w:r>
                </w:p>
              </w:tc>
              <w:tc>
                <w:tcPr>
                  <w:tcW w:w="818" w:type="dxa"/>
                  <w:vAlign w:val="center"/>
                </w:tcPr>
                <w:p>
                  <w:pPr>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Align w:val="center"/>
                </w:tcPr>
                <w:p>
                  <w:pPr>
                    <w:jc w:val="center"/>
                    <w:rPr>
                      <w:szCs w:val="21"/>
                    </w:rPr>
                  </w:pPr>
                  <w:r>
                    <w:rPr>
                      <w:kern w:val="0"/>
                      <w:szCs w:val="21"/>
                    </w:rPr>
                    <w:t>黄陂桥110kV变电站</w:t>
                  </w:r>
                </w:p>
              </w:tc>
              <w:tc>
                <w:tcPr>
                  <w:tcW w:w="1842" w:type="dxa"/>
                  <w:vAlign w:val="center"/>
                </w:tcPr>
                <w:p>
                  <w:pPr>
                    <w:jc w:val="center"/>
                    <w:rPr>
                      <w:szCs w:val="21"/>
                    </w:rPr>
                  </w:pPr>
                  <w:r>
                    <w:rPr>
                      <w:szCs w:val="21"/>
                    </w:rPr>
                    <w:t>/</w:t>
                  </w:r>
                </w:p>
              </w:tc>
              <w:tc>
                <w:tcPr>
                  <w:tcW w:w="1134" w:type="dxa"/>
                  <w:tcBorders>
                    <w:right w:val="single" w:color="auto" w:sz="4" w:space="0"/>
                  </w:tcBorders>
                  <w:vAlign w:val="center"/>
                </w:tcPr>
                <w:p>
                  <w:pPr>
                    <w:jc w:val="center"/>
                    <w:rPr>
                      <w:szCs w:val="21"/>
                    </w:rPr>
                  </w:pPr>
                  <w:r>
                    <w:rPr>
                      <w:szCs w:val="21"/>
                    </w:rPr>
                    <w:t>/</w:t>
                  </w:r>
                </w:p>
              </w:tc>
              <w:tc>
                <w:tcPr>
                  <w:tcW w:w="993" w:type="dxa"/>
                  <w:tcBorders>
                    <w:left w:val="single" w:color="auto" w:sz="4" w:space="0"/>
                  </w:tcBorders>
                  <w:vAlign w:val="center"/>
                </w:tcPr>
                <w:p>
                  <w:pPr>
                    <w:jc w:val="center"/>
                    <w:rPr>
                      <w:szCs w:val="21"/>
                    </w:rPr>
                  </w:pPr>
                  <w:r>
                    <w:rPr>
                      <w:szCs w:val="21"/>
                    </w:rPr>
                    <w:t>/</w:t>
                  </w:r>
                </w:p>
              </w:tc>
              <w:tc>
                <w:tcPr>
                  <w:tcW w:w="1434" w:type="dxa"/>
                  <w:vAlign w:val="center"/>
                </w:tcPr>
                <w:p>
                  <w:pPr>
                    <w:jc w:val="center"/>
                    <w:rPr>
                      <w:szCs w:val="21"/>
                    </w:rPr>
                  </w:pPr>
                  <w:r>
                    <w:rPr>
                      <w:szCs w:val="21"/>
                    </w:rPr>
                    <w:t>/</w:t>
                  </w:r>
                </w:p>
              </w:tc>
              <w:tc>
                <w:tcPr>
                  <w:tcW w:w="818" w:type="dxa"/>
                  <w:vAlign w:val="center"/>
                </w:tcPr>
                <w:p>
                  <w:pPr>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Merge w:val="restart"/>
                  <w:vAlign w:val="center"/>
                </w:tcPr>
                <w:p>
                  <w:pPr>
                    <w:jc w:val="center"/>
                    <w:rPr>
                      <w:kern w:val="0"/>
                      <w:szCs w:val="21"/>
                    </w:rPr>
                  </w:pPr>
                  <w:r>
                    <w:rPr>
                      <w:kern w:val="0"/>
                      <w:szCs w:val="21"/>
                    </w:rPr>
                    <w:t>大岭110kV变电站</w:t>
                  </w:r>
                </w:p>
              </w:tc>
              <w:tc>
                <w:tcPr>
                  <w:tcW w:w="1842" w:type="dxa"/>
                  <w:vAlign w:val="center"/>
                </w:tcPr>
                <w:p>
                  <w:pPr>
                    <w:jc w:val="center"/>
                    <w:rPr>
                      <w:szCs w:val="21"/>
                    </w:rPr>
                  </w:pPr>
                  <w:r>
                    <w:rPr>
                      <w:szCs w:val="21"/>
                    </w:rPr>
                    <w:t>东侧居民楼Ⅰ</w:t>
                  </w:r>
                </w:p>
              </w:tc>
              <w:tc>
                <w:tcPr>
                  <w:tcW w:w="1134" w:type="dxa"/>
                  <w:tcBorders>
                    <w:right w:val="single" w:color="auto" w:sz="4" w:space="0"/>
                  </w:tcBorders>
                  <w:vAlign w:val="center"/>
                </w:tcPr>
                <w:p>
                  <w:pPr>
                    <w:jc w:val="center"/>
                    <w:rPr>
                      <w:szCs w:val="21"/>
                    </w:rPr>
                  </w:pPr>
                  <w:r>
                    <w:rPr>
                      <w:szCs w:val="21"/>
                    </w:rPr>
                    <w:t>约4人</w:t>
                  </w:r>
                </w:p>
              </w:tc>
              <w:tc>
                <w:tcPr>
                  <w:tcW w:w="993" w:type="dxa"/>
                  <w:tcBorders>
                    <w:left w:val="single" w:color="auto" w:sz="4" w:space="0"/>
                  </w:tcBorders>
                  <w:vAlign w:val="center"/>
                </w:tcPr>
                <w:p>
                  <w:pPr>
                    <w:jc w:val="center"/>
                    <w:rPr>
                      <w:szCs w:val="21"/>
                    </w:rPr>
                  </w:pPr>
                  <w:r>
                    <w:rPr>
                      <w:szCs w:val="21"/>
                    </w:rPr>
                    <w:t>3F平顶</w:t>
                  </w:r>
                </w:p>
              </w:tc>
              <w:tc>
                <w:tcPr>
                  <w:tcW w:w="1434" w:type="dxa"/>
                  <w:vAlign w:val="center"/>
                </w:tcPr>
                <w:p>
                  <w:pPr>
                    <w:jc w:val="center"/>
                    <w:rPr>
                      <w:szCs w:val="21"/>
                    </w:rPr>
                  </w:pPr>
                  <w:r>
                    <w:rPr>
                      <w:szCs w:val="21"/>
                    </w:rPr>
                    <w:t>东侧约12m</w:t>
                  </w:r>
                </w:p>
              </w:tc>
              <w:tc>
                <w:tcPr>
                  <w:tcW w:w="818" w:type="dxa"/>
                  <w:vAlign w:val="center"/>
                </w:tcPr>
                <w:p>
                  <w:pPr>
                    <w:jc w:val="center"/>
                    <w:rPr>
                      <w:szCs w:val="21"/>
                    </w:rPr>
                  </w:pPr>
                  <w:r>
                    <w:rPr>
                      <w:szCs w:val="21"/>
                    </w:rPr>
                    <w:t>附图12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Merge w:val="continue"/>
                  <w:vAlign w:val="center"/>
                </w:tcPr>
                <w:p>
                  <w:pPr>
                    <w:jc w:val="center"/>
                    <w:rPr>
                      <w:kern w:val="0"/>
                      <w:szCs w:val="21"/>
                    </w:rPr>
                  </w:pPr>
                </w:p>
              </w:tc>
              <w:tc>
                <w:tcPr>
                  <w:tcW w:w="1842" w:type="dxa"/>
                  <w:vAlign w:val="center"/>
                </w:tcPr>
                <w:p>
                  <w:pPr>
                    <w:jc w:val="center"/>
                    <w:rPr>
                      <w:szCs w:val="21"/>
                    </w:rPr>
                  </w:pPr>
                  <w:r>
                    <w:rPr>
                      <w:szCs w:val="21"/>
                    </w:rPr>
                    <w:t>东侧居民楼Ⅱ</w:t>
                  </w:r>
                </w:p>
              </w:tc>
              <w:tc>
                <w:tcPr>
                  <w:tcW w:w="1134" w:type="dxa"/>
                  <w:tcBorders>
                    <w:right w:val="single" w:color="auto" w:sz="4" w:space="0"/>
                  </w:tcBorders>
                  <w:vAlign w:val="center"/>
                </w:tcPr>
                <w:p>
                  <w:pPr>
                    <w:jc w:val="center"/>
                    <w:rPr>
                      <w:szCs w:val="21"/>
                    </w:rPr>
                  </w:pPr>
                  <w:r>
                    <w:rPr>
                      <w:szCs w:val="21"/>
                    </w:rPr>
                    <w:t>约4人</w:t>
                  </w:r>
                </w:p>
              </w:tc>
              <w:tc>
                <w:tcPr>
                  <w:tcW w:w="993" w:type="dxa"/>
                  <w:tcBorders>
                    <w:left w:val="single" w:color="auto" w:sz="4" w:space="0"/>
                  </w:tcBorders>
                  <w:vAlign w:val="center"/>
                </w:tcPr>
                <w:p>
                  <w:pPr>
                    <w:jc w:val="center"/>
                    <w:rPr>
                      <w:szCs w:val="21"/>
                    </w:rPr>
                  </w:pPr>
                  <w:r>
                    <w:rPr>
                      <w:szCs w:val="21"/>
                    </w:rPr>
                    <w:t>3F平顶</w:t>
                  </w:r>
                </w:p>
              </w:tc>
              <w:tc>
                <w:tcPr>
                  <w:tcW w:w="1434" w:type="dxa"/>
                  <w:vAlign w:val="center"/>
                </w:tcPr>
                <w:p>
                  <w:pPr>
                    <w:jc w:val="center"/>
                    <w:rPr>
                      <w:szCs w:val="21"/>
                    </w:rPr>
                  </w:pPr>
                  <w:r>
                    <w:rPr>
                      <w:szCs w:val="21"/>
                    </w:rPr>
                    <w:t>东侧约13m</w:t>
                  </w:r>
                </w:p>
              </w:tc>
              <w:tc>
                <w:tcPr>
                  <w:tcW w:w="818" w:type="dxa"/>
                  <w:vAlign w:val="center"/>
                </w:tcPr>
                <w:p>
                  <w:pPr>
                    <w:jc w:val="center"/>
                    <w:rPr>
                      <w:szCs w:val="21"/>
                    </w:rPr>
                  </w:pPr>
                  <w:r>
                    <w:rPr>
                      <w:szCs w:val="21"/>
                    </w:rPr>
                    <w:t>附图12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Merge w:val="continue"/>
                  <w:vAlign w:val="center"/>
                </w:tcPr>
                <w:p>
                  <w:pPr>
                    <w:jc w:val="center"/>
                    <w:rPr>
                      <w:kern w:val="0"/>
                      <w:szCs w:val="21"/>
                    </w:rPr>
                  </w:pPr>
                </w:p>
              </w:tc>
              <w:tc>
                <w:tcPr>
                  <w:tcW w:w="1842" w:type="dxa"/>
                  <w:vAlign w:val="center"/>
                </w:tcPr>
                <w:p>
                  <w:pPr>
                    <w:jc w:val="center"/>
                    <w:rPr>
                      <w:szCs w:val="21"/>
                    </w:rPr>
                  </w:pPr>
                  <w:r>
                    <w:rPr>
                      <w:szCs w:val="21"/>
                    </w:rPr>
                    <w:t>南侧居民楼Ⅰ</w:t>
                  </w:r>
                </w:p>
              </w:tc>
              <w:tc>
                <w:tcPr>
                  <w:tcW w:w="1134" w:type="dxa"/>
                  <w:tcBorders>
                    <w:right w:val="single" w:color="auto" w:sz="4" w:space="0"/>
                  </w:tcBorders>
                  <w:vAlign w:val="center"/>
                </w:tcPr>
                <w:p>
                  <w:pPr>
                    <w:jc w:val="center"/>
                    <w:rPr>
                      <w:szCs w:val="21"/>
                    </w:rPr>
                  </w:pPr>
                  <w:r>
                    <w:rPr>
                      <w:szCs w:val="21"/>
                    </w:rPr>
                    <w:t>约2人</w:t>
                  </w:r>
                </w:p>
              </w:tc>
              <w:tc>
                <w:tcPr>
                  <w:tcW w:w="993" w:type="dxa"/>
                  <w:tcBorders>
                    <w:left w:val="single" w:color="auto" w:sz="4" w:space="0"/>
                  </w:tcBorders>
                  <w:vAlign w:val="center"/>
                </w:tcPr>
                <w:p>
                  <w:pPr>
                    <w:jc w:val="center"/>
                    <w:rPr>
                      <w:szCs w:val="21"/>
                    </w:rPr>
                  </w:pPr>
                  <w:r>
                    <w:rPr>
                      <w:szCs w:val="21"/>
                    </w:rPr>
                    <w:t>1F尖顶</w:t>
                  </w:r>
                </w:p>
              </w:tc>
              <w:tc>
                <w:tcPr>
                  <w:tcW w:w="1434" w:type="dxa"/>
                  <w:vAlign w:val="center"/>
                </w:tcPr>
                <w:p>
                  <w:pPr>
                    <w:jc w:val="center"/>
                    <w:rPr>
                      <w:szCs w:val="21"/>
                    </w:rPr>
                  </w:pPr>
                  <w:r>
                    <w:rPr>
                      <w:szCs w:val="21"/>
                    </w:rPr>
                    <w:t>南侧约7m</w:t>
                  </w:r>
                </w:p>
              </w:tc>
              <w:tc>
                <w:tcPr>
                  <w:tcW w:w="818" w:type="dxa"/>
                  <w:vAlign w:val="center"/>
                </w:tcPr>
                <w:p>
                  <w:pPr>
                    <w:jc w:val="center"/>
                    <w:rPr>
                      <w:szCs w:val="21"/>
                    </w:rPr>
                  </w:pPr>
                  <w:r>
                    <w:rPr>
                      <w:szCs w:val="21"/>
                    </w:rPr>
                    <w:t>附图12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Merge w:val="continue"/>
                  <w:vAlign w:val="center"/>
                </w:tcPr>
                <w:p>
                  <w:pPr>
                    <w:jc w:val="center"/>
                    <w:rPr>
                      <w:kern w:val="0"/>
                      <w:szCs w:val="21"/>
                    </w:rPr>
                  </w:pPr>
                </w:p>
              </w:tc>
              <w:tc>
                <w:tcPr>
                  <w:tcW w:w="1842" w:type="dxa"/>
                  <w:vAlign w:val="center"/>
                </w:tcPr>
                <w:p>
                  <w:pPr>
                    <w:jc w:val="center"/>
                    <w:rPr>
                      <w:szCs w:val="21"/>
                    </w:rPr>
                  </w:pPr>
                  <w:r>
                    <w:rPr>
                      <w:szCs w:val="21"/>
                    </w:rPr>
                    <w:t>南侧居民楼Ⅱ</w:t>
                  </w:r>
                </w:p>
              </w:tc>
              <w:tc>
                <w:tcPr>
                  <w:tcW w:w="1134" w:type="dxa"/>
                  <w:tcBorders>
                    <w:right w:val="single" w:color="auto" w:sz="4" w:space="0"/>
                  </w:tcBorders>
                  <w:vAlign w:val="center"/>
                </w:tcPr>
                <w:p>
                  <w:pPr>
                    <w:jc w:val="center"/>
                    <w:rPr>
                      <w:szCs w:val="21"/>
                    </w:rPr>
                  </w:pPr>
                  <w:r>
                    <w:rPr>
                      <w:szCs w:val="21"/>
                    </w:rPr>
                    <w:t>约20人</w:t>
                  </w:r>
                </w:p>
              </w:tc>
              <w:tc>
                <w:tcPr>
                  <w:tcW w:w="993" w:type="dxa"/>
                  <w:tcBorders>
                    <w:left w:val="single" w:color="auto" w:sz="4" w:space="0"/>
                  </w:tcBorders>
                  <w:vAlign w:val="center"/>
                </w:tcPr>
                <w:p>
                  <w:pPr>
                    <w:jc w:val="center"/>
                    <w:rPr>
                      <w:szCs w:val="21"/>
                    </w:rPr>
                  </w:pPr>
                  <w:r>
                    <w:rPr>
                      <w:szCs w:val="21"/>
                    </w:rPr>
                    <w:t>5F平顶</w:t>
                  </w:r>
                </w:p>
              </w:tc>
              <w:tc>
                <w:tcPr>
                  <w:tcW w:w="1434" w:type="dxa"/>
                  <w:vAlign w:val="center"/>
                </w:tcPr>
                <w:p>
                  <w:pPr>
                    <w:jc w:val="center"/>
                    <w:rPr>
                      <w:szCs w:val="21"/>
                    </w:rPr>
                  </w:pPr>
                  <w:r>
                    <w:rPr>
                      <w:szCs w:val="21"/>
                    </w:rPr>
                    <w:t>南侧约48m</w:t>
                  </w:r>
                </w:p>
              </w:tc>
              <w:tc>
                <w:tcPr>
                  <w:tcW w:w="818" w:type="dxa"/>
                  <w:vAlign w:val="center"/>
                </w:tcPr>
                <w:p>
                  <w:pPr>
                    <w:jc w:val="center"/>
                    <w:rPr>
                      <w:szCs w:val="21"/>
                    </w:rPr>
                  </w:pPr>
                  <w:r>
                    <w:rPr>
                      <w:szCs w:val="21"/>
                    </w:rPr>
                    <w:t>附图12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Merge w:val="continue"/>
                  <w:vAlign w:val="center"/>
                </w:tcPr>
                <w:p>
                  <w:pPr>
                    <w:jc w:val="center"/>
                    <w:rPr>
                      <w:kern w:val="0"/>
                      <w:szCs w:val="21"/>
                    </w:rPr>
                  </w:pPr>
                </w:p>
              </w:tc>
              <w:tc>
                <w:tcPr>
                  <w:tcW w:w="1842" w:type="dxa"/>
                  <w:vAlign w:val="center"/>
                </w:tcPr>
                <w:p>
                  <w:pPr>
                    <w:jc w:val="center"/>
                    <w:rPr>
                      <w:szCs w:val="21"/>
                    </w:rPr>
                  </w:pPr>
                  <w:r>
                    <w:rPr>
                      <w:szCs w:val="21"/>
                    </w:rPr>
                    <w:t>西侧居民楼Ⅰ</w:t>
                  </w:r>
                </w:p>
              </w:tc>
              <w:tc>
                <w:tcPr>
                  <w:tcW w:w="1134" w:type="dxa"/>
                  <w:tcBorders>
                    <w:right w:val="single" w:color="auto" w:sz="4" w:space="0"/>
                  </w:tcBorders>
                  <w:vAlign w:val="center"/>
                </w:tcPr>
                <w:p>
                  <w:pPr>
                    <w:jc w:val="center"/>
                    <w:rPr>
                      <w:szCs w:val="21"/>
                    </w:rPr>
                  </w:pPr>
                  <w:r>
                    <w:rPr>
                      <w:szCs w:val="21"/>
                    </w:rPr>
                    <w:t>约24人</w:t>
                  </w:r>
                </w:p>
              </w:tc>
              <w:tc>
                <w:tcPr>
                  <w:tcW w:w="993" w:type="dxa"/>
                  <w:tcBorders>
                    <w:left w:val="single" w:color="auto" w:sz="4" w:space="0"/>
                  </w:tcBorders>
                  <w:vAlign w:val="center"/>
                </w:tcPr>
                <w:p>
                  <w:pPr>
                    <w:jc w:val="center"/>
                    <w:rPr>
                      <w:szCs w:val="21"/>
                    </w:rPr>
                  </w:pPr>
                  <w:r>
                    <w:rPr>
                      <w:szCs w:val="21"/>
                    </w:rPr>
                    <w:t>6F尖顶</w:t>
                  </w:r>
                </w:p>
              </w:tc>
              <w:tc>
                <w:tcPr>
                  <w:tcW w:w="1434" w:type="dxa"/>
                  <w:vAlign w:val="center"/>
                </w:tcPr>
                <w:p>
                  <w:pPr>
                    <w:jc w:val="center"/>
                    <w:rPr>
                      <w:szCs w:val="21"/>
                    </w:rPr>
                  </w:pPr>
                  <w:r>
                    <w:rPr>
                      <w:szCs w:val="21"/>
                    </w:rPr>
                    <w:t>西侧约3m</w:t>
                  </w:r>
                </w:p>
              </w:tc>
              <w:tc>
                <w:tcPr>
                  <w:tcW w:w="818" w:type="dxa"/>
                  <w:vAlign w:val="center"/>
                </w:tcPr>
                <w:p>
                  <w:pPr>
                    <w:jc w:val="center"/>
                    <w:rPr>
                      <w:szCs w:val="21"/>
                    </w:rPr>
                  </w:pPr>
                  <w:r>
                    <w:rPr>
                      <w:szCs w:val="21"/>
                    </w:rPr>
                    <w:t>附图12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Merge w:val="continue"/>
                  <w:vAlign w:val="center"/>
                </w:tcPr>
                <w:p>
                  <w:pPr>
                    <w:jc w:val="center"/>
                    <w:rPr>
                      <w:kern w:val="0"/>
                      <w:szCs w:val="21"/>
                    </w:rPr>
                  </w:pPr>
                </w:p>
              </w:tc>
              <w:tc>
                <w:tcPr>
                  <w:tcW w:w="1842" w:type="dxa"/>
                  <w:vAlign w:val="center"/>
                </w:tcPr>
                <w:p>
                  <w:pPr>
                    <w:jc w:val="center"/>
                    <w:rPr>
                      <w:szCs w:val="21"/>
                    </w:rPr>
                  </w:pPr>
                  <w:r>
                    <w:rPr>
                      <w:szCs w:val="21"/>
                    </w:rPr>
                    <w:t>西侧居民楼Ⅱ</w:t>
                  </w:r>
                </w:p>
              </w:tc>
              <w:tc>
                <w:tcPr>
                  <w:tcW w:w="1134" w:type="dxa"/>
                  <w:tcBorders>
                    <w:right w:val="single" w:color="auto" w:sz="4" w:space="0"/>
                  </w:tcBorders>
                  <w:vAlign w:val="center"/>
                </w:tcPr>
                <w:p>
                  <w:pPr>
                    <w:jc w:val="center"/>
                    <w:rPr>
                      <w:szCs w:val="21"/>
                    </w:rPr>
                  </w:pPr>
                  <w:r>
                    <w:rPr>
                      <w:szCs w:val="21"/>
                    </w:rPr>
                    <w:t>约24人</w:t>
                  </w:r>
                </w:p>
              </w:tc>
              <w:tc>
                <w:tcPr>
                  <w:tcW w:w="993" w:type="dxa"/>
                  <w:tcBorders>
                    <w:left w:val="single" w:color="auto" w:sz="4" w:space="0"/>
                  </w:tcBorders>
                  <w:vAlign w:val="center"/>
                </w:tcPr>
                <w:p>
                  <w:pPr>
                    <w:jc w:val="center"/>
                    <w:rPr>
                      <w:szCs w:val="21"/>
                    </w:rPr>
                  </w:pPr>
                  <w:r>
                    <w:rPr>
                      <w:szCs w:val="21"/>
                    </w:rPr>
                    <w:t>6F尖顶</w:t>
                  </w:r>
                </w:p>
              </w:tc>
              <w:tc>
                <w:tcPr>
                  <w:tcW w:w="1434" w:type="dxa"/>
                  <w:vAlign w:val="center"/>
                </w:tcPr>
                <w:p>
                  <w:pPr>
                    <w:jc w:val="center"/>
                    <w:rPr>
                      <w:szCs w:val="21"/>
                    </w:rPr>
                  </w:pPr>
                  <w:r>
                    <w:rPr>
                      <w:szCs w:val="21"/>
                    </w:rPr>
                    <w:t>西侧约3m</w:t>
                  </w:r>
                </w:p>
              </w:tc>
              <w:tc>
                <w:tcPr>
                  <w:tcW w:w="818" w:type="dxa"/>
                  <w:vAlign w:val="center"/>
                </w:tcPr>
                <w:p>
                  <w:pPr>
                    <w:jc w:val="center"/>
                    <w:rPr>
                      <w:szCs w:val="21"/>
                    </w:rPr>
                  </w:pPr>
                  <w:r>
                    <w:rPr>
                      <w:szCs w:val="21"/>
                    </w:rPr>
                    <w:t>附图12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7" w:hRule="atLeast"/>
                <w:jc w:val="center"/>
              </w:trPr>
              <w:tc>
                <w:tcPr>
                  <w:tcW w:w="636" w:type="dxa"/>
                  <w:vMerge w:val="continue"/>
                  <w:vAlign w:val="center"/>
                </w:tcPr>
                <w:p>
                  <w:pPr>
                    <w:jc w:val="center"/>
                    <w:rPr>
                      <w:szCs w:val="21"/>
                    </w:rPr>
                  </w:pPr>
                </w:p>
              </w:tc>
              <w:tc>
                <w:tcPr>
                  <w:tcW w:w="1912" w:type="dxa"/>
                  <w:vMerge w:val="restart"/>
                  <w:vAlign w:val="center"/>
                </w:tcPr>
                <w:p>
                  <w:pPr>
                    <w:jc w:val="center"/>
                    <w:rPr>
                      <w:kern w:val="0"/>
                      <w:szCs w:val="21"/>
                    </w:rPr>
                  </w:pPr>
                  <w:r>
                    <w:rPr>
                      <w:kern w:val="0"/>
                      <w:szCs w:val="21"/>
                    </w:rPr>
                    <w:t>华银绥宁宝鼎山风电二期三期110kV送出工程</w:t>
                  </w:r>
                </w:p>
              </w:tc>
              <w:tc>
                <w:tcPr>
                  <w:tcW w:w="1842" w:type="dxa"/>
                  <w:vAlign w:val="center"/>
                </w:tcPr>
                <w:p>
                  <w:pPr>
                    <w:jc w:val="center"/>
                    <w:rPr>
                      <w:szCs w:val="21"/>
                    </w:rPr>
                  </w:pPr>
                  <w:r>
                    <w:rPr>
                      <w:szCs w:val="21"/>
                    </w:rPr>
                    <w:t>绥宁县李熙桥镇百家田村祖亭寨台区</w:t>
                  </w:r>
                </w:p>
              </w:tc>
              <w:tc>
                <w:tcPr>
                  <w:tcW w:w="1134" w:type="dxa"/>
                  <w:tcBorders>
                    <w:right w:val="single" w:color="auto" w:sz="4" w:space="0"/>
                  </w:tcBorders>
                  <w:vAlign w:val="center"/>
                </w:tcPr>
                <w:p>
                  <w:pPr>
                    <w:jc w:val="center"/>
                    <w:rPr>
                      <w:szCs w:val="21"/>
                    </w:rPr>
                  </w:pPr>
                  <w:r>
                    <w:rPr>
                      <w:szCs w:val="21"/>
                    </w:rPr>
                    <w:t>约4人</w:t>
                  </w:r>
                </w:p>
              </w:tc>
              <w:tc>
                <w:tcPr>
                  <w:tcW w:w="993" w:type="dxa"/>
                  <w:tcBorders>
                    <w:left w:val="single" w:color="auto" w:sz="4" w:space="0"/>
                  </w:tcBorders>
                  <w:vAlign w:val="center"/>
                </w:tcPr>
                <w:p>
                  <w:pPr>
                    <w:jc w:val="center"/>
                    <w:rPr>
                      <w:szCs w:val="21"/>
                    </w:rPr>
                  </w:pPr>
                  <w:r>
                    <w:rPr>
                      <w:szCs w:val="21"/>
                    </w:rPr>
                    <w:t>1F尖顶</w:t>
                  </w:r>
                </w:p>
              </w:tc>
              <w:tc>
                <w:tcPr>
                  <w:tcW w:w="1434" w:type="dxa"/>
                  <w:vAlign w:val="center"/>
                </w:tcPr>
                <w:p>
                  <w:pPr>
                    <w:jc w:val="center"/>
                    <w:rPr>
                      <w:szCs w:val="21"/>
                    </w:rPr>
                  </w:pPr>
                  <w:r>
                    <w:rPr>
                      <w:szCs w:val="21"/>
                    </w:rPr>
                    <w:t>线路西侧约40m</w:t>
                  </w:r>
                </w:p>
              </w:tc>
              <w:tc>
                <w:tcPr>
                  <w:tcW w:w="818" w:type="dxa"/>
                  <w:vAlign w:val="center"/>
                </w:tcPr>
                <w:p>
                  <w:pPr>
                    <w:jc w:val="center"/>
                    <w:rPr>
                      <w:szCs w:val="21"/>
                    </w:rPr>
                  </w:pPr>
                  <w:r>
                    <w:rPr>
                      <w:szCs w:val="21"/>
                    </w:rPr>
                    <w:t>附图20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Merge w:val="continue"/>
                  <w:vAlign w:val="center"/>
                </w:tcPr>
                <w:p>
                  <w:pPr>
                    <w:jc w:val="center"/>
                    <w:rPr>
                      <w:kern w:val="0"/>
                      <w:szCs w:val="21"/>
                    </w:rPr>
                  </w:pPr>
                </w:p>
              </w:tc>
              <w:tc>
                <w:tcPr>
                  <w:tcW w:w="1842" w:type="dxa"/>
                  <w:vAlign w:val="center"/>
                </w:tcPr>
                <w:p>
                  <w:pPr>
                    <w:jc w:val="center"/>
                    <w:rPr>
                      <w:szCs w:val="21"/>
                    </w:rPr>
                  </w:pPr>
                  <w:r>
                    <w:rPr>
                      <w:szCs w:val="21"/>
                    </w:rPr>
                    <w:t>绥宁县白玉乡檀山庙村大湾里台区</w:t>
                  </w:r>
                </w:p>
              </w:tc>
              <w:tc>
                <w:tcPr>
                  <w:tcW w:w="1134" w:type="dxa"/>
                  <w:tcBorders>
                    <w:right w:val="single" w:color="auto" w:sz="4" w:space="0"/>
                  </w:tcBorders>
                  <w:vAlign w:val="center"/>
                </w:tcPr>
                <w:p>
                  <w:pPr>
                    <w:jc w:val="center"/>
                    <w:rPr>
                      <w:szCs w:val="21"/>
                    </w:rPr>
                  </w:pPr>
                  <w:r>
                    <w:rPr>
                      <w:szCs w:val="21"/>
                    </w:rPr>
                    <w:t>约4人</w:t>
                  </w:r>
                </w:p>
              </w:tc>
              <w:tc>
                <w:tcPr>
                  <w:tcW w:w="993" w:type="dxa"/>
                  <w:tcBorders>
                    <w:left w:val="single" w:color="auto" w:sz="4" w:space="0"/>
                  </w:tcBorders>
                  <w:vAlign w:val="center"/>
                </w:tcPr>
                <w:p>
                  <w:pPr>
                    <w:jc w:val="center"/>
                    <w:rPr>
                      <w:szCs w:val="21"/>
                    </w:rPr>
                  </w:pPr>
                  <w:r>
                    <w:rPr>
                      <w:szCs w:val="21"/>
                    </w:rPr>
                    <w:t>1F尖顶</w:t>
                  </w:r>
                </w:p>
              </w:tc>
              <w:tc>
                <w:tcPr>
                  <w:tcW w:w="1434" w:type="dxa"/>
                  <w:vAlign w:val="center"/>
                </w:tcPr>
                <w:p>
                  <w:pPr>
                    <w:jc w:val="center"/>
                    <w:rPr>
                      <w:szCs w:val="21"/>
                    </w:rPr>
                  </w:pPr>
                  <w:r>
                    <w:rPr>
                      <w:szCs w:val="21"/>
                    </w:rPr>
                    <w:t>线路下方</w:t>
                  </w:r>
                </w:p>
              </w:tc>
              <w:tc>
                <w:tcPr>
                  <w:tcW w:w="818" w:type="dxa"/>
                  <w:vAlign w:val="center"/>
                </w:tcPr>
                <w:p>
                  <w:pPr>
                    <w:jc w:val="center"/>
                    <w:rPr>
                      <w:szCs w:val="21"/>
                    </w:rPr>
                  </w:pPr>
                  <w:r>
                    <w:rPr>
                      <w:szCs w:val="21"/>
                    </w:rPr>
                    <w:t>附图21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Align w:val="center"/>
                </w:tcPr>
                <w:p>
                  <w:pPr>
                    <w:jc w:val="center"/>
                    <w:rPr>
                      <w:kern w:val="0"/>
                      <w:szCs w:val="21"/>
                    </w:rPr>
                  </w:pPr>
                  <w:r>
                    <w:rPr>
                      <w:kern w:val="0"/>
                      <w:szCs w:val="21"/>
                    </w:rPr>
                    <w:t>金坪110kV风电送出工程</w:t>
                  </w:r>
                </w:p>
              </w:tc>
              <w:tc>
                <w:tcPr>
                  <w:tcW w:w="1842" w:type="dxa"/>
                  <w:vAlign w:val="center"/>
                </w:tcPr>
                <w:p>
                  <w:pPr>
                    <w:jc w:val="center"/>
                    <w:rPr>
                      <w:szCs w:val="21"/>
                    </w:rPr>
                  </w:pPr>
                  <w:r>
                    <w:rPr>
                      <w:szCs w:val="21"/>
                    </w:rPr>
                    <w:t>小沙江镇文明村</w:t>
                  </w:r>
                </w:p>
              </w:tc>
              <w:tc>
                <w:tcPr>
                  <w:tcW w:w="1134" w:type="dxa"/>
                  <w:tcBorders>
                    <w:right w:val="single" w:color="auto" w:sz="4" w:space="0"/>
                  </w:tcBorders>
                  <w:vAlign w:val="center"/>
                </w:tcPr>
                <w:p>
                  <w:pPr>
                    <w:jc w:val="center"/>
                    <w:rPr>
                      <w:szCs w:val="21"/>
                    </w:rPr>
                  </w:pPr>
                  <w:r>
                    <w:rPr>
                      <w:szCs w:val="21"/>
                    </w:rPr>
                    <w:t>约2人</w:t>
                  </w:r>
                </w:p>
              </w:tc>
              <w:tc>
                <w:tcPr>
                  <w:tcW w:w="993" w:type="dxa"/>
                  <w:tcBorders>
                    <w:left w:val="single" w:color="auto" w:sz="4" w:space="0"/>
                  </w:tcBorders>
                  <w:vAlign w:val="center"/>
                </w:tcPr>
                <w:p>
                  <w:pPr>
                    <w:jc w:val="center"/>
                    <w:rPr>
                      <w:szCs w:val="21"/>
                    </w:rPr>
                  </w:pPr>
                  <w:r>
                    <w:rPr>
                      <w:szCs w:val="21"/>
                    </w:rPr>
                    <w:t>1F尖顶</w:t>
                  </w:r>
                </w:p>
              </w:tc>
              <w:tc>
                <w:tcPr>
                  <w:tcW w:w="1434" w:type="dxa"/>
                  <w:vAlign w:val="center"/>
                </w:tcPr>
                <w:p>
                  <w:pPr>
                    <w:jc w:val="center"/>
                    <w:rPr>
                      <w:szCs w:val="21"/>
                    </w:rPr>
                  </w:pPr>
                  <w:r>
                    <w:rPr>
                      <w:szCs w:val="21"/>
                    </w:rPr>
                    <w:t>线路下方</w:t>
                  </w:r>
                </w:p>
              </w:tc>
              <w:tc>
                <w:tcPr>
                  <w:tcW w:w="818" w:type="dxa"/>
                  <w:vAlign w:val="center"/>
                </w:tcPr>
                <w:p>
                  <w:pPr>
                    <w:jc w:val="center"/>
                    <w:rPr>
                      <w:szCs w:val="21"/>
                    </w:rPr>
                  </w:pPr>
                  <w:r>
                    <w:rPr>
                      <w:szCs w:val="21"/>
                    </w:rPr>
                    <w:t>附图22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Merge w:val="restart"/>
                  <w:vAlign w:val="center"/>
                </w:tcPr>
                <w:p>
                  <w:pPr>
                    <w:jc w:val="center"/>
                    <w:rPr>
                      <w:kern w:val="0"/>
                      <w:szCs w:val="21"/>
                    </w:rPr>
                  </w:pPr>
                  <w:r>
                    <w:rPr>
                      <w:kern w:val="0"/>
                      <w:szCs w:val="21"/>
                    </w:rPr>
                    <w:t>六岭110kV输变电工程</w:t>
                  </w:r>
                </w:p>
              </w:tc>
              <w:tc>
                <w:tcPr>
                  <w:tcW w:w="1842" w:type="dxa"/>
                  <w:vAlign w:val="center"/>
                </w:tcPr>
                <w:p>
                  <w:pPr>
                    <w:jc w:val="center"/>
                    <w:rPr>
                      <w:kern w:val="0"/>
                      <w:szCs w:val="21"/>
                    </w:rPr>
                  </w:pPr>
                  <w:r>
                    <w:rPr>
                      <w:kern w:val="0"/>
                      <w:szCs w:val="21"/>
                    </w:rPr>
                    <w:t>六岭小学</w:t>
                  </w:r>
                </w:p>
              </w:tc>
              <w:tc>
                <w:tcPr>
                  <w:tcW w:w="1134" w:type="dxa"/>
                  <w:tcBorders>
                    <w:right w:val="single" w:color="auto" w:sz="4" w:space="0"/>
                  </w:tcBorders>
                  <w:vAlign w:val="center"/>
                </w:tcPr>
                <w:p>
                  <w:pPr>
                    <w:jc w:val="center"/>
                    <w:rPr>
                      <w:kern w:val="0"/>
                      <w:szCs w:val="21"/>
                    </w:rPr>
                  </w:pPr>
                  <w:r>
                    <w:rPr>
                      <w:kern w:val="0"/>
                      <w:szCs w:val="21"/>
                    </w:rPr>
                    <w:t>约100人</w:t>
                  </w:r>
                </w:p>
              </w:tc>
              <w:tc>
                <w:tcPr>
                  <w:tcW w:w="993" w:type="dxa"/>
                  <w:tcBorders>
                    <w:left w:val="single" w:color="auto" w:sz="4" w:space="0"/>
                  </w:tcBorders>
                  <w:vAlign w:val="center"/>
                </w:tcPr>
                <w:p>
                  <w:pPr>
                    <w:jc w:val="center"/>
                    <w:rPr>
                      <w:kern w:val="0"/>
                      <w:szCs w:val="21"/>
                    </w:rPr>
                  </w:pPr>
                  <w:r>
                    <w:rPr>
                      <w:szCs w:val="21"/>
                    </w:rPr>
                    <w:t>4F尖顶</w:t>
                  </w:r>
                </w:p>
              </w:tc>
              <w:tc>
                <w:tcPr>
                  <w:tcW w:w="1434" w:type="dxa"/>
                  <w:vAlign w:val="center"/>
                </w:tcPr>
                <w:p>
                  <w:pPr>
                    <w:jc w:val="center"/>
                    <w:rPr>
                      <w:kern w:val="0"/>
                      <w:szCs w:val="21"/>
                    </w:rPr>
                  </w:pPr>
                  <w:r>
                    <w:rPr>
                      <w:kern w:val="0"/>
                      <w:szCs w:val="21"/>
                    </w:rPr>
                    <w:t>东侧约12m</w:t>
                  </w:r>
                </w:p>
              </w:tc>
              <w:tc>
                <w:tcPr>
                  <w:tcW w:w="818" w:type="dxa"/>
                  <w:vAlign w:val="center"/>
                </w:tcPr>
                <w:p>
                  <w:pPr>
                    <w:jc w:val="center"/>
                    <w:rPr>
                      <w:kern w:val="0"/>
                      <w:szCs w:val="21"/>
                    </w:rPr>
                  </w:pPr>
                  <w:r>
                    <w:rPr>
                      <w:kern w:val="0"/>
                      <w:szCs w:val="21"/>
                    </w:rPr>
                    <w:t>附图13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Merge w:val="continue"/>
                  <w:vAlign w:val="center"/>
                </w:tcPr>
                <w:p>
                  <w:pPr>
                    <w:jc w:val="center"/>
                    <w:rPr>
                      <w:kern w:val="0"/>
                      <w:szCs w:val="21"/>
                    </w:rPr>
                  </w:pPr>
                </w:p>
              </w:tc>
              <w:tc>
                <w:tcPr>
                  <w:tcW w:w="1842" w:type="dxa"/>
                  <w:vAlign w:val="center"/>
                </w:tcPr>
                <w:p>
                  <w:pPr>
                    <w:jc w:val="center"/>
                    <w:rPr>
                      <w:kern w:val="0"/>
                      <w:szCs w:val="21"/>
                    </w:rPr>
                  </w:pPr>
                  <w:r>
                    <w:rPr>
                      <w:kern w:val="0"/>
                      <w:szCs w:val="21"/>
                    </w:rPr>
                    <w:t>拟建居民楼</w:t>
                  </w:r>
                </w:p>
              </w:tc>
              <w:tc>
                <w:tcPr>
                  <w:tcW w:w="1134" w:type="dxa"/>
                  <w:tcBorders>
                    <w:right w:val="single" w:color="auto" w:sz="4" w:space="0"/>
                  </w:tcBorders>
                  <w:vAlign w:val="center"/>
                </w:tcPr>
                <w:p>
                  <w:pPr>
                    <w:jc w:val="center"/>
                    <w:rPr>
                      <w:kern w:val="0"/>
                      <w:szCs w:val="21"/>
                    </w:rPr>
                  </w:pPr>
                  <w:r>
                    <w:rPr>
                      <w:kern w:val="0"/>
                      <w:szCs w:val="21"/>
                    </w:rPr>
                    <w:t>约</w:t>
                  </w:r>
                  <w:r>
                    <w:rPr>
                      <w:rFonts w:hint="eastAsia"/>
                      <w:kern w:val="0"/>
                      <w:szCs w:val="21"/>
                    </w:rPr>
                    <w:t>464</w:t>
                  </w:r>
                  <w:r>
                    <w:rPr>
                      <w:kern w:val="0"/>
                      <w:szCs w:val="21"/>
                    </w:rPr>
                    <w:t>人</w:t>
                  </w:r>
                </w:p>
              </w:tc>
              <w:tc>
                <w:tcPr>
                  <w:tcW w:w="993" w:type="dxa"/>
                  <w:tcBorders>
                    <w:left w:val="single" w:color="auto" w:sz="4" w:space="0"/>
                  </w:tcBorders>
                  <w:vAlign w:val="center"/>
                </w:tcPr>
                <w:p>
                  <w:pPr>
                    <w:jc w:val="center"/>
                    <w:rPr>
                      <w:rFonts w:hint="eastAsia"/>
                      <w:kern w:val="0"/>
                      <w:szCs w:val="21"/>
                    </w:rPr>
                  </w:pPr>
                  <w:r>
                    <w:rPr>
                      <w:kern w:val="0"/>
                      <w:szCs w:val="21"/>
                    </w:rPr>
                    <w:t>29</w:t>
                  </w:r>
                  <w:r>
                    <w:rPr>
                      <w:rFonts w:hint="eastAsia"/>
                      <w:kern w:val="0"/>
                      <w:szCs w:val="21"/>
                    </w:rPr>
                    <w:t>F</w:t>
                  </w:r>
                </w:p>
              </w:tc>
              <w:tc>
                <w:tcPr>
                  <w:tcW w:w="1434" w:type="dxa"/>
                  <w:vAlign w:val="center"/>
                </w:tcPr>
                <w:p>
                  <w:pPr>
                    <w:jc w:val="center"/>
                    <w:rPr>
                      <w:kern w:val="0"/>
                      <w:szCs w:val="21"/>
                    </w:rPr>
                  </w:pPr>
                  <w:r>
                    <w:rPr>
                      <w:kern w:val="0"/>
                      <w:szCs w:val="21"/>
                    </w:rPr>
                    <w:t>东北侧约12m</w:t>
                  </w:r>
                </w:p>
              </w:tc>
              <w:tc>
                <w:tcPr>
                  <w:tcW w:w="818" w:type="dxa"/>
                  <w:vAlign w:val="center"/>
                </w:tcPr>
                <w:p>
                  <w:pPr>
                    <w:jc w:val="center"/>
                    <w:rPr>
                      <w:kern w:val="0"/>
                      <w:szCs w:val="21"/>
                    </w:rPr>
                  </w:pPr>
                  <w:r>
                    <w:rPr>
                      <w:kern w:val="0"/>
                      <w:szCs w:val="21"/>
                    </w:rPr>
                    <w:t>附图13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Merge w:val="continue"/>
                  <w:vAlign w:val="center"/>
                </w:tcPr>
                <w:p>
                  <w:pPr>
                    <w:jc w:val="center"/>
                    <w:rPr>
                      <w:kern w:val="0"/>
                      <w:szCs w:val="21"/>
                    </w:rPr>
                  </w:pPr>
                </w:p>
              </w:tc>
              <w:tc>
                <w:tcPr>
                  <w:tcW w:w="1842" w:type="dxa"/>
                  <w:vAlign w:val="center"/>
                </w:tcPr>
                <w:p>
                  <w:pPr>
                    <w:jc w:val="center"/>
                    <w:rPr>
                      <w:kern w:val="0"/>
                      <w:szCs w:val="21"/>
                    </w:rPr>
                  </w:pPr>
                  <w:r>
                    <w:rPr>
                      <w:kern w:val="0"/>
                      <w:szCs w:val="21"/>
                    </w:rPr>
                    <w:t>西面居民楼</w:t>
                  </w:r>
                </w:p>
              </w:tc>
              <w:tc>
                <w:tcPr>
                  <w:tcW w:w="1134" w:type="dxa"/>
                  <w:tcBorders>
                    <w:right w:val="single" w:color="auto" w:sz="4" w:space="0"/>
                  </w:tcBorders>
                  <w:vAlign w:val="center"/>
                </w:tcPr>
                <w:p>
                  <w:pPr>
                    <w:jc w:val="center"/>
                    <w:rPr>
                      <w:kern w:val="0"/>
                      <w:szCs w:val="21"/>
                    </w:rPr>
                  </w:pPr>
                  <w:r>
                    <w:rPr>
                      <w:kern w:val="0"/>
                      <w:szCs w:val="21"/>
                    </w:rPr>
                    <w:t>约6人</w:t>
                  </w:r>
                </w:p>
              </w:tc>
              <w:tc>
                <w:tcPr>
                  <w:tcW w:w="993" w:type="dxa"/>
                  <w:tcBorders>
                    <w:left w:val="single" w:color="auto" w:sz="4" w:space="0"/>
                  </w:tcBorders>
                  <w:vAlign w:val="center"/>
                </w:tcPr>
                <w:p>
                  <w:pPr>
                    <w:jc w:val="center"/>
                    <w:rPr>
                      <w:kern w:val="0"/>
                      <w:szCs w:val="21"/>
                    </w:rPr>
                  </w:pPr>
                  <w:r>
                    <w:rPr>
                      <w:szCs w:val="21"/>
                    </w:rPr>
                    <w:t>2F尖顶</w:t>
                  </w:r>
                </w:p>
              </w:tc>
              <w:tc>
                <w:tcPr>
                  <w:tcW w:w="1434" w:type="dxa"/>
                  <w:vAlign w:val="center"/>
                </w:tcPr>
                <w:p>
                  <w:pPr>
                    <w:jc w:val="center"/>
                    <w:rPr>
                      <w:kern w:val="0"/>
                      <w:szCs w:val="21"/>
                    </w:rPr>
                  </w:pPr>
                  <w:r>
                    <w:rPr>
                      <w:kern w:val="0"/>
                      <w:szCs w:val="21"/>
                    </w:rPr>
                    <w:t>西侧约19m</w:t>
                  </w:r>
                </w:p>
              </w:tc>
              <w:tc>
                <w:tcPr>
                  <w:tcW w:w="818" w:type="dxa"/>
                  <w:vAlign w:val="center"/>
                </w:tcPr>
                <w:p>
                  <w:pPr>
                    <w:jc w:val="center"/>
                    <w:rPr>
                      <w:kern w:val="0"/>
                      <w:szCs w:val="21"/>
                    </w:rPr>
                  </w:pPr>
                  <w:r>
                    <w:rPr>
                      <w:kern w:val="0"/>
                      <w:szCs w:val="21"/>
                    </w:rPr>
                    <w:t>附图13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73" w:hRule="atLeast"/>
                <w:jc w:val="center"/>
              </w:trPr>
              <w:tc>
                <w:tcPr>
                  <w:tcW w:w="636" w:type="dxa"/>
                  <w:vMerge w:val="continue"/>
                  <w:vAlign w:val="center"/>
                </w:tcPr>
                <w:p>
                  <w:pPr>
                    <w:jc w:val="center"/>
                    <w:rPr>
                      <w:szCs w:val="21"/>
                    </w:rPr>
                  </w:pPr>
                </w:p>
              </w:tc>
              <w:tc>
                <w:tcPr>
                  <w:tcW w:w="1912" w:type="dxa"/>
                  <w:vMerge w:val="continue"/>
                  <w:vAlign w:val="center"/>
                </w:tcPr>
                <w:p>
                  <w:pPr>
                    <w:jc w:val="center"/>
                    <w:rPr>
                      <w:kern w:val="0"/>
                      <w:szCs w:val="21"/>
                    </w:rPr>
                  </w:pPr>
                </w:p>
              </w:tc>
              <w:tc>
                <w:tcPr>
                  <w:tcW w:w="1842" w:type="dxa"/>
                  <w:vAlign w:val="center"/>
                </w:tcPr>
                <w:p>
                  <w:pPr>
                    <w:jc w:val="center"/>
                    <w:rPr>
                      <w:kern w:val="0"/>
                      <w:szCs w:val="21"/>
                    </w:rPr>
                  </w:pPr>
                  <w:r>
                    <w:rPr>
                      <w:kern w:val="0"/>
                      <w:szCs w:val="21"/>
                    </w:rPr>
                    <w:t>拟建居民楼</w:t>
                  </w:r>
                </w:p>
              </w:tc>
              <w:tc>
                <w:tcPr>
                  <w:tcW w:w="1134" w:type="dxa"/>
                  <w:tcBorders>
                    <w:right w:val="single" w:color="auto" w:sz="4" w:space="0"/>
                  </w:tcBorders>
                  <w:vAlign w:val="center"/>
                </w:tcPr>
                <w:p>
                  <w:pPr>
                    <w:jc w:val="center"/>
                    <w:rPr>
                      <w:kern w:val="0"/>
                      <w:szCs w:val="21"/>
                    </w:rPr>
                  </w:pPr>
                  <w:r>
                    <w:rPr>
                      <w:kern w:val="0"/>
                      <w:szCs w:val="21"/>
                    </w:rPr>
                    <w:t>约</w:t>
                  </w:r>
                  <w:r>
                    <w:rPr>
                      <w:rFonts w:hint="eastAsia"/>
                      <w:kern w:val="0"/>
                      <w:szCs w:val="21"/>
                    </w:rPr>
                    <w:t>432</w:t>
                  </w:r>
                  <w:r>
                    <w:rPr>
                      <w:kern w:val="0"/>
                      <w:szCs w:val="21"/>
                    </w:rPr>
                    <w:t>人</w:t>
                  </w:r>
                </w:p>
              </w:tc>
              <w:tc>
                <w:tcPr>
                  <w:tcW w:w="993" w:type="dxa"/>
                  <w:tcBorders>
                    <w:left w:val="single" w:color="auto" w:sz="4" w:space="0"/>
                  </w:tcBorders>
                  <w:vAlign w:val="center"/>
                </w:tcPr>
                <w:p>
                  <w:pPr>
                    <w:jc w:val="center"/>
                    <w:rPr>
                      <w:rFonts w:hint="eastAsia"/>
                      <w:kern w:val="0"/>
                      <w:szCs w:val="21"/>
                    </w:rPr>
                  </w:pPr>
                  <w:r>
                    <w:rPr>
                      <w:kern w:val="0"/>
                      <w:szCs w:val="21"/>
                    </w:rPr>
                    <w:t>27</w:t>
                  </w:r>
                  <w:r>
                    <w:rPr>
                      <w:rFonts w:hint="eastAsia"/>
                      <w:kern w:val="0"/>
                      <w:szCs w:val="21"/>
                    </w:rPr>
                    <w:t>F</w:t>
                  </w:r>
                </w:p>
              </w:tc>
              <w:tc>
                <w:tcPr>
                  <w:tcW w:w="1434" w:type="dxa"/>
                  <w:vAlign w:val="center"/>
                </w:tcPr>
                <w:p>
                  <w:pPr>
                    <w:jc w:val="center"/>
                    <w:rPr>
                      <w:kern w:val="0"/>
                      <w:szCs w:val="21"/>
                    </w:rPr>
                  </w:pPr>
                  <w:r>
                    <w:rPr>
                      <w:kern w:val="0"/>
                      <w:szCs w:val="21"/>
                    </w:rPr>
                    <w:t>南侧约20m</w:t>
                  </w:r>
                </w:p>
              </w:tc>
              <w:tc>
                <w:tcPr>
                  <w:tcW w:w="818" w:type="dxa"/>
                  <w:vAlign w:val="center"/>
                </w:tcPr>
                <w:p>
                  <w:pPr>
                    <w:jc w:val="center"/>
                    <w:rPr>
                      <w:kern w:val="0"/>
                      <w:szCs w:val="21"/>
                    </w:rPr>
                  </w:pPr>
                  <w:r>
                    <w:rPr>
                      <w:kern w:val="0"/>
                      <w:szCs w:val="21"/>
                    </w:rPr>
                    <w:t>附图13</w:t>
                  </w:r>
                </w:p>
              </w:tc>
            </w:tr>
          </w:tbl>
          <w:p>
            <w:pPr>
              <w:ind w:firstLine="420" w:firstLineChars="200"/>
              <w:rPr>
                <w:szCs w:val="21"/>
              </w:rPr>
            </w:pPr>
            <w:r>
              <w:rPr>
                <w:szCs w:val="21"/>
              </w:rPr>
              <w:t>注：由于项目尚处于可行性研究阶段，在工程初步设计和实际施工中有可能对线路路径再次优化，因此上表中线路与环境保护目标的距离在工程实际投产时可能稍有变动。</w:t>
            </w:r>
          </w:p>
        </w:tc>
      </w:tr>
    </w:tbl>
    <w:p>
      <w:pPr>
        <w:rPr>
          <w:rFonts w:eastAsia="黑体"/>
          <w:b/>
          <w:sz w:val="30"/>
        </w:rPr>
      </w:pPr>
      <w:r>
        <w:rPr>
          <w:rFonts w:eastAsia="黑体"/>
          <w:b/>
          <w:sz w:val="30"/>
        </w:rPr>
        <w:t>评价适用标准</w:t>
      </w:r>
    </w:p>
    <w:tbl>
      <w:tblPr>
        <w:tblStyle w:val="11"/>
        <w:tblW w:w="928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7"/>
        <w:gridCol w:w="83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11" w:hRule="atLeast"/>
          <w:jc w:val="center"/>
        </w:trPr>
        <w:tc>
          <w:tcPr>
            <w:tcW w:w="897" w:type="dxa"/>
            <w:vAlign w:val="center"/>
          </w:tcPr>
          <w:p>
            <w:pPr>
              <w:jc w:val="center"/>
              <w:rPr>
                <w:sz w:val="28"/>
              </w:rPr>
            </w:pPr>
            <w:r>
              <w:rPr>
                <w:sz w:val="28"/>
              </w:rPr>
              <w:t>环</w:t>
            </w:r>
          </w:p>
          <w:p>
            <w:pPr>
              <w:jc w:val="center"/>
              <w:rPr>
                <w:sz w:val="28"/>
              </w:rPr>
            </w:pPr>
            <w:r>
              <w:rPr>
                <w:sz w:val="28"/>
              </w:rPr>
              <w:t>境</w:t>
            </w:r>
          </w:p>
          <w:p>
            <w:pPr>
              <w:jc w:val="center"/>
              <w:rPr>
                <w:sz w:val="28"/>
              </w:rPr>
            </w:pPr>
            <w:r>
              <w:rPr>
                <w:sz w:val="28"/>
              </w:rPr>
              <w:t>质</w:t>
            </w:r>
          </w:p>
          <w:p>
            <w:pPr>
              <w:jc w:val="center"/>
              <w:rPr>
                <w:sz w:val="28"/>
              </w:rPr>
            </w:pPr>
            <w:r>
              <w:rPr>
                <w:sz w:val="28"/>
              </w:rPr>
              <w:t>量</w:t>
            </w:r>
          </w:p>
          <w:p>
            <w:pPr>
              <w:jc w:val="center"/>
              <w:rPr>
                <w:sz w:val="28"/>
              </w:rPr>
            </w:pPr>
            <w:r>
              <w:rPr>
                <w:sz w:val="28"/>
              </w:rPr>
              <w:t>标</w:t>
            </w:r>
          </w:p>
          <w:p>
            <w:pPr>
              <w:jc w:val="center"/>
              <w:rPr>
                <w:sz w:val="28"/>
              </w:rPr>
            </w:pPr>
            <w:r>
              <w:rPr>
                <w:sz w:val="28"/>
              </w:rPr>
              <w:t>准</w:t>
            </w:r>
          </w:p>
        </w:tc>
        <w:tc>
          <w:tcPr>
            <w:tcW w:w="8389" w:type="dxa"/>
            <w:vAlign w:val="top"/>
          </w:tcPr>
          <w:p>
            <w:pPr>
              <w:spacing w:line="300" w:lineRule="auto"/>
              <w:rPr>
                <w:b/>
                <w:sz w:val="28"/>
                <w:szCs w:val="28"/>
              </w:rPr>
            </w:pPr>
            <w:r>
              <w:rPr>
                <w:b/>
                <w:sz w:val="28"/>
                <w:szCs w:val="28"/>
              </w:rPr>
              <w:t>1 工频电磁场</w:t>
            </w:r>
          </w:p>
          <w:p>
            <w:pPr>
              <w:pStyle w:val="12"/>
              <w:spacing w:line="300" w:lineRule="auto"/>
              <w:ind w:firstLine="560" w:firstLineChars="200"/>
            </w:pPr>
            <w:r>
              <w:rPr>
                <w:sz w:val="28"/>
                <w:szCs w:val="28"/>
              </w:rPr>
              <w:t>本工程为交流输变电项目，电磁场频率为50Hz。根据《电磁环境控制限值》（GB 8702-2014），50Hz（工频）电场强度公众暴露控制限值为4000V/m、50Hz（工频）磁感应强度公众暴露控制限值为100μT；架空输电线路线下的耕地、园地、牧草地、畜禽饲养地、养殖水面、道路等场所，50Hz（工频）电场强度控制限值为10000V/m，50Hz（工频）磁感应强度控制限值为100μT。</w:t>
            </w:r>
          </w:p>
          <w:p>
            <w:pPr>
              <w:spacing w:line="300" w:lineRule="auto"/>
              <w:rPr>
                <w:b/>
                <w:sz w:val="28"/>
                <w:szCs w:val="28"/>
              </w:rPr>
            </w:pPr>
            <w:r>
              <w:rPr>
                <w:b/>
                <w:sz w:val="28"/>
                <w:szCs w:val="28"/>
              </w:rPr>
              <w:t>2 区域声环境</w:t>
            </w:r>
          </w:p>
          <w:p>
            <w:pPr>
              <w:pStyle w:val="12"/>
              <w:spacing w:line="300" w:lineRule="auto"/>
              <w:ind w:firstLine="560" w:firstLineChars="200"/>
              <w:rPr>
                <w:kern w:val="2"/>
                <w:sz w:val="28"/>
                <w:szCs w:val="28"/>
              </w:rPr>
            </w:pPr>
            <w:r>
              <w:rPr>
                <w:sz w:val="28"/>
                <w:szCs w:val="28"/>
              </w:rPr>
              <w:t>按照《声环境质量标准》</w:t>
            </w:r>
            <w:r>
              <w:rPr>
                <w:sz w:val="28"/>
              </w:rPr>
              <w:t>（GB3096-2008），根据敏感点所在声功能区类别执行相应标准。</w:t>
            </w:r>
            <w:r>
              <w:rPr>
                <w:kern w:val="2"/>
                <w:sz w:val="28"/>
                <w:szCs w:val="28"/>
              </w:rPr>
              <w:t>乡村区域执行《声环境质量标准》（GB 3096-2008）中1类声功能区环境噪声限值标准[昼间55dB（A）、夜间45dB（A）]；</w:t>
            </w:r>
            <w:r>
              <w:rPr>
                <w:sz w:val="28"/>
                <w:szCs w:val="28"/>
              </w:rPr>
              <w:t>商业金融、集市贸易为主要功能，或者居住、商业、工业混杂，需要维护住宅安静区域执行</w:t>
            </w:r>
            <w:r>
              <w:rPr>
                <w:kern w:val="2"/>
                <w:sz w:val="28"/>
                <w:szCs w:val="28"/>
              </w:rPr>
              <w:t>《声环境质量标准》（GB 3096-2008）中</w:t>
            </w:r>
            <w:r>
              <w:rPr>
                <w:sz w:val="28"/>
                <w:szCs w:val="28"/>
              </w:rPr>
              <w:t>2类声环境功能区环境噪声限值标准 [昼间60 dB（A）、夜间50 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53" w:hRule="atLeast"/>
          <w:jc w:val="center"/>
        </w:trPr>
        <w:tc>
          <w:tcPr>
            <w:tcW w:w="897" w:type="dxa"/>
            <w:tcBorders>
              <w:bottom w:val="single" w:color="auto" w:sz="4" w:space="0"/>
            </w:tcBorders>
            <w:vAlign w:val="center"/>
          </w:tcPr>
          <w:p>
            <w:pPr>
              <w:jc w:val="center"/>
              <w:rPr>
                <w:sz w:val="28"/>
              </w:rPr>
            </w:pPr>
            <w:r>
              <w:rPr>
                <w:sz w:val="28"/>
              </w:rPr>
              <w:t>污</w:t>
            </w:r>
          </w:p>
          <w:p>
            <w:pPr>
              <w:jc w:val="center"/>
              <w:rPr>
                <w:sz w:val="28"/>
              </w:rPr>
            </w:pPr>
            <w:r>
              <w:rPr>
                <w:sz w:val="28"/>
              </w:rPr>
              <w:t>染</w:t>
            </w:r>
          </w:p>
          <w:p>
            <w:pPr>
              <w:jc w:val="center"/>
              <w:rPr>
                <w:sz w:val="28"/>
              </w:rPr>
            </w:pPr>
            <w:r>
              <w:rPr>
                <w:sz w:val="28"/>
              </w:rPr>
              <w:t>物</w:t>
            </w:r>
          </w:p>
          <w:p>
            <w:pPr>
              <w:jc w:val="center"/>
              <w:rPr>
                <w:sz w:val="28"/>
              </w:rPr>
            </w:pPr>
            <w:r>
              <w:rPr>
                <w:sz w:val="28"/>
              </w:rPr>
              <w:t>排</w:t>
            </w:r>
          </w:p>
          <w:p>
            <w:pPr>
              <w:jc w:val="center"/>
              <w:rPr>
                <w:sz w:val="28"/>
              </w:rPr>
            </w:pPr>
            <w:r>
              <w:rPr>
                <w:sz w:val="28"/>
              </w:rPr>
              <w:t>放</w:t>
            </w:r>
          </w:p>
          <w:p>
            <w:pPr>
              <w:jc w:val="center"/>
              <w:rPr>
                <w:sz w:val="28"/>
              </w:rPr>
            </w:pPr>
            <w:r>
              <w:rPr>
                <w:sz w:val="28"/>
              </w:rPr>
              <w:t>标</w:t>
            </w:r>
          </w:p>
          <w:p>
            <w:pPr>
              <w:jc w:val="center"/>
              <w:rPr>
                <w:sz w:val="28"/>
              </w:rPr>
            </w:pPr>
            <w:r>
              <w:rPr>
                <w:sz w:val="28"/>
              </w:rPr>
              <w:t>准</w:t>
            </w:r>
          </w:p>
        </w:tc>
        <w:tc>
          <w:tcPr>
            <w:tcW w:w="8389" w:type="dxa"/>
            <w:tcBorders>
              <w:bottom w:val="single" w:color="auto" w:sz="4" w:space="0"/>
            </w:tcBorders>
            <w:vAlign w:val="top"/>
          </w:tcPr>
          <w:p>
            <w:pPr>
              <w:pStyle w:val="12"/>
              <w:spacing w:line="300" w:lineRule="auto"/>
              <w:rPr>
                <w:b/>
                <w:sz w:val="28"/>
                <w:szCs w:val="28"/>
              </w:rPr>
            </w:pPr>
            <w:r>
              <w:rPr>
                <w:b/>
                <w:sz w:val="28"/>
                <w:szCs w:val="28"/>
              </w:rPr>
              <w:t>1 工频电磁场</w:t>
            </w:r>
          </w:p>
          <w:p>
            <w:pPr>
              <w:pStyle w:val="12"/>
              <w:spacing w:line="300" w:lineRule="auto"/>
              <w:ind w:firstLine="560" w:firstLineChars="200"/>
              <w:rPr>
                <w:sz w:val="28"/>
                <w:szCs w:val="28"/>
              </w:rPr>
            </w:pPr>
            <w:r>
              <w:rPr>
                <w:sz w:val="28"/>
                <w:szCs w:val="28"/>
              </w:rPr>
              <w:t>居民区执行《电磁环境控制限值》（GB 8702-2014）中工频电场强度4000V/m、工频磁感应强度100μT的标准限值。架空输电线路线下的耕地、园地、牧草地、畜禽饲养地、养殖水面、道路等场所执行工频电场强度10000V/m、工频磁感应强度100μT的标准限值。</w:t>
            </w:r>
          </w:p>
          <w:p>
            <w:pPr>
              <w:pStyle w:val="12"/>
              <w:spacing w:line="300" w:lineRule="auto"/>
              <w:rPr>
                <w:b/>
                <w:sz w:val="28"/>
                <w:szCs w:val="28"/>
              </w:rPr>
            </w:pPr>
            <w:r>
              <w:rPr>
                <w:b/>
                <w:sz w:val="28"/>
                <w:szCs w:val="28"/>
              </w:rPr>
              <w:t>2 噪声</w:t>
            </w:r>
          </w:p>
          <w:p>
            <w:pPr>
              <w:spacing w:line="360" w:lineRule="auto"/>
              <w:ind w:firstLine="539"/>
              <w:rPr>
                <w:sz w:val="28"/>
              </w:rPr>
            </w:pPr>
            <w:r>
              <w:rPr>
                <w:sz w:val="28"/>
                <w:szCs w:val="28"/>
              </w:rPr>
              <w:t>新建的城东变及六岭变、扩建的高沙变、黄陂桥变及大岭变厂界噪声执行《工业企业厂界环境噪声排放标准》（GB12348-2008）2类标准排放限值[昼间60dB（A）、夜间50dB（A）]。</w:t>
            </w:r>
          </w:p>
          <w:p>
            <w:pPr>
              <w:pStyle w:val="12"/>
              <w:spacing w:line="300" w:lineRule="auto"/>
              <w:ind w:firstLine="560" w:firstLineChars="200"/>
              <w:rPr>
                <w:sz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77" w:hRule="atLeast"/>
          <w:jc w:val="center"/>
        </w:trPr>
        <w:tc>
          <w:tcPr>
            <w:tcW w:w="897" w:type="dxa"/>
            <w:tcBorders>
              <w:top w:val="single" w:color="auto" w:sz="4" w:space="0"/>
            </w:tcBorders>
            <w:vAlign w:val="center"/>
          </w:tcPr>
          <w:p>
            <w:pPr>
              <w:jc w:val="center"/>
              <w:rPr>
                <w:sz w:val="28"/>
              </w:rPr>
            </w:pPr>
            <w:r>
              <w:rPr>
                <w:sz w:val="28"/>
              </w:rPr>
              <w:t>总量</w:t>
            </w:r>
          </w:p>
          <w:p>
            <w:pPr>
              <w:jc w:val="center"/>
              <w:rPr>
                <w:sz w:val="28"/>
              </w:rPr>
            </w:pPr>
            <w:r>
              <w:rPr>
                <w:sz w:val="28"/>
              </w:rPr>
              <w:t>控制</w:t>
            </w:r>
          </w:p>
          <w:p>
            <w:pPr>
              <w:jc w:val="center"/>
              <w:rPr>
                <w:sz w:val="28"/>
              </w:rPr>
            </w:pPr>
            <w:r>
              <w:rPr>
                <w:sz w:val="28"/>
              </w:rPr>
              <w:t>指标</w:t>
            </w:r>
          </w:p>
        </w:tc>
        <w:tc>
          <w:tcPr>
            <w:tcW w:w="8389" w:type="dxa"/>
            <w:tcBorders>
              <w:top w:val="single" w:color="auto" w:sz="4" w:space="0"/>
            </w:tcBorders>
            <w:vAlign w:val="center"/>
          </w:tcPr>
          <w:p>
            <w:pPr>
              <w:pStyle w:val="12"/>
              <w:spacing w:line="300" w:lineRule="auto"/>
              <w:ind w:firstLine="560" w:firstLineChars="200"/>
              <w:rPr>
                <w:sz w:val="28"/>
                <w:szCs w:val="28"/>
              </w:rPr>
            </w:pPr>
            <w:r>
              <w:rPr>
                <w:sz w:val="28"/>
                <w:szCs w:val="28"/>
              </w:rPr>
              <w:t>该项目是输变电工程，目前仅有工频电磁场、噪声的排放控制指标，无总量控制指标。</w:t>
            </w:r>
          </w:p>
        </w:tc>
      </w:tr>
    </w:tbl>
    <w:p>
      <w:pPr>
        <w:rPr>
          <w:rFonts w:eastAsia="黑体"/>
          <w:b/>
          <w:sz w:val="30"/>
        </w:rPr>
      </w:pPr>
      <w:r>
        <w:rPr>
          <w:rFonts w:eastAsia="黑体"/>
          <w:b/>
          <w:sz w:val="30"/>
        </w:rPr>
        <w:t>建设项目工程分析</w:t>
      </w:r>
    </w:p>
    <w:tbl>
      <w:tblPr>
        <w:tblStyle w:val="11"/>
        <w:tblW w:w="9386" w:type="dxa"/>
        <w:jc w:val="center"/>
        <w:tblInd w:w="-3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985" w:hRule="atLeast"/>
          <w:jc w:val="center"/>
        </w:trPr>
        <w:tc>
          <w:tcPr>
            <w:tcW w:w="9386" w:type="dxa"/>
            <w:vAlign w:val="top"/>
          </w:tcPr>
          <w:p>
            <w:pPr>
              <w:spacing w:line="400" w:lineRule="exact"/>
              <w:rPr>
                <w:b/>
                <w:sz w:val="28"/>
              </w:rPr>
            </w:pPr>
            <w:r>
              <w:rPr>
                <w:b/>
                <w:sz w:val="28"/>
              </w:rPr>
              <w:t>工艺流程简述（图示）：</w:t>
            </w:r>
          </w:p>
          <w:p>
            <w:pPr>
              <w:pStyle w:val="5"/>
              <w:spacing w:line="400" w:lineRule="exact"/>
              <w:ind w:firstLine="560"/>
            </w:pPr>
            <w:r>
              <w:t>本项目是输变电工程，项目建设流程和产污节点见下图：</w:t>
            </w:r>
          </w:p>
          <w:p>
            <w:pPr>
              <w:pStyle w:val="5"/>
              <w:spacing w:line="520" w:lineRule="exact"/>
              <w:jc w:val="center"/>
              <w:rPr>
                <w:b/>
              </w:rPr>
            </w:pPr>
            <w:r>
              <w:rPr>
                <w:b/>
              </w:rPr>
              <w:t>图 1  变电站建设流程产污图</w:t>
            </w:r>
          </w:p>
          <w:p>
            <w:pPr>
              <w:pStyle w:val="5"/>
              <w:spacing w:line="520" w:lineRule="exact"/>
              <w:jc w:val="center"/>
              <w:rPr>
                <w:b/>
              </w:rPr>
            </w:pPr>
            <w:r>
              <w:rPr>
                <w:b/>
              </w:rPr>
              <w:drawing>
                <wp:anchor distT="0" distB="0" distL="114300" distR="114300" simplePos="0" relativeHeight="251749376" behindDoc="0" locked="0" layoutInCell="1" allowOverlap="1">
                  <wp:simplePos x="0" y="0"/>
                  <wp:positionH relativeFrom="column">
                    <wp:posOffset>17145</wp:posOffset>
                  </wp:positionH>
                  <wp:positionV relativeFrom="paragraph">
                    <wp:posOffset>179070</wp:posOffset>
                  </wp:positionV>
                  <wp:extent cx="5753100" cy="2019300"/>
                  <wp:effectExtent l="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5753100" cy="2019300"/>
                          </a:xfrm>
                          <a:prstGeom prst="rect">
                            <a:avLst/>
                          </a:prstGeom>
                          <a:noFill/>
                          <a:ln w="9525">
                            <a:noFill/>
                          </a:ln>
                        </pic:spPr>
                      </pic:pic>
                    </a:graphicData>
                  </a:graphic>
                </wp:anchor>
              </w:drawing>
            </w:r>
          </w:p>
          <w:p>
            <w:pPr>
              <w:pStyle w:val="5"/>
              <w:spacing w:line="520" w:lineRule="exact"/>
              <w:jc w:val="center"/>
              <w:rPr>
                <w:b/>
              </w:rPr>
            </w:pPr>
          </w:p>
          <w:p>
            <w:pPr>
              <w:pStyle w:val="5"/>
              <w:spacing w:line="520" w:lineRule="exact"/>
              <w:jc w:val="center"/>
              <w:rPr>
                <w:b/>
              </w:rPr>
            </w:pPr>
          </w:p>
          <w:p>
            <w:pPr>
              <w:pStyle w:val="5"/>
              <w:spacing w:line="520" w:lineRule="exact"/>
              <w:jc w:val="center"/>
              <w:rPr>
                <w:b/>
              </w:rPr>
            </w:pPr>
          </w:p>
          <w:p>
            <w:pPr>
              <w:pStyle w:val="5"/>
              <w:spacing w:line="520" w:lineRule="exact"/>
              <w:jc w:val="center"/>
              <w:rPr>
                <w:b/>
              </w:rPr>
            </w:pPr>
          </w:p>
          <w:p>
            <w:pPr>
              <w:pStyle w:val="5"/>
              <w:spacing w:line="520" w:lineRule="exact"/>
              <w:jc w:val="center"/>
              <w:rPr>
                <w:b/>
              </w:rPr>
            </w:pPr>
          </w:p>
          <w:p>
            <w:pPr>
              <w:pStyle w:val="5"/>
              <w:spacing w:line="520" w:lineRule="exact"/>
              <w:jc w:val="center"/>
              <w:rPr>
                <w:rFonts w:hint="eastAsia"/>
                <w:b/>
              </w:rPr>
            </w:pPr>
          </w:p>
          <w:p>
            <w:pPr>
              <w:pStyle w:val="5"/>
              <w:spacing w:line="520" w:lineRule="exact"/>
              <w:jc w:val="center"/>
              <w:rPr>
                <w:rFonts w:hint="eastAsia"/>
                <w:b/>
              </w:rPr>
            </w:pPr>
          </w:p>
          <w:p>
            <w:pPr>
              <w:pStyle w:val="5"/>
              <w:spacing w:line="520" w:lineRule="exact"/>
              <w:jc w:val="center"/>
              <w:rPr>
                <w:rFonts w:hint="eastAsia"/>
                <w:b/>
              </w:rPr>
            </w:pPr>
          </w:p>
          <w:p>
            <w:pPr>
              <w:pStyle w:val="5"/>
              <w:spacing w:line="520" w:lineRule="exact"/>
              <w:jc w:val="center"/>
              <w:rPr>
                <w:rFonts w:hint="eastAsia"/>
                <w:b/>
              </w:rPr>
            </w:pPr>
          </w:p>
          <w:p>
            <w:pPr>
              <w:pStyle w:val="5"/>
              <w:spacing w:line="520" w:lineRule="exact"/>
              <w:jc w:val="center"/>
              <w:rPr>
                <w:rFonts w:hint="eastAsia"/>
                <w:b/>
              </w:rPr>
            </w:pPr>
          </w:p>
          <w:p>
            <w:pPr>
              <w:pStyle w:val="5"/>
              <w:spacing w:line="400" w:lineRule="exact"/>
              <w:jc w:val="center"/>
              <w:rPr>
                <w:b/>
              </w:rPr>
            </w:pPr>
            <w:r>
              <w:rPr>
                <w:b/>
              </w:rPr>
              <w:t>图 2  输电线路建设流程产污图</w:t>
            </w:r>
          </w:p>
          <w:p>
            <w:pPr>
              <w:pStyle w:val="5"/>
              <w:jc w:val="center"/>
            </w:pPr>
            <w:r>
              <w:object>
                <v:shape id="_x0000_i1025" o:spt="75" type="#_x0000_t75" style="height:146.25pt;width:452.9pt;" o:ole="t" filled="f" stroked="f" coordsize="21600,21600">
                  <v:path/>
                  <v:fill on="f" focussize="0,0"/>
                  <v:stroke on="f"/>
                  <v:imagedata r:id="rId10" o:title=""/>
                  <o:lock v:ext="edit" aspectratio="t"/>
                  <w10:wrap type="none"/>
                  <w10:anchorlock/>
                </v:shape>
                <o:OLEObject Type="Embed" ProgID="PBrush" ShapeID="_x0000_i1025" DrawAspect="Content" ObjectID="_1468075725" r:id="rId9">
                  <o:LockedField>false</o:LockedField>
                </o:OLEObject>
              </w:object>
            </w:r>
          </w:p>
          <w:p>
            <w:pPr>
              <w:pStyle w:val="5"/>
              <w:spacing w:line="400" w:lineRule="exact"/>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985" w:hRule="atLeast"/>
          <w:jc w:val="center"/>
        </w:trPr>
        <w:tc>
          <w:tcPr>
            <w:tcW w:w="9386" w:type="dxa"/>
            <w:vAlign w:val="top"/>
          </w:tcPr>
          <w:p>
            <w:pPr>
              <w:spacing w:line="360" w:lineRule="auto"/>
              <w:rPr>
                <w:b/>
                <w:sz w:val="28"/>
              </w:rPr>
            </w:pPr>
            <w:r>
              <w:rPr>
                <w:b/>
                <w:sz w:val="28"/>
              </w:rPr>
              <w:t>主要污染工序：</w:t>
            </w:r>
          </w:p>
          <w:p>
            <w:pPr>
              <w:ind w:left="1" w:leftChars="-1" w:hanging="3" w:hangingChars="1"/>
              <w:rPr>
                <w:b/>
                <w:bCs/>
                <w:sz w:val="28"/>
              </w:rPr>
            </w:pPr>
            <w:r>
              <w:rPr>
                <w:b/>
                <w:bCs/>
                <w:sz w:val="28"/>
              </w:rPr>
              <w:t>1 变电站</w:t>
            </w:r>
          </w:p>
          <w:p>
            <w:pPr>
              <w:spacing w:line="360" w:lineRule="auto"/>
              <w:ind w:firstLine="539"/>
              <w:rPr>
                <w:sz w:val="28"/>
              </w:rPr>
            </w:pPr>
            <w:r>
              <w:rPr>
                <w:sz w:val="28"/>
              </w:rPr>
              <w:t>（1）施工期</w:t>
            </w:r>
          </w:p>
          <w:p>
            <w:pPr>
              <w:spacing w:line="360" w:lineRule="auto"/>
              <w:ind w:firstLine="539"/>
              <w:rPr>
                <w:sz w:val="28"/>
              </w:rPr>
            </w:pPr>
            <w:r>
              <w:rPr>
                <w:sz w:val="28"/>
              </w:rPr>
              <w:t>变电站建设大致流程为场地平整、建构筑物建设、电气设备安装以及场地绿化，站址自然标高可满足本项目建站防洪防涝要求。</w:t>
            </w:r>
          </w:p>
          <w:p>
            <w:pPr>
              <w:spacing w:line="360" w:lineRule="auto"/>
              <w:ind w:firstLine="539"/>
              <w:rPr>
                <w:sz w:val="28"/>
              </w:rPr>
            </w:pPr>
            <w:r>
              <w:rPr>
                <w:sz w:val="28"/>
              </w:rPr>
              <w:t>施工期主要污染工序有施工机械、车辆产生的噪声、施工场地扬尘、施工废水、建构筑物建设过程中产生的建筑垃圾等。变电站施工期污染因子见图3。</w:t>
            </w:r>
          </w:p>
          <w:p>
            <w:pPr>
              <w:spacing w:line="360" w:lineRule="auto"/>
              <w:ind w:firstLine="539"/>
              <w:rPr>
                <w:sz w:val="28"/>
              </w:rPr>
            </w:pPr>
            <w:r>
              <w:rPr>
                <w:sz w:val="28"/>
              </w:rPr>
              <w:t>①噪声：施工机械主要有挖掘机、推土机、液压打桩机、升降机等，施工车辆主要是土方运输车以及建筑材料运送车。施工噪声在70～105 dB(A)之间。</w:t>
            </w:r>
          </w:p>
          <w:p>
            <w:pPr>
              <w:spacing w:line="360" w:lineRule="auto"/>
              <w:ind w:firstLine="539"/>
              <w:rPr>
                <w:sz w:val="28"/>
              </w:rPr>
            </w:pPr>
            <w:r>
              <w:rPr>
                <w:sz w:val="28"/>
              </w:rPr>
              <w:t>②废水：变电站施工期污水主要来自两个方面：一是施工泥浆废水，二是施工人员的生活污水。一般施工废水pH 值约为10，SS 约为1000~6000mg/L，石油类15mg/L。变电站施工高峰时，最大日施工废水量约50m</w:t>
            </w:r>
            <w:r>
              <w:rPr>
                <w:sz w:val="28"/>
                <w:vertAlign w:val="superscript"/>
              </w:rPr>
              <w:t>3</w:t>
            </w:r>
            <w:r>
              <w:rPr>
                <w:sz w:val="28"/>
              </w:rPr>
              <w:t>/d。施工人员生活污水来自临时生活区，主要为洗涤废水和粪便污水，含COD、NH3-N、BOD5、SS 等。</w:t>
            </w:r>
          </w:p>
          <w:p>
            <w:pPr>
              <w:spacing w:line="360" w:lineRule="auto"/>
              <w:ind w:firstLine="539"/>
              <w:rPr>
                <w:sz w:val="28"/>
              </w:rPr>
            </w:pPr>
            <w:r>
              <w:rPr>
                <w:sz w:val="28"/>
              </w:rPr>
              <w:t>③废气：扬尘主要由运输车辆产生，此外在天气干燥、有风条件下也会产生扬尘。</w:t>
            </w:r>
          </w:p>
          <w:p>
            <w:pPr>
              <w:spacing w:line="360" w:lineRule="auto"/>
              <w:ind w:firstLine="539"/>
              <w:rPr>
                <w:sz w:val="28"/>
              </w:rPr>
            </w:pPr>
            <w:r>
              <w:rPr>
                <w:sz w:val="28"/>
              </w:rPr>
              <w:t>④固体废物：变电站施工期间固体废弃物主要为施工人员的生活垃圾和建筑垃圾。</w:t>
            </w:r>
          </w:p>
          <w:p>
            <w:pPr>
              <w:spacing w:line="360" w:lineRule="auto"/>
              <w:ind w:firstLine="539"/>
              <w:rPr>
                <w:sz w:val="28"/>
              </w:rPr>
            </w:pPr>
            <w:r>
              <w:rPr>
                <w:sz w:val="28"/>
              </w:rPr>
              <w:t>⑤生态：变电站的建设将损坏少量原有植被，施工期需进行挖方及填方作业，使大面积的土地完全曝露在外。变电站建设对当地动植物的生存环境影响较小，对附近生物群落的生物量、物种的多样性的消失无影响。工程对生态环境的影响主要产生在施工期，属于近期影响，长期影响为当地景观的改变。</w:t>
            </w:r>
          </w:p>
          <w:p>
            <w:pPr>
              <w:pStyle w:val="5"/>
              <w:ind w:firstLine="560"/>
              <w:jc w:val="center"/>
            </w:pPr>
            <w:r>
              <w:drawing>
                <wp:inline distT="0" distB="0" distL="114300" distR="114300">
                  <wp:extent cx="3324860" cy="2379980"/>
                  <wp:effectExtent l="0" t="0" r="889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324860" cy="2379980"/>
                          </a:xfrm>
                          <a:prstGeom prst="rect">
                            <a:avLst/>
                          </a:prstGeom>
                          <a:noFill/>
                          <a:ln w="9525">
                            <a:noFill/>
                          </a:ln>
                        </pic:spPr>
                      </pic:pic>
                    </a:graphicData>
                  </a:graphic>
                </wp:inline>
              </w:drawing>
            </w:r>
          </w:p>
          <w:p>
            <w:pPr>
              <w:autoSpaceDE w:val="0"/>
              <w:autoSpaceDN w:val="0"/>
              <w:adjustRightInd w:val="0"/>
              <w:jc w:val="center"/>
              <w:rPr>
                <w:b/>
                <w:sz w:val="28"/>
              </w:rPr>
            </w:pPr>
            <w:r>
              <w:rPr>
                <w:b/>
                <w:sz w:val="28"/>
              </w:rPr>
              <w:t>图3 变电站施工期污染因子分析示意图</w:t>
            </w:r>
          </w:p>
          <w:p>
            <w:pPr>
              <w:spacing w:line="360" w:lineRule="auto"/>
              <w:ind w:firstLine="539"/>
              <w:rPr>
                <w:sz w:val="28"/>
              </w:rPr>
            </w:pPr>
            <w:r>
              <w:rPr>
                <w:sz w:val="28"/>
              </w:rPr>
              <w:t>（2）运行期</w:t>
            </w:r>
          </w:p>
          <w:p>
            <w:pPr>
              <w:spacing w:line="360" w:lineRule="auto"/>
              <w:ind w:firstLine="539"/>
              <w:rPr>
                <w:sz w:val="28"/>
              </w:rPr>
            </w:pPr>
            <w:r>
              <w:rPr>
                <w:sz w:val="28"/>
              </w:rPr>
              <w:t>运行期间主要有工频电场、工频磁感应强度和噪声、站内值守人员将产生少量的生活污水和生活垃圾。变电站运行期污染因子见图4。</w:t>
            </w:r>
          </w:p>
          <w:p>
            <w:pPr>
              <w:spacing w:line="360" w:lineRule="auto"/>
              <w:ind w:firstLine="560" w:firstLineChars="200"/>
              <w:rPr>
                <w:sz w:val="28"/>
              </w:rPr>
            </w:pPr>
            <w:r>
              <w:rPr>
                <w:sz w:val="28"/>
              </w:rPr>
              <w:t>①工频电场、工频磁场</w:t>
            </w:r>
          </w:p>
          <w:p>
            <w:pPr>
              <w:spacing w:line="360" w:lineRule="auto"/>
              <w:ind w:firstLine="539"/>
              <w:rPr>
                <w:sz w:val="28"/>
              </w:rPr>
            </w:pPr>
            <w:r>
              <w:rPr>
                <w:sz w:val="28"/>
              </w:rPr>
              <w:t>工频及指工业频率，我国输变电工业的工作频率为50Hz，工频电场、工频磁场即指以50Hz 交变的电场和磁场。变电站内高压电气设备及导线在周围空间形成电、磁场。</w:t>
            </w:r>
          </w:p>
          <w:p>
            <w:pPr>
              <w:spacing w:line="360" w:lineRule="auto"/>
              <w:ind w:firstLine="539"/>
              <w:rPr>
                <w:sz w:val="28"/>
              </w:rPr>
            </w:pPr>
            <w:r>
              <w:rPr>
                <w:sz w:val="28"/>
              </w:rPr>
              <w:t>②噪声：变压器、交流110kV 断路器和机械噪声。</w:t>
            </w:r>
          </w:p>
          <w:p>
            <w:pPr>
              <w:spacing w:line="360" w:lineRule="auto"/>
              <w:ind w:firstLine="539"/>
              <w:rPr>
                <w:sz w:val="28"/>
              </w:rPr>
            </w:pPr>
            <w:r>
              <w:rPr>
                <w:sz w:val="28"/>
              </w:rPr>
              <w:t>③废水：变电站在正常工况下，无生产性用水，故正常情况下站址内无工业废水产生。本工程按“无人值班、少人值守”原则设计，日常值守按1 人计，污水产生量很小，生活污水经污水处理装置处理达标后排入站外污水管网。</w:t>
            </w:r>
          </w:p>
          <w:p>
            <w:pPr>
              <w:spacing w:line="360" w:lineRule="auto"/>
              <w:ind w:firstLine="539"/>
              <w:rPr>
                <w:sz w:val="28"/>
              </w:rPr>
            </w:pPr>
            <w:r>
              <w:rPr>
                <w:sz w:val="28"/>
              </w:rPr>
              <w:t>④固体废物：变电站运营期的固体废弃物主要为值守人员的生活垃圾，产量约0.5kg/d，设置垃圾箱分类收集，和工业园内工人日常产生的垃圾一起由当地环卫部门定期清运。</w:t>
            </w:r>
          </w:p>
          <w:p>
            <w:pPr>
              <w:pStyle w:val="5"/>
              <w:ind w:firstLine="560"/>
              <w:jc w:val="center"/>
            </w:pPr>
            <w:r>
              <w:object>
                <v:shape id="_x0000_i1027" o:spt="75" type="#_x0000_t75" style="height:182.55pt;width:301.1pt;" o:ole="t" filled="f" stroked="f" coordsize="21600,21600">
                  <v:path/>
                  <v:fill on="f" focussize="0,0"/>
                  <v:stroke on="f"/>
                  <v:imagedata r:id="rId13" o:title=""/>
                  <o:lock v:ext="edit" aspectratio="t"/>
                  <w10:wrap type="none"/>
                  <w10:anchorlock/>
                </v:shape>
                <o:OLEObject Type="Embed" ProgID="PBrush" ShapeID="_x0000_i1027" DrawAspect="Content" ObjectID="_1468075726" r:id="rId12">
                  <o:LockedField>false</o:LockedField>
                </o:OLEObject>
              </w:object>
            </w:r>
          </w:p>
          <w:p>
            <w:pPr>
              <w:autoSpaceDE w:val="0"/>
              <w:autoSpaceDN w:val="0"/>
              <w:adjustRightInd w:val="0"/>
              <w:jc w:val="center"/>
              <w:rPr>
                <w:b/>
                <w:sz w:val="28"/>
              </w:rPr>
            </w:pPr>
            <w:r>
              <w:rPr>
                <w:b/>
                <w:sz w:val="28"/>
              </w:rPr>
              <w:t>图4 变电站运行期污染因子分析示意图</w:t>
            </w:r>
          </w:p>
          <w:p>
            <w:pPr>
              <w:ind w:left="1" w:leftChars="-1" w:hanging="3" w:hangingChars="1"/>
              <w:rPr>
                <w:b/>
                <w:bCs/>
                <w:sz w:val="28"/>
              </w:rPr>
            </w:pPr>
            <w:r>
              <w:rPr>
                <w:b/>
                <w:bCs/>
                <w:sz w:val="28"/>
              </w:rPr>
              <w:t>2 输电线路</w:t>
            </w:r>
          </w:p>
          <w:p>
            <w:pPr>
              <w:spacing w:before="156" w:beforeLines="50" w:line="360" w:lineRule="auto"/>
              <w:ind w:firstLine="539"/>
              <w:rPr>
                <w:sz w:val="28"/>
              </w:rPr>
            </w:pPr>
            <w:r>
              <w:rPr>
                <w:sz w:val="28"/>
              </w:rPr>
              <w:t>输电线路是从电厂向消耗电能地区输送电能的主要渠道或不同电力网之间互送电能的联网渠道，是电力系统组成网络的必要部分。输电线路一般由绝缘子、杆塔、架空线以及金具等组成。</w:t>
            </w:r>
          </w:p>
          <w:p>
            <w:pPr>
              <w:spacing w:line="360" w:lineRule="auto"/>
              <w:ind w:firstLine="539"/>
            </w:pPr>
            <w:r>
              <w:rPr>
                <w:sz w:val="28"/>
              </w:rPr>
              <w:t>架空线是架空敷设的用以输送电能的导线和用以防雷的架空地线的统称，架空线具有低电阻、高强度的特性，可以减少运行时的电能损耗和承受线路上动态和静态的机械荷载。高压输电线路基本工艺示意图见图5。</w:t>
            </w:r>
          </w:p>
          <w:p>
            <w:pPr>
              <w:pStyle w:val="5"/>
              <w:jc w:val="center"/>
              <w:rPr>
                <w:b/>
              </w:rPr>
            </w:pPr>
            <w:r>
              <w:rPr>
                <w:b/>
              </w:rPr>
              <w:drawing>
                <wp:inline distT="0" distB="0" distL="114300" distR="114300">
                  <wp:extent cx="3834765" cy="2090420"/>
                  <wp:effectExtent l="0" t="0" r="13335" b="508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4"/>
                          <a:stretch>
                            <a:fillRect/>
                          </a:stretch>
                        </pic:blipFill>
                        <pic:spPr>
                          <a:xfrm>
                            <a:off x="0" y="0"/>
                            <a:ext cx="3834765" cy="2090420"/>
                          </a:xfrm>
                          <a:prstGeom prst="rect">
                            <a:avLst/>
                          </a:prstGeom>
                          <a:noFill/>
                          <a:ln w="9525">
                            <a:noFill/>
                          </a:ln>
                        </pic:spPr>
                      </pic:pic>
                    </a:graphicData>
                  </a:graphic>
                </wp:inline>
              </w:drawing>
            </w:r>
          </w:p>
          <w:p>
            <w:pPr>
              <w:autoSpaceDE w:val="0"/>
              <w:autoSpaceDN w:val="0"/>
              <w:adjustRightInd w:val="0"/>
              <w:jc w:val="center"/>
              <w:rPr>
                <w:b/>
                <w:sz w:val="28"/>
              </w:rPr>
            </w:pPr>
            <w:r>
              <w:rPr>
                <w:b/>
                <w:sz w:val="28"/>
              </w:rPr>
              <w:t>图5  高压输电线路基本工艺示意图</w:t>
            </w:r>
          </w:p>
          <w:p>
            <w:pPr>
              <w:spacing w:line="360" w:lineRule="auto"/>
              <w:ind w:firstLine="539"/>
              <w:rPr>
                <w:sz w:val="28"/>
              </w:rPr>
            </w:pPr>
            <w:r>
              <w:rPr>
                <w:sz w:val="28"/>
              </w:rPr>
              <w:t>输电线路施工主要包括：材料运输、基础施工、铁塔（杆塔）组立以及导线架设等。输电线路的建设主要是建设处地表的开挖、回填、以及物料运输等施工活动，高压走廊的建设将会对局部的植被造成破坏，施工临时占地、土石方开挖将会引起局部植被破坏，施工扬尘、噪声、废水、固废都可能对环境产生一定的影响。</w:t>
            </w:r>
          </w:p>
          <w:p>
            <w:pPr>
              <w:spacing w:line="360" w:lineRule="auto"/>
              <w:ind w:firstLine="539"/>
              <w:rPr>
                <w:sz w:val="28"/>
              </w:rPr>
            </w:pPr>
            <w:r>
              <w:rPr>
                <w:sz w:val="28"/>
              </w:rPr>
              <w:t>（1）施工期</w:t>
            </w:r>
          </w:p>
          <w:p>
            <w:pPr>
              <w:spacing w:line="360" w:lineRule="auto"/>
              <w:ind w:firstLine="539"/>
              <w:rPr>
                <w:sz w:val="28"/>
              </w:rPr>
            </w:pPr>
            <w:r>
              <w:rPr>
                <w:sz w:val="28"/>
              </w:rPr>
              <w:t>①噪声</w:t>
            </w:r>
          </w:p>
          <w:p>
            <w:pPr>
              <w:spacing w:line="360" w:lineRule="auto"/>
              <w:ind w:firstLine="539"/>
              <w:rPr>
                <w:sz w:val="28"/>
              </w:rPr>
            </w:pPr>
            <w:r>
              <w:rPr>
                <w:sz w:val="28"/>
              </w:rPr>
              <w:t>在输电线路施工中，各牵张场内的牵张机、绞磨机等设备将产生一定的机械噪声。</w:t>
            </w:r>
          </w:p>
          <w:p>
            <w:pPr>
              <w:spacing w:line="360" w:lineRule="auto"/>
              <w:ind w:firstLine="539"/>
              <w:rPr>
                <w:sz w:val="28"/>
              </w:rPr>
            </w:pPr>
            <w:r>
              <w:rPr>
                <w:sz w:val="28"/>
              </w:rPr>
              <w:t>②废水</w:t>
            </w:r>
          </w:p>
          <w:p>
            <w:pPr>
              <w:spacing w:line="360" w:lineRule="auto"/>
              <w:ind w:firstLine="539"/>
              <w:rPr>
                <w:sz w:val="28"/>
              </w:rPr>
            </w:pPr>
            <w:r>
              <w:rPr>
                <w:sz w:val="28"/>
              </w:rPr>
              <w:t>施工过程中产生的废水主要来源于塔基施工，施工中混凝土一般采用人工拌和，施工废水量很小。输电线路施工人员临时租用当地民房居住，少量生活污水纳入当地原有设施处理。</w:t>
            </w:r>
          </w:p>
          <w:p>
            <w:pPr>
              <w:spacing w:line="360" w:lineRule="auto"/>
              <w:ind w:firstLine="539"/>
              <w:rPr>
                <w:sz w:val="28"/>
              </w:rPr>
            </w:pPr>
            <w:r>
              <w:rPr>
                <w:sz w:val="28"/>
              </w:rPr>
              <w:t>③固体废弃物</w:t>
            </w:r>
          </w:p>
          <w:p>
            <w:pPr>
              <w:spacing w:line="360" w:lineRule="auto"/>
              <w:ind w:firstLine="539"/>
              <w:rPr>
                <w:sz w:val="28"/>
              </w:rPr>
            </w:pPr>
            <w:r>
              <w:rPr>
                <w:sz w:val="28"/>
              </w:rPr>
              <w:t>输电线路塔基采用现浇混凝土板式基础，塔基施工开挖的土石方进行回填、平整。</w:t>
            </w:r>
          </w:p>
          <w:p>
            <w:pPr>
              <w:spacing w:line="360" w:lineRule="auto"/>
              <w:ind w:firstLine="539"/>
              <w:rPr>
                <w:sz w:val="28"/>
              </w:rPr>
            </w:pPr>
            <w:r>
              <w:rPr>
                <w:sz w:val="28"/>
              </w:rPr>
              <w:t>④植被损坏</w:t>
            </w:r>
          </w:p>
          <w:p>
            <w:pPr>
              <w:spacing w:line="360" w:lineRule="auto"/>
              <w:ind w:firstLine="539"/>
              <w:rPr>
                <w:sz w:val="28"/>
              </w:rPr>
            </w:pPr>
            <w:r>
              <w:rPr>
                <w:sz w:val="28"/>
              </w:rPr>
              <w:t>输电线路架设、输电线路塔基开挖位置所设的牵张场以及施工临时占地都将破坏原有植被，使土层裸露。</w:t>
            </w:r>
          </w:p>
          <w:p>
            <w:pPr>
              <w:spacing w:line="360" w:lineRule="auto"/>
              <w:ind w:firstLine="539"/>
              <w:rPr>
                <w:sz w:val="28"/>
              </w:rPr>
            </w:pPr>
            <w:r>
              <w:rPr>
                <w:sz w:val="28"/>
              </w:rPr>
              <w:t>⑤扬尘</w:t>
            </w:r>
          </w:p>
          <w:p>
            <w:pPr>
              <w:spacing w:line="360" w:lineRule="auto"/>
              <w:ind w:firstLine="539"/>
              <w:rPr>
                <w:sz w:val="28"/>
              </w:rPr>
            </w:pPr>
            <w:r>
              <w:rPr>
                <w:sz w:val="28"/>
              </w:rPr>
              <w:t>在整个施工期，扬尘来自于平整土地、开挖土方、材料运输、装卸和搅拌等过程，如遇干旱无雨季节扬尘则更为严重。运输车辆行驶也是施工工地的扬尘产生的主要来源。</w:t>
            </w:r>
          </w:p>
          <w:p>
            <w:pPr>
              <w:spacing w:line="360" w:lineRule="auto"/>
              <w:ind w:firstLine="539"/>
              <w:rPr>
                <w:sz w:val="28"/>
              </w:rPr>
            </w:pPr>
            <w:r>
              <w:rPr>
                <w:sz w:val="28"/>
              </w:rPr>
              <w:t>（2）运行期</w:t>
            </w:r>
          </w:p>
          <w:p>
            <w:pPr>
              <w:spacing w:line="360" w:lineRule="auto"/>
              <w:ind w:firstLine="539"/>
              <w:rPr>
                <w:sz w:val="28"/>
              </w:rPr>
            </w:pPr>
            <w:r>
              <w:rPr>
                <w:sz w:val="28"/>
              </w:rPr>
              <w:t>①工频电场、工频磁场</w:t>
            </w:r>
          </w:p>
          <w:p>
            <w:pPr>
              <w:spacing w:line="360" w:lineRule="auto"/>
              <w:ind w:firstLine="539"/>
              <w:rPr>
                <w:sz w:val="28"/>
              </w:rPr>
            </w:pPr>
            <w:r>
              <w:rPr>
                <w:sz w:val="28"/>
              </w:rPr>
              <w:t>电能输送或电压转换过程中，高压输电线路等高压配电设备与周围环境存在电位差，形成工频（50Hz）电场；高压输电线路导线内通过较强电流，在其表面形成工频磁场。输电线路运行产生的工频电磁场大小与线路的电压等级、运行电流、导线排列及周围环境有关。</w:t>
            </w:r>
          </w:p>
          <w:p>
            <w:pPr>
              <w:spacing w:line="360" w:lineRule="auto"/>
              <w:ind w:firstLine="539"/>
              <w:rPr>
                <w:sz w:val="28"/>
              </w:rPr>
            </w:pPr>
            <w:r>
              <w:rPr>
                <w:sz w:val="28"/>
              </w:rPr>
              <w:t>②可听噪声</w:t>
            </w:r>
          </w:p>
          <w:p>
            <w:pPr>
              <w:spacing w:line="360" w:lineRule="auto"/>
              <w:ind w:firstLine="539"/>
              <w:rPr>
                <w:sz w:val="28"/>
              </w:rPr>
            </w:pPr>
            <w:r>
              <w:rPr>
                <w:sz w:val="28"/>
              </w:rPr>
              <w:t>输电线路噪声主要是由导线、金具及绝缘子的电晕放电产生。在晴朗干燥天气条件下，导线通常在起晕水平以下运行，很少有电晕放电现象，因而产生的噪声不大。但在湿度较高或下雨天气条件下，由于水滴导致输电线局部电场强度的增加，会产生频繁的电晕放电现象，从而产生噪声。</w:t>
            </w:r>
          </w:p>
          <w:p>
            <w:pPr>
              <w:pStyle w:val="5"/>
              <w:spacing w:line="360" w:lineRule="auto"/>
              <w:rPr>
                <w:b/>
              </w:rPr>
            </w:pPr>
            <w:r>
              <w:rPr>
                <w:b/>
              </w:rPr>
              <w:t>3 环境风险情况</w:t>
            </w:r>
          </w:p>
          <w:p>
            <w:pPr>
              <w:spacing w:line="360" w:lineRule="auto"/>
              <w:ind w:firstLine="539"/>
              <w:rPr>
                <w:sz w:val="28"/>
              </w:rPr>
            </w:pPr>
            <w:r>
              <w:rPr>
                <w:sz w:val="28"/>
              </w:rPr>
              <w:t>变电站的事故风险主要为变压器油外泄污染环境。</w:t>
            </w:r>
          </w:p>
          <w:p>
            <w:pPr>
              <w:spacing w:line="360" w:lineRule="auto"/>
              <w:ind w:firstLine="539"/>
              <w:rPr>
                <w:sz w:val="28"/>
              </w:rPr>
            </w:pPr>
            <w:r>
              <w:rPr>
                <w:sz w:val="28"/>
              </w:rPr>
              <w:t>项目在变压器下方设封闭环绕的集油沟，并设1个地下事故油池，集油沟和事故油池等建筑进行防渗漏处理，防止出现检修设备或发生漏油事故时污染环境。</w:t>
            </w:r>
          </w:p>
          <w:p>
            <w:pPr>
              <w:spacing w:line="360" w:lineRule="auto"/>
              <w:ind w:firstLine="539"/>
              <w:rPr>
                <w:sz w:val="28"/>
              </w:rPr>
            </w:pPr>
            <w:r>
              <w:rPr>
                <w:sz w:val="28"/>
              </w:rPr>
              <w:t>根据相关规定，本项目变电站因事故产生的事故废油、含油废水等危险废物委托有危废处理资质的单位处理。</w:t>
            </w:r>
          </w:p>
          <w:p>
            <w:pPr>
              <w:spacing w:line="360" w:lineRule="auto"/>
              <w:ind w:firstLine="539"/>
              <w:rPr>
                <w:sz w:val="28"/>
              </w:rPr>
            </w:pPr>
          </w:p>
          <w:p>
            <w:pPr>
              <w:spacing w:line="360" w:lineRule="auto"/>
              <w:ind w:firstLine="539"/>
              <w:rPr>
                <w:sz w:val="28"/>
              </w:rPr>
            </w:pPr>
          </w:p>
          <w:p>
            <w:pPr>
              <w:spacing w:line="360" w:lineRule="auto"/>
              <w:ind w:firstLine="539"/>
              <w:rPr>
                <w:sz w:val="28"/>
              </w:rPr>
            </w:pPr>
          </w:p>
          <w:p>
            <w:pPr>
              <w:spacing w:line="360" w:lineRule="auto"/>
              <w:ind w:firstLine="539"/>
              <w:rPr>
                <w:sz w:val="28"/>
              </w:rPr>
            </w:pPr>
          </w:p>
          <w:p>
            <w:pPr>
              <w:spacing w:line="360" w:lineRule="auto"/>
              <w:ind w:firstLine="539"/>
              <w:rPr>
                <w:sz w:val="28"/>
              </w:rPr>
            </w:pPr>
          </w:p>
          <w:p>
            <w:pPr>
              <w:spacing w:line="360" w:lineRule="auto"/>
              <w:ind w:firstLine="539"/>
              <w:rPr>
                <w:sz w:val="28"/>
              </w:rPr>
            </w:pPr>
          </w:p>
          <w:p>
            <w:pPr>
              <w:spacing w:line="360" w:lineRule="auto"/>
              <w:ind w:firstLine="539"/>
              <w:rPr>
                <w:sz w:val="28"/>
              </w:rPr>
            </w:pPr>
          </w:p>
          <w:p>
            <w:pPr>
              <w:spacing w:line="360" w:lineRule="auto"/>
              <w:ind w:firstLine="539"/>
              <w:rPr>
                <w:sz w:val="28"/>
              </w:rPr>
            </w:pPr>
          </w:p>
          <w:p>
            <w:pPr>
              <w:spacing w:line="360" w:lineRule="auto"/>
              <w:ind w:firstLine="539"/>
              <w:rPr>
                <w:sz w:val="28"/>
              </w:rPr>
            </w:pPr>
          </w:p>
          <w:p>
            <w:pPr>
              <w:spacing w:line="360" w:lineRule="auto"/>
              <w:ind w:firstLine="539"/>
              <w:rPr>
                <w:sz w:val="28"/>
              </w:rPr>
            </w:pPr>
          </w:p>
          <w:p>
            <w:pPr>
              <w:spacing w:line="360" w:lineRule="auto"/>
              <w:ind w:firstLine="539"/>
              <w:rPr>
                <w:sz w:val="28"/>
              </w:rPr>
            </w:pPr>
          </w:p>
          <w:p>
            <w:pPr>
              <w:spacing w:line="360" w:lineRule="auto"/>
              <w:ind w:firstLine="539"/>
              <w:rPr>
                <w:sz w:val="28"/>
              </w:rPr>
            </w:pPr>
          </w:p>
          <w:p>
            <w:pPr>
              <w:spacing w:line="360" w:lineRule="auto"/>
              <w:ind w:firstLine="539"/>
              <w:rPr>
                <w:sz w:val="28"/>
              </w:rPr>
            </w:pPr>
          </w:p>
          <w:p>
            <w:pPr>
              <w:spacing w:line="360" w:lineRule="auto"/>
              <w:ind w:firstLine="539"/>
              <w:rPr>
                <w:sz w:val="28"/>
              </w:rPr>
            </w:pPr>
          </w:p>
        </w:tc>
      </w:tr>
    </w:tbl>
    <w:p>
      <w:pPr>
        <w:rPr>
          <w:rFonts w:eastAsia="黑体"/>
          <w:b/>
          <w:sz w:val="30"/>
        </w:rPr>
      </w:pPr>
    </w:p>
    <w:p>
      <w:pPr>
        <w:rPr>
          <w:rFonts w:eastAsia="黑体"/>
          <w:b/>
          <w:sz w:val="30"/>
        </w:rPr>
      </w:pPr>
      <w:r>
        <w:rPr>
          <w:rFonts w:eastAsia="黑体"/>
          <w:b/>
          <w:sz w:val="30"/>
        </w:rPr>
        <w:t>项目主要污染物产生及预计排放情况</w:t>
      </w:r>
    </w:p>
    <w:tbl>
      <w:tblPr>
        <w:tblStyle w:val="11"/>
        <w:tblW w:w="9180" w:type="dxa"/>
        <w:jc w:val="center"/>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2182"/>
        <w:gridCol w:w="1701"/>
        <w:gridCol w:w="2189"/>
        <w:gridCol w:w="19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34" w:type="dxa"/>
            <w:tcBorders>
              <w:top w:val="single" w:color="auto" w:sz="12" w:space="0"/>
              <w:bottom w:val="single" w:color="auto" w:sz="6" w:space="0"/>
              <w:tl2br w:val="single" w:color="auto" w:sz="2" w:space="0"/>
            </w:tcBorders>
            <w:vAlign w:val="center"/>
          </w:tcPr>
          <w:p>
            <w:pPr>
              <w:ind w:right="120"/>
              <w:jc w:val="right"/>
              <w:rPr>
                <w:sz w:val="28"/>
                <w:szCs w:val="28"/>
              </w:rPr>
            </w:pPr>
            <w:r>
              <w:rPr>
                <w:sz w:val="28"/>
                <w:szCs w:val="28"/>
              </w:rPr>
              <w:t>内容</w:t>
            </w:r>
          </w:p>
          <w:p>
            <w:pPr>
              <w:rPr>
                <w:sz w:val="28"/>
                <w:szCs w:val="28"/>
              </w:rPr>
            </w:pPr>
            <w:r>
              <w:rPr>
                <w:sz w:val="28"/>
                <w:szCs w:val="28"/>
              </w:rPr>
              <w:t>类型</w:t>
            </w:r>
          </w:p>
        </w:tc>
        <w:tc>
          <w:tcPr>
            <w:tcW w:w="2182" w:type="dxa"/>
            <w:tcBorders>
              <w:top w:val="single" w:color="auto" w:sz="12" w:space="0"/>
              <w:bottom w:val="single" w:color="auto" w:sz="6" w:space="0"/>
            </w:tcBorders>
            <w:vAlign w:val="center"/>
          </w:tcPr>
          <w:p>
            <w:pPr>
              <w:spacing w:line="400" w:lineRule="exact"/>
              <w:jc w:val="center"/>
              <w:rPr>
                <w:sz w:val="28"/>
                <w:szCs w:val="28"/>
              </w:rPr>
            </w:pPr>
            <w:r>
              <w:rPr>
                <w:sz w:val="28"/>
                <w:szCs w:val="28"/>
              </w:rPr>
              <w:t>排放源</w:t>
            </w:r>
          </w:p>
          <w:p>
            <w:pPr>
              <w:spacing w:line="400" w:lineRule="exact"/>
              <w:jc w:val="center"/>
              <w:rPr>
                <w:sz w:val="28"/>
                <w:szCs w:val="28"/>
              </w:rPr>
            </w:pPr>
            <w:r>
              <w:rPr>
                <w:sz w:val="28"/>
                <w:szCs w:val="28"/>
              </w:rPr>
              <w:t>（编号）</w:t>
            </w:r>
          </w:p>
        </w:tc>
        <w:tc>
          <w:tcPr>
            <w:tcW w:w="1701" w:type="dxa"/>
            <w:tcBorders>
              <w:top w:val="single" w:color="auto" w:sz="12" w:space="0"/>
              <w:bottom w:val="single" w:color="auto" w:sz="6" w:space="0"/>
            </w:tcBorders>
            <w:vAlign w:val="center"/>
          </w:tcPr>
          <w:p>
            <w:pPr>
              <w:spacing w:line="400" w:lineRule="exact"/>
              <w:jc w:val="center"/>
              <w:rPr>
                <w:sz w:val="28"/>
                <w:szCs w:val="28"/>
              </w:rPr>
            </w:pPr>
            <w:r>
              <w:rPr>
                <w:sz w:val="28"/>
                <w:szCs w:val="28"/>
              </w:rPr>
              <w:t>污染物</w:t>
            </w:r>
          </w:p>
          <w:p>
            <w:pPr>
              <w:spacing w:line="400" w:lineRule="exact"/>
              <w:jc w:val="center"/>
              <w:rPr>
                <w:sz w:val="28"/>
                <w:szCs w:val="28"/>
              </w:rPr>
            </w:pPr>
            <w:r>
              <w:rPr>
                <w:sz w:val="28"/>
                <w:szCs w:val="28"/>
              </w:rPr>
              <w:t>名  称</w:t>
            </w:r>
          </w:p>
        </w:tc>
        <w:tc>
          <w:tcPr>
            <w:tcW w:w="2189" w:type="dxa"/>
            <w:tcBorders>
              <w:top w:val="single" w:color="auto" w:sz="12" w:space="0"/>
              <w:bottom w:val="single" w:color="auto" w:sz="6" w:space="0"/>
            </w:tcBorders>
            <w:vAlign w:val="center"/>
          </w:tcPr>
          <w:p>
            <w:pPr>
              <w:spacing w:line="400" w:lineRule="exact"/>
              <w:jc w:val="center"/>
              <w:rPr>
                <w:sz w:val="28"/>
                <w:szCs w:val="28"/>
              </w:rPr>
            </w:pPr>
            <w:r>
              <w:rPr>
                <w:sz w:val="28"/>
                <w:szCs w:val="28"/>
              </w:rPr>
              <w:t>处理前产生浓度及产生量（单位）</w:t>
            </w:r>
          </w:p>
        </w:tc>
        <w:tc>
          <w:tcPr>
            <w:tcW w:w="1974" w:type="dxa"/>
            <w:tcBorders>
              <w:top w:val="single" w:color="auto" w:sz="12" w:space="0"/>
              <w:bottom w:val="single" w:color="auto" w:sz="6" w:space="0"/>
            </w:tcBorders>
            <w:vAlign w:val="center"/>
          </w:tcPr>
          <w:p>
            <w:pPr>
              <w:spacing w:line="400" w:lineRule="exact"/>
              <w:jc w:val="center"/>
              <w:rPr>
                <w:sz w:val="28"/>
                <w:szCs w:val="28"/>
              </w:rPr>
            </w:pPr>
            <w:r>
              <w:rPr>
                <w:sz w:val="28"/>
                <w:szCs w:val="28"/>
              </w:rPr>
              <w:t>排放浓度及排放量（单位）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6" w:hRule="atLeast"/>
          <w:jc w:val="center"/>
        </w:trPr>
        <w:tc>
          <w:tcPr>
            <w:tcW w:w="1134" w:type="dxa"/>
            <w:vMerge w:val="restart"/>
            <w:tcBorders>
              <w:top w:val="single" w:color="auto" w:sz="6" w:space="0"/>
              <w:right w:val="single" w:color="auto" w:sz="6" w:space="0"/>
            </w:tcBorders>
            <w:vAlign w:val="center"/>
          </w:tcPr>
          <w:p>
            <w:pPr>
              <w:jc w:val="center"/>
              <w:rPr>
                <w:sz w:val="28"/>
                <w:szCs w:val="28"/>
              </w:rPr>
            </w:pPr>
            <w:r>
              <w:rPr>
                <w:sz w:val="28"/>
                <w:szCs w:val="28"/>
              </w:rPr>
              <w:t>工频</w:t>
            </w:r>
          </w:p>
          <w:p>
            <w:pPr>
              <w:jc w:val="center"/>
              <w:rPr>
                <w:sz w:val="28"/>
                <w:szCs w:val="28"/>
              </w:rPr>
            </w:pPr>
            <w:r>
              <w:rPr>
                <w:sz w:val="28"/>
                <w:szCs w:val="28"/>
              </w:rPr>
              <w:t>电磁场</w:t>
            </w:r>
          </w:p>
        </w:tc>
        <w:tc>
          <w:tcPr>
            <w:tcW w:w="2182"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城东110kV变电站</w:t>
            </w:r>
          </w:p>
        </w:tc>
        <w:tc>
          <w:tcPr>
            <w:tcW w:w="1701"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工频电场E</w:t>
            </w:r>
          </w:p>
          <w:p>
            <w:pPr>
              <w:ind w:right="101" w:rightChars="48"/>
              <w:jc w:val="center"/>
              <w:rPr>
                <w:sz w:val="28"/>
                <w:szCs w:val="28"/>
              </w:rPr>
            </w:pPr>
            <w:r>
              <w:rPr>
                <w:sz w:val="28"/>
                <w:szCs w:val="28"/>
              </w:rPr>
              <w:t>工频磁场B</w:t>
            </w:r>
          </w:p>
        </w:tc>
        <w:tc>
          <w:tcPr>
            <w:tcW w:w="4163" w:type="dxa"/>
            <w:gridSpan w:val="2"/>
            <w:tcBorders>
              <w:top w:val="single" w:color="auto" w:sz="6" w:space="0"/>
              <w:left w:val="single" w:color="auto" w:sz="6" w:space="0"/>
              <w:bottom w:val="single" w:color="auto" w:sz="6" w:space="0"/>
            </w:tcBorders>
            <w:vAlign w:val="center"/>
          </w:tcPr>
          <w:p>
            <w:pPr>
              <w:spacing w:line="400" w:lineRule="exact"/>
              <w:jc w:val="left"/>
              <w:rPr>
                <w:sz w:val="28"/>
              </w:rPr>
            </w:pPr>
            <w:r>
              <w:rPr>
                <w:sz w:val="28"/>
                <w:szCs w:val="28"/>
              </w:rPr>
              <w:t>电场：≤215.1V/m</w:t>
            </w:r>
          </w:p>
          <w:p>
            <w:pPr>
              <w:spacing w:line="400" w:lineRule="exact"/>
              <w:jc w:val="left"/>
              <w:rPr>
                <w:rFonts w:hint="eastAsia"/>
                <w:sz w:val="24"/>
              </w:rPr>
            </w:pPr>
            <w:r>
              <w:rPr>
                <w:sz w:val="28"/>
                <w:szCs w:val="28"/>
              </w:rPr>
              <w:t>磁场：≤1093.8×10</w:t>
            </w:r>
            <w:r>
              <w:rPr>
                <w:sz w:val="28"/>
                <w:szCs w:val="28"/>
                <w:vertAlign w:val="superscript"/>
              </w:rPr>
              <w:t>-3</w:t>
            </w:r>
            <w:r>
              <w:rPr>
                <w:sz w:val="28"/>
                <w:szCs w:val="28"/>
              </w:rPr>
              <w:t>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6" w:hRule="atLeast"/>
          <w:jc w:val="center"/>
        </w:trPr>
        <w:tc>
          <w:tcPr>
            <w:tcW w:w="1134" w:type="dxa"/>
            <w:vMerge w:val="continue"/>
            <w:tcBorders>
              <w:right w:val="single" w:color="auto" w:sz="6" w:space="0"/>
            </w:tcBorders>
            <w:vAlign w:val="center"/>
          </w:tcPr>
          <w:p>
            <w:pPr>
              <w:jc w:val="center"/>
              <w:rPr>
                <w:sz w:val="28"/>
                <w:szCs w:val="28"/>
              </w:rPr>
            </w:pPr>
          </w:p>
        </w:tc>
        <w:tc>
          <w:tcPr>
            <w:tcW w:w="2182"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城东变电站单回线路</w:t>
            </w:r>
          </w:p>
        </w:tc>
        <w:tc>
          <w:tcPr>
            <w:tcW w:w="1701"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工频电场E</w:t>
            </w:r>
          </w:p>
          <w:p>
            <w:pPr>
              <w:spacing w:line="400" w:lineRule="exact"/>
              <w:jc w:val="center"/>
              <w:rPr>
                <w:sz w:val="28"/>
                <w:szCs w:val="28"/>
              </w:rPr>
            </w:pPr>
            <w:r>
              <w:rPr>
                <w:sz w:val="28"/>
                <w:szCs w:val="28"/>
              </w:rPr>
              <w:t>工频磁场B</w:t>
            </w:r>
          </w:p>
        </w:tc>
        <w:tc>
          <w:tcPr>
            <w:tcW w:w="4163" w:type="dxa"/>
            <w:gridSpan w:val="2"/>
            <w:tcBorders>
              <w:top w:val="single" w:color="auto" w:sz="6" w:space="0"/>
              <w:left w:val="single" w:color="auto" w:sz="6" w:space="0"/>
              <w:bottom w:val="single" w:color="auto" w:sz="6" w:space="0"/>
            </w:tcBorders>
            <w:vAlign w:val="center"/>
          </w:tcPr>
          <w:p>
            <w:pPr>
              <w:spacing w:line="400" w:lineRule="exact"/>
              <w:jc w:val="left"/>
              <w:rPr>
                <w:sz w:val="28"/>
              </w:rPr>
            </w:pPr>
            <w:r>
              <w:rPr>
                <w:sz w:val="28"/>
                <w:szCs w:val="28"/>
              </w:rPr>
              <w:t>电场：≤128.6V/m</w:t>
            </w:r>
          </w:p>
          <w:p>
            <w:pPr>
              <w:spacing w:line="400" w:lineRule="exact"/>
              <w:jc w:val="left"/>
              <w:rPr>
                <w:sz w:val="28"/>
                <w:szCs w:val="28"/>
              </w:rPr>
            </w:pPr>
            <w:r>
              <w:rPr>
                <w:sz w:val="28"/>
                <w:szCs w:val="28"/>
              </w:rPr>
              <w:t>磁场：≤492×10</w:t>
            </w:r>
            <w:r>
              <w:rPr>
                <w:sz w:val="28"/>
                <w:szCs w:val="28"/>
                <w:vertAlign w:val="superscript"/>
              </w:rPr>
              <w:t>-3</w:t>
            </w:r>
            <w:r>
              <w:rPr>
                <w:sz w:val="28"/>
                <w:szCs w:val="28"/>
              </w:rPr>
              <w:t>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6" w:hRule="atLeast"/>
          <w:jc w:val="center"/>
        </w:trPr>
        <w:tc>
          <w:tcPr>
            <w:tcW w:w="1134" w:type="dxa"/>
            <w:vMerge w:val="continue"/>
            <w:tcBorders>
              <w:right w:val="single" w:color="auto" w:sz="6" w:space="0"/>
            </w:tcBorders>
            <w:vAlign w:val="center"/>
          </w:tcPr>
          <w:p>
            <w:pPr>
              <w:jc w:val="center"/>
              <w:rPr>
                <w:sz w:val="28"/>
                <w:szCs w:val="28"/>
              </w:rPr>
            </w:pPr>
          </w:p>
        </w:tc>
        <w:tc>
          <w:tcPr>
            <w:tcW w:w="2182"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高沙110kV变电站</w:t>
            </w:r>
          </w:p>
        </w:tc>
        <w:tc>
          <w:tcPr>
            <w:tcW w:w="1701"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工频电场E</w:t>
            </w:r>
          </w:p>
          <w:p>
            <w:pPr>
              <w:spacing w:line="400" w:lineRule="exact"/>
              <w:jc w:val="center"/>
              <w:rPr>
                <w:sz w:val="28"/>
                <w:szCs w:val="28"/>
              </w:rPr>
            </w:pPr>
            <w:r>
              <w:rPr>
                <w:sz w:val="28"/>
                <w:szCs w:val="28"/>
              </w:rPr>
              <w:t>工频磁场B</w:t>
            </w:r>
          </w:p>
        </w:tc>
        <w:tc>
          <w:tcPr>
            <w:tcW w:w="4163" w:type="dxa"/>
            <w:gridSpan w:val="2"/>
            <w:tcBorders>
              <w:top w:val="single" w:color="auto" w:sz="6" w:space="0"/>
              <w:left w:val="single" w:color="auto" w:sz="6" w:space="0"/>
              <w:bottom w:val="single" w:color="auto" w:sz="6" w:space="0"/>
            </w:tcBorders>
            <w:vAlign w:val="center"/>
          </w:tcPr>
          <w:p>
            <w:pPr>
              <w:jc w:val="left"/>
            </w:pPr>
            <w:r>
              <w:rPr>
                <w:sz w:val="28"/>
                <w:szCs w:val="28"/>
              </w:rPr>
              <w:t>电场：≤</w:t>
            </w:r>
            <w:r>
              <w:rPr>
                <w:sz w:val="28"/>
              </w:rPr>
              <w:t>459.2</w:t>
            </w:r>
            <w:r>
              <w:rPr>
                <w:sz w:val="28"/>
                <w:szCs w:val="28"/>
              </w:rPr>
              <w:t>V/m</w:t>
            </w:r>
          </w:p>
          <w:p>
            <w:pPr>
              <w:jc w:val="left"/>
            </w:pPr>
            <w:r>
              <w:rPr>
                <w:sz w:val="28"/>
                <w:szCs w:val="28"/>
              </w:rPr>
              <w:t>磁场：≤</w:t>
            </w:r>
            <w:r>
              <w:rPr>
                <w:sz w:val="28"/>
              </w:rPr>
              <w:t>321.9</w:t>
            </w:r>
            <w:r>
              <w:rPr>
                <w:sz w:val="28"/>
                <w:szCs w:val="28"/>
              </w:rPr>
              <w:t>×10</w:t>
            </w:r>
            <w:r>
              <w:rPr>
                <w:sz w:val="28"/>
                <w:szCs w:val="28"/>
                <w:vertAlign w:val="superscript"/>
              </w:rPr>
              <w:t>-3</w:t>
            </w:r>
            <w:r>
              <w:rPr>
                <w:sz w:val="28"/>
                <w:szCs w:val="28"/>
              </w:rPr>
              <w:t>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6" w:hRule="atLeast"/>
          <w:jc w:val="center"/>
        </w:trPr>
        <w:tc>
          <w:tcPr>
            <w:tcW w:w="1134" w:type="dxa"/>
            <w:vMerge w:val="continue"/>
            <w:tcBorders>
              <w:right w:val="single" w:color="auto" w:sz="6" w:space="0"/>
            </w:tcBorders>
            <w:vAlign w:val="center"/>
          </w:tcPr>
          <w:p>
            <w:pPr>
              <w:jc w:val="center"/>
              <w:rPr>
                <w:sz w:val="28"/>
                <w:szCs w:val="28"/>
              </w:rPr>
            </w:pPr>
          </w:p>
        </w:tc>
        <w:tc>
          <w:tcPr>
            <w:tcW w:w="2182"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宝莲二期风电110kV单回线路</w:t>
            </w:r>
          </w:p>
        </w:tc>
        <w:tc>
          <w:tcPr>
            <w:tcW w:w="1701"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工频电场E</w:t>
            </w:r>
          </w:p>
          <w:p>
            <w:pPr>
              <w:spacing w:line="400" w:lineRule="exact"/>
              <w:jc w:val="center"/>
              <w:rPr>
                <w:sz w:val="28"/>
                <w:szCs w:val="28"/>
              </w:rPr>
            </w:pPr>
            <w:r>
              <w:rPr>
                <w:sz w:val="28"/>
                <w:szCs w:val="28"/>
              </w:rPr>
              <w:t>工频磁场B</w:t>
            </w:r>
          </w:p>
        </w:tc>
        <w:tc>
          <w:tcPr>
            <w:tcW w:w="4163" w:type="dxa"/>
            <w:gridSpan w:val="2"/>
            <w:tcBorders>
              <w:top w:val="single" w:color="auto" w:sz="6" w:space="0"/>
              <w:left w:val="single" w:color="auto" w:sz="6" w:space="0"/>
              <w:bottom w:val="single" w:color="auto" w:sz="6" w:space="0"/>
            </w:tcBorders>
            <w:vAlign w:val="center"/>
          </w:tcPr>
          <w:p>
            <w:pPr>
              <w:spacing w:line="400" w:lineRule="exact"/>
              <w:jc w:val="left"/>
              <w:rPr>
                <w:sz w:val="28"/>
              </w:rPr>
            </w:pPr>
            <w:r>
              <w:rPr>
                <w:sz w:val="28"/>
                <w:szCs w:val="28"/>
              </w:rPr>
              <w:t>电场：≤128.6V/m</w:t>
            </w:r>
          </w:p>
          <w:p>
            <w:pPr>
              <w:jc w:val="left"/>
            </w:pPr>
            <w:r>
              <w:rPr>
                <w:sz w:val="28"/>
                <w:szCs w:val="28"/>
              </w:rPr>
              <w:t>磁场：≤492×10</w:t>
            </w:r>
            <w:r>
              <w:rPr>
                <w:sz w:val="28"/>
                <w:szCs w:val="28"/>
                <w:vertAlign w:val="superscript"/>
              </w:rPr>
              <w:t>-3</w:t>
            </w:r>
            <w:r>
              <w:rPr>
                <w:sz w:val="28"/>
                <w:szCs w:val="28"/>
              </w:rPr>
              <w:t>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6" w:hRule="atLeast"/>
          <w:jc w:val="center"/>
        </w:trPr>
        <w:tc>
          <w:tcPr>
            <w:tcW w:w="1134" w:type="dxa"/>
            <w:vMerge w:val="continue"/>
            <w:tcBorders>
              <w:right w:val="single" w:color="auto" w:sz="6" w:space="0"/>
            </w:tcBorders>
            <w:vAlign w:val="center"/>
          </w:tcPr>
          <w:p>
            <w:pPr>
              <w:jc w:val="center"/>
              <w:rPr>
                <w:sz w:val="28"/>
                <w:szCs w:val="28"/>
              </w:rPr>
            </w:pPr>
          </w:p>
        </w:tc>
        <w:tc>
          <w:tcPr>
            <w:tcW w:w="2182"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黄陂桥110kV变电站</w:t>
            </w:r>
          </w:p>
        </w:tc>
        <w:tc>
          <w:tcPr>
            <w:tcW w:w="1701"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工频电场E</w:t>
            </w:r>
          </w:p>
          <w:p>
            <w:pPr>
              <w:spacing w:line="400" w:lineRule="exact"/>
              <w:jc w:val="center"/>
              <w:rPr>
                <w:sz w:val="28"/>
                <w:szCs w:val="28"/>
              </w:rPr>
            </w:pPr>
            <w:r>
              <w:rPr>
                <w:sz w:val="28"/>
                <w:szCs w:val="28"/>
              </w:rPr>
              <w:t>工频磁场B</w:t>
            </w:r>
          </w:p>
        </w:tc>
        <w:tc>
          <w:tcPr>
            <w:tcW w:w="4163" w:type="dxa"/>
            <w:gridSpan w:val="2"/>
            <w:tcBorders>
              <w:top w:val="single" w:color="auto" w:sz="6" w:space="0"/>
              <w:left w:val="single" w:color="auto" w:sz="6" w:space="0"/>
              <w:bottom w:val="single" w:color="auto" w:sz="6" w:space="0"/>
            </w:tcBorders>
            <w:vAlign w:val="center"/>
          </w:tcPr>
          <w:p>
            <w:pPr>
              <w:jc w:val="left"/>
            </w:pPr>
            <w:r>
              <w:rPr>
                <w:sz w:val="28"/>
                <w:szCs w:val="28"/>
              </w:rPr>
              <w:t>电场：≤</w:t>
            </w:r>
            <w:r>
              <w:rPr>
                <w:sz w:val="28"/>
              </w:rPr>
              <w:t>459.2</w:t>
            </w:r>
            <w:r>
              <w:rPr>
                <w:sz w:val="28"/>
                <w:szCs w:val="28"/>
              </w:rPr>
              <w:t>V/m</w:t>
            </w:r>
          </w:p>
          <w:p>
            <w:pPr>
              <w:spacing w:line="320" w:lineRule="exact"/>
              <w:jc w:val="left"/>
              <w:rPr>
                <w:sz w:val="24"/>
                <w:szCs w:val="24"/>
              </w:rPr>
            </w:pPr>
            <w:r>
              <w:rPr>
                <w:sz w:val="28"/>
                <w:szCs w:val="28"/>
              </w:rPr>
              <w:t>磁场：≤</w:t>
            </w:r>
            <w:r>
              <w:rPr>
                <w:sz w:val="28"/>
              </w:rPr>
              <w:t>321.9</w:t>
            </w:r>
            <w:r>
              <w:rPr>
                <w:sz w:val="28"/>
                <w:szCs w:val="28"/>
              </w:rPr>
              <w:t>×10</w:t>
            </w:r>
            <w:r>
              <w:rPr>
                <w:sz w:val="28"/>
                <w:szCs w:val="28"/>
                <w:vertAlign w:val="superscript"/>
              </w:rPr>
              <w:t>-3</w:t>
            </w:r>
            <w:r>
              <w:rPr>
                <w:sz w:val="28"/>
                <w:szCs w:val="28"/>
              </w:rPr>
              <w:t>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6" w:hRule="atLeast"/>
          <w:jc w:val="center"/>
        </w:trPr>
        <w:tc>
          <w:tcPr>
            <w:tcW w:w="1134" w:type="dxa"/>
            <w:vMerge w:val="continue"/>
            <w:tcBorders>
              <w:right w:val="single" w:color="auto" w:sz="6" w:space="0"/>
            </w:tcBorders>
            <w:vAlign w:val="center"/>
          </w:tcPr>
          <w:p>
            <w:pPr>
              <w:jc w:val="center"/>
              <w:rPr>
                <w:sz w:val="28"/>
                <w:szCs w:val="28"/>
              </w:rPr>
            </w:pPr>
          </w:p>
        </w:tc>
        <w:tc>
          <w:tcPr>
            <w:tcW w:w="2182"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大岭110kV变电站</w:t>
            </w:r>
          </w:p>
        </w:tc>
        <w:tc>
          <w:tcPr>
            <w:tcW w:w="1701"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工频电场E</w:t>
            </w:r>
          </w:p>
          <w:p>
            <w:pPr>
              <w:spacing w:line="400" w:lineRule="exact"/>
              <w:jc w:val="center"/>
              <w:rPr>
                <w:sz w:val="28"/>
                <w:szCs w:val="28"/>
              </w:rPr>
            </w:pPr>
            <w:r>
              <w:rPr>
                <w:sz w:val="28"/>
                <w:szCs w:val="28"/>
              </w:rPr>
              <w:t>工频磁场B</w:t>
            </w:r>
          </w:p>
        </w:tc>
        <w:tc>
          <w:tcPr>
            <w:tcW w:w="4163" w:type="dxa"/>
            <w:gridSpan w:val="2"/>
            <w:tcBorders>
              <w:top w:val="single" w:color="auto" w:sz="6" w:space="0"/>
              <w:left w:val="single" w:color="auto" w:sz="6" w:space="0"/>
              <w:bottom w:val="single" w:color="auto" w:sz="6" w:space="0"/>
            </w:tcBorders>
            <w:vAlign w:val="center"/>
          </w:tcPr>
          <w:p>
            <w:pPr>
              <w:jc w:val="left"/>
            </w:pPr>
            <w:r>
              <w:rPr>
                <w:sz w:val="28"/>
                <w:szCs w:val="28"/>
              </w:rPr>
              <w:t>电场：≤</w:t>
            </w:r>
            <w:r>
              <w:rPr>
                <w:sz w:val="28"/>
              </w:rPr>
              <w:t>459.2</w:t>
            </w:r>
            <w:r>
              <w:rPr>
                <w:sz w:val="28"/>
                <w:szCs w:val="28"/>
              </w:rPr>
              <w:t>V/m</w:t>
            </w:r>
          </w:p>
          <w:p>
            <w:pPr>
              <w:jc w:val="left"/>
              <w:rPr>
                <w:sz w:val="28"/>
                <w:szCs w:val="28"/>
              </w:rPr>
            </w:pPr>
            <w:r>
              <w:rPr>
                <w:sz w:val="28"/>
                <w:szCs w:val="28"/>
              </w:rPr>
              <w:t>磁场：≤</w:t>
            </w:r>
            <w:r>
              <w:rPr>
                <w:sz w:val="28"/>
              </w:rPr>
              <w:t>321.9</w:t>
            </w:r>
            <w:r>
              <w:rPr>
                <w:sz w:val="28"/>
                <w:szCs w:val="28"/>
              </w:rPr>
              <w:t>×10</w:t>
            </w:r>
            <w:r>
              <w:rPr>
                <w:sz w:val="28"/>
                <w:szCs w:val="28"/>
                <w:vertAlign w:val="superscript"/>
              </w:rPr>
              <w:t>-3</w:t>
            </w:r>
            <w:r>
              <w:rPr>
                <w:sz w:val="28"/>
                <w:szCs w:val="28"/>
              </w:rPr>
              <w:t>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6" w:hRule="atLeast"/>
          <w:jc w:val="center"/>
        </w:trPr>
        <w:tc>
          <w:tcPr>
            <w:tcW w:w="1134" w:type="dxa"/>
            <w:vMerge w:val="continue"/>
            <w:tcBorders>
              <w:right w:val="single" w:color="auto" w:sz="6" w:space="0"/>
            </w:tcBorders>
            <w:vAlign w:val="center"/>
          </w:tcPr>
          <w:p>
            <w:pPr>
              <w:jc w:val="center"/>
              <w:rPr>
                <w:sz w:val="28"/>
                <w:szCs w:val="28"/>
              </w:rPr>
            </w:pPr>
          </w:p>
        </w:tc>
        <w:tc>
          <w:tcPr>
            <w:tcW w:w="2182"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绥宁宝鼎山风电二期三期110kV单回线路</w:t>
            </w:r>
          </w:p>
        </w:tc>
        <w:tc>
          <w:tcPr>
            <w:tcW w:w="1701"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工频电场E</w:t>
            </w:r>
          </w:p>
          <w:p>
            <w:pPr>
              <w:spacing w:line="400" w:lineRule="exact"/>
              <w:jc w:val="center"/>
              <w:rPr>
                <w:sz w:val="28"/>
                <w:szCs w:val="28"/>
              </w:rPr>
            </w:pPr>
            <w:r>
              <w:rPr>
                <w:sz w:val="28"/>
                <w:szCs w:val="28"/>
              </w:rPr>
              <w:t>工频磁场B</w:t>
            </w:r>
          </w:p>
        </w:tc>
        <w:tc>
          <w:tcPr>
            <w:tcW w:w="4163" w:type="dxa"/>
            <w:gridSpan w:val="2"/>
            <w:tcBorders>
              <w:top w:val="single" w:color="auto" w:sz="6" w:space="0"/>
              <w:left w:val="single" w:color="auto" w:sz="6" w:space="0"/>
              <w:bottom w:val="single" w:color="auto" w:sz="6" w:space="0"/>
            </w:tcBorders>
            <w:vAlign w:val="center"/>
          </w:tcPr>
          <w:p>
            <w:pPr>
              <w:spacing w:line="400" w:lineRule="exact"/>
              <w:jc w:val="left"/>
              <w:rPr>
                <w:sz w:val="28"/>
              </w:rPr>
            </w:pPr>
            <w:r>
              <w:rPr>
                <w:sz w:val="28"/>
                <w:szCs w:val="28"/>
              </w:rPr>
              <w:t>电场：≤128.6V/m</w:t>
            </w:r>
          </w:p>
          <w:p>
            <w:pPr>
              <w:jc w:val="left"/>
              <w:rPr>
                <w:sz w:val="28"/>
                <w:szCs w:val="28"/>
              </w:rPr>
            </w:pPr>
            <w:r>
              <w:rPr>
                <w:sz w:val="28"/>
                <w:szCs w:val="28"/>
              </w:rPr>
              <w:t>磁场：≤492×10</w:t>
            </w:r>
            <w:r>
              <w:rPr>
                <w:sz w:val="28"/>
                <w:szCs w:val="28"/>
                <w:vertAlign w:val="superscript"/>
              </w:rPr>
              <w:t>-3</w:t>
            </w:r>
            <w:r>
              <w:rPr>
                <w:sz w:val="28"/>
                <w:szCs w:val="28"/>
              </w:rPr>
              <w:t>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6" w:hRule="atLeast"/>
          <w:jc w:val="center"/>
        </w:trPr>
        <w:tc>
          <w:tcPr>
            <w:tcW w:w="1134" w:type="dxa"/>
            <w:vMerge w:val="continue"/>
            <w:tcBorders>
              <w:right w:val="single" w:color="auto" w:sz="6" w:space="0"/>
            </w:tcBorders>
            <w:vAlign w:val="center"/>
          </w:tcPr>
          <w:p>
            <w:pPr>
              <w:jc w:val="center"/>
              <w:rPr>
                <w:sz w:val="28"/>
                <w:szCs w:val="28"/>
              </w:rPr>
            </w:pPr>
          </w:p>
        </w:tc>
        <w:tc>
          <w:tcPr>
            <w:tcW w:w="2182"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隆回金坪110kV风电单回线路</w:t>
            </w:r>
          </w:p>
        </w:tc>
        <w:tc>
          <w:tcPr>
            <w:tcW w:w="1701"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工频电场E</w:t>
            </w:r>
          </w:p>
          <w:p>
            <w:pPr>
              <w:spacing w:line="400" w:lineRule="exact"/>
              <w:jc w:val="center"/>
              <w:rPr>
                <w:sz w:val="28"/>
                <w:szCs w:val="28"/>
              </w:rPr>
            </w:pPr>
            <w:r>
              <w:rPr>
                <w:sz w:val="28"/>
                <w:szCs w:val="28"/>
              </w:rPr>
              <w:t>工频磁场B</w:t>
            </w:r>
          </w:p>
        </w:tc>
        <w:tc>
          <w:tcPr>
            <w:tcW w:w="4163" w:type="dxa"/>
            <w:gridSpan w:val="2"/>
            <w:tcBorders>
              <w:top w:val="single" w:color="auto" w:sz="6" w:space="0"/>
              <w:left w:val="single" w:color="auto" w:sz="6" w:space="0"/>
              <w:bottom w:val="single" w:color="auto" w:sz="6" w:space="0"/>
            </w:tcBorders>
            <w:vAlign w:val="center"/>
          </w:tcPr>
          <w:p>
            <w:pPr>
              <w:spacing w:line="400" w:lineRule="exact"/>
              <w:jc w:val="left"/>
              <w:rPr>
                <w:sz w:val="28"/>
              </w:rPr>
            </w:pPr>
            <w:r>
              <w:rPr>
                <w:sz w:val="28"/>
                <w:szCs w:val="28"/>
              </w:rPr>
              <w:t>电场：≤128.6V/m</w:t>
            </w:r>
          </w:p>
          <w:p>
            <w:pPr>
              <w:jc w:val="left"/>
              <w:rPr>
                <w:sz w:val="28"/>
                <w:szCs w:val="28"/>
              </w:rPr>
            </w:pPr>
            <w:r>
              <w:rPr>
                <w:sz w:val="28"/>
                <w:szCs w:val="28"/>
              </w:rPr>
              <w:t>磁场：≤492×10</w:t>
            </w:r>
            <w:r>
              <w:rPr>
                <w:sz w:val="28"/>
                <w:szCs w:val="28"/>
                <w:vertAlign w:val="superscript"/>
              </w:rPr>
              <w:t>-3</w:t>
            </w:r>
            <w:r>
              <w:rPr>
                <w:sz w:val="28"/>
                <w:szCs w:val="28"/>
              </w:rPr>
              <w:t>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6" w:hRule="atLeast"/>
          <w:jc w:val="center"/>
        </w:trPr>
        <w:tc>
          <w:tcPr>
            <w:tcW w:w="1134" w:type="dxa"/>
            <w:vMerge w:val="continue"/>
            <w:tcBorders>
              <w:right w:val="single" w:color="auto" w:sz="6" w:space="0"/>
            </w:tcBorders>
            <w:vAlign w:val="center"/>
          </w:tcPr>
          <w:p>
            <w:pPr>
              <w:jc w:val="center"/>
              <w:rPr>
                <w:sz w:val="28"/>
                <w:szCs w:val="28"/>
              </w:rPr>
            </w:pPr>
          </w:p>
        </w:tc>
        <w:tc>
          <w:tcPr>
            <w:tcW w:w="2182"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六岭110kV变电站</w:t>
            </w:r>
          </w:p>
        </w:tc>
        <w:tc>
          <w:tcPr>
            <w:tcW w:w="1701"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工频电场E</w:t>
            </w:r>
          </w:p>
          <w:p>
            <w:pPr>
              <w:spacing w:line="400" w:lineRule="exact"/>
              <w:jc w:val="center"/>
              <w:rPr>
                <w:sz w:val="28"/>
                <w:szCs w:val="28"/>
              </w:rPr>
            </w:pPr>
            <w:r>
              <w:rPr>
                <w:sz w:val="28"/>
                <w:szCs w:val="28"/>
              </w:rPr>
              <w:t>工频磁场B</w:t>
            </w:r>
          </w:p>
        </w:tc>
        <w:tc>
          <w:tcPr>
            <w:tcW w:w="4163" w:type="dxa"/>
            <w:gridSpan w:val="2"/>
            <w:tcBorders>
              <w:top w:val="single" w:color="auto" w:sz="6" w:space="0"/>
              <w:left w:val="single" w:color="auto" w:sz="6" w:space="0"/>
              <w:bottom w:val="single" w:color="auto" w:sz="6" w:space="0"/>
            </w:tcBorders>
            <w:vAlign w:val="center"/>
          </w:tcPr>
          <w:p>
            <w:pPr>
              <w:spacing w:line="400" w:lineRule="exact"/>
              <w:jc w:val="left"/>
              <w:rPr>
                <w:sz w:val="28"/>
              </w:rPr>
            </w:pPr>
            <w:r>
              <w:rPr>
                <w:sz w:val="28"/>
                <w:szCs w:val="28"/>
              </w:rPr>
              <w:t>电场：≤66.7V/m</w:t>
            </w:r>
          </w:p>
          <w:p>
            <w:pPr>
              <w:jc w:val="left"/>
              <w:rPr>
                <w:sz w:val="28"/>
                <w:szCs w:val="28"/>
              </w:rPr>
            </w:pPr>
            <w:r>
              <w:rPr>
                <w:sz w:val="28"/>
                <w:szCs w:val="28"/>
              </w:rPr>
              <w:t>磁场：≤28.8×10</w:t>
            </w:r>
            <w:r>
              <w:rPr>
                <w:sz w:val="28"/>
                <w:szCs w:val="28"/>
                <w:vertAlign w:val="superscript"/>
              </w:rPr>
              <w:t>-3</w:t>
            </w:r>
            <w:r>
              <w:rPr>
                <w:sz w:val="28"/>
                <w:szCs w:val="28"/>
              </w:rPr>
              <w:t>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6" w:hRule="atLeast"/>
          <w:jc w:val="center"/>
        </w:trPr>
        <w:tc>
          <w:tcPr>
            <w:tcW w:w="1134" w:type="dxa"/>
            <w:vMerge w:val="continue"/>
            <w:tcBorders>
              <w:bottom w:val="single" w:color="auto" w:sz="6" w:space="0"/>
              <w:right w:val="single" w:color="auto" w:sz="6" w:space="0"/>
            </w:tcBorders>
            <w:vAlign w:val="center"/>
          </w:tcPr>
          <w:p>
            <w:pPr>
              <w:jc w:val="center"/>
              <w:rPr>
                <w:sz w:val="28"/>
                <w:szCs w:val="28"/>
              </w:rPr>
            </w:pPr>
          </w:p>
        </w:tc>
        <w:tc>
          <w:tcPr>
            <w:tcW w:w="2182"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六岭110kV变电站双回线路</w:t>
            </w:r>
          </w:p>
        </w:tc>
        <w:tc>
          <w:tcPr>
            <w:tcW w:w="1701" w:type="dxa"/>
            <w:tcBorders>
              <w:top w:val="single" w:color="auto" w:sz="6" w:space="0"/>
              <w:left w:val="single" w:color="auto" w:sz="6" w:space="0"/>
              <w:bottom w:val="single" w:color="auto" w:sz="6" w:space="0"/>
              <w:right w:val="single" w:color="auto" w:sz="6" w:space="0"/>
            </w:tcBorders>
            <w:vAlign w:val="center"/>
          </w:tcPr>
          <w:p>
            <w:pPr>
              <w:spacing w:line="400" w:lineRule="exact"/>
              <w:jc w:val="center"/>
              <w:rPr>
                <w:sz w:val="28"/>
                <w:szCs w:val="28"/>
              </w:rPr>
            </w:pPr>
            <w:r>
              <w:rPr>
                <w:sz w:val="28"/>
                <w:szCs w:val="28"/>
              </w:rPr>
              <w:t>工频电场E</w:t>
            </w:r>
          </w:p>
          <w:p>
            <w:pPr>
              <w:spacing w:line="400" w:lineRule="exact"/>
              <w:jc w:val="center"/>
              <w:rPr>
                <w:sz w:val="28"/>
                <w:szCs w:val="28"/>
              </w:rPr>
            </w:pPr>
            <w:r>
              <w:rPr>
                <w:sz w:val="28"/>
                <w:szCs w:val="28"/>
              </w:rPr>
              <w:t>工频磁场B</w:t>
            </w:r>
          </w:p>
        </w:tc>
        <w:tc>
          <w:tcPr>
            <w:tcW w:w="4163" w:type="dxa"/>
            <w:gridSpan w:val="2"/>
            <w:tcBorders>
              <w:top w:val="single" w:color="auto" w:sz="6" w:space="0"/>
              <w:left w:val="single" w:color="auto" w:sz="6" w:space="0"/>
              <w:bottom w:val="single" w:color="auto" w:sz="6" w:space="0"/>
            </w:tcBorders>
            <w:vAlign w:val="center"/>
          </w:tcPr>
          <w:p>
            <w:pPr>
              <w:spacing w:line="400" w:lineRule="exact"/>
              <w:jc w:val="left"/>
              <w:rPr>
                <w:sz w:val="28"/>
              </w:rPr>
            </w:pPr>
            <w:r>
              <w:rPr>
                <w:sz w:val="28"/>
                <w:szCs w:val="28"/>
              </w:rPr>
              <w:t>电场：≤128.6V/m</w:t>
            </w:r>
          </w:p>
          <w:p>
            <w:pPr>
              <w:jc w:val="left"/>
              <w:rPr>
                <w:sz w:val="28"/>
                <w:szCs w:val="28"/>
              </w:rPr>
            </w:pPr>
            <w:r>
              <w:rPr>
                <w:sz w:val="28"/>
                <w:szCs w:val="28"/>
              </w:rPr>
              <w:t>磁场：≤492×10</w:t>
            </w:r>
            <w:r>
              <w:rPr>
                <w:sz w:val="28"/>
                <w:szCs w:val="28"/>
                <w:vertAlign w:val="superscript"/>
              </w:rPr>
              <w:t>-3</w:t>
            </w:r>
            <w:r>
              <w:rPr>
                <w:sz w:val="28"/>
                <w:szCs w:val="28"/>
              </w:rPr>
              <w:t>μT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676" w:hRule="atLeast"/>
          <w:jc w:val="center"/>
        </w:trPr>
        <w:tc>
          <w:tcPr>
            <w:tcW w:w="1134" w:type="dxa"/>
            <w:tcBorders>
              <w:right w:val="single" w:color="auto" w:sz="6" w:space="0"/>
            </w:tcBorders>
            <w:vAlign w:val="center"/>
          </w:tcPr>
          <w:p>
            <w:pPr>
              <w:jc w:val="center"/>
              <w:rPr>
                <w:sz w:val="28"/>
                <w:szCs w:val="28"/>
              </w:rPr>
            </w:pPr>
            <w:r>
              <w:rPr>
                <w:sz w:val="28"/>
                <w:szCs w:val="28"/>
              </w:rPr>
              <w:t>噪声</w:t>
            </w:r>
          </w:p>
        </w:tc>
        <w:tc>
          <w:tcPr>
            <w:tcW w:w="8046" w:type="dxa"/>
            <w:gridSpan w:val="4"/>
            <w:tcBorders>
              <w:top w:val="single" w:color="auto" w:sz="6" w:space="0"/>
              <w:left w:val="single" w:color="auto" w:sz="6" w:space="0"/>
            </w:tcBorders>
            <w:vAlign w:val="center"/>
          </w:tcPr>
          <w:p>
            <w:pPr>
              <w:spacing w:line="360" w:lineRule="auto"/>
              <w:ind w:firstLine="561"/>
              <w:rPr>
                <w:bCs/>
                <w:sz w:val="28"/>
                <w:szCs w:val="28"/>
              </w:rPr>
            </w:pPr>
            <w:r>
              <w:rPr>
                <w:bCs/>
                <w:sz w:val="28"/>
                <w:szCs w:val="28"/>
              </w:rPr>
              <w:t>计算结果表明</w:t>
            </w:r>
            <w:r>
              <w:rPr>
                <w:sz w:val="28"/>
                <w:szCs w:val="28"/>
              </w:rPr>
              <w:t>新建</w:t>
            </w:r>
            <w:r>
              <w:rPr>
                <w:sz w:val="28"/>
              </w:rPr>
              <w:t>城东</w:t>
            </w:r>
            <w:r>
              <w:rPr>
                <w:sz w:val="28"/>
                <w:szCs w:val="28"/>
              </w:rPr>
              <w:t>变电站投入运行后，变电站厂界</w:t>
            </w:r>
            <w:r>
              <w:rPr>
                <w:sz w:val="28"/>
              </w:rPr>
              <w:t>噪声能够满足《</w:t>
            </w:r>
            <w:r>
              <w:rPr>
                <w:sz w:val="28"/>
              </w:rPr>
              <w:fldChar w:fldCharType="begin"/>
            </w:r>
            <w:r>
              <w:rPr>
                <w:sz w:val="28"/>
              </w:rPr>
              <w:instrText xml:space="preserve"> HYPERLINK "电网组标准/16%20GB%2012348-2008%20工业企业厂界环境噪声排放标准%20.pdf" </w:instrText>
            </w:r>
            <w:r>
              <w:rPr>
                <w:sz w:val="28"/>
              </w:rPr>
              <w:fldChar w:fldCharType="separate"/>
            </w:r>
            <w:r>
              <w:rPr>
                <w:sz w:val="28"/>
              </w:rPr>
              <w:t>工业企业厂界环境噪声排放标准</w:t>
            </w:r>
            <w:r>
              <w:rPr>
                <w:sz w:val="28"/>
              </w:rPr>
              <w:fldChar w:fldCharType="end"/>
            </w:r>
            <w:r>
              <w:rPr>
                <w:sz w:val="28"/>
              </w:rPr>
              <w:t>》（GB1234-2008）2类标准要求；</w:t>
            </w:r>
          </w:p>
          <w:p>
            <w:pPr>
              <w:spacing w:line="360" w:lineRule="auto"/>
              <w:ind w:firstLine="561"/>
              <w:rPr>
                <w:bCs/>
                <w:sz w:val="28"/>
                <w:szCs w:val="28"/>
              </w:rPr>
            </w:pPr>
            <w:r>
              <w:rPr>
                <w:bCs/>
                <w:sz w:val="28"/>
                <w:szCs w:val="28"/>
              </w:rPr>
              <w:t>扩建高沙变电站投入运行后，变电站厂界噪声能够满足《</w:t>
            </w:r>
            <w:r>
              <w:rPr>
                <w:bCs/>
                <w:sz w:val="28"/>
                <w:szCs w:val="28"/>
              </w:rPr>
              <w:fldChar w:fldCharType="begin"/>
            </w:r>
            <w:r>
              <w:rPr>
                <w:bCs/>
                <w:sz w:val="28"/>
                <w:szCs w:val="28"/>
              </w:rPr>
              <w:instrText xml:space="preserve"> HYPERLINK "电网组标准/16%20GB%2012348-2008%20工业企业厂界环境噪声排放标准%20.pdf" </w:instrText>
            </w:r>
            <w:r>
              <w:rPr>
                <w:bCs/>
                <w:sz w:val="28"/>
                <w:szCs w:val="28"/>
              </w:rPr>
              <w:fldChar w:fldCharType="separate"/>
            </w:r>
            <w:r>
              <w:rPr>
                <w:bCs/>
                <w:sz w:val="28"/>
                <w:szCs w:val="28"/>
              </w:rPr>
              <w:t>工业企业厂界环境噪声排放</w:t>
            </w:r>
            <w:bookmarkStart w:id="23" w:name="_Hlt423984027"/>
            <w:bookmarkStart w:id="24" w:name="_Hlt423984028"/>
            <w:r>
              <w:rPr>
                <w:bCs/>
                <w:sz w:val="28"/>
                <w:szCs w:val="28"/>
              </w:rPr>
              <w:t>标</w:t>
            </w:r>
            <w:bookmarkEnd w:id="23"/>
            <w:bookmarkEnd w:id="24"/>
            <w:r>
              <w:rPr>
                <w:bCs/>
                <w:sz w:val="28"/>
                <w:szCs w:val="28"/>
              </w:rPr>
              <w:t>准</w:t>
            </w:r>
            <w:r>
              <w:rPr>
                <w:bCs/>
                <w:sz w:val="28"/>
                <w:szCs w:val="28"/>
              </w:rPr>
              <w:fldChar w:fldCharType="end"/>
            </w:r>
            <w:r>
              <w:rPr>
                <w:bCs/>
                <w:sz w:val="28"/>
                <w:szCs w:val="28"/>
              </w:rPr>
              <w:t>》（GB1234-2008）2类标准要求；</w:t>
            </w:r>
          </w:p>
          <w:p>
            <w:pPr>
              <w:spacing w:line="360" w:lineRule="auto"/>
              <w:ind w:firstLine="561"/>
              <w:rPr>
                <w:bCs/>
                <w:sz w:val="28"/>
                <w:szCs w:val="28"/>
              </w:rPr>
            </w:pPr>
            <w:r>
              <w:rPr>
                <w:bCs/>
                <w:sz w:val="28"/>
                <w:szCs w:val="28"/>
              </w:rPr>
              <w:t>扩建黄陂桥变电站投入运行后，变电站厂界噪声能够满足《</w:t>
            </w:r>
            <w:r>
              <w:rPr>
                <w:bCs/>
                <w:sz w:val="28"/>
                <w:szCs w:val="28"/>
              </w:rPr>
              <w:fldChar w:fldCharType="begin"/>
            </w:r>
            <w:r>
              <w:rPr>
                <w:bCs/>
                <w:sz w:val="28"/>
                <w:szCs w:val="28"/>
              </w:rPr>
              <w:instrText xml:space="preserve"> HYPERLINK "电网组标准/16%20GB%2012348-2008%20工业企业厂界环境噪声排放标准%20.pdf" </w:instrText>
            </w:r>
            <w:r>
              <w:rPr>
                <w:bCs/>
                <w:sz w:val="28"/>
                <w:szCs w:val="28"/>
              </w:rPr>
              <w:fldChar w:fldCharType="separate"/>
            </w:r>
            <w:r>
              <w:rPr>
                <w:bCs/>
                <w:sz w:val="28"/>
                <w:szCs w:val="28"/>
              </w:rPr>
              <w:t>工业企业厂界环境噪声排放标准</w:t>
            </w:r>
            <w:r>
              <w:rPr>
                <w:bCs/>
                <w:sz w:val="28"/>
                <w:szCs w:val="28"/>
              </w:rPr>
              <w:fldChar w:fldCharType="end"/>
            </w:r>
            <w:r>
              <w:rPr>
                <w:bCs/>
                <w:sz w:val="28"/>
                <w:szCs w:val="28"/>
              </w:rPr>
              <w:t>》（GB1234-2008）2类标准要求；</w:t>
            </w:r>
          </w:p>
          <w:p>
            <w:pPr>
              <w:spacing w:line="360" w:lineRule="auto"/>
              <w:ind w:firstLine="561"/>
              <w:rPr>
                <w:bCs/>
                <w:sz w:val="28"/>
                <w:szCs w:val="28"/>
              </w:rPr>
            </w:pPr>
            <w:r>
              <w:rPr>
                <w:bCs/>
                <w:sz w:val="28"/>
                <w:szCs w:val="28"/>
              </w:rPr>
              <w:t>改建大岭变电站更换2#主变的噪声比原主变噪声小，增容扩建后不会对变电站周围噪声增加影响，且原变电站厂界噪声及周围环境敏感点噪声均满足标准要求。</w:t>
            </w:r>
          </w:p>
          <w:p>
            <w:pPr>
              <w:spacing w:line="360" w:lineRule="auto"/>
              <w:ind w:firstLine="561"/>
              <w:rPr>
                <w:sz w:val="28"/>
                <w:szCs w:val="28"/>
              </w:rPr>
            </w:pPr>
            <w:r>
              <w:rPr>
                <w:sz w:val="28"/>
                <w:szCs w:val="28"/>
              </w:rPr>
              <w:t>新建</w:t>
            </w:r>
            <w:r>
              <w:rPr>
                <w:sz w:val="28"/>
              </w:rPr>
              <w:t>六岭</w:t>
            </w:r>
            <w:r>
              <w:rPr>
                <w:sz w:val="28"/>
                <w:szCs w:val="28"/>
              </w:rPr>
              <w:t>变电站投入运行后，变电站厂界</w:t>
            </w:r>
            <w:r>
              <w:rPr>
                <w:sz w:val="28"/>
              </w:rPr>
              <w:t>噪声能够满足《</w:t>
            </w:r>
            <w:r>
              <w:rPr>
                <w:sz w:val="28"/>
              </w:rPr>
              <w:fldChar w:fldCharType="begin"/>
            </w:r>
            <w:r>
              <w:rPr>
                <w:sz w:val="28"/>
              </w:rPr>
              <w:instrText xml:space="preserve"> HYPERLINK "电网组标准/16%20GB%2012348-2008%20工业企业厂界环境噪声排放标准%20.pdf" </w:instrText>
            </w:r>
            <w:r>
              <w:rPr>
                <w:sz w:val="28"/>
              </w:rPr>
              <w:fldChar w:fldCharType="separate"/>
            </w:r>
            <w:r>
              <w:rPr>
                <w:sz w:val="28"/>
              </w:rPr>
              <w:t>工业企业厂界环境噪声排放标准</w:t>
            </w:r>
            <w:r>
              <w:rPr>
                <w:sz w:val="28"/>
              </w:rPr>
              <w:fldChar w:fldCharType="end"/>
            </w:r>
            <w:r>
              <w:rPr>
                <w:sz w:val="28"/>
              </w:rPr>
              <w:t>》（GB1234-2008）2类标准要求；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75" w:hRule="atLeast"/>
          <w:jc w:val="center"/>
        </w:trPr>
        <w:tc>
          <w:tcPr>
            <w:tcW w:w="9180" w:type="dxa"/>
            <w:gridSpan w:val="5"/>
            <w:tcBorders>
              <w:top w:val="single" w:color="auto" w:sz="6" w:space="0"/>
              <w:bottom w:val="single" w:color="auto" w:sz="12" w:space="0"/>
            </w:tcBorders>
            <w:vAlign w:val="top"/>
          </w:tcPr>
          <w:p>
            <w:pPr>
              <w:spacing w:line="360" w:lineRule="auto"/>
              <w:rPr>
                <w:b/>
                <w:sz w:val="28"/>
              </w:rPr>
            </w:pPr>
            <w:r>
              <w:rPr>
                <w:b/>
                <w:sz w:val="28"/>
              </w:rPr>
              <w:t>主要生态影响：</w:t>
            </w:r>
          </w:p>
          <w:p>
            <w:pPr>
              <w:spacing w:line="360" w:lineRule="auto"/>
              <w:ind w:firstLine="561"/>
              <w:rPr>
                <w:bCs/>
                <w:sz w:val="28"/>
                <w:szCs w:val="28"/>
              </w:rPr>
            </w:pPr>
            <w:r>
              <w:rPr>
                <w:bCs/>
                <w:sz w:val="28"/>
                <w:szCs w:val="28"/>
              </w:rPr>
              <w:t>本期工程新建城东变电站及六岭变电站需占用土地3454m</w:t>
            </w:r>
            <w:r>
              <w:rPr>
                <w:bCs/>
                <w:sz w:val="28"/>
                <w:szCs w:val="28"/>
                <w:vertAlign w:val="superscript"/>
              </w:rPr>
              <w:t>2</w:t>
            </w:r>
            <w:r>
              <w:rPr>
                <w:bCs/>
                <w:sz w:val="28"/>
                <w:szCs w:val="28"/>
              </w:rPr>
              <w:t>，其余均为扩建站，在原变电站预留位置进行扩建，生态影响较小。变电站建设对生态的影响主要在于对站址原有植被的破坏，填挖方时造成的水土流失，以及外堆泥土处理不善时对泥土堆掷区造成的不良生态影响。</w:t>
            </w:r>
          </w:p>
          <w:p>
            <w:pPr>
              <w:spacing w:line="360" w:lineRule="auto"/>
              <w:ind w:firstLine="561"/>
              <w:rPr>
                <w:sz w:val="28"/>
                <w:szCs w:val="28"/>
              </w:rPr>
            </w:pPr>
            <w:r>
              <w:rPr>
                <w:bCs/>
                <w:sz w:val="28"/>
                <w:szCs w:val="28"/>
              </w:rPr>
              <w:t>线路建设仅塔基占用部分土地，塔基永久占地约</w:t>
            </w:r>
            <w:r>
              <w:rPr>
                <w:sz w:val="28"/>
                <w:szCs w:val="28"/>
              </w:rPr>
              <w:t>1825m</w:t>
            </w:r>
            <w:r>
              <w:rPr>
                <w:sz w:val="28"/>
                <w:szCs w:val="28"/>
                <w:vertAlign w:val="superscript"/>
              </w:rPr>
              <w:t>2</w:t>
            </w:r>
            <w:r>
              <w:rPr>
                <w:sz w:val="28"/>
                <w:szCs w:val="28"/>
              </w:rPr>
              <w:t>。由于地表的开挖、树木的砍伐、工程车辆的行驶、施工人员的施工活动等，施工区域将产生植被破坏，对区域生态环境会造成一定影响。除永久占地外，其余临时占地在施工结束后可恢复其原有功能。本次工程建设的架空线路沿线主要为</w:t>
            </w:r>
            <w:r>
              <w:rPr>
                <w:sz w:val="28"/>
              </w:rPr>
              <w:t>丘陵、山坡及水田</w:t>
            </w:r>
            <w:r>
              <w:rPr>
                <w:sz w:val="28"/>
                <w:szCs w:val="28"/>
              </w:rPr>
              <w:t>，施工完成后采用原状土回填，并播撒当地草籽绿化，农田及时复耕。因此，本项目的建设对生态环境影响较小。</w:t>
            </w:r>
          </w:p>
          <w:p>
            <w:pPr>
              <w:spacing w:line="360" w:lineRule="auto"/>
              <w:ind w:firstLine="561"/>
              <w:rPr>
                <w:sz w:val="28"/>
                <w:szCs w:val="28"/>
              </w:rPr>
            </w:pPr>
          </w:p>
          <w:p>
            <w:pPr>
              <w:spacing w:line="360" w:lineRule="auto"/>
              <w:ind w:firstLine="561"/>
              <w:rPr>
                <w:sz w:val="28"/>
                <w:szCs w:val="28"/>
              </w:rPr>
            </w:pPr>
          </w:p>
          <w:p>
            <w:pPr>
              <w:spacing w:line="360" w:lineRule="auto"/>
              <w:ind w:firstLine="561"/>
              <w:rPr>
                <w:sz w:val="28"/>
                <w:szCs w:val="28"/>
              </w:rPr>
            </w:pPr>
          </w:p>
          <w:p>
            <w:pPr>
              <w:spacing w:line="360" w:lineRule="auto"/>
              <w:ind w:firstLine="561"/>
              <w:rPr>
                <w:sz w:val="28"/>
                <w:szCs w:val="28"/>
              </w:rPr>
            </w:pPr>
          </w:p>
          <w:p>
            <w:pPr>
              <w:spacing w:line="360" w:lineRule="auto"/>
              <w:ind w:firstLine="561"/>
              <w:rPr>
                <w:sz w:val="28"/>
                <w:szCs w:val="28"/>
              </w:rPr>
            </w:pPr>
          </w:p>
          <w:p>
            <w:pPr>
              <w:spacing w:line="360" w:lineRule="auto"/>
              <w:ind w:firstLine="561"/>
              <w:rPr>
                <w:sz w:val="28"/>
                <w:szCs w:val="28"/>
              </w:rPr>
            </w:pPr>
          </w:p>
          <w:p>
            <w:pPr>
              <w:spacing w:line="360" w:lineRule="auto"/>
              <w:ind w:firstLine="561"/>
              <w:rPr>
                <w:rFonts w:hint="eastAsia"/>
                <w:sz w:val="28"/>
                <w:szCs w:val="28"/>
              </w:rPr>
            </w:pPr>
          </w:p>
          <w:p>
            <w:pPr>
              <w:spacing w:line="360" w:lineRule="auto"/>
              <w:ind w:firstLine="561"/>
              <w:rPr>
                <w:rFonts w:hint="eastAsia"/>
                <w:sz w:val="28"/>
                <w:szCs w:val="28"/>
              </w:rPr>
            </w:pPr>
          </w:p>
          <w:p>
            <w:pPr>
              <w:spacing w:line="360" w:lineRule="auto"/>
              <w:ind w:firstLine="561"/>
              <w:rPr>
                <w:bCs/>
                <w:sz w:val="28"/>
                <w:szCs w:val="28"/>
              </w:rPr>
            </w:pPr>
          </w:p>
        </w:tc>
      </w:tr>
    </w:tbl>
    <w:p>
      <w:pPr>
        <w:rPr>
          <w:rFonts w:eastAsia="黑体"/>
          <w:b/>
          <w:sz w:val="30"/>
        </w:rPr>
        <w:sectPr>
          <w:footerReference r:id="rId6" w:type="first"/>
          <w:headerReference r:id="rId3" w:type="default"/>
          <w:footerReference r:id="rId4" w:type="default"/>
          <w:footerReference r:id="rId5" w:type="even"/>
          <w:pgSz w:w="11906" w:h="16838"/>
          <w:pgMar w:top="1418" w:right="1418" w:bottom="1418" w:left="1418" w:header="851" w:footer="1134" w:gutter="0"/>
          <w:cols w:space="720" w:num="1"/>
          <w:docGrid w:type="lines" w:linePitch="312" w:charSpace="0"/>
        </w:sectPr>
      </w:pPr>
    </w:p>
    <w:p>
      <w:pPr>
        <w:rPr>
          <w:rFonts w:eastAsia="黑体"/>
          <w:b/>
          <w:sz w:val="30"/>
        </w:rPr>
      </w:pPr>
      <w:r>
        <w:rPr>
          <w:rFonts w:eastAsia="黑体"/>
          <w:b/>
          <w:sz w:val="30"/>
        </w:rPr>
        <w:t>环境影响分析</w:t>
      </w:r>
    </w:p>
    <w:tbl>
      <w:tblPr>
        <w:tblStyle w:val="11"/>
        <w:tblW w:w="928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053" w:hRule="atLeast"/>
          <w:jc w:val="center"/>
        </w:trPr>
        <w:tc>
          <w:tcPr>
            <w:tcW w:w="9286" w:type="dxa"/>
            <w:tcBorders>
              <w:top w:val="single" w:color="auto" w:sz="12" w:space="0"/>
              <w:left w:val="single" w:color="auto" w:sz="12" w:space="0"/>
              <w:bottom w:val="single" w:color="auto" w:sz="12" w:space="0"/>
              <w:right w:val="single" w:color="auto" w:sz="12" w:space="0"/>
            </w:tcBorders>
            <w:vAlign w:val="top"/>
          </w:tcPr>
          <w:p>
            <w:pPr>
              <w:spacing w:line="360" w:lineRule="auto"/>
              <w:ind w:right="86" w:rightChars="41"/>
              <w:rPr>
                <w:b/>
              </w:rPr>
            </w:pPr>
            <w:r>
              <w:rPr>
                <w:b/>
                <w:sz w:val="28"/>
              </w:rPr>
              <w:t>施工期环境影响简要分析：</w:t>
            </w:r>
          </w:p>
          <w:p>
            <w:pPr>
              <w:spacing w:before="120" w:beforeLines="50" w:after="120" w:afterLines="50" w:line="360" w:lineRule="auto"/>
              <w:ind w:firstLine="560" w:firstLineChars="200"/>
              <w:rPr>
                <w:sz w:val="28"/>
              </w:rPr>
            </w:pPr>
            <w:r>
              <w:rPr>
                <w:sz w:val="28"/>
              </w:rPr>
              <w:t>对</w:t>
            </w:r>
            <w:r>
              <w:rPr>
                <w:sz w:val="28"/>
                <w:szCs w:val="28"/>
              </w:rPr>
              <w:t>邵阳市2017年第一批输变电工程</w:t>
            </w:r>
            <w:r>
              <w:rPr>
                <w:sz w:val="28"/>
              </w:rPr>
              <w:t>分析可知，该工程施工期间主要环境影响因素是变电站、塔基施工产生的生态破坏、施工噪声、施工固体废弃物等。</w:t>
            </w:r>
          </w:p>
          <w:p>
            <w:pPr>
              <w:spacing w:line="360" w:lineRule="auto"/>
              <w:rPr>
                <w:b/>
                <w:sz w:val="28"/>
                <w:szCs w:val="28"/>
              </w:rPr>
            </w:pPr>
            <w:r>
              <w:rPr>
                <w:b/>
                <w:sz w:val="28"/>
                <w:szCs w:val="28"/>
              </w:rPr>
              <w:t>1 施工期大气环境影响分析</w:t>
            </w:r>
          </w:p>
          <w:p>
            <w:pPr>
              <w:spacing w:line="360" w:lineRule="auto"/>
              <w:ind w:right="101" w:rightChars="48" w:firstLine="560" w:firstLineChars="200"/>
              <w:rPr>
                <w:sz w:val="28"/>
                <w:szCs w:val="28"/>
              </w:rPr>
            </w:pPr>
            <w:r>
              <w:rPr>
                <w:sz w:val="28"/>
                <w:szCs w:val="28"/>
              </w:rPr>
              <w:t>项目施工期间需要运输、装卸并筛选建筑材料，车辆的流量增加，同时进行挖掘地基、打桩、砌墙、铺设路面、回填等各种施工作业，这些都将产生地面扬尘和废气排放，预计施工现场近地面空气中的悬浮颗粒物的浓度将比平时高出几倍或几十倍，超过《环境空气质量标准》（GB 3095-2012）二级标准的要求，局部区域短时间可能超过三级标准的限值要求（三级标准TSP的日均浓度限值为0.5mg/m</w:t>
            </w:r>
            <w:r>
              <w:rPr>
                <w:sz w:val="28"/>
                <w:szCs w:val="28"/>
                <w:vertAlign w:val="superscript"/>
              </w:rPr>
              <w:t>3</w:t>
            </w:r>
            <w:r>
              <w:rPr>
                <w:sz w:val="28"/>
                <w:szCs w:val="28"/>
              </w:rPr>
              <w:t>）。但这种施工所产生的粉尘颗粒粒径较大，一般超过100μm，因此在飞扬过程中沉降速度较大，很快能落至地面，所以其影响的范围比较小，局限在施工现场及附近。</w:t>
            </w:r>
          </w:p>
          <w:p>
            <w:pPr>
              <w:spacing w:line="360" w:lineRule="auto"/>
              <w:ind w:right="101" w:rightChars="48" w:firstLine="560" w:firstLineChars="200"/>
              <w:rPr>
                <w:sz w:val="28"/>
                <w:szCs w:val="28"/>
              </w:rPr>
            </w:pPr>
            <w:r>
              <w:rPr>
                <w:sz w:val="28"/>
                <w:szCs w:val="28"/>
              </w:rPr>
              <w:t>另外，车辆的增加及施工机械运行过程都将产生尾气排放，使附近空气中CO、TSP、CxHy、NOx浓度有所增加，这种排放属于面源排放，由于排放高度较低，对大气环境的影响范围较小，局限在施工现场及周围邻近区域。</w:t>
            </w:r>
          </w:p>
          <w:p>
            <w:pPr>
              <w:spacing w:line="360" w:lineRule="auto"/>
              <w:ind w:right="101" w:rightChars="48" w:firstLine="560" w:firstLineChars="200"/>
              <w:rPr>
                <w:sz w:val="28"/>
                <w:szCs w:val="28"/>
              </w:rPr>
            </w:pPr>
            <w:r>
              <w:rPr>
                <w:sz w:val="28"/>
                <w:szCs w:val="28"/>
              </w:rPr>
              <w:t>为了减少建设施工期间对大气环境所产生的影响，要求施工单位采取施工区与周围环境隔离措施；施工场地经常洒水，以保持地面湿润，减少尘土飞扬；合理调配车辆等措施。</w:t>
            </w:r>
          </w:p>
          <w:p>
            <w:pPr>
              <w:spacing w:line="360" w:lineRule="auto"/>
              <w:rPr>
                <w:b/>
                <w:sz w:val="28"/>
                <w:szCs w:val="28"/>
              </w:rPr>
            </w:pPr>
            <w:r>
              <w:rPr>
                <w:b/>
                <w:sz w:val="28"/>
                <w:szCs w:val="28"/>
              </w:rPr>
              <w:t>2 施工期水环境影响分析</w:t>
            </w:r>
          </w:p>
          <w:p>
            <w:pPr>
              <w:spacing w:before="120" w:beforeLines="50" w:after="120" w:afterLines="50" w:line="360" w:lineRule="auto"/>
              <w:ind w:firstLine="560" w:firstLineChars="200"/>
              <w:rPr>
                <w:sz w:val="28"/>
              </w:rPr>
            </w:pPr>
            <w:r>
              <w:rPr>
                <w:sz w:val="28"/>
                <w:szCs w:val="28"/>
              </w:rPr>
              <w:t>施工期间，施工机械维修废水、现场施工人员生活污水流入水体，将对附近河段的水质产生一定影响，CODcr、SS浓度有所增加。本项目废水产生量少，施工周期短，施工区域无水源保护区。新建变电站、线路目前因处于乡村地区，一般无城市污水管网，建议施工时考虑租用居民民房，利用民房配套污水处理设施处理施工所产生的少量废水。同时要求施工单位加强施工管理，来控制污染物的排放量，减少对附近水质造成的影响。</w:t>
            </w:r>
          </w:p>
          <w:p>
            <w:pPr>
              <w:spacing w:before="120" w:beforeLines="50" w:after="120" w:afterLines="50" w:line="360" w:lineRule="auto"/>
              <w:rPr>
                <w:b/>
                <w:sz w:val="28"/>
                <w:szCs w:val="28"/>
              </w:rPr>
            </w:pPr>
            <w:r>
              <w:rPr>
                <w:b/>
                <w:sz w:val="28"/>
                <w:szCs w:val="28"/>
              </w:rPr>
              <w:t>3 施工期噪声影响分析</w:t>
            </w:r>
          </w:p>
          <w:p>
            <w:pPr>
              <w:pStyle w:val="6"/>
              <w:spacing w:line="360" w:lineRule="auto"/>
              <w:ind w:firstLine="560" w:firstLineChars="200"/>
              <w:rPr>
                <w:szCs w:val="28"/>
                <w:lang w:val="en-US" w:eastAsia="zh-CN"/>
              </w:rPr>
            </w:pPr>
            <w:r>
              <w:rPr>
                <w:szCs w:val="28"/>
                <w:lang w:val="en-US" w:eastAsia="zh-CN"/>
              </w:rPr>
              <w:t>施工期间，各种施工机械都将产生不同程度的噪声污染，对周围环境造成一定的影响，主要噪声源为推土机、载重车辆、气锤打桩机等。但这些噪声在空间传播过程中自然衰减较快。每百m噪声强度可衰减30～40dB左右，因此对300m以外区域的影响不大。但按照《建筑施工场界环境噪声排放标准》（GB 12523-2011）的要求，噪声峰值强度最大的施工机械，夜间应禁止工作，以避免对周围环境的影响。</w:t>
            </w:r>
          </w:p>
          <w:p>
            <w:pPr>
              <w:pStyle w:val="6"/>
              <w:spacing w:line="360" w:lineRule="auto"/>
              <w:ind w:firstLine="560" w:firstLineChars="200"/>
              <w:rPr>
                <w:szCs w:val="28"/>
                <w:lang w:val="en-US" w:eastAsia="zh-CN"/>
              </w:rPr>
            </w:pPr>
            <w:r>
              <w:rPr>
                <w:szCs w:val="28"/>
                <w:lang w:val="en-US" w:eastAsia="zh-CN"/>
              </w:rPr>
              <w:t>为了减少施工期噪声的影响，施工单位必须加强管理，在尽量使用低噪声的施工设备的情况下，合理安排施工进度，加强对高噪声施工机械的管理，夜间尽量不施工或施工时采用低噪声设备。</w:t>
            </w:r>
          </w:p>
          <w:p>
            <w:pPr>
              <w:pStyle w:val="6"/>
              <w:spacing w:line="360" w:lineRule="auto"/>
              <w:ind w:firstLine="0"/>
              <w:rPr>
                <w:szCs w:val="28"/>
                <w:lang w:val="en-US" w:eastAsia="zh-CN"/>
              </w:rPr>
            </w:pPr>
            <w:r>
              <w:rPr>
                <w:szCs w:val="28"/>
                <w:lang w:val="en-US" w:eastAsia="zh-CN"/>
              </w:rPr>
              <w:t>2.1 施工噪声预测</w:t>
            </w:r>
          </w:p>
          <w:p>
            <w:pPr>
              <w:pStyle w:val="6"/>
              <w:spacing w:line="360" w:lineRule="auto"/>
              <w:ind w:firstLine="560" w:firstLineChars="200"/>
              <w:rPr>
                <w:szCs w:val="28"/>
                <w:lang w:val="en-US" w:eastAsia="zh-CN"/>
              </w:rPr>
            </w:pPr>
            <w:r>
              <w:rPr>
                <w:szCs w:val="28"/>
                <w:lang w:val="en-US" w:eastAsia="zh-CN"/>
              </w:rPr>
              <w:t>施工噪声可近似视为点声源处理，其衰减模式如下：</w:t>
            </w:r>
          </w:p>
          <w:p>
            <w:pPr>
              <w:pStyle w:val="6"/>
              <w:spacing w:line="360" w:lineRule="auto"/>
              <w:ind w:firstLine="560" w:firstLineChars="200"/>
              <w:rPr>
                <w:szCs w:val="28"/>
                <w:lang w:val="en-US" w:eastAsia="zh-CN"/>
              </w:rPr>
            </w:pPr>
            <w:r>
              <w:rPr>
                <w:szCs w:val="28"/>
                <w:lang w:val="en-US" w:eastAsia="zh-CN"/>
              </w:rPr>
              <w:t>L</w:t>
            </w:r>
            <w:r>
              <w:rPr>
                <w:szCs w:val="28"/>
                <w:vertAlign w:val="subscript"/>
                <w:lang w:val="en-US" w:eastAsia="zh-CN"/>
              </w:rPr>
              <w:t>p</w:t>
            </w:r>
            <w:r>
              <w:rPr>
                <w:szCs w:val="28"/>
                <w:lang w:val="en-US" w:eastAsia="zh-CN"/>
              </w:rPr>
              <w:t>=L</w:t>
            </w:r>
            <w:r>
              <w:rPr>
                <w:szCs w:val="28"/>
                <w:vertAlign w:val="subscript"/>
                <w:lang w:val="en-US" w:eastAsia="zh-CN"/>
              </w:rPr>
              <w:t>po</w:t>
            </w:r>
            <w:r>
              <w:rPr>
                <w:szCs w:val="28"/>
                <w:lang w:val="en-US" w:eastAsia="zh-CN"/>
              </w:rPr>
              <w:t>-20lg(r/r</w:t>
            </w:r>
            <w:r>
              <w:rPr>
                <w:szCs w:val="28"/>
                <w:vertAlign w:val="subscript"/>
                <w:lang w:val="en-US" w:eastAsia="zh-CN"/>
              </w:rPr>
              <w:t>o</w:t>
            </w:r>
            <w:r>
              <w:rPr>
                <w:szCs w:val="28"/>
                <w:lang w:val="en-US" w:eastAsia="zh-CN"/>
              </w:rPr>
              <w:t>)-△L</w:t>
            </w:r>
          </w:p>
          <w:p>
            <w:pPr>
              <w:pStyle w:val="6"/>
              <w:spacing w:line="360" w:lineRule="auto"/>
              <w:ind w:firstLine="560" w:firstLineChars="200"/>
              <w:rPr>
                <w:szCs w:val="28"/>
                <w:lang w:val="en-US" w:eastAsia="zh-CN"/>
              </w:rPr>
            </w:pPr>
            <w:r>
              <w:rPr>
                <w:szCs w:val="28"/>
                <w:lang w:val="en-US" w:eastAsia="zh-CN"/>
              </w:rPr>
              <w:t>式中：L</w:t>
            </w:r>
            <w:r>
              <w:rPr>
                <w:szCs w:val="28"/>
                <w:vertAlign w:val="subscript"/>
                <w:lang w:val="en-US" w:eastAsia="zh-CN"/>
              </w:rPr>
              <w:t>p</w:t>
            </w:r>
            <w:r>
              <w:rPr>
                <w:szCs w:val="28"/>
                <w:lang w:val="en-US" w:eastAsia="zh-CN"/>
              </w:rPr>
              <w:t>——距声源rm处的施工噪声预测值，dB(A)；</w:t>
            </w:r>
          </w:p>
          <w:p>
            <w:pPr>
              <w:pStyle w:val="6"/>
              <w:spacing w:line="360" w:lineRule="auto"/>
              <w:ind w:firstLine="560" w:firstLineChars="200"/>
              <w:rPr>
                <w:szCs w:val="28"/>
                <w:lang w:val="en-US" w:eastAsia="zh-CN"/>
              </w:rPr>
            </w:pPr>
            <w:r>
              <w:rPr>
                <w:szCs w:val="28"/>
                <w:lang w:val="en-US" w:eastAsia="zh-CN"/>
              </w:rPr>
              <w:t>L</w:t>
            </w:r>
            <w:r>
              <w:rPr>
                <w:szCs w:val="28"/>
                <w:vertAlign w:val="subscript"/>
                <w:lang w:val="en-US" w:eastAsia="zh-CN"/>
              </w:rPr>
              <w:t>po</w:t>
            </w:r>
            <w:r>
              <w:rPr>
                <w:szCs w:val="28"/>
                <w:lang w:val="en-US" w:eastAsia="zh-CN"/>
              </w:rPr>
              <w:t>——距声源r</w:t>
            </w:r>
            <w:r>
              <w:rPr>
                <w:szCs w:val="28"/>
                <w:vertAlign w:val="subscript"/>
                <w:lang w:val="en-US" w:eastAsia="zh-CN"/>
              </w:rPr>
              <w:t>o</w:t>
            </w:r>
            <w:r>
              <w:rPr>
                <w:szCs w:val="28"/>
                <w:lang w:val="en-US" w:eastAsia="zh-CN"/>
              </w:rPr>
              <w:t>m处的参考声级，dB(A)；</w:t>
            </w:r>
          </w:p>
          <w:p>
            <w:pPr>
              <w:pStyle w:val="6"/>
              <w:spacing w:line="360" w:lineRule="auto"/>
              <w:ind w:firstLine="560" w:firstLineChars="200"/>
              <w:rPr>
                <w:szCs w:val="28"/>
                <w:lang w:val="en-US" w:eastAsia="zh-CN"/>
              </w:rPr>
            </w:pPr>
            <w:r>
              <w:rPr>
                <w:szCs w:val="28"/>
                <w:lang w:val="en-US" w:eastAsia="zh-CN"/>
              </w:rPr>
              <w:t>r</w:t>
            </w:r>
            <w:r>
              <w:rPr>
                <w:szCs w:val="28"/>
                <w:vertAlign w:val="subscript"/>
                <w:lang w:val="en-US" w:eastAsia="zh-CN"/>
              </w:rPr>
              <w:t>o</w:t>
            </w:r>
            <w:r>
              <w:rPr>
                <w:szCs w:val="28"/>
                <w:lang w:val="en-US" w:eastAsia="zh-CN"/>
              </w:rPr>
              <w:t>——L</w:t>
            </w:r>
            <w:r>
              <w:rPr>
                <w:szCs w:val="28"/>
                <w:vertAlign w:val="subscript"/>
                <w:lang w:val="en-US" w:eastAsia="zh-CN"/>
              </w:rPr>
              <w:t>po</w:t>
            </w:r>
            <w:r>
              <w:rPr>
                <w:szCs w:val="28"/>
                <w:lang w:val="en-US" w:eastAsia="zh-CN"/>
              </w:rPr>
              <w:t>噪声的测点距离（5m或1m），m；</w:t>
            </w:r>
          </w:p>
          <w:p>
            <w:pPr>
              <w:pStyle w:val="6"/>
              <w:spacing w:line="360" w:lineRule="auto"/>
              <w:ind w:firstLine="560" w:firstLineChars="200"/>
              <w:rPr>
                <w:szCs w:val="28"/>
                <w:lang w:val="en-US" w:eastAsia="zh-CN"/>
              </w:rPr>
            </w:pPr>
            <w:r>
              <w:rPr>
                <w:szCs w:val="28"/>
                <w:lang w:val="en-US" w:eastAsia="zh-CN"/>
              </w:rPr>
              <w:t>△L——采取各种措施后的噪声衰减量，dB(A)。</w:t>
            </w:r>
          </w:p>
          <w:p>
            <w:pPr>
              <w:pStyle w:val="6"/>
              <w:spacing w:line="360" w:lineRule="auto"/>
              <w:ind w:firstLine="560" w:firstLineChars="200"/>
              <w:rPr>
                <w:szCs w:val="28"/>
                <w:lang w:val="en-US" w:eastAsia="zh-CN"/>
              </w:rPr>
            </w:pPr>
            <w:r>
              <w:rPr>
                <w:szCs w:val="28"/>
                <w:lang w:val="en-US" w:eastAsia="zh-CN"/>
              </w:rPr>
              <w:t>施工期主要噪声源有施工机械如挖掘机、运输车辆、推土机等，以及钻孔等施工行为。根据上式，估算出主要施工机械噪声随距离的衰减结果见表12。</w:t>
            </w:r>
          </w:p>
          <w:p>
            <w:pPr>
              <w:pStyle w:val="6"/>
              <w:spacing w:line="360" w:lineRule="auto"/>
              <w:ind w:firstLine="0"/>
              <w:rPr>
                <w:szCs w:val="28"/>
                <w:lang w:val="en-US" w:eastAsia="zh-CN"/>
              </w:rPr>
            </w:pPr>
            <w:r>
              <w:rPr>
                <w:szCs w:val="28"/>
                <w:lang w:val="en-US" w:eastAsia="zh-CN"/>
              </w:rPr>
              <w:t>2.2 施工噪声预测结果及分析</w:t>
            </w:r>
          </w:p>
          <w:p>
            <w:pPr>
              <w:pStyle w:val="6"/>
              <w:spacing w:line="360" w:lineRule="auto"/>
              <w:ind w:firstLine="560" w:firstLineChars="200"/>
              <w:rPr>
                <w:szCs w:val="28"/>
                <w:lang w:val="en-US" w:eastAsia="zh-CN"/>
              </w:rPr>
            </w:pPr>
            <w:r>
              <w:rPr>
                <w:szCs w:val="28"/>
                <w:lang w:val="en-US" w:eastAsia="zh-CN"/>
              </w:rPr>
              <w:t>（1）预测结果</w:t>
            </w:r>
          </w:p>
          <w:p>
            <w:pPr>
              <w:pStyle w:val="6"/>
              <w:spacing w:line="360" w:lineRule="auto"/>
              <w:ind w:firstLine="560" w:firstLineChars="200"/>
              <w:rPr>
                <w:sz w:val="24"/>
                <w:lang w:val="en-US" w:eastAsia="zh-CN"/>
              </w:rPr>
            </w:pPr>
            <w:r>
              <w:rPr>
                <w:szCs w:val="28"/>
                <w:lang w:val="en-US" w:eastAsia="zh-CN"/>
              </w:rPr>
              <w:t>运用上式对管道施工中施工机械噪声的影响进行预测计算，其结果如表12所示。</w:t>
            </w:r>
          </w:p>
          <w:p>
            <w:pPr>
              <w:spacing w:before="120" w:after="120" w:afterLines="50" w:line="360" w:lineRule="auto"/>
              <w:ind w:firstLine="522"/>
              <w:jc w:val="center"/>
              <w:rPr>
                <w:b/>
                <w:sz w:val="24"/>
              </w:rPr>
            </w:pPr>
            <w:r>
              <w:rPr>
                <w:b/>
                <w:sz w:val="24"/>
              </w:rPr>
              <w:t>表12  项目主要施工机械在不同距离处的噪声预测值</w:t>
            </w:r>
          </w:p>
          <w:tbl>
            <w:tblPr>
              <w:tblStyle w:val="11"/>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2322"/>
              <w:gridCol w:w="590"/>
              <w:gridCol w:w="589"/>
              <w:gridCol w:w="589"/>
              <w:gridCol w:w="589"/>
              <w:gridCol w:w="589"/>
              <w:gridCol w:w="589"/>
              <w:gridCol w:w="794"/>
              <w:gridCol w:w="794"/>
              <w:gridCol w:w="794"/>
              <w:gridCol w:w="8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284" w:hRule="atLeast"/>
              </w:trPr>
              <w:tc>
                <w:tcPr>
                  <w:tcW w:w="2322" w:type="dxa"/>
                  <w:vMerge w:val="restart"/>
                  <w:vAlign w:val="center"/>
                </w:tcPr>
                <w:p>
                  <w:pPr>
                    <w:spacing w:line="360" w:lineRule="auto"/>
                    <w:rPr>
                      <w:bCs/>
                    </w:rPr>
                  </w:pPr>
                  <w:r>
                    <w:rPr>
                      <w:bCs/>
                    </w:rPr>
                    <w:t>机械名称</w:t>
                  </w:r>
                </w:p>
              </w:tc>
              <w:tc>
                <w:tcPr>
                  <w:tcW w:w="6718" w:type="dxa"/>
                  <w:gridSpan w:val="10"/>
                  <w:vAlign w:val="center"/>
                </w:tcPr>
                <w:p>
                  <w:pPr>
                    <w:spacing w:line="360" w:lineRule="auto"/>
                    <w:jc w:val="center"/>
                    <w:rPr>
                      <w:bCs/>
                    </w:rPr>
                  </w:pPr>
                  <w:r>
                    <w:rPr>
                      <w:bCs/>
                    </w:rPr>
                    <w:t>噪声预测值dB(A)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cantSplit/>
                <w:trHeight w:val="135" w:hRule="atLeast"/>
              </w:trPr>
              <w:tc>
                <w:tcPr>
                  <w:tcW w:w="2322" w:type="dxa"/>
                  <w:vMerge w:val="continue"/>
                  <w:vAlign w:val="center"/>
                </w:tcPr>
                <w:p>
                  <w:pPr>
                    <w:spacing w:line="360" w:lineRule="auto"/>
                  </w:pPr>
                </w:p>
              </w:tc>
              <w:tc>
                <w:tcPr>
                  <w:tcW w:w="590" w:type="dxa"/>
                  <w:vAlign w:val="center"/>
                </w:tcPr>
                <w:p>
                  <w:pPr>
                    <w:spacing w:line="360" w:lineRule="auto"/>
                    <w:jc w:val="center"/>
                    <w:rPr>
                      <w:bCs/>
                    </w:rPr>
                  </w:pPr>
                  <w:r>
                    <w:rPr>
                      <w:bCs/>
                    </w:rPr>
                    <w:t>5m</w:t>
                  </w:r>
                </w:p>
              </w:tc>
              <w:tc>
                <w:tcPr>
                  <w:tcW w:w="589" w:type="dxa"/>
                  <w:vAlign w:val="center"/>
                </w:tcPr>
                <w:p>
                  <w:pPr>
                    <w:spacing w:line="360" w:lineRule="auto"/>
                    <w:jc w:val="center"/>
                    <w:rPr>
                      <w:bCs/>
                    </w:rPr>
                  </w:pPr>
                  <w:r>
                    <w:rPr>
                      <w:bCs/>
                    </w:rPr>
                    <w:t>15m</w:t>
                  </w:r>
                </w:p>
              </w:tc>
              <w:tc>
                <w:tcPr>
                  <w:tcW w:w="589" w:type="dxa"/>
                  <w:vAlign w:val="center"/>
                </w:tcPr>
                <w:p>
                  <w:pPr>
                    <w:spacing w:line="360" w:lineRule="auto"/>
                    <w:jc w:val="center"/>
                    <w:rPr>
                      <w:bCs/>
                    </w:rPr>
                  </w:pPr>
                  <w:r>
                    <w:rPr>
                      <w:bCs/>
                    </w:rPr>
                    <w:t>20m</w:t>
                  </w:r>
                </w:p>
              </w:tc>
              <w:tc>
                <w:tcPr>
                  <w:tcW w:w="589" w:type="dxa"/>
                  <w:vAlign w:val="center"/>
                </w:tcPr>
                <w:p>
                  <w:pPr>
                    <w:spacing w:line="360" w:lineRule="auto"/>
                    <w:jc w:val="center"/>
                    <w:rPr>
                      <w:bCs/>
                    </w:rPr>
                  </w:pPr>
                  <w:r>
                    <w:rPr>
                      <w:bCs/>
                    </w:rPr>
                    <w:t>30m</w:t>
                  </w:r>
                </w:p>
              </w:tc>
              <w:tc>
                <w:tcPr>
                  <w:tcW w:w="589" w:type="dxa"/>
                  <w:vAlign w:val="center"/>
                </w:tcPr>
                <w:p>
                  <w:pPr>
                    <w:spacing w:line="360" w:lineRule="auto"/>
                    <w:jc w:val="center"/>
                    <w:rPr>
                      <w:bCs/>
                    </w:rPr>
                  </w:pPr>
                  <w:r>
                    <w:rPr>
                      <w:bCs/>
                    </w:rPr>
                    <w:t>40m</w:t>
                  </w:r>
                </w:p>
              </w:tc>
              <w:tc>
                <w:tcPr>
                  <w:tcW w:w="589" w:type="dxa"/>
                  <w:vAlign w:val="center"/>
                </w:tcPr>
                <w:p>
                  <w:pPr>
                    <w:spacing w:line="360" w:lineRule="auto"/>
                    <w:jc w:val="center"/>
                    <w:rPr>
                      <w:bCs/>
                    </w:rPr>
                  </w:pPr>
                  <w:r>
                    <w:rPr>
                      <w:bCs/>
                    </w:rPr>
                    <w:t>50m</w:t>
                  </w:r>
                </w:p>
              </w:tc>
              <w:tc>
                <w:tcPr>
                  <w:tcW w:w="794" w:type="dxa"/>
                  <w:vAlign w:val="center"/>
                </w:tcPr>
                <w:p>
                  <w:pPr>
                    <w:spacing w:line="360" w:lineRule="auto"/>
                    <w:jc w:val="center"/>
                    <w:rPr>
                      <w:bCs/>
                    </w:rPr>
                  </w:pPr>
                  <w:r>
                    <w:rPr>
                      <w:bCs/>
                    </w:rPr>
                    <w:t>100m</w:t>
                  </w:r>
                </w:p>
              </w:tc>
              <w:tc>
                <w:tcPr>
                  <w:tcW w:w="794" w:type="dxa"/>
                  <w:vAlign w:val="center"/>
                </w:tcPr>
                <w:p>
                  <w:pPr>
                    <w:spacing w:line="360" w:lineRule="auto"/>
                    <w:jc w:val="center"/>
                    <w:rPr>
                      <w:bCs/>
                    </w:rPr>
                  </w:pPr>
                  <w:r>
                    <w:rPr>
                      <w:bCs/>
                    </w:rPr>
                    <w:t>150m</w:t>
                  </w:r>
                </w:p>
              </w:tc>
              <w:tc>
                <w:tcPr>
                  <w:tcW w:w="794" w:type="dxa"/>
                  <w:vAlign w:val="center"/>
                </w:tcPr>
                <w:p>
                  <w:pPr>
                    <w:spacing w:line="360" w:lineRule="auto"/>
                    <w:jc w:val="center"/>
                    <w:rPr>
                      <w:bCs/>
                    </w:rPr>
                  </w:pPr>
                  <w:r>
                    <w:rPr>
                      <w:bCs/>
                    </w:rPr>
                    <w:t>200m</w:t>
                  </w:r>
                </w:p>
              </w:tc>
              <w:tc>
                <w:tcPr>
                  <w:tcW w:w="801" w:type="dxa"/>
                  <w:vAlign w:val="center"/>
                </w:tcPr>
                <w:p>
                  <w:pPr>
                    <w:spacing w:line="360" w:lineRule="auto"/>
                    <w:jc w:val="center"/>
                    <w:rPr>
                      <w:bCs/>
                    </w:rPr>
                  </w:pPr>
                  <w:r>
                    <w:rPr>
                      <w:bCs/>
                    </w:rPr>
                    <w:t>300m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trPr>
              <w:tc>
                <w:tcPr>
                  <w:tcW w:w="2322" w:type="dxa"/>
                  <w:vAlign w:val="center"/>
                </w:tcPr>
                <w:p>
                  <w:pPr>
                    <w:spacing w:line="360" w:lineRule="auto"/>
                    <w:rPr>
                      <w:bCs/>
                    </w:rPr>
                  </w:pPr>
                  <w:r>
                    <w:rPr>
                      <w:bCs/>
                    </w:rPr>
                    <w:t>振捣机</w:t>
                  </w:r>
                </w:p>
              </w:tc>
              <w:tc>
                <w:tcPr>
                  <w:tcW w:w="590" w:type="dxa"/>
                  <w:vAlign w:val="center"/>
                </w:tcPr>
                <w:p>
                  <w:pPr>
                    <w:spacing w:line="360" w:lineRule="auto"/>
                    <w:jc w:val="center"/>
                  </w:pPr>
                  <w:r>
                    <w:t>90</w:t>
                  </w:r>
                </w:p>
              </w:tc>
              <w:tc>
                <w:tcPr>
                  <w:tcW w:w="589" w:type="dxa"/>
                  <w:vAlign w:val="center"/>
                </w:tcPr>
                <w:p>
                  <w:pPr>
                    <w:spacing w:line="360" w:lineRule="auto"/>
                    <w:jc w:val="center"/>
                  </w:pPr>
                  <w:r>
                    <w:t>75</w:t>
                  </w:r>
                </w:p>
              </w:tc>
              <w:tc>
                <w:tcPr>
                  <w:tcW w:w="589" w:type="dxa"/>
                  <w:vAlign w:val="center"/>
                </w:tcPr>
                <w:p>
                  <w:pPr>
                    <w:spacing w:line="360" w:lineRule="auto"/>
                    <w:jc w:val="center"/>
                  </w:pPr>
                  <w:r>
                    <w:t>73</w:t>
                  </w:r>
                </w:p>
              </w:tc>
              <w:tc>
                <w:tcPr>
                  <w:tcW w:w="589" w:type="dxa"/>
                  <w:vAlign w:val="center"/>
                </w:tcPr>
                <w:p>
                  <w:pPr>
                    <w:spacing w:line="360" w:lineRule="auto"/>
                    <w:jc w:val="center"/>
                  </w:pPr>
                  <w:r>
                    <w:t>69</w:t>
                  </w:r>
                </w:p>
              </w:tc>
              <w:tc>
                <w:tcPr>
                  <w:tcW w:w="589" w:type="dxa"/>
                  <w:vAlign w:val="center"/>
                </w:tcPr>
                <w:p>
                  <w:pPr>
                    <w:spacing w:line="360" w:lineRule="auto"/>
                    <w:jc w:val="center"/>
                  </w:pPr>
                  <w:r>
                    <w:t>67</w:t>
                  </w:r>
                </w:p>
              </w:tc>
              <w:tc>
                <w:tcPr>
                  <w:tcW w:w="589" w:type="dxa"/>
                  <w:vAlign w:val="center"/>
                </w:tcPr>
                <w:p>
                  <w:pPr>
                    <w:spacing w:line="360" w:lineRule="auto"/>
                    <w:jc w:val="center"/>
                  </w:pPr>
                  <w:r>
                    <w:t>65</w:t>
                  </w:r>
                </w:p>
              </w:tc>
              <w:tc>
                <w:tcPr>
                  <w:tcW w:w="794" w:type="dxa"/>
                  <w:vAlign w:val="center"/>
                </w:tcPr>
                <w:p>
                  <w:pPr>
                    <w:spacing w:line="360" w:lineRule="auto"/>
                    <w:jc w:val="center"/>
                  </w:pPr>
                  <w:r>
                    <w:t>59</w:t>
                  </w:r>
                </w:p>
              </w:tc>
              <w:tc>
                <w:tcPr>
                  <w:tcW w:w="794" w:type="dxa"/>
                  <w:vAlign w:val="center"/>
                </w:tcPr>
                <w:p>
                  <w:pPr>
                    <w:spacing w:line="360" w:lineRule="auto"/>
                    <w:jc w:val="center"/>
                  </w:pPr>
                  <w:r>
                    <w:t>55</w:t>
                  </w:r>
                </w:p>
              </w:tc>
              <w:tc>
                <w:tcPr>
                  <w:tcW w:w="794" w:type="dxa"/>
                  <w:vAlign w:val="center"/>
                </w:tcPr>
                <w:p>
                  <w:pPr>
                    <w:spacing w:line="360" w:lineRule="auto"/>
                    <w:jc w:val="center"/>
                  </w:pPr>
                  <w:r>
                    <w:t>53</w:t>
                  </w:r>
                </w:p>
              </w:tc>
              <w:tc>
                <w:tcPr>
                  <w:tcW w:w="801" w:type="dxa"/>
                  <w:vAlign w:val="center"/>
                </w:tcPr>
                <w:p>
                  <w:pPr>
                    <w:spacing w:line="360" w:lineRule="auto"/>
                    <w:jc w:val="center"/>
                  </w:pPr>
                  <w:r>
                    <w:t>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trPr>
              <w:tc>
                <w:tcPr>
                  <w:tcW w:w="2322" w:type="dxa"/>
                  <w:vAlign w:val="center"/>
                </w:tcPr>
                <w:p>
                  <w:pPr>
                    <w:spacing w:line="360" w:lineRule="auto"/>
                    <w:rPr>
                      <w:bCs/>
                    </w:rPr>
                  </w:pPr>
                  <w:r>
                    <w:rPr>
                      <w:bCs/>
                    </w:rPr>
                    <w:t>切割机、电锯等</w:t>
                  </w:r>
                </w:p>
              </w:tc>
              <w:tc>
                <w:tcPr>
                  <w:tcW w:w="590" w:type="dxa"/>
                  <w:vAlign w:val="center"/>
                </w:tcPr>
                <w:p>
                  <w:pPr>
                    <w:spacing w:line="360" w:lineRule="auto"/>
                    <w:jc w:val="center"/>
                  </w:pPr>
                  <w:r>
                    <w:t>93</w:t>
                  </w:r>
                </w:p>
              </w:tc>
              <w:tc>
                <w:tcPr>
                  <w:tcW w:w="589" w:type="dxa"/>
                  <w:vAlign w:val="center"/>
                </w:tcPr>
                <w:p>
                  <w:pPr>
                    <w:spacing w:line="360" w:lineRule="auto"/>
                    <w:jc w:val="center"/>
                  </w:pPr>
                  <w:r>
                    <w:t>78</w:t>
                  </w:r>
                </w:p>
              </w:tc>
              <w:tc>
                <w:tcPr>
                  <w:tcW w:w="589" w:type="dxa"/>
                  <w:vAlign w:val="center"/>
                </w:tcPr>
                <w:p>
                  <w:pPr>
                    <w:spacing w:line="360" w:lineRule="auto"/>
                    <w:jc w:val="center"/>
                  </w:pPr>
                  <w:r>
                    <w:t>74</w:t>
                  </w:r>
                </w:p>
              </w:tc>
              <w:tc>
                <w:tcPr>
                  <w:tcW w:w="589" w:type="dxa"/>
                  <w:vAlign w:val="center"/>
                </w:tcPr>
                <w:p>
                  <w:pPr>
                    <w:spacing w:line="360" w:lineRule="auto"/>
                    <w:jc w:val="center"/>
                  </w:pPr>
                  <w:r>
                    <w:t>72</w:t>
                  </w:r>
                </w:p>
              </w:tc>
              <w:tc>
                <w:tcPr>
                  <w:tcW w:w="589" w:type="dxa"/>
                  <w:vAlign w:val="center"/>
                </w:tcPr>
                <w:p>
                  <w:pPr>
                    <w:spacing w:line="360" w:lineRule="auto"/>
                    <w:jc w:val="center"/>
                  </w:pPr>
                  <w:r>
                    <w:t>70</w:t>
                  </w:r>
                </w:p>
              </w:tc>
              <w:tc>
                <w:tcPr>
                  <w:tcW w:w="589" w:type="dxa"/>
                  <w:vAlign w:val="center"/>
                </w:tcPr>
                <w:p>
                  <w:pPr>
                    <w:spacing w:line="360" w:lineRule="auto"/>
                    <w:jc w:val="center"/>
                  </w:pPr>
                  <w:r>
                    <w:t>68</w:t>
                  </w:r>
                </w:p>
              </w:tc>
              <w:tc>
                <w:tcPr>
                  <w:tcW w:w="794" w:type="dxa"/>
                  <w:vAlign w:val="center"/>
                </w:tcPr>
                <w:p>
                  <w:pPr>
                    <w:spacing w:line="360" w:lineRule="auto"/>
                    <w:jc w:val="center"/>
                  </w:pPr>
                  <w:r>
                    <w:t>61</w:t>
                  </w:r>
                </w:p>
              </w:tc>
              <w:tc>
                <w:tcPr>
                  <w:tcW w:w="794" w:type="dxa"/>
                  <w:vAlign w:val="center"/>
                </w:tcPr>
                <w:p>
                  <w:pPr>
                    <w:spacing w:line="360" w:lineRule="auto"/>
                    <w:jc w:val="center"/>
                  </w:pPr>
                  <w:r>
                    <w:t>59</w:t>
                  </w:r>
                </w:p>
              </w:tc>
              <w:tc>
                <w:tcPr>
                  <w:tcW w:w="794" w:type="dxa"/>
                  <w:vAlign w:val="center"/>
                </w:tcPr>
                <w:p>
                  <w:pPr>
                    <w:spacing w:line="360" w:lineRule="auto"/>
                    <w:jc w:val="center"/>
                  </w:pPr>
                  <w:r>
                    <w:t>55</w:t>
                  </w:r>
                </w:p>
              </w:tc>
              <w:tc>
                <w:tcPr>
                  <w:tcW w:w="801" w:type="dxa"/>
                  <w:vAlign w:val="center"/>
                </w:tcPr>
                <w:p>
                  <w:pPr>
                    <w:spacing w:line="360" w:lineRule="auto"/>
                    <w:jc w:val="center"/>
                  </w:pPr>
                  <w: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284" w:hRule="atLeast"/>
              </w:trPr>
              <w:tc>
                <w:tcPr>
                  <w:tcW w:w="2322" w:type="dxa"/>
                  <w:vAlign w:val="center"/>
                </w:tcPr>
                <w:p>
                  <w:pPr>
                    <w:spacing w:line="360" w:lineRule="auto"/>
                    <w:rPr>
                      <w:bCs/>
                    </w:rPr>
                  </w:pPr>
                  <w:r>
                    <w:rPr>
                      <w:bCs/>
                    </w:rPr>
                    <w:t>挖掘机、推土机等</w:t>
                  </w:r>
                </w:p>
              </w:tc>
              <w:tc>
                <w:tcPr>
                  <w:tcW w:w="590" w:type="dxa"/>
                  <w:vAlign w:val="center"/>
                </w:tcPr>
                <w:p>
                  <w:pPr>
                    <w:spacing w:line="360" w:lineRule="auto"/>
                    <w:jc w:val="center"/>
                  </w:pPr>
                  <w:r>
                    <w:t>84</w:t>
                  </w:r>
                </w:p>
              </w:tc>
              <w:tc>
                <w:tcPr>
                  <w:tcW w:w="589" w:type="dxa"/>
                  <w:vAlign w:val="center"/>
                </w:tcPr>
                <w:p>
                  <w:pPr>
                    <w:spacing w:line="360" w:lineRule="auto"/>
                    <w:jc w:val="center"/>
                  </w:pPr>
                  <w:r>
                    <w:t>69</w:t>
                  </w:r>
                </w:p>
              </w:tc>
              <w:tc>
                <w:tcPr>
                  <w:tcW w:w="589" w:type="dxa"/>
                  <w:vAlign w:val="center"/>
                </w:tcPr>
                <w:p>
                  <w:pPr>
                    <w:spacing w:line="360" w:lineRule="auto"/>
                    <w:jc w:val="center"/>
                  </w:pPr>
                  <w:r>
                    <w:t>67</w:t>
                  </w:r>
                </w:p>
              </w:tc>
              <w:tc>
                <w:tcPr>
                  <w:tcW w:w="589" w:type="dxa"/>
                  <w:vAlign w:val="center"/>
                </w:tcPr>
                <w:p>
                  <w:pPr>
                    <w:spacing w:line="360" w:lineRule="auto"/>
                    <w:jc w:val="center"/>
                  </w:pPr>
                  <w:r>
                    <w:t>63</w:t>
                  </w:r>
                </w:p>
              </w:tc>
              <w:tc>
                <w:tcPr>
                  <w:tcW w:w="589" w:type="dxa"/>
                  <w:vAlign w:val="center"/>
                </w:tcPr>
                <w:p>
                  <w:pPr>
                    <w:spacing w:line="360" w:lineRule="auto"/>
                    <w:jc w:val="center"/>
                  </w:pPr>
                  <w:r>
                    <w:t>61</w:t>
                  </w:r>
                </w:p>
              </w:tc>
              <w:tc>
                <w:tcPr>
                  <w:tcW w:w="589" w:type="dxa"/>
                  <w:vAlign w:val="center"/>
                </w:tcPr>
                <w:p>
                  <w:pPr>
                    <w:spacing w:line="360" w:lineRule="auto"/>
                    <w:jc w:val="center"/>
                  </w:pPr>
                  <w:r>
                    <w:t>59</w:t>
                  </w:r>
                </w:p>
              </w:tc>
              <w:tc>
                <w:tcPr>
                  <w:tcW w:w="794" w:type="dxa"/>
                  <w:vAlign w:val="center"/>
                </w:tcPr>
                <w:p>
                  <w:pPr>
                    <w:spacing w:line="360" w:lineRule="auto"/>
                    <w:jc w:val="center"/>
                  </w:pPr>
                  <w:r>
                    <w:t>53</w:t>
                  </w:r>
                </w:p>
              </w:tc>
              <w:tc>
                <w:tcPr>
                  <w:tcW w:w="794" w:type="dxa"/>
                  <w:vAlign w:val="center"/>
                </w:tcPr>
                <w:p>
                  <w:pPr>
                    <w:spacing w:line="360" w:lineRule="auto"/>
                    <w:jc w:val="center"/>
                  </w:pPr>
                  <w:r>
                    <w:t>49</w:t>
                  </w:r>
                </w:p>
              </w:tc>
              <w:tc>
                <w:tcPr>
                  <w:tcW w:w="794" w:type="dxa"/>
                  <w:vAlign w:val="center"/>
                </w:tcPr>
                <w:p>
                  <w:pPr>
                    <w:spacing w:line="360" w:lineRule="auto"/>
                    <w:jc w:val="center"/>
                  </w:pPr>
                  <w:r>
                    <w:t>47</w:t>
                  </w:r>
                </w:p>
              </w:tc>
              <w:tc>
                <w:tcPr>
                  <w:tcW w:w="801" w:type="dxa"/>
                  <w:vAlign w:val="center"/>
                </w:tcPr>
                <w:p>
                  <w:pPr>
                    <w:spacing w:line="360" w:lineRule="auto"/>
                    <w:jc w:val="center"/>
                  </w:pPr>
                  <w: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Ex>
              <w:trPr>
                <w:trHeight w:val="300" w:hRule="atLeast"/>
              </w:trPr>
              <w:tc>
                <w:tcPr>
                  <w:tcW w:w="2322" w:type="dxa"/>
                  <w:vAlign w:val="center"/>
                </w:tcPr>
                <w:p>
                  <w:pPr>
                    <w:spacing w:line="360" w:lineRule="auto"/>
                    <w:rPr>
                      <w:bCs/>
                    </w:rPr>
                  </w:pPr>
                  <w:r>
                    <w:rPr>
                      <w:bCs/>
                    </w:rPr>
                    <w:t>三种机械噪声叠加值</w:t>
                  </w:r>
                </w:p>
              </w:tc>
              <w:tc>
                <w:tcPr>
                  <w:tcW w:w="590" w:type="dxa"/>
                  <w:vAlign w:val="center"/>
                </w:tcPr>
                <w:p>
                  <w:pPr>
                    <w:spacing w:line="360" w:lineRule="auto"/>
                    <w:jc w:val="center"/>
                  </w:pPr>
                  <w:r>
                    <w:t>94</w:t>
                  </w:r>
                </w:p>
              </w:tc>
              <w:tc>
                <w:tcPr>
                  <w:tcW w:w="589" w:type="dxa"/>
                  <w:vAlign w:val="center"/>
                </w:tcPr>
                <w:p>
                  <w:pPr>
                    <w:spacing w:line="360" w:lineRule="auto"/>
                    <w:jc w:val="center"/>
                  </w:pPr>
                  <w:r>
                    <w:t>80</w:t>
                  </w:r>
                </w:p>
              </w:tc>
              <w:tc>
                <w:tcPr>
                  <w:tcW w:w="589" w:type="dxa"/>
                  <w:vAlign w:val="center"/>
                </w:tcPr>
                <w:p>
                  <w:pPr>
                    <w:spacing w:line="360" w:lineRule="auto"/>
                    <w:jc w:val="center"/>
                  </w:pPr>
                  <w:r>
                    <w:t>77</w:t>
                  </w:r>
                </w:p>
              </w:tc>
              <w:tc>
                <w:tcPr>
                  <w:tcW w:w="589" w:type="dxa"/>
                  <w:vAlign w:val="center"/>
                </w:tcPr>
                <w:p>
                  <w:pPr>
                    <w:spacing w:line="360" w:lineRule="auto"/>
                    <w:jc w:val="center"/>
                  </w:pPr>
                  <w:r>
                    <w:t>74</w:t>
                  </w:r>
                </w:p>
              </w:tc>
              <w:tc>
                <w:tcPr>
                  <w:tcW w:w="589" w:type="dxa"/>
                  <w:vAlign w:val="center"/>
                </w:tcPr>
                <w:p>
                  <w:pPr>
                    <w:spacing w:line="360" w:lineRule="auto"/>
                    <w:jc w:val="center"/>
                  </w:pPr>
                  <w:r>
                    <w:t>71</w:t>
                  </w:r>
                </w:p>
              </w:tc>
              <w:tc>
                <w:tcPr>
                  <w:tcW w:w="589" w:type="dxa"/>
                  <w:vAlign w:val="center"/>
                </w:tcPr>
                <w:p>
                  <w:pPr>
                    <w:spacing w:line="360" w:lineRule="auto"/>
                    <w:jc w:val="center"/>
                  </w:pPr>
                  <w:r>
                    <w:t>69</w:t>
                  </w:r>
                </w:p>
              </w:tc>
              <w:tc>
                <w:tcPr>
                  <w:tcW w:w="794" w:type="dxa"/>
                  <w:vAlign w:val="center"/>
                </w:tcPr>
                <w:p>
                  <w:pPr>
                    <w:spacing w:line="360" w:lineRule="auto"/>
                    <w:jc w:val="center"/>
                  </w:pPr>
                  <w:r>
                    <w:t>63</w:t>
                  </w:r>
                </w:p>
              </w:tc>
              <w:tc>
                <w:tcPr>
                  <w:tcW w:w="794" w:type="dxa"/>
                  <w:vAlign w:val="center"/>
                </w:tcPr>
                <w:p>
                  <w:pPr>
                    <w:spacing w:line="360" w:lineRule="auto"/>
                    <w:jc w:val="center"/>
                  </w:pPr>
                  <w:r>
                    <w:t>60</w:t>
                  </w:r>
                </w:p>
              </w:tc>
              <w:tc>
                <w:tcPr>
                  <w:tcW w:w="794" w:type="dxa"/>
                  <w:vAlign w:val="center"/>
                </w:tcPr>
                <w:p>
                  <w:pPr>
                    <w:spacing w:line="360" w:lineRule="auto"/>
                    <w:jc w:val="center"/>
                  </w:pPr>
                  <w:r>
                    <w:t>57</w:t>
                  </w:r>
                </w:p>
              </w:tc>
              <w:tc>
                <w:tcPr>
                  <w:tcW w:w="801" w:type="dxa"/>
                  <w:vAlign w:val="center"/>
                </w:tcPr>
                <w:p>
                  <w:pPr>
                    <w:spacing w:line="360" w:lineRule="auto"/>
                    <w:jc w:val="center"/>
                  </w:pPr>
                  <w:r>
                    <w:t>54</w:t>
                  </w:r>
                </w:p>
              </w:tc>
            </w:tr>
          </w:tbl>
          <w:p>
            <w:pPr>
              <w:pStyle w:val="6"/>
              <w:spacing w:line="360" w:lineRule="auto"/>
              <w:ind w:firstLine="560" w:firstLineChars="200"/>
              <w:rPr>
                <w:szCs w:val="28"/>
                <w:lang w:val="en-US" w:eastAsia="zh-CN"/>
              </w:rPr>
            </w:pPr>
            <w:r>
              <w:rPr>
                <w:szCs w:val="28"/>
                <w:lang w:val="en-US" w:eastAsia="zh-CN"/>
              </w:rPr>
              <w:t>（2）施工期噪声影响分析</w:t>
            </w:r>
          </w:p>
          <w:p>
            <w:pPr>
              <w:pStyle w:val="6"/>
              <w:spacing w:line="360" w:lineRule="auto"/>
              <w:ind w:firstLine="560" w:firstLineChars="200"/>
              <w:rPr>
                <w:szCs w:val="28"/>
                <w:lang w:val="en-US" w:eastAsia="zh-CN"/>
              </w:rPr>
            </w:pPr>
            <w:r>
              <w:rPr>
                <w:szCs w:val="28"/>
                <w:lang w:val="en-US" w:eastAsia="zh-CN"/>
              </w:rPr>
              <w:t>根据表12预测结果可知，项目施工期使用挖掘机等高噪声施工机械时，必须禁止夜间施工。</w:t>
            </w:r>
          </w:p>
          <w:p>
            <w:pPr>
              <w:spacing w:line="360" w:lineRule="auto"/>
              <w:ind w:right="86" w:rightChars="41"/>
              <w:rPr>
                <w:b/>
                <w:sz w:val="28"/>
              </w:rPr>
            </w:pPr>
            <w:r>
              <w:rPr>
                <w:b/>
                <w:sz w:val="28"/>
              </w:rPr>
              <w:t>4 施工期生态影响分析</w:t>
            </w:r>
          </w:p>
          <w:p>
            <w:pPr>
              <w:pStyle w:val="6"/>
              <w:spacing w:line="360" w:lineRule="auto"/>
              <w:ind w:firstLine="560" w:firstLineChars="200"/>
              <w:rPr>
                <w:szCs w:val="28"/>
                <w:lang w:val="en-US" w:eastAsia="zh-CN"/>
              </w:rPr>
            </w:pPr>
            <w:r>
              <w:rPr>
                <w:szCs w:val="28"/>
                <w:lang w:val="en-US" w:eastAsia="zh-CN"/>
              </w:rPr>
              <w:t>本工程属于普通的高压输变电工程，对当地动植物的生存环境影响极其微弱，对附近生物群落的生物量、物种的多样性影响较小。工程对生态环境的主要影响主要产生在施工期，属于近期影响，长期影响为当地景观的改变。</w:t>
            </w:r>
          </w:p>
          <w:p>
            <w:pPr>
              <w:pStyle w:val="6"/>
              <w:spacing w:line="360" w:lineRule="auto"/>
              <w:ind w:firstLine="560"/>
              <w:rPr>
                <w:szCs w:val="28"/>
                <w:lang w:val="en-US" w:eastAsia="zh-CN"/>
              </w:rPr>
            </w:pPr>
            <w:r>
              <w:rPr>
                <w:szCs w:val="28"/>
                <w:lang w:val="en-US" w:eastAsia="zh-CN"/>
              </w:rPr>
              <w:t>（1）项目建设对植被的影响</w:t>
            </w:r>
          </w:p>
          <w:p>
            <w:pPr>
              <w:pStyle w:val="6"/>
              <w:spacing w:line="360" w:lineRule="auto"/>
              <w:ind w:firstLine="560"/>
              <w:rPr>
                <w:szCs w:val="28"/>
                <w:lang w:val="en-US" w:eastAsia="zh-CN"/>
              </w:rPr>
            </w:pPr>
            <w:r>
              <w:rPr>
                <w:szCs w:val="28"/>
                <w:lang w:val="en-US" w:eastAsia="zh-CN"/>
              </w:rPr>
              <w:t>工程建设中的变电站建设及塔基开挖将不可避免破坏附近的植被，会导致项目区的植物总量有所下降。项目区的植被均为当地常见物种，不会引起项目区域植物种和种群的灭绝。同时，在项目评价区域内未发现珍稀、濒危及国家重点保护野生植物分布，也无古树名木，因此项目永久性建设用地并不会对项目区域的植物多样性保护产生不利影响。</w:t>
            </w:r>
          </w:p>
          <w:p>
            <w:pPr>
              <w:pStyle w:val="6"/>
              <w:spacing w:line="360" w:lineRule="auto"/>
              <w:ind w:firstLine="560"/>
              <w:rPr>
                <w:szCs w:val="28"/>
                <w:lang w:val="en-US" w:eastAsia="zh-CN"/>
              </w:rPr>
            </w:pPr>
            <w:r>
              <w:rPr>
                <w:szCs w:val="28"/>
                <w:lang w:val="en-US" w:eastAsia="zh-CN"/>
              </w:rPr>
              <w:t>施工场地的植物因施工活动也将部分消失，导致本区域绿地面积有一定减少。绿地减少将导致该区域物种种群数量减少，因施工范围有限，不至使这些物种灭绝，仅只是某些居群数量减少。施工期大量裸地的增加，将使原有的群落结构遭受一定程度的破坏。</w:t>
            </w:r>
          </w:p>
          <w:p>
            <w:pPr>
              <w:pStyle w:val="6"/>
              <w:spacing w:line="360" w:lineRule="auto"/>
              <w:ind w:firstLine="560" w:firstLineChars="200"/>
              <w:rPr>
                <w:szCs w:val="28"/>
                <w:lang w:val="en-US" w:eastAsia="zh-CN"/>
              </w:rPr>
            </w:pPr>
            <w:r>
              <w:rPr>
                <w:szCs w:val="28"/>
                <w:lang w:val="en-US" w:eastAsia="zh-CN"/>
              </w:rPr>
              <w:t>总体来看，本项目的实施将在一定程度上造成植被资源减少、景观风貌遭受破坏、坏境质量下降等，对地方生态环境造成一定的影响。但只要建设和施工单位加强管理，认真落实和执行各项环保措施及水保措施，可将项目建设对生态的影响程度降至最低。</w:t>
            </w:r>
          </w:p>
          <w:p>
            <w:pPr>
              <w:pStyle w:val="6"/>
              <w:spacing w:line="360" w:lineRule="auto"/>
              <w:ind w:firstLine="560"/>
              <w:rPr>
                <w:szCs w:val="28"/>
                <w:lang w:val="en-US" w:eastAsia="zh-CN"/>
              </w:rPr>
            </w:pPr>
            <w:r>
              <w:rPr>
                <w:szCs w:val="28"/>
                <w:lang w:val="en-US" w:eastAsia="zh-CN"/>
              </w:rPr>
              <w:t>（2）项目建设对野生动物的影响</w:t>
            </w:r>
          </w:p>
          <w:p>
            <w:pPr>
              <w:pStyle w:val="6"/>
              <w:spacing w:line="360" w:lineRule="auto"/>
              <w:ind w:firstLine="560" w:firstLineChars="200"/>
              <w:rPr>
                <w:szCs w:val="28"/>
                <w:lang w:val="en-US" w:eastAsia="zh-CN"/>
              </w:rPr>
            </w:pPr>
            <w:r>
              <w:rPr>
                <w:szCs w:val="28"/>
                <w:lang w:val="en-US" w:eastAsia="zh-CN"/>
              </w:rPr>
              <w:t>工程的施工，永久占地及施工区临时占地，施工机械和施工人员进场，石料、土料堆积场及施工噪声均破坏了现有野生动物的生存环境，导致动物栖息环境发生改变，对该区域的野生动物将产生不利影响，但是这种不利影响有时间限制，随着施工结束，生态的恢复，它们仍可以回到原来的领域附近，继续生活。</w:t>
            </w:r>
          </w:p>
          <w:p>
            <w:pPr>
              <w:pStyle w:val="6"/>
              <w:spacing w:line="360" w:lineRule="auto"/>
              <w:ind w:firstLine="0"/>
              <w:rPr>
                <w:szCs w:val="28"/>
                <w:lang w:val="en-US" w:eastAsia="zh-CN"/>
              </w:rPr>
            </w:pPr>
            <w:r>
              <w:rPr>
                <w:b/>
                <w:lang w:eastAsia="zh-CN"/>
              </w:rPr>
              <w:t>5 小结</w:t>
            </w:r>
          </w:p>
          <w:p>
            <w:pPr>
              <w:pStyle w:val="6"/>
              <w:spacing w:line="360" w:lineRule="auto"/>
              <w:ind w:firstLine="560" w:firstLineChars="200"/>
              <w:rPr>
                <w:lang w:val="en-US" w:eastAsia="zh-CN"/>
              </w:rPr>
            </w:pPr>
            <w:r>
              <w:rPr>
                <w:szCs w:val="28"/>
                <w:lang w:val="en-US" w:eastAsia="zh-CN"/>
              </w:rPr>
              <w:t>综上所述，本项目施工期对环境的主要影响是生态影响、噪声、粉尘和施工废水，采取有效的防治措施后，对环境的影响较小。施工期对环境的影响是短期的、暂时的，施工结束，对环境的影响随之消失。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513" w:hRule="atLeast"/>
          <w:jc w:val="center"/>
        </w:trPr>
        <w:tc>
          <w:tcPr>
            <w:tcW w:w="9286" w:type="dxa"/>
            <w:tcBorders>
              <w:top w:val="single" w:color="auto" w:sz="12" w:space="0"/>
              <w:left w:val="single" w:color="auto" w:sz="12" w:space="0"/>
              <w:bottom w:val="single" w:color="auto" w:sz="12" w:space="0"/>
              <w:right w:val="single" w:color="auto" w:sz="12" w:space="0"/>
            </w:tcBorders>
            <w:vAlign w:val="top"/>
          </w:tcPr>
          <w:p>
            <w:pPr>
              <w:spacing w:line="360" w:lineRule="auto"/>
              <w:rPr>
                <w:b/>
                <w:sz w:val="28"/>
                <w:szCs w:val="28"/>
              </w:rPr>
            </w:pPr>
            <w:r>
              <w:rPr>
                <w:b/>
                <w:sz w:val="28"/>
                <w:szCs w:val="28"/>
              </w:rPr>
              <w:t>营运期环境影响分析：</w:t>
            </w:r>
          </w:p>
          <w:p>
            <w:pPr>
              <w:spacing w:before="120" w:beforeLines="50" w:line="360" w:lineRule="auto"/>
              <w:rPr>
                <w:sz w:val="28"/>
                <w:szCs w:val="28"/>
              </w:rPr>
            </w:pPr>
            <w:r>
              <w:rPr>
                <w:b/>
                <w:sz w:val="28"/>
                <w:szCs w:val="28"/>
              </w:rPr>
              <w:t>1 电磁环境影响预测与评价</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为了解邵阳市2017年第一批输变电工程的电磁环境影响，根据工程电压等级、变电站布置形式、线路杆塔类型等参数，本报告采取类比监测的方式对城东、高沙、黄陂桥、大岭、六岭110kV变电站及相关配套线路电磁环境影响进行预测和评价；采取类比监测和模式预测的方式对城东110kV输变电工程配套线路、邵阳宝莲二期风电110kV送出工程、大唐华银绥宁宝鼎山风电二期三期110kV送出工程、隆回金坪110kV风电送出工程、六岭110kV输变电工程配套线路的电磁环境影响进行预测和评价。</w:t>
            </w:r>
          </w:p>
          <w:p>
            <w:pPr>
              <w:pStyle w:val="15"/>
              <w:spacing w:line="36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1.1 类比监测</w:t>
            </w:r>
          </w:p>
          <w:p>
            <w:pPr>
              <w:pStyle w:val="15"/>
              <w:spacing w:line="36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1.1.1 变电站电磁环境类比监测</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（1）变电站类比对象选择的原则</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根据电磁场理论：</w:t>
            </w:r>
          </w:p>
          <w:p>
            <w:pPr>
              <w:pStyle w:val="15"/>
              <w:numPr>
                <w:ilvl w:val="0"/>
                <w:numId w:val="2"/>
              </w:numPr>
              <w:spacing w:line="360" w:lineRule="auto"/>
              <w:ind w:firstLineChars="0"/>
              <w:rPr>
                <w:rFonts w:ascii="Times New Roman" w:hAnsi="Times New Roman" w:eastAsia="宋体" w:cs="Times New Roman"/>
                <w:sz w:val="28"/>
                <w:szCs w:val="28"/>
              </w:rPr>
            </w:pPr>
            <w:r>
              <w:rPr>
                <w:rFonts w:ascii="Times New Roman" w:hAnsi="Times New Roman" w:eastAsia="宋体" w:cs="Times New Roman"/>
                <w:sz w:val="28"/>
                <w:szCs w:val="28"/>
              </w:rPr>
              <w:t xml:space="preserve"> 电荷或带电导体周围存在着电场；有规则地运动的电荷或者流过电流的导体周围存在着磁场，即电压产生电场、电流产生磁场。</w:t>
            </w:r>
          </w:p>
          <w:p>
            <w:pPr>
              <w:pStyle w:val="15"/>
              <w:numPr>
                <w:ilvl w:val="0"/>
                <w:numId w:val="2"/>
              </w:numPr>
              <w:spacing w:line="360" w:lineRule="auto"/>
              <w:ind w:firstLineChars="0"/>
              <w:rPr>
                <w:rFonts w:ascii="Times New Roman" w:hAnsi="Times New Roman" w:eastAsia="宋体" w:cs="Times New Roman"/>
                <w:sz w:val="28"/>
                <w:szCs w:val="28"/>
              </w:rPr>
            </w:pPr>
            <w:r>
              <w:rPr>
                <w:rFonts w:ascii="Times New Roman" w:hAnsi="Times New Roman" w:eastAsia="宋体" w:cs="Times New Roman"/>
                <w:sz w:val="28"/>
                <w:szCs w:val="28"/>
              </w:rPr>
              <w:t xml:space="preserve"> 工频电场、磁场随距离的衰减很快，即随距离的平方、三次方衰减，是工频电场和工频磁场作为感应场的基本衰减特性。</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工频电场强度主要取决于电压等级及关心点与源的距离，并与环境湿度、植被及地理地形因子等屏蔽条件相关；工频磁感应强度主要取决于电流及关心点与源的距离。</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变电站电磁场环境类比测量，从严格意义讲，具备完全相同的设备型号（决定了电压等级及额定功率、额定电流等）、布置情况（决定了距离因子）和环境条件是最理想的，及不仅具有相同的主变数量和容量，而且一次主接线也相同，布置情况及环境条件也相同。但是要满足这样的条件也是很困难的，要决这一实际困难，可以在关键部分相同，而达到进行类比的条件。所谓关键部分，就是主要的工频电场、工频磁场产生源。</w:t>
            </w:r>
          </w:p>
          <w:p>
            <w:pPr>
              <w:spacing w:line="360" w:lineRule="auto"/>
              <w:ind w:firstLine="560" w:firstLineChars="200"/>
              <w:rPr>
                <w:sz w:val="28"/>
                <w:szCs w:val="28"/>
              </w:rPr>
            </w:pPr>
            <w:r>
              <w:rPr>
                <w:kern w:val="0"/>
                <w:sz w:val="28"/>
                <w:szCs w:val="28"/>
              </w:rPr>
              <w:t>对于变电站围墙外的工频电场强度，要求最近的高压带电构架布置一致、电压相同，此时就可以认为具有可比性；同样对于变电站围墙外的工频磁场，也要求最近的流通导体的布置和电流相同才具有可比性。实际情况是：工频电场的类比条件相对容易实现，因为变电站主设备和母线电压</w:t>
            </w:r>
            <w:r>
              <w:rPr>
                <w:sz w:val="28"/>
                <w:szCs w:val="28"/>
              </w:rPr>
              <w:t>是基本稳定的，不会随时间和负荷的变化而产生大的变化。但是产生工频磁场的电流却随负荷变化而有较大的变化。根据以往对诸多变电站的电磁环境的类比监测结果，变电站周围的磁感应强度远小于100μT的限值标准，而变电站围墙外进出线处的工频电场强度则有可能超过4000V/m。因此主要针对工频电场选取类比对象。</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（2）类比变电站及可比性分析</w:t>
            </w:r>
          </w:p>
          <w:p>
            <w:pPr>
              <w:pStyle w:val="15"/>
              <w:spacing w:line="360" w:lineRule="auto"/>
              <w:ind w:firstLine="560"/>
              <w:rPr>
                <w:rFonts w:ascii="Times New Roman" w:hAnsi="Times New Roman" w:cs="Times New Roman"/>
                <w:sz w:val="28"/>
                <w:szCs w:val="28"/>
              </w:rPr>
            </w:pPr>
            <w:r>
              <w:rPr>
                <w:rFonts w:ascii="Times New Roman" w:hAnsi="Times New Roman" w:eastAsia="宋体" w:cs="Times New Roman"/>
                <w:sz w:val="28"/>
                <w:szCs w:val="28"/>
              </w:rPr>
              <w:t>根据上述类比原则以及本报告中新建及改扩建变电站的规模、电压等级、容量、环境条件等因素，本工程选择月溪110kV变电站、寺山110kV变电站、桔园110kV变电站作为类比对象，有关情况如表13、表14、表15所示。监测数据引用自通过湖南省环保厅组织评审的竣工环保验收监测报告</w:t>
            </w:r>
            <w:r>
              <w:rPr>
                <w:rFonts w:ascii="Times New Roman" w:hAnsi="Times New Roman" w:cs="Times New Roman"/>
                <w:sz w:val="28"/>
                <w:szCs w:val="28"/>
              </w:rPr>
              <w:t>。</w:t>
            </w:r>
          </w:p>
          <w:p>
            <w:pPr>
              <w:ind w:right="101" w:rightChars="48"/>
              <w:jc w:val="center"/>
              <w:rPr>
                <w:b/>
                <w:sz w:val="24"/>
                <w:szCs w:val="24"/>
              </w:rPr>
            </w:pPr>
            <w:r>
              <w:rPr>
                <w:b/>
                <w:sz w:val="24"/>
                <w:szCs w:val="24"/>
              </w:rPr>
              <w:t>表13  户外式110kV类比变电站和新建变电站概况</w:t>
            </w:r>
          </w:p>
          <w:tbl>
            <w:tblPr>
              <w:tblStyle w:val="11"/>
              <w:tblW w:w="851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558"/>
              <w:gridCol w:w="2910"/>
              <w:gridCol w:w="30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55" w:hRule="atLeast"/>
                <w:jc w:val="center"/>
              </w:trPr>
              <w:tc>
                <w:tcPr>
                  <w:tcW w:w="2558" w:type="dxa"/>
                  <w:vAlign w:val="center"/>
                </w:tcPr>
                <w:p>
                  <w:pPr>
                    <w:jc w:val="center"/>
                    <w:rPr>
                      <w:kern w:val="0"/>
                      <w:sz w:val="24"/>
                    </w:rPr>
                  </w:pPr>
                  <w:r>
                    <w:rPr>
                      <w:kern w:val="0"/>
                      <w:sz w:val="24"/>
                    </w:rPr>
                    <w:t>工程</w:t>
                  </w:r>
                </w:p>
              </w:tc>
              <w:tc>
                <w:tcPr>
                  <w:tcW w:w="2910" w:type="dxa"/>
                  <w:tcBorders>
                    <w:right w:val="single" w:color="auto" w:sz="4" w:space="0"/>
                  </w:tcBorders>
                  <w:vAlign w:val="center"/>
                </w:tcPr>
                <w:p>
                  <w:pPr>
                    <w:jc w:val="center"/>
                    <w:rPr>
                      <w:kern w:val="0"/>
                      <w:sz w:val="24"/>
                    </w:rPr>
                  </w:pPr>
                  <w:r>
                    <w:rPr>
                      <w:kern w:val="0"/>
                      <w:sz w:val="24"/>
                    </w:rPr>
                    <w:t>类比变电站</w:t>
                  </w:r>
                </w:p>
              </w:tc>
              <w:tc>
                <w:tcPr>
                  <w:tcW w:w="3045" w:type="dxa"/>
                  <w:tcBorders>
                    <w:left w:val="single" w:color="auto" w:sz="4" w:space="0"/>
                    <w:bottom w:val="single" w:color="auto" w:sz="4" w:space="0"/>
                  </w:tcBorders>
                  <w:vAlign w:val="center"/>
                </w:tcPr>
                <w:p>
                  <w:pPr>
                    <w:jc w:val="center"/>
                    <w:rPr>
                      <w:kern w:val="0"/>
                      <w:sz w:val="24"/>
                    </w:rPr>
                  </w:pPr>
                  <w:r>
                    <w:rPr>
                      <w:kern w:val="0"/>
                      <w:sz w:val="24"/>
                    </w:rPr>
                    <w:t>新建变电站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558" w:type="dxa"/>
                  <w:vAlign w:val="center"/>
                </w:tcPr>
                <w:p>
                  <w:pPr>
                    <w:jc w:val="center"/>
                    <w:rPr>
                      <w:kern w:val="0"/>
                      <w:sz w:val="24"/>
                    </w:rPr>
                  </w:pPr>
                  <w:r>
                    <w:rPr>
                      <w:kern w:val="0"/>
                      <w:sz w:val="24"/>
                    </w:rPr>
                    <w:t>变电站名称</w:t>
                  </w:r>
                </w:p>
              </w:tc>
              <w:tc>
                <w:tcPr>
                  <w:tcW w:w="2910" w:type="dxa"/>
                  <w:tcBorders>
                    <w:right w:val="single" w:color="auto" w:sz="4" w:space="0"/>
                  </w:tcBorders>
                  <w:vAlign w:val="center"/>
                </w:tcPr>
                <w:p>
                  <w:pPr>
                    <w:jc w:val="center"/>
                    <w:rPr>
                      <w:kern w:val="0"/>
                      <w:sz w:val="24"/>
                    </w:rPr>
                  </w:pPr>
                  <w:r>
                    <w:rPr>
                      <w:kern w:val="0"/>
                      <w:sz w:val="24"/>
                    </w:rPr>
                    <w:t>月溪110kV变电站</w:t>
                  </w:r>
                </w:p>
              </w:tc>
              <w:tc>
                <w:tcPr>
                  <w:tcW w:w="3045" w:type="dxa"/>
                  <w:tcBorders>
                    <w:left w:val="single" w:color="auto" w:sz="4" w:space="0"/>
                  </w:tcBorders>
                  <w:vAlign w:val="center"/>
                </w:tcPr>
                <w:p>
                  <w:pPr>
                    <w:jc w:val="center"/>
                    <w:rPr>
                      <w:kern w:val="0"/>
                      <w:sz w:val="24"/>
                    </w:rPr>
                  </w:pPr>
                  <w:r>
                    <w:rPr>
                      <w:kern w:val="0"/>
                      <w:sz w:val="24"/>
                    </w:rPr>
                    <w:t>城东110kV变电站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558" w:type="dxa"/>
                  <w:vAlign w:val="center"/>
                </w:tcPr>
                <w:p>
                  <w:pPr>
                    <w:jc w:val="center"/>
                    <w:rPr>
                      <w:kern w:val="0"/>
                      <w:sz w:val="24"/>
                    </w:rPr>
                  </w:pPr>
                  <w:r>
                    <w:rPr>
                      <w:kern w:val="0"/>
                      <w:sz w:val="24"/>
                    </w:rPr>
                    <w:t>地理位置</w:t>
                  </w:r>
                </w:p>
              </w:tc>
              <w:tc>
                <w:tcPr>
                  <w:tcW w:w="2910" w:type="dxa"/>
                  <w:tcBorders>
                    <w:right w:val="single" w:color="auto" w:sz="4" w:space="0"/>
                  </w:tcBorders>
                  <w:vAlign w:val="center"/>
                </w:tcPr>
                <w:p>
                  <w:pPr>
                    <w:jc w:val="center"/>
                    <w:rPr>
                      <w:kern w:val="0"/>
                      <w:sz w:val="24"/>
                    </w:rPr>
                  </w:pPr>
                  <w:r>
                    <w:rPr>
                      <w:sz w:val="24"/>
                    </w:rPr>
                    <w:t>邵阳洞口县月溪镇洪成村</w:t>
                  </w:r>
                </w:p>
              </w:tc>
              <w:tc>
                <w:tcPr>
                  <w:tcW w:w="3045" w:type="dxa"/>
                  <w:tcBorders>
                    <w:left w:val="single" w:color="auto" w:sz="4" w:space="0"/>
                  </w:tcBorders>
                  <w:vAlign w:val="center"/>
                </w:tcPr>
                <w:p>
                  <w:pPr>
                    <w:jc w:val="center"/>
                    <w:rPr>
                      <w:kern w:val="0"/>
                      <w:sz w:val="24"/>
                    </w:rPr>
                  </w:pPr>
                  <w:r>
                    <w:rPr>
                      <w:sz w:val="24"/>
                    </w:rPr>
                    <w:t>隆回县桃洪镇马杓村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558" w:type="dxa"/>
                  <w:vAlign w:val="center"/>
                </w:tcPr>
                <w:p>
                  <w:pPr>
                    <w:jc w:val="center"/>
                    <w:rPr>
                      <w:kern w:val="0"/>
                      <w:sz w:val="24"/>
                    </w:rPr>
                  </w:pPr>
                  <w:r>
                    <w:rPr>
                      <w:kern w:val="0"/>
                      <w:sz w:val="24"/>
                    </w:rPr>
                    <w:t>布置形式</w:t>
                  </w:r>
                </w:p>
              </w:tc>
              <w:tc>
                <w:tcPr>
                  <w:tcW w:w="2910" w:type="dxa"/>
                  <w:tcBorders>
                    <w:right w:val="single" w:color="auto" w:sz="4" w:space="0"/>
                  </w:tcBorders>
                  <w:vAlign w:val="center"/>
                </w:tcPr>
                <w:p>
                  <w:pPr>
                    <w:spacing w:line="240" w:lineRule="exact"/>
                    <w:jc w:val="center"/>
                    <w:rPr>
                      <w:kern w:val="0"/>
                      <w:sz w:val="24"/>
                    </w:rPr>
                  </w:pPr>
                  <w:r>
                    <w:rPr>
                      <w:kern w:val="0"/>
                      <w:sz w:val="24"/>
                    </w:rPr>
                    <w:t>户外式</w:t>
                  </w:r>
                </w:p>
              </w:tc>
              <w:tc>
                <w:tcPr>
                  <w:tcW w:w="3045" w:type="dxa"/>
                  <w:tcBorders>
                    <w:left w:val="single" w:color="auto" w:sz="4" w:space="0"/>
                  </w:tcBorders>
                  <w:vAlign w:val="center"/>
                </w:tcPr>
                <w:p>
                  <w:pPr>
                    <w:jc w:val="center"/>
                    <w:rPr>
                      <w:kern w:val="0"/>
                      <w:sz w:val="24"/>
                    </w:rPr>
                  </w:pPr>
                  <w:r>
                    <w:rPr>
                      <w:kern w:val="0"/>
                      <w:sz w:val="24"/>
                    </w:rPr>
                    <w:t>户外式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558" w:type="dxa"/>
                  <w:vAlign w:val="center"/>
                </w:tcPr>
                <w:p>
                  <w:pPr>
                    <w:jc w:val="center"/>
                    <w:rPr>
                      <w:kern w:val="0"/>
                      <w:sz w:val="24"/>
                    </w:rPr>
                  </w:pPr>
                  <w:r>
                    <w:rPr>
                      <w:kern w:val="0"/>
                      <w:sz w:val="24"/>
                    </w:rPr>
                    <w:t>主变容量</w:t>
                  </w:r>
                </w:p>
              </w:tc>
              <w:tc>
                <w:tcPr>
                  <w:tcW w:w="2910" w:type="dxa"/>
                  <w:tcBorders>
                    <w:right w:val="single" w:color="auto" w:sz="4" w:space="0"/>
                  </w:tcBorders>
                  <w:vAlign w:val="center"/>
                </w:tcPr>
                <w:p>
                  <w:pPr>
                    <w:jc w:val="center"/>
                    <w:rPr>
                      <w:kern w:val="0"/>
                      <w:sz w:val="24"/>
                    </w:rPr>
                  </w:pPr>
                  <w:r>
                    <w:rPr>
                      <w:kern w:val="0"/>
                      <w:sz w:val="24"/>
                    </w:rPr>
                    <w:t>31.5MVA</w:t>
                  </w:r>
                </w:p>
              </w:tc>
              <w:tc>
                <w:tcPr>
                  <w:tcW w:w="3045" w:type="dxa"/>
                  <w:tcBorders>
                    <w:left w:val="single" w:color="auto" w:sz="4" w:space="0"/>
                  </w:tcBorders>
                  <w:vAlign w:val="top"/>
                </w:tcPr>
                <w:p>
                  <w:pPr>
                    <w:jc w:val="center"/>
                    <w:rPr>
                      <w:kern w:val="0"/>
                      <w:sz w:val="24"/>
                    </w:rPr>
                  </w:pPr>
                  <w:r>
                    <w:rPr>
                      <w:kern w:val="0"/>
                      <w:sz w:val="24"/>
                    </w:rPr>
                    <w:t>50MVA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558" w:type="dxa"/>
                  <w:vAlign w:val="center"/>
                </w:tcPr>
                <w:p>
                  <w:pPr>
                    <w:jc w:val="center"/>
                    <w:rPr>
                      <w:kern w:val="0"/>
                      <w:sz w:val="24"/>
                    </w:rPr>
                  </w:pPr>
                  <w:r>
                    <w:rPr>
                      <w:kern w:val="0"/>
                      <w:sz w:val="24"/>
                    </w:rPr>
                    <w:t>110kV进线回数</w:t>
                  </w:r>
                </w:p>
              </w:tc>
              <w:tc>
                <w:tcPr>
                  <w:tcW w:w="2910" w:type="dxa"/>
                  <w:tcBorders>
                    <w:right w:val="single" w:color="auto" w:sz="4" w:space="0"/>
                  </w:tcBorders>
                  <w:vAlign w:val="center"/>
                </w:tcPr>
                <w:p>
                  <w:pPr>
                    <w:jc w:val="center"/>
                    <w:rPr>
                      <w:kern w:val="0"/>
                      <w:sz w:val="24"/>
                    </w:rPr>
                  </w:pPr>
                  <w:r>
                    <w:rPr>
                      <w:kern w:val="0"/>
                      <w:sz w:val="24"/>
                    </w:rPr>
                    <w:t>2</w:t>
                  </w:r>
                </w:p>
              </w:tc>
              <w:tc>
                <w:tcPr>
                  <w:tcW w:w="3045" w:type="dxa"/>
                  <w:tcBorders>
                    <w:left w:val="single" w:color="auto" w:sz="4" w:space="0"/>
                  </w:tcBorders>
                  <w:vAlign w:val="top"/>
                </w:tcPr>
                <w:p>
                  <w:pPr>
                    <w:jc w:val="center"/>
                    <w:rPr>
                      <w:kern w:val="0"/>
                      <w:sz w:val="24"/>
                    </w:rPr>
                  </w:pPr>
                  <w:r>
                    <w:rPr>
                      <w:kern w:val="0"/>
                      <w:sz w:val="24"/>
                    </w:rPr>
                    <w:t>2</w:t>
                  </w:r>
                </w:p>
              </w:tc>
            </w:tr>
          </w:tbl>
          <w:p>
            <w:pPr>
              <w:pStyle w:val="15"/>
              <w:spacing w:line="360" w:lineRule="auto"/>
              <w:ind w:firstLine="0" w:firstLineChars="0"/>
              <w:jc w:val="center"/>
              <w:rPr>
                <w:rFonts w:hint="eastAsia" w:ascii="Times New Roman" w:hAnsi="Times New Roman" w:eastAsia="宋体" w:cs="Times New Roman"/>
                <w:sz w:val="28"/>
                <w:szCs w:val="28"/>
              </w:rPr>
            </w:pPr>
          </w:p>
          <w:p>
            <w:pPr>
              <w:ind w:right="101" w:rightChars="48"/>
              <w:jc w:val="center"/>
              <w:rPr>
                <w:b/>
                <w:sz w:val="24"/>
                <w:szCs w:val="24"/>
              </w:rPr>
            </w:pPr>
            <w:r>
              <w:rPr>
                <w:b/>
                <w:sz w:val="24"/>
                <w:szCs w:val="24"/>
              </w:rPr>
              <w:t>表14  户外式110kV类比变电站和改（扩）建变电站概况</w:t>
            </w:r>
          </w:p>
          <w:tbl>
            <w:tblPr>
              <w:tblStyle w:val="11"/>
              <w:tblW w:w="8504" w:type="dxa"/>
              <w:jc w:val="center"/>
              <w:tblInd w:w="18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1968"/>
              <w:gridCol w:w="1533"/>
              <w:gridCol w:w="1560"/>
              <w:gridCol w:w="1559"/>
              <w:gridCol w:w="18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55" w:hRule="atLeast"/>
                <w:jc w:val="center"/>
              </w:trPr>
              <w:tc>
                <w:tcPr>
                  <w:tcW w:w="1968" w:type="dxa"/>
                  <w:vMerge w:val="restart"/>
                  <w:vAlign w:val="center"/>
                </w:tcPr>
                <w:p>
                  <w:pPr>
                    <w:jc w:val="center"/>
                    <w:rPr>
                      <w:kern w:val="0"/>
                      <w:sz w:val="24"/>
                    </w:rPr>
                  </w:pPr>
                  <w:r>
                    <w:rPr>
                      <w:kern w:val="0"/>
                      <w:sz w:val="24"/>
                    </w:rPr>
                    <w:t>工程</w:t>
                  </w:r>
                </w:p>
              </w:tc>
              <w:tc>
                <w:tcPr>
                  <w:tcW w:w="3093" w:type="dxa"/>
                  <w:gridSpan w:val="2"/>
                  <w:vMerge w:val="restart"/>
                  <w:tcBorders>
                    <w:right w:val="single" w:color="auto" w:sz="4" w:space="0"/>
                  </w:tcBorders>
                  <w:vAlign w:val="center"/>
                </w:tcPr>
                <w:p>
                  <w:pPr>
                    <w:jc w:val="center"/>
                    <w:rPr>
                      <w:kern w:val="0"/>
                      <w:sz w:val="24"/>
                    </w:rPr>
                  </w:pPr>
                  <w:r>
                    <w:rPr>
                      <w:kern w:val="0"/>
                      <w:sz w:val="24"/>
                    </w:rPr>
                    <w:t>类比变电站</w:t>
                  </w:r>
                </w:p>
              </w:tc>
              <w:tc>
                <w:tcPr>
                  <w:tcW w:w="3443" w:type="dxa"/>
                  <w:gridSpan w:val="2"/>
                  <w:tcBorders>
                    <w:left w:val="single" w:color="auto" w:sz="4" w:space="0"/>
                    <w:bottom w:val="single" w:color="auto" w:sz="4" w:space="0"/>
                  </w:tcBorders>
                  <w:vAlign w:val="center"/>
                </w:tcPr>
                <w:p>
                  <w:pPr>
                    <w:jc w:val="center"/>
                    <w:rPr>
                      <w:kern w:val="0"/>
                      <w:sz w:val="24"/>
                    </w:rPr>
                  </w:pPr>
                  <w:r>
                    <w:rPr>
                      <w:kern w:val="0"/>
                      <w:sz w:val="24"/>
                    </w:rPr>
                    <w:t>扩建变电站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185" w:hRule="atLeast"/>
                <w:jc w:val="center"/>
              </w:trPr>
              <w:tc>
                <w:tcPr>
                  <w:tcW w:w="1968" w:type="dxa"/>
                  <w:vMerge w:val="continue"/>
                  <w:vAlign w:val="center"/>
                </w:tcPr>
                <w:p>
                  <w:pPr>
                    <w:jc w:val="center"/>
                    <w:rPr>
                      <w:kern w:val="0"/>
                      <w:sz w:val="24"/>
                    </w:rPr>
                  </w:pPr>
                </w:p>
              </w:tc>
              <w:tc>
                <w:tcPr>
                  <w:tcW w:w="3093" w:type="dxa"/>
                  <w:gridSpan w:val="2"/>
                  <w:vMerge w:val="continue"/>
                  <w:tcBorders>
                    <w:right w:val="single" w:color="auto" w:sz="4" w:space="0"/>
                  </w:tcBorders>
                  <w:vAlign w:val="center"/>
                </w:tcPr>
                <w:p>
                  <w:pPr>
                    <w:jc w:val="center"/>
                    <w:rPr>
                      <w:kern w:val="0"/>
                      <w:sz w:val="24"/>
                    </w:rPr>
                  </w:pPr>
                </w:p>
              </w:tc>
              <w:tc>
                <w:tcPr>
                  <w:tcW w:w="1559" w:type="dxa"/>
                  <w:tcBorders>
                    <w:top w:val="single" w:color="auto" w:sz="4" w:space="0"/>
                    <w:left w:val="single" w:color="auto" w:sz="4" w:space="0"/>
                  </w:tcBorders>
                  <w:vAlign w:val="center"/>
                </w:tcPr>
                <w:p>
                  <w:pPr>
                    <w:jc w:val="center"/>
                    <w:rPr>
                      <w:kern w:val="0"/>
                      <w:sz w:val="24"/>
                    </w:rPr>
                  </w:pPr>
                  <w:r>
                    <w:rPr>
                      <w:kern w:val="0"/>
                      <w:sz w:val="24"/>
                    </w:rPr>
                    <w:t>扩建前</w:t>
                  </w:r>
                </w:p>
              </w:tc>
              <w:tc>
                <w:tcPr>
                  <w:tcW w:w="1884" w:type="dxa"/>
                  <w:tcBorders>
                    <w:top w:val="single" w:color="auto" w:sz="4" w:space="0"/>
                    <w:left w:val="single" w:color="auto" w:sz="4" w:space="0"/>
                  </w:tcBorders>
                  <w:vAlign w:val="center"/>
                </w:tcPr>
                <w:p>
                  <w:pPr>
                    <w:jc w:val="center"/>
                    <w:rPr>
                      <w:kern w:val="0"/>
                      <w:sz w:val="24"/>
                    </w:rPr>
                  </w:pPr>
                  <w:r>
                    <w:rPr>
                      <w:kern w:val="0"/>
                      <w:sz w:val="24"/>
                    </w:rPr>
                    <w:t>扩建后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1968" w:type="dxa"/>
                  <w:vAlign w:val="center"/>
                </w:tcPr>
                <w:p>
                  <w:pPr>
                    <w:jc w:val="center"/>
                    <w:rPr>
                      <w:kern w:val="0"/>
                      <w:sz w:val="24"/>
                    </w:rPr>
                  </w:pPr>
                  <w:r>
                    <w:rPr>
                      <w:kern w:val="0"/>
                      <w:sz w:val="24"/>
                    </w:rPr>
                    <w:t>变电站名称</w:t>
                  </w:r>
                </w:p>
              </w:tc>
              <w:tc>
                <w:tcPr>
                  <w:tcW w:w="3093" w:type="dxa"/>
                  <w:gridSpan w:val="2"/>
                  <w:tcBorders>
                    <w:right w:val="single" w:color="auto" w:sz="4" w:space="0"/>
                  </w:tcBorders>
                  <w:vAlign w:val="center"/>
                </w:tcPr>
                <w:p>
                  <w:pPr>
                    <w:jc w:val="center"/>
                    <w:rPr>
                      <w:kern w:val="0"/>
                      <w:sz w:val="24"/>
                    </w:rPr>
                  </w:pPr>
                  <w:r>
                    <w:rPr>
                      <w:kern w:val="0"/>
                      <w:sz w:val="24"/>
                    </w:rPr>
                    <w:t>寺山110kV变电站</w:t>
                  </w:r>
                </w:p>
              </w:tc>
              <w:tc>
                <w:tcPr>
                  <w:tcW w:w="3443" w:type="dxa"/>
                  <w:gridSpan w:val="2"/>
                  <w:tcBorders>
                    <w:left w:val="single" w:color="auto" w:sz="4" w:space="0"/>
                  </w:tcBorders>
                  <w:vAlign w:val="center"/>
                </w:tcPr>
                <w:p>
                  <w:pPr>
                    <w:jc w:val="center"/>
                    <w:rPr>
                      <w:kern w:val="0"/>
                      <w:sz w:val="24"/>
                    </w:rPr>
                  </w:pPr>
                  <w:r>
                    <w:rPr>
                      <w:kern w:val="0"/>
                      <w:sz w:val="24"/>
                    </w:rPr>
                    <w:t>大岭110kV变电站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1968" w:type="dxa"/>
                  <w:vAlign w:val="center"/>
                </w:tcPr>
                <w:p>
                  <w:pPr>
                    <w:jc w:val="center"/>
                    <w:rPr>
                      <w:kern w:val="0"/>
                      <w:sz w:val="24"/>
                    </w:rPr>
                  </w:pPr>
                  <w:r>
                    <w:rPr>
                      <w:kern w:val="0"/>
                      <w:sz w:val="24"/>
                    </w:rPr>
                    <w:t>地理位置</w:t>
                  </w:r>
                </w:p>
              </w:tc>
              <w:tc>
                <w:tcPr>
                  <w:tcW w:w="3093" w:type="dxa"/>
                  <w:gridSpan w:val="2"/>
                  <w:tcBorders>
                    <w:right w:val="single" w:color="auto" w:sz="4" w:space="0"/>
                  </w:tcBorders>
                  <w:vAlign w:val="center"/>
                </w:tcPr>
                <w:p>
                  <w:pPr>
                    <w:jc w:val="center"/>
                    <w:rPr>
                      <w:kern w:val="0"/>
                      <w:sz w:val="24"/>
                    </w:rPr>
                  </w:pPr>
                  <w:r>
                    <w:rPr>
                      <w:sz w:val="24"/>
                    </w:rPr>
                    <w:t>隆回县寺山工业园</w:t>
                  </w:r>
                </w:p>
              </w:tc>
              <w:tc>
                <w:tcPr>
                  <w:tcW w:w="3443" w:type="dxa"/>
                  <w:gridSpan w:val="2"/>
                  <w:tcBorders>
                    <w:left w:val="single" w:color="auto" w:sz="4" w:space="0"/>
                  </w:tcBorders>
                  <w:vAlign w:val="center"/>
                </w:tcPr>
                <w:p>
                  <w:pPr>
                    <w:jc w:val="center"/>
                    <w:rPr>
                      <w:kern w:val="0"/>
                      <w:sz w:val="24"/>
                    </w:rPr>
                  </w:pPr>
                  <w:r>
                    <w:rPr>
                      <w:kern w:val="0"/>
                      <w:sz w:val="24"/>
                    </w:rPr>
                    <w:t>邵阳县城区白虎街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1968" w:type="dxa"/>
                  <w:vAlign w:val="center"/>
                </w:tcPr>
                <w:p>
                  <w:pPr>
                    <w:jc w:val="center"/>
                    <w:rPr>
                      <w:kern w:val="0"/>
                      <w:sz w:val="24"/>
                    </w:rPr>
                  </w:pPr>
                  <w:r>
                    <w:rPr>
                      <w:kern w:val="0"/>
                      <w:sz w:val="24"/>
                    </w:rPr>
                    <w:t>布置形式</w:t>
                  </w:r>
                </w:p>
              </w:tc>
              <w:tc>
                <w:tcPr>
                  <w:tcW w:w="3093" w:type="dxa"/>
                  <w:gridSpan w:val="2"/>
                  <w:tcBorders>
                    <w:right w:val="single" w:color="auto" w:sz="4" w:space="0"/>
                  </w:tcBorders>
                  <w:vAlign w:val="center"/>
                </w:tcPr>
                <w:p>
                  <w:pPr>
                    <w:spacing w:line="240" w:lineRule="exact"/>
                    <w:jc w:val="center"/>
                    <w:rPr>
                      <w:kern w:val="0"/>
                      <w:sz w:val="24"/>
                    </w:rPr>
                  </w:pPr>
                  <w:r>
                    <w:rPr>
                      <w:kern w:val="0"/>
                      <w:sz w:val="24"/>
                    </w:rPr>
                    <w:t>户外式</w:t>
                  </w:r>
                </w:p>
              </w:tc>
              <w:tc>
                <w:tcPr>
                  <w:tcW w:w="3443" w:type="dxa"/>
                  <w:gridSpan w:val="2"/>
                  <w:tcBorders>
                    <w:left w:val="single" w:color="auto" w:sz="4" w:space="0"/>
                  </w:tcBorders>
                  <w:vAlign w:val="center"/>
                </w:tcPr>
                <w:p>
                  <w:pPr>
                    <w:jc w:val="center"/>
                    <w:rPr>
                      <w:kern w:val="0"/>
                      <w:sz w:val="24"/>
                    </w:rPr>
                  </w:pPr>
                  <w:r>
                    <w:rPr>
                      <w:kern w:val="0"/>
                      <w:sz w:val="24"/>
                    </w:rPr>
                    <w:t>户外式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1968" w:type="dxa"/>
                  <w:vAlign w:val="center"/>
                </w:tcPr>
                <w:p>
                  <w:pPr>
                    <w:jc w:val="center"/>
                    <w:rPr>
                      <w:kern w:val="0"/>
                      <w:sz w:val="24"/>
                    </w:rPr>
                  </w:pPr>
                  <w:r>
                    <w:rPr>
                      <w:kern w:val="0"/>
                      <w:sz w:val="24"/>
                    </w:rPr>
                    <w:t>主变容量</w:t>
                  </w:r>
                </w:p>
              </w:tc>
              <w:tc>
                <w:tcPr>
                  <w:tcW w:w="3093" w:type="dxa"/>
                  <w:gridSpan w:val="2"/>
                  <w:tcBorders>
                    <w:right w:val="single" w:color="auto" w:sz="4" w:space="0"/>
                  </w:tcBorders>
                  <w:vAlign w:val="center"/>
                </w:tcPr>
                <w:p>
                  <w:pPr>
                    <w:jc w:val="center"/>
                    <w:rPr>
                      <w:kern w:val="0"/>
                      <w:sz w:val="24"/>
                    </w:rPr>
                  </w:pPr>
                  <w:r>
                    <w:rPr>
                      <w:kern w:val="0"/>
                      <w:sz w:val="24"/>
                    </w:rPr>
                    <w:t>（31.5+50）MVA</w:t>
                  </w:r>
                </w:p>
              </w:tc>
              <w:tc>
                <w:tcPr>
                  <w:tcW w:w="1559" w:type="dxa"/>
                  <w:tcBorders>
                    <w:left w:val="single" w:color="auto" w:sz="4" w:space="0"/>
                    <w:right w:val="single" w:color="auto" w:sz="4" w:space="0"/>
                  </w:tcBorders>
                  <w:vAlign w:val="top"/>
                </w:tcPr>
                <w:p>
                  <w:pPr>
                    <w:jc w:val="center"/>
                    <w:rPr>
                      <w:kern w:val="0"/>
                      <w:sz w:val="24"/>
                    </w:rPr>
                  </w:pPr>
                  <w:r>
                    <w:rPr>
                      <w:kern w:val="0"/>
                      <w:sz w:val="24"/>
                    </w:rPr>
                    <w:t>2×31.5MVA</w:t>
                  </w:r>
                </w:p>
              </w:tc>
              <w:tc>
                <w:tcPr>
                  <w:tcW w:w="1884" w:type="dxa"/>
                  <w:tcBorders>
                    <w:left w:val="single" w:color="auto" w:sz="4" w:space="0"/>
                  </w:tcBorders>
                  <w:vAlign w:val="top"/>
                </w:tcPr>
                <w:p>
                  <w:pPr>
                    <w:jc w:val="center"/>
                    <w:rPr>
                      <w:kern w:val="0"/>
                      <w:sz w:val="24"/>
                    </w:rPr>
                  </w:pPr>
                  <w:r>
                    <w:rPr>
                      <w:kern w:val="0"/>
                      <w:sz w:val="24"/>
                    </w:rPr>
                    <w:t>（31.5+50）MVA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1968" w:type="dxa"/>
                  <w:vAlign w:val="center"/>
                </w:tcPr>
                <w:p>
                  <w:pPr>
                    <w:jc w:val="center"/>
                    <w:rPr>
                      <w:kern w:val="0"/>
                      <w:sz w:val="24"/>
                    </w:rPr>
                  </w:pPr>
                  <w:r>
                    <w:rPr>
                      <w:kern w:val="0"/>
                      <w:sz w:val="24"/>
                    </w:rPr>
                    <w:t>110kV进线回数</w:t>
                  </w:r>
                </w:p>
              </w:tc>
              <w:tc>
                <w:tcPr>
                  <w:tcW w:w="3093" w:type="dxa"/>
                  <w:gridSpan w:val="2"/>
                  <w:tcBorders>
                    <w:right w:val="single" w:color="auto" w:sz="4" w:space="0"/>
                  </w:tcBorders>
                  <w:vAlign w:val="center"/>
                </w:tcPr>
                <w:p>
                  <w:pPr>
                    <w:jc w:val="center"/>
                    <w:rPr>
                      <w:kern w:val="0"/>
                      <w:sz w:val="24"/>
                    </w:rPr>
                  </w:pPr>
                  <w:r>
                    <w:rPr>
                      <w:kern w:val="0"/>
                      <w:sz w:val="24"/>
                    </w:rPr>
                    <w:t>2</w:t>
                  </w:r>
                </w:p>
              </w:tc>
              <w:tc>
                <w:tcPr>
                  <w:tcW w:w="1559" w:type="dxa"/>
                  <w:tcBorders>
                    <w:left w:val="single" w:color="auto" w:sz="4" w:space="0"/>
                    <w:right w:val="single" w:color="auto" w:sz="4" w:space="0"/>
                  </w:tcBorders>
                  <w:vAlign w:val="top"/>
                </w:tcPr>
                <w:p>
                  <w:pPr>
                    <w:jc w:val="center"/>
                    <w:rPr>
                      <w:kern w:val="0"/>
                      <w:sz w:val="24"/>
                    </w:rPr>
                  </w:pPr>
                  <w:r>
                    <w:rPr>
                      <w:kern w:val="0"/>
                      <w:sz w:val="24"/>
                    </w:rPr>
                    <w:t>4</w:t>
                  </w:r>
                </w:p>
              </w:tc>
              <w:tc>
                <w:tcPr>
                  <w:tcW w:w="1884" w:type="dxa"/>
                  <w:tcBorders>
                    <w:left w:val="single" w:color="auto" w:sz="4" w:space="0"/>
                  </w:tcBorders>
                  <w:vAlign w:val="top"/>
                </w:tcPr>
                <w:p>
                  <w:pPr>
                    <w:jc w:val="center"/>
                    <w:rPr>
                      <w:kern w:val="0"/>
                      <w:sz w:val="24"/>
                    </w:rPr>
                  </w:pPr>
                  <w:r>
                    <w:rPr>
                      <w:kern w:val="0"/>
                      <w:sz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1968" w:type="dxa"/>
                  <w:vMerge w:val="restart"/>
                  <w:vAlign w:val="center"/>
                </w:tcPr>
                <w:p>
                  <w:pPr>
                    <w:jc w:val="center"/>
                    <w:rPr>
                      <w:kern w:val="0"/>
                      <w:sz w:val="24"/>
                    </w:rPr>
                  </w:pPr>
                  <w:r>
                    <w:rPr>
                      <w:kern w:val="0"/>
                      <w:sz w:val="24"/>
                    </w:rPr>
                    <w:t>工程</w:t>
                  </w:r>
                </w:p>
              </w:tc>
              <w:tc>
                <w:tcPr>
                  <w:tcW w:w="3093" w:type="dxa"/>
                  <w:gridSpan w:val="2"/>
                  <w:tcBorders>
                    <w:right w:val="single" w:color="auto" w:sz="4" w:space="0"/>
                  </w:tcBorders>
                  <w:vAlign w:val="center"/>
                </w:tcPr>
                <w:p>
                  <w:pPr>
                    <w:jc w:val="center"/>
                    <w:rPr>
                      <w:kern w:val="0"/>
                      <w:sz w:val="24"/>
                    </w:rPr>
                  </w:pPr>
                  <w:r>
                    <w:rPr>
                      <w:kern w:val="0"/>
                      <w:sz w:val="24"/>
                    </w:rPr>
                    <w:t>拟改扩建变电站</w:t>
                  </w:r>
                </w:p>
              </w:tc>
              <w:tc>
                <w:tcPr>
                  <w:tcW w:w="3443" w:type="dxa"/>
                  <w:gridSpan w:val="2"/>
                  <w:tcBorders>
                    <w:left w:val="single" w:color="auto" w:sz="4" w:space="0"/>
                  </w:tcBorders>
                  <w:vAlign w:val="top"/>
                </w:tcPr>
                <w:p>
                  <w:pPr>
                    <w:jc w:val="center"/>
                    <w:rPr>
                      <w:kern w:val="0"/>
                      <w:sz w:val="24"/>
                    </w:rPr>
                  </w:pPr>
                  <w:r>
                    <w:rPr>
                      <w:kern w:val="0"/>
                      <w:sz w:val="24"/>
                    </w:rPr>
                    <w:t>拟改扩建变电站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1968" w:type="dxa"/>
                  <w:vMerge w:val="continue"/>
                  <w:vAlign w:val="center"/>
                </w:tcPr>
                <w:p>
                  <w:pPr>
                    <w:jc w:val="center"/>
                    <w:rPr>
                      <w:kern w:val="0"/>
                      <w:sz w:val="24"/>
                    </w:rPr>
                  </w:pPr>
                </w:p>
              </w:tc>
              <w:tc>
                <w:tcPr>
                  <w:tcW w:w="1533" w:type="dxa"/>
                  <w:tcBorders>
                    <w:right w:val="single" w:color="auto" w:sz="4" w:space="0"/>
                  </w:tcBorders>
                  <w:vAlign w:val="center"/>
                </w:tcPr>
                <w:p>
                  <w:pPr>
                    <w:jc w:val="center"/>
                    <w:rPr>
                      <w:kern w:val="0"/>
                      <w:sz w:val="24"/>
                    </w:rPr>
                  </w:pPr>
                  <w:r>
                    <w:rPr>
                      <w:kern w:val="0"/>
                      <w:sz w:val="24"/>
                    </w:rPr>
                    <w:t>扩建前</w:t>
                  </w:r>
                </w:p>
              </w:tc>
              <w:tc>
                <w:tcPr>
                  <w:tcW w:w="1560" w:type="dxa"/>
                  <w:tcBorders>
                    <w:right w:val="single" w:color="auto" w:sz="4" w:space="0"/>
                  </w:tcBorders>
                  <w:vAlign w:val="center"/>
                </w:tcPr>
                <w:p>
                  <w:pPr>
                    <w:jc w:val="center"/>
                    <w:rPr>
                      <w:kern w:val="0"/>
                      <w:sz w:val="24"/>
                    </w:rPr>
                  </w:pPr>
                  <w:r>
                    <w:rPr>
                      <w:kern w:val="0"/>
                      <w:sz w:val="24"/>
                    </w:rPr>
                    <w:t>扩建后</w:t>
                  </w:r>
                </w:p>
              </w:tc>
              <w:tc>
                <w:tcPr>
                  <w:tcW w:w="1559" w:type="dxa"/>
                  <w:tcBorders>
                    <w:left w:val="single" w:color="auto" w:sz="4" w:space="0"/>
                    <w:right w:val="single" w:color="auto" w:sz="4" w:space="0"/>
                  </w:tcBorders>
                  <w:vAlign w:val="top"/>
                </w:tcPr>
                <w:p>
                  <w:pPr>
                    <w:jc w:val="center"/>
                    <w:rPr>
                      <w:kern w:val="0"/>
                      <w:sz w:val="24"/>
                    </w:rPr>
                  </w:pPr>
                  <w:r>
                    <w:rPr>
                      <w:kern w:val="0"/>
                      <w:sz w:val="24"/>
                    </w:rPr>
                    <w:t>改扩建前</w:t>
                  </w:r>
                </w:p>
              </w:tc>
              <w:tc>
                <w:tcPr>
                  <w:tcW w:w="1884" w:type="dxa"/>
                  <w:tcBorders>
                    <w:left w:val="single" w:color="auto" w:sz="4" w:space="0"/>
                  </w:tcBorders>
                  <w:vAlign w:val="top"/>
                </w:tcPr>
                <w:p>
                  <w:pPr>
                    <w:jc w:val="center"/>
                    <w:rPr>
                      <w:kern w:val="0"/>
                      <w:sz w:val="24"/>
                    </w:rPr>
                  </w:pPr>
                  <w:r>
                    <w:rPr>
                      <w:kern w:val="0"/>
                      <w:sz w:val="24"/>
                    </w:rPr>
                    <w:t>改扩建后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1968" w:type="dxa"/>
                  <w:vAlign w:val="center"/>
                </w:tcPr>
                <w:p>
                  <w:pPr>
                    <w:jc w:val="center"/>
                    <w:rPr>
                      <w:kern w:val="0"/>
                      <w:sz w:val="24"/>
                    </w:rPr>
                  </w:pPr>
                  <w:r>
                    <w:rPr>
                      <w:kern w:val="0"/>
                      <w:sz w:val="24"/>
                    </w:rPr>
                    <w:t>变电站名称</w:t>
                  </w:r>
                </w:p>
              </w:tc>
              <w:tc>
                <w:tcPr>
                  <w:tcW w:w="3093" w:type="dxa"/>
                  <w:gridSpan w:val="2"/>
                  <w:tcBorders>
                    <w:right w:val="single" w:color="auto" w:sz="4" w:space="0"/>
                  </w:tcBorders>
                  <w:vAlign w:val="center"/>
                </w:tcPr>
                <w:p>
                  <w:pPr>
                    <w:jc w:val="center"/>
                    <w:rPr>
                      <w:kern w:val="0"/>
                      <w:sz w:val="24"/>
                    </w:rPr>
                  </w:pPr>
                  <w:r>
                    <w:rPr>
                      <w:kern w:val="0"/>
                      <w:sz w:val="24"/>
                    </w:rPr>
                    <w:t>高沙110kV变电站</w:t>
                  </w:r>
                </w:p>
              </w:tc>
              <w:tc>
                <w:tcPr>
                  <w:tcW w:w="3443" w:type="dxa"/>
                  <w:gridSpan w:val="2"/>
                  <w:tcBorders>
                    <w:left w:val="single" w:color="auto" w:sz="4" w:space="0"/>
                  </w:tcBorders>
                  <w:vAlign w:val="top"/>
                </w:tcPr>
                <w:p>
                  <w:pPr>
                    <w:jc w:val="center"/>
                    <w:rPr>
                      <w:kern w:val="0"/>
                      <w:sz w:val="24"/>
                    </w:rPr>
                  </w:pPr>
                  <w:r>
                    <w:rPr>
                      <w:kern w:val="0"/>
                      <w:sz w:val="24"/>
                    </w:rPr>
                    <w:t>黄陂桥110kV变电站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1968" w:type="dxa"/>
                  <w:vAlign w:val="center"/>
                </w:tcPr>
                <w:p>
                  <w:pPr>
                    <w:jc w:val="center"/>
                    <w:rPr>
                      <w:kern w:val="0"/>
                      <w:sz w:val="24"/>
                    </w:rPr>
                  </w:pPr>
                  <w:r>
                    <w:rPr>
                      <w:kern w:val="0"/>
                      <w:sz w:val="24"/>
                    </w:rPr>
                    <w:t>地理位置</w:t>
                  </w:r>
                </w:p>
              </w:tc>
              <w:tc>
                <w:tcPr>
                  <w:tcW w:w="3093" w:type="dxa"/>
                  <w:gridSpan w:val="2"/>
                  <w:tcBorders>
                    <w:right w:val="single" w:color="auto" w:sz="4" w:space="0"/>
                  </w:tcBorders>
                  <w:vAlign w:val="center"/>
                </w:tcPr>
                <w:p>
                  <w:pPr>
                    <w:jc w:val="center"/>
                    <w:rPr>
                      <w:kern w:val="0"/>
                      <w:sz w:val="24"/>
                    </w:rPr>
                  </w:pPr>
                  <w:r>
                    <w:rPr>
                      <w:kern w:val="0"/>
                      <w:sz w:val="24"/>
                    </w:rPr>
                    <w:t>洞口县高沙镇木山村</w:t>
                  </w:r>
                </w:p>
              </w:tc>
              <w:tc>
                <w:tcPr>
                  <w:tcW w:w="3443" w:type="dxa"/>
                  <w:gridSpan w:val="2"/>
                  <w:tcBorders>
                    <w:left w:val="single" w:color="auto" w:sz="4" w:space="0"/>
                  </w:tcBorders>
                  <w:vAlign w:val="top"/>
                </w:tcPr>
                <w:p>
                  <w:pPr>
                    <w:jc w:val="center"/>
                    <w:rPr>
                      <w:kern w:val="0"/>
                      <w:sz w:val="24"/>
                    </w:rPr>
                  </w:pPr>
                  <w:r>
                    <w:rPr>
                      <w:kern w:val="0"/>
                      <w:sz w:val="24"/>
                    </w:rPr>
                    <w:t>邵东县黄陂桥乡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1968" w:type="dxa"/>
                  <w:vAlign w:val="center"/>
                </w:tcPr>
                <w:p>
                  <w:pPr>
                    <w:jc w:val="center"/>
                    <w:rPr>
                      <w:kern w:val="0"/>
                      <w:sz w:val="24"/>
                    </w:rPr>
                  </w:pPr>
                  <w:r>
                    <w:rPr>
                      <w:kern w:val="0"/>
                      <w:sz w:val="24"/>
                    </w:rPr>
                    <w:t>布置形式</w:t>
                  </w:r>
                </w:p>
              </w:tc>
              <w:tc>
                <w:tcPr>
                  <w:tcW w:w="3093" w:type="dxa"/>
                  <w:gridSpan w:val="2"/>
                  <w:tcBorders>
                    <w:right w:val="single" w:color="auto" w:sz="4" w:space="0"/>
                  </w:tcBorders>
                  <w:vAlign w:val="center"/>
                </w:tcPr>
                <w:p>
                  <w:pPr>
                    <w:jc w:val="center"/>
                    <w:rPr>
                      <w:kern w:val="0"/>
                      <w:sz w:val="24"/>
                    </w:rPr>
                  </w:pPr>
                  <w:r>
                    <w:rPr>
                      <w:kern w:val="0"/>
                      <w:sz w:val="24"/>
                    </w:rPr>
                    <w:t>户外式</w:t>
                  </w:r>
                </w:p>
              </w:tc>
              <w:tc>
                <w:tcPr>
                  <w:tcW w:w="3443" w:type="dxa"/>
                  <w:gridSpan w:val="2"/>
                  <w:tcBorders>
                    <w:left w:val="single" w:color="auto" w:sz="4" w:space="0"/>
                  </w:tcBorders>
                  <w:vAlign w:val="top"/>
                </w:tcPr>
                <w:p>
                  <w:pPr>
                    <w:jc w:val="center"/>
                    <w:rPr>
                      <w:kern w:val="0"/>
                      <w:sz w:val="24"/>
                    </w:rPr>
                  </w:pPr>
                  <w:r>
                    <w:rPr>
                      <w:kern w:val="0"/>
                      <w:sz w:val="24"/>
                    </w:rPr>
                    <w:t>户外式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1968" w:type="dxa"/>
                  <w:vAlign w:val="center"/>
                </w:tcPr>
                <w:p>
                  <w:pPr>
                    <w:jc w:val="center"/>
                    <w:rPr>
                      <w:kern w:val="0"/>
                      <w:sz w:val="24"/>
                    </w:rPr>
                  </w:pPr>
                  <w:r>
                    <w:rPr>
                      <w:kern w:val="0"/>
                      <w:sz w:val="24"/>
                    </w:rPr>
                    <w:t>主变容量</w:t>
                  </w:r>
                </w:p>
              </w:tc>
              <w:tc>
                <w:tcPr>
                  <w:tcW w:w="1533" w:type="dxa"/>
                  <w:tcBorders>
                    <w:right w:val="single" w:color="auto" w:sz="4" w:space="0"/>
                  </w:tcBorders>
                  <w:vAlign w:val="center"/>
                </w:tcPr>
                <w:p>
                  <w:pPr>
                    <w:jc w:val="center"/>
                    <w:rPr>
                      <w:kern w:val="0"/>
                      <w:sz w:val="24"/>
                    </w:rPr>
                  </w:pPr>
                  <w:r>
                    <w:rPr>
                      <w:kern w:val="0"/>
                      <w:sz w:val="24"/>
                    </w:rPr>
                    <w:t>31.5MVA</w:t>
                  </w:r>
                </w:p>
              </w:tc>
              <w:tc>
                <w:tcPr>
                  <w:tcW w:w="1560" w:type="dxa"/>
                  <w:tcBorders>
                    <w:right w:val="single" w:color="auto" w:sz="4" w:space="0"/>
                  </w:tcBorders>
                  <w:vAlign w:val="center"/>
                </w:tcPr>
                <w:p>
                  <w:pPr>
                    <w:jc w:val="center"/>
                    <w:rPr>
                      <w:kern w:val="0"/>
                      <w:sz w:val="24"/>
                    </w:rPr>
                  </w:pPr>
                  <w:r>
                    <w:rPr>
                      <w:kern w:val="0"/>
                      <w:sz w:val="24"/>
                    </w:rPr>
                    <w:t>2×31.5MVA</w:t>
                  </w:r>
                </w:p>
              </w:tc>
              <w:tc>
                <w:tcPr>
                  <w:tcW w:w="1559" w:type="dxa"/>
                  <w:tcBorders>
                    <w:left w:val="single" w:color="auto" w:sz="4" w:space="0"/>
                    <w:right w:val="single" w:color="auto" w:sz="4" w:space="0"/>
                  </w:tcBorders>
                  <w:vAlign w:val="top"/>
                </w:tcPr>
                <w:p>
                  <w:pPr>
                    <w:jc w:val="center"/>
                    <w:rPr>
                      <w:kern w:val="0"/>
                      <w:sz w:val="24"/>
                    </w:rPr>
                  </w:pPr>
                  <w:r>
                    <w:rPr>
                      <w:kern w:val="0"/>
                      <w:sz w:val="24"/>
                    </w:rPr>
                    <w:t>50MVA</w:t>
                  </w:r>
                </w:p>
              </w:tc>
              <w:tc>
                <w:tcPr>
                  <w:tcW w:w="1884" w:type="dxa"/>
                  <w:tcBorders>
                    <w:left w:val="single" w:color="auto" w:sz="4" w:space="0"/>
                  </w:tcBorders>
                  <w:vAlign w:val="top"/>
                </w:tcPr>
                <w:p>
                  <w:pPr>
                    <w:jc w:val="center"/>
                    <w:rPr>
                      <w:kern w:val="0"/>
                      <w:sz w:val="24"/>
                    </w:rPr>
                  </w:pPr>
                  <w:r>
                    <w:rPr>
                      <w:kern w:val="0"/>
                      <w:sz w:val="24"/>
                    </w:rPr>
                    <w:t>2×50MVA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1968" w:type="dxa"/>
                  <w:vAlign w:val="center"/>
                </w:tcPr>
                <w:p>
                  <w:pPr>
                    <w:jc w:val="center"/>
                    <w:rPr>
                      <w:kern w:val="0"/>
                      <w:sz w:val="24"/>
                    </w:rPr>
                  </w:pPr>
                  <w:r>
                    <w:rPr>
                      <w:kern w:val="0"/>
                      <w:sz w:val="24"/>
                    </w:rPr>
                    <w:t>110kV进线回数</w:t>
                  </w:r>
                </w:p>
              </w:tc>
              <w:tc>
                <w:tcPr>
                  <w:tcW w:w="1533" w:type="dxa"/>
                  <w:tcBorders>
                    <w:right w:val="single" w:color="auto" w:sz="4" w:space="0"/>
                  </w:tcBorders>
                  <w:vAlign w:val="center"/>
                </w:tcPr>
                <w:p>
                  <w:pPr>
                    <w:jc w:val="center"/>
                    <w:rPr>
                      <w:kern w:val="0"/>
                      <w:sz w:val="24"/>
                    </w:rPr>
                  </w:pPr>
                  <w:r>
                    <w:rPr>
                      <w:kern w:val="0"/>
                      <w:sz w:val="24"/>
                    </w:rPr>
                    <w:t>2</w:t>
                  </w:r>
                </w:p>
              </w:tc>
              <w:tc>
                <w:tcPr>
                  <w:tcW w:w="1560" w:type="dxa"/>
                  <w:tcBorders>
                    <w:right w:val="single" w:color="auto" w:sz="4" w:space="0"/>
                  </w:tcBorders>
                  <w:vAlign w:val="center"/>
                </w:tcPr>
                <w:p>
                  <w:pPr>
                    <w:jc w:val="center"/>
                    <w:rPr>
                      <w:kern w:val="0"/>
                      <w:sz w:val="24"/>
                    </w:rPr>
                  </w:pPr>
                  <w:r>
                    <w:rPr>
                      <w:kern w:val="0"/>
                      <w:sz w:val="24"/>
                    </w:rPr>
                    <w:t>2</w:t>
                  </w:r>
                </w:p>
              </w:tc>
              <w:tc>
                <w:tcPr>
                  <w:tcW w:w="1559" w:type="dxa"/>
                  <w:tcBorders>
                    <w:left w:val="single" w:color="auto" w:sz="4" w:space="0"/>
                    <w:right w:val="single" w:color="auto" w:sz="4" w:space="0"/>
                  </w:tcBorders>
                  <w:vAlign w:val="top"/>
                </w:tcPr>
                <w:p>
                  <w:pPr>
                    <w:jc w:val="center"/>
                    <w:rPr>
                      <w:kern w:val="0"/>
                      <w:sz w:val="24"/>
                    </w:rPr>
                  </w:pPr>
                  <w:r>
                    <w:rPr>
                      <w:kern w:val="0"/>
                      <w:sz w:val="24"/>
                    </w:rPr>
                    <w:t>2</w:t>
                  </w:r>
                </w:p>
              </w:tc>
              <w:tc>
                <w:tcPr>
                  <w:tcW w:w="1884" w:type="dxa"/>
                  <w:tcBorders>
                    <w:left w:val="single" w:color="auto" w:sz="4" w:space="0"/>
                  </w:tcBorders>
                  <w:vAlign w:val="top"/>
                </w:tcPr>
                <w:p>
                  <w:pPr>
                    <w:jc w:val="center"/>
                    <w:rPr>
                      <w:kern w:val="0"/>
                      <w:sz w:val="24"/>
                    </w:rPr>
                  </w:pPr>
                  <w:r>
                    <w:rPr>
                      <w:kern w:val="0"/>
                      <w:sz w:val="24"/>
                    </w:rPr>
                    <w:t>2</w:t>
                  </w:r>
                </w:p>
              </w:tc>
            </w:tr>
          </w:tbl>
          <w:p>
            <w:pPr>
              <w:ind w:right="101" w:rightChars="48"/>
              <w:jc w:val="center"/>
              <w:rPr>
                <w:b/>
                <w:sz w:val="24"/>
                <w:szCs w:val="24"/>
              </w:rPr>
            </w:pPr>
          </w:p>
          <w:p>
            <w:pPr>
              <w:ind w:right="101" w:rightChars="48"/>
              <w:jc w:val="center"/>
              <w:rPr>
                <w:b/>
                <w:sz w:val="24"/>
                <w:szCs w:val="24"/>
              </w:rPr>
            </w:pPr>
            <w:r>
              <w:rPr>
                <w:b/>
                <w:sz w:val="24"/>
                <w:szCs w:val="24"/>
              </w:rPr>
              <w:t>表15  户外式110kV类比变电站和新建变电站概况</w:t>
            </w:r>
          </w:p>
          <w:tbl>
            <w:tblPr>
              <w:tblStyle w:val="11"/>
              <w:tblW w:w="855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217"/>
              <w:gridCol w:w="3150"/>
              <w:gridCol w:w="31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trHeight w:val="255" w:hRule="atLeast"/>
                <w:jc w:val="center"/>
              </w:trPr>
              <w:tc>
                <w:tcPr>
                  <w:tcW w:w="2217" w:type="dxa"/>
                  <w:vAlign w:val="center"/>
                </w:tcPr>
                <w:p>
                  <w:pPr>
                    <w:jc w:val="center"/>
                    <w:rPr>
                      <w:kern w:val="0"/>
                      <w:sz w:val="24"/>
                    </w:rPr>
                  </w:pPr>
                  <w:r>
                    <w:rPr>
                      <w:kern w:val="0"/>
                      <w:sz w:val="24"/>
                    </w:rPr>
                    <w:t>工程</w:t>
                  </w:r>
                </w:p>
              </w:tc>
              <w:tc>
                <w:tcPr>
                  <w:tcW w:w="3150" w:type="dxa"/>
                  <w:tcBorders>
                    <w:right w:val="single" w:color="auto" w:sz="4" w:space="0"/>
                  </w:tcBorders>
                  <w:vAlign w:val="center"/>
                </w:tcPr>
                <w:p>
                  <w:pPr>
                    <w:jc w:val="center"/>
                    <w:rPr>
                      <w:kern w:val="0"/>
                      <w:sz w:val="24"/>
                    </w:rPr>
                  </w:pPr>
                  <w:r>
                    <w:rPr>
                      <w:kern w:val="0"/>
                      <w:sz w:val="24"/>
                    </w:rPr>
                    <w:t>类比变电站</w:t>
                  </w:r>
                </w:p>
              </w:tc>
              <w:tc>
                <w:tcPr>
                  <w:tcW w:w="3183" w:type="dxa"/>
                  <w:tcBorders>
                    <w:left w:val="single" w:color="auto" w:sz="4" w:space="0"/>
                    <w:bottom w:val="single" w:color="auto" w:sz="4" w:space="0"/>
                  </w:tcBorders>
                  <w:vAlign w:val="center"/>
                </w:tcPr>
                <w:p>
                  <w:pPr>
                    <w:jc w:val="center"/>
                    <w:rPr>
                      <w:kern w:val="0"/>
                      <w:sz w:val="24"/>
                    </w:rPr>
                  </w:pPr>
                  <w:r>
                    <w:rPr>
                      <w:kern w:val="0"/>
                      <w:sz w:val="24"/>
                    </w:rPr>
                    <w:t>新建变电站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17" w:type="dxa"/>
                  <w:vAlign w:val="center"/>
                </w:tcPr>
                <w:p>
                  <w:pPr>
                    <w:jc w:val="center"/>
                    <w:rPr>
                      <w:kern w:val="0"/>
                      <w:sz w:val="24"/>
                    </w:rPr>
                  </w:pPr>
                  <w:r>
                    <w:rPr>
                      <w:kern w:val="0"/>
                      <w:sz w:val="24"/>
                    </w:rPr>
                    <w:t>变电站名称</w:t>
                  </w:r>
                </w:p>
              </w:tc>
              <w:tc>
                <w:tcPr>
                  <w:tcW w:w="3150" w:type="dxa"/>
                  <w:tcBorders>
                    <w:right w:val="single" w:color="auto" w:sz="4" w:space="0"/>
                  </w:tcBorders>
                  <w:vAlign w:val="center"/>
                </w:tcPr>
                <w:p>
                  <w:pPr>
                    <w:jc w:val="center"/>
                    <w:rPr>
                      <w:kern w:val="0"/>
                      <w:sz w:val="24"/>
                    </w:rPr>
                  </w:pPr>
                  <w:r>
                    <w:rPr>
                      <w:kern w:val="0"/>
                      <w:sz w:val="24"/>
                    </w:rPr>
                    <w:t>桔园110kV变电站</w:t>
                  </w:r>
                </w:p>
              </w:tc>
              <w:tc>
                <w:tcPr>
                  <w:tcW w:w="3183" w:type="dxa"/>
                  <w:tcBorders>
                    <w:left w:val="single" w:color="auto" w:sz="4" w:space="0"/>
                  </w:tcBorders>
                  <w:vAlign w:val="center"/>
                </w:tcPr>
                <w:p>
                  <w:pPr>
                    <w:jc w:val="center"/>
                    <w:rPr>
                      <w:kern w:val="0"/>
                      <w:sz w:val="24"/>
                    </w:rPr>
                  </w:pPr>
                  <w:r>
                    <w:rPr>
                      <w:kern w:val="0"/>
                      <w:sz w:val="24"/>
                    </w:rPr>
                    <w:t>六岭110kV变电站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17" w:type="dxa"/>
                  <w:vAlign w:val="center"/>
                </w:tcPr>
                <w:p>
                  <w:pPr>
                    <w:jc w:val="center"/>
                    <w:rPr>
                      <w:kern w:val="0"/>
                      <w:sz w:val="24"/>
                    </w:rPr>
                  </w:pPr>
                  <w:r>
                    <w:rPr>
                      <w:kern w:val="0"/>
                      <w:sz w:val="24"/>
                    </w:rPr>
                    <w:t>地理位置</w:t>
                  </w:r>
                </w:p>
              </w:tc>
              <w:tc>
                <w:tcPr>
                  <w:tcW w:w="3150" w:type="dxa"/>
                  <w:tcBorders>
                    <w:right w:val="single" w:color="auto" w:sz="4" w:space="0"/>
                  </w:tcBorders>
                  <w:vAlign w:val="center"/>
                </w:tcPr>
                <w:p>
                  <w:pPr>
                    <w:jc w:val="center"/>
                    <w:rPr>
                      <w:kern w:val="0"/>
                      <w:sz w:val="24"/>
                    </w:rPr>
                  </w:pPr>
                  <w:r>
                    <w:rPr>
                      <w:sz w:val="24"/>
                    </w:rPr>
                    <w:t>邵阳市火车南站开发区</w:t>
                  </w:r>
                </w:p>
              </w:tc>
              <w:tc>
                <w:tcPr>
                  <w:tcW w:w="3183" w:type="dxa"/>
                  <w:tcBorders>
                    <w:left w:val="single" w:color="auto" w:sz="4" w:space="0"/>
                  </w:tcBorders>
                  <w:vAlign w:val="center"/>
                </w:tcPr>
                <w:p>
                  <w:pPr>
                    <w:jc w:val="center"/>
                    <w:rPr>
                      <w:kern w:val="0"/>
                      <w:sz w:val="24"/>
                    </w:rPr>
                  </w:pPr>
                  <w:r>
                    <w:rPr>
                      <w:sz w:val="24"/>
                    </w:rPr>
                    <w:t>隆回县桃洪镇马杓村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17" w:type="dxa"/>
                  <w:vAlign w:val="center"/>
                </w:tcPr>
                <w:p>
                  <w:pPr>
                    <w:jc w:val="center"/>
                    <w:rPr>
                      <w:kern w:val="0"/>
                      <w:sz w:val="24"/>
                    </w:rPr>
                  </w:pPr>
                  <w:r>
                    <w:rPr>
                      <w:kern w:val="0"/>
                      <w:sz w:val="24"/>
                    </w:rPr>
                    <w:t>布置形式</w:t>
                  </w:r>
                </w:p>
              </w:tc>
              <w:tc>
                <w:tcPr>
                  <w:tcW w:w="3150" w:type="dxa"/>
                  <w:tcBorders>
                    <w:right w:val="single" w:color="auto" w:sz="4" w:space="0"/>
                  </w:tcBorders>
                  <w:vAlign w:val="center"/>
                </w:tcPr>
                <w:p>
                  <w:pPr>
                    <w:spacing w:line="240" w:lineRule="exact"/>
                    <w:jc w:val="center"/>
                    <w:rPr>
                      <w:kern w:val="0"/>
                      <w:sz w:val="24"/>
                    </w:rPr>
                  </w:pPr>
                  <w:r>
                    <w:rPr>
                      <w:kern w:val="0"/>
                      <w:sz w:val="24"/>
                    </w:rPr>
                    <w:t>户内式</w:t>
                  </w:r>
                </w:p>
              </w:tc>
              <w:tc>
                <w:tcPr>
                  <w:tcW w:w="3183" w:type="dxa"/>
                  <w:tcBorders>
                    <w:left w:val="single" w:color="auto" w:sz="4" w:space="0"/>
                  </w:tcBorders>
                  <w:vAlign w:val="center"/>
                </w:tcPr>
                <w:p>
                  <w:pPr>
                    <w:jc w:val="center"/>
                    <w:rPr>
                      <w:kern w:val="0"/>
                      <w:sz w:val="24"/>
                    </w:rPr>
                  </w:pPr>
                  <w:r>
                    <w:rPr>
                      <w:kern w:val="0"/>
                      <w:sz w:val="24"/>
                    </w:rPr>
                    <w:t>户内式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17" w:type="dxa"/>
                  <w:vAlign w:val="center"/>
                </w:tcPr>
                <w:p>
                  <w:pPr>
                    <w:jc w:val="center"/>
                    <w:rPr>
                      <w:kern w:val="0"/>
                      <w:sz w:val="24"/>
                    </w:rPr>
                  </w:pPr>
                  <w:r>
                    <w:rPr>
                      <w:kern w:val="0"/>
                      <w:sz w:val="24"/>
                    </w:rPr>
                    <w:t>主变容量</w:t>
                  </w:r>
                </w:p>
              </w:tc>
              <w:tc>
                <w:tcPr>
                  <w:tcW w:w="3150" w:type="dxa"/>
                  <w:tcBorders>
                    <w:right w:val="single" w:color="auto" w:sz="4" w:space="0"/>
                  </w:tcBorders>
                  <w:vAlign w:val="center"/>
                </w:tcPr>
                <w:p>
                  <w:pPr>
                    <w:jc w:val="center"/>
                    <w:rPr>
                      <w:kern w:val="0"/>
                      <w:sz w:val="24"/>
                    </w:rPr>
                  </w:pPr>
                  <w:r>
                    <w:rPr>
                      <w:kern w:val="0"/>
                      <w:sz w:val="24"/>
                    </w:rPr>
                    <w:t>2×31.5MVA</w:t>
                  </w:r>
                </w:p>
              </w:tc>
              <w:tc>
                <w:tcPr>
                  <w:tcW w:w="3183" w:type="dxa"/>
                  <w:tcBorders>
                    <w:left w:val="single" w:color="auto" w:sz="4" w:space="0"/>
                  </w:tcBorders>
                  <w:vAlign w:val="top"/>
                </w:tcPr>
                <w:p>
                  <w:pPr>
                    <w:jc w:val="center"/>
                    <w:rPr>
                      <w:kern w:val="0"/>
                      <w:sz w:val="24"/>
                    </w:rPr>
                  </w:pPr>
                  <w:r>
                    <w:rPr>
                      <w:kern w:val="0"/>
                      <w:sz w:val="24"/>
                    </w:rPr>
                    <w:t>50MVA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Ex>
              <w:trPr>
                <w:jc w:val="center"/>
              </w:trPr>
              <w:tc>
                <w:tcPr>
                  <w:tcW w:w="2217" w:type="dxa"/>
                  <w:vAlign w:val="center"/>
                </w:tcPr>
                <w:p>
                  <w:pPr>
                    <w:jc w:val="center"/>
                    <w:rPr>
                      <w:kern w:val="0"/>
                      <w:sz w:val="24"/>
                    </w:rPr>
                  </w:pPr>
                  <w:r>
                    <w:rPr>
                      <w:kern w:val="0"/>
                      <w:sz w:val="24"/>
                    </w:rPr>
                    <w:t>110kV进线回数</w:t>
                  </w:r>
                </w:p>
              </w:tc>
              <w:tc>
                <w:tcPr>
                  <w:tcW w:w="3150" w:type="dxa"/>
                  <w:tcBorders>
                    <w:right w:val="single" w:color="auto" w:sz="4" w:space="0"/>
                  </w:tcBorders>
                  <w:vAlign w:val="center"/>
                </w:tcPr>
                <w:p>
                  <w:pPr>
                    <w:jc w:val="center"/>
                    <w:rPr>
                      <w:kern w:val="0"/>
                      <w:sz w:val="24"/>
                    </w:rPr>
                  </w:pPr>
                  <w:r>
                    <w:rPr>
                      <w:kern w:val="0"/>
                      <w:sz w:val="24"/>
                    </w:rPr>
                    <w:t>2</w:t>
                  </w:r>
                </w:p>
              </w:tc>
              <w:tc>
                <w:tcPr>
                  <w:tcW w:w="3183" w:type="dxa"/>
                  <w:tcBorders>
                    <w:left w:val="single" w:color="auto" w:sz="4" w:space="0"/>
                  </w:tcBorders>
                  <w:vAlign w:val="top"/>
                </w:tcPr>
                <w:p>
                  <w:pPr>
                    <w:jc w:val="center"/>
                    <w:rPr>
                      <w:kern w:val="0"/>
                      <w:sz w:val="24"/>
                    </w:rPr>
                  </w:pPr>
                  <w:r>
                    <w:rPr>
                      <w:kern w:val="0"/>
                      <w:sz w:val="24"/>
                    </w:rPr>
                    <w:t>2</w:t>
                  </w:r>
                </w:p>
              </w:tc>
            </w:tr>
          </w:tbl>
          <w:p>
            <w:pPr>
              <w:pStyle w:val="15"/>
              <w:spacing w:before="120" w:beforeLines="50"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由表13、14、15可知，新建的城东变与月溪110kV变电站；改扩建的高沙、黄陂桥、大岭110kV变电站与寺山110kV变电站；新建的六岭变与桔园110kV变电站电压等级相同、平面布置形式相同、出线条件相近、所处环境相似，因此具有可比性。</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（3） 类比监测布点</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类比变电站工频电磁场监测布点：变电站围墙外1m和各变电站主进线下围墙外1m、5m、10m、15m、20m、25m、30m 、35m、40m、45m、50m各布1个监测点。</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bCs/>
                <w:sz w:val="28"/>
                <w:szCs w:val="28"/>
              </w:rPr>
              <w:t>月溪110kV变电站、寺山110kV变电站、桔园110kV变电站监测布点图分别见附图14~16</w:t>
            </w:r>
            <w:r>
              <w:rPr>
                <w:rFonts w:ascii="Times New Roman" w:hAnsi="Times New Roman" w:eastAsia="宋体" w:cs="Times New Roman"/>
                <w:sz w:val="28"/>
                <w:szCs w:val="28"/>
              </w:rPr>
              <w:t>。</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（4） 监测仪器和方法</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与拟建变电站电磁环境现状监测相同。</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（5） 类比监测工况</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bCs/>
                <w:sz w:val="28"/>
                <w:szCs w:val="28"/>
              </w:rPr>
              <w:t>月溪</w:t>
            </w:r>
            <w:r>
              <w:rPr>
                <w:rFonts w:ascii="Times New Roman" w:hAnsi="Times New Roman" w:eastAsia="宋体" w:cs="Times New Roman"/>
                <w:sz w:val="28"/>
                <w:szCs w:val="28"/>
              </w:rPr>
              <w:t>110kV类比变电站监测时运行工况见表15。</w:t>
            </w:r>
          </w:p>
          <w:p>
            <w:pPr>
              <w:ind w:right="101" w:rightChars="48"/>
              <w:jc w:val="center"/>
              <w:rPr>
                <w:b/>
                <w:sz w:val="24"/>
                <w:szCs w:val="24"/>
              </w:rPr>
            </w:pPr>
          </w:p>
          <w:p>
            <w:pPr>
              <w:ind w:right="101" w:rightChars="48"/>
              <w:jc w:val="center"/>
              <w:rPr>
                <w:b/>
                <w:sz w:val="24"/>
                <w:szCs w:val="24"/>
              </w:rPr>
            </w:pPr>
          </w:p>
          <w:p>
            <w:pPr>
              <w:ind w:right="101" w:rightChars="48"/>
              <w:jc w:val="center"/>
              <w:rPr>
                <w:b/>
                <w:sz w:val="24"/>
                <w:szCs w:val="24"/>
              </w:rPr>
            </w:pPr>
          </w:p>
          <w:p>
            <w:pPr>
              <w:ind w:right="101" w:rightChars="48"/>
              <w:jc w:val="center"/>
              <w:rPr>
                <w:b/>
                <w:sz w:val="24"/>
                <w:szCs w:val="24"/>
              </w:rPr>
            </w:pPr>
            <w:r>
              <w:rPr>
                <w:b/>
                <w:sz w:val="24"/>
                <w:szCs w:val="24"/>
              </w:rPr>
              <w:t>表15  类比监测时月溪变电站运行工况</w:t>
            </w:r>
          </w:p>
          <w:tbl>
            <w:tblPr>
              <w:tblStyle w:val="11"/>
              <w:tblW w:w="813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22"/>
              <w:gridCol w:w="1970"/>
              <w:gridCol w:w="1970"/>
              <w:gridCol w:w="19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222" w:type="dxa"/>
                  <w:vAlign w:val="top"/>
                </w:tcPr>
                <w:p>
                  <w:pPr>
                    <w:jc w:val="center"/>
                    <w:rPr>
                      <w:kern w:val="0"/>
                      <w:szCs w:val="21"/>
                    </w:rPr>
                  </w:pPr>
                  <w:r>
                    <w:rPr>
                      <w:kern w:val="0"/>
                      <w:szCs w:val="21"/>
                    </w:rPr>
                    <w:t>变电站</w:t>
                  </w:r>
                </w:p>
              </w:tc>
              <w:tc>
                <w:tcPr>
                  <w:tcW w:w="1970" w:type="dxa"/>
                  <w:vAlign w:val="top"/>
                </w:tcPr>
                <w:p>
                  <w:pPr>
                    <w:jc w:val="center"/>
                    <w:rPr>
                      <w:kern w:val="0"/>
                      <w:szCs w:val="21"/>
                    </w:rPr>
                  </w:pPr>
                  <w:r>
                    <w:rPr>
                      <w:kern w:val="0"/>
                      <w:szCs w:val="21"/>
                    </w:rPr>
                    <w:t>名称</w:t>
                  </w:r>
                </w:p>
              </w:tc>
              <w:tc>
                <w:tcPr>
                  <w:tcW w:w="1970" w:type="dxa"/>
                  <w:vAlign w:val="top"/>
                </w:tcPr>
                <w:p>
                  <w:pPr>
                    <w:jc w:val="center"/>
                    <w:rPr>
                      <w:kern w:val="0"/>
                      <w:szCs w:val="21"/>
                    </w:rPr>
                  </w:pPr>
                  <w:r>
                    <w:rPr>
                      <w:kern w:val="0"/>
                      <w:szCs w:val="21"/>
                    </w:rPr>
                    <w:t>有功（MW）</w:t>
                  </w:r>
                </w:p>
              </w:tc>
              <w:tc>
                <w:tcPr>
                  <w:tcW w:w="1970" w:type="dxa"/>
                  <w:vAlign w:val="top"/>
                </w:tcPr>
                <w:p>
                  <w:pPr>
                    <w:jc w:val="center"/>
                    <w:rPr>
                      <w:kern w:val="0"/>
                      <w:szCs w:val="21"/>
                    </w:rPr>
                  </w:pPr>
                  <w:r>
                    <w:rPr>
                      <w:kern w:val="0"/>
                      <w:szCs w:val="21"/>
                    </w:rPr>
                    <w:t>无功（Mvar）</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2" w:hRule="atLeast"/>
                <w:jc w:val="center"/>
              </w:trPr>
              <w:tc>
                <w:tcPr>
                  <w:tcW w:w="2222" w:type="dxa"/>
                  <w:vAlign w:val="center"/>
                </w:tcPr>
                <w:p>
                  <w:pPr>
                    <w:jc w:val="center"/>
                    <w:rPr>
                      <w:kern w:val="0"/>
                      <w:szCs w:val="21"/>
                    </w:rPr>
                  </w:pPr>
                  <w:r>
                    <w:rPr>
                      <w:kern w:val="0"/>
                      <w:szCs w:val="21"/>
                    </w:rPr>
                    <w:t>月溪110kV</w:t>
                  </w:r>
                </w:p>
                <w:p>
                  <w:pPr>
                    <w:jc w:val="center"/>
                    <w:rPr>
                      <w:kern w:val="0"/>
                      <w:szCs w:val="21"/>
                    </w:rPr>
                  </w:pPr>
                  <w:r>
                    <w:rPr>
                      <w:kern w:val="0"/>
                      <w:szCs w:val="21"/>
                    </w:rPr>
                    <w:t>变电站</w:t>
                  </w:r>
                </w:p>
              </w:tc>
              <w:tc>
                <w:tcPr>
                  <w:tcW w:w="1970" w:type="dxa"/>
                  <w:vAlign w:val="center"/>
                </w:tcPr>
                <w:p>
                  <w:pPr>
                    <w:jc w:val="center"/>
                    <w:rPr>
                      <w:kern w:val="0"/>
                      <w:szCs w:val="21"/>
                    </w:rPr>
                  </w:pPr>
                  <w:r>
                    <w:rPr>
                      <w:kern w:val="0"/>
                      <w:szCs w:val="21"/>
                    </w:rPr>
                    <w:t>＃1主变</w:t>
                  </w:r>
                </w:p>
              </w:tc>
              <w:tc>
                <w:tcPr>
                  <w:tcW w:w="1970" w:type="dxa"/>
                  <w:vAlign w:val="center"/>
                </w:tcPr>
                <w:p>
                  <w:pPr>
                    <w:jc w:val="center"/>
                    <w:rPr>
                      <w:kern w:val="0"/>
                      <w:szCs w:val="21"/>
                    </w:rPr>
                  </w:pPr>
                  <w:r>
                    <w:rPr>
                      <w:kern w:val="0"/>
                      <w:szCs w:val="21"/>
                    </w:rPr>
                    <w:t>15.67</w:t>
                  </w:r>
                </w:p>
              </w:tc>
              <w:tc>
                <w:tcPr>
                  <w:tcW w:w="1970" w:type="dxa"/>
                  <w:vAlign w:val="center"/>
                </w:tcPr>
                <w:p>
                  <w:pPr>
                    <w:jc w:val="center"/>
                    <w:rPr>
                      <w:kern w:val="0"/>
                      <w:szCs w:val="21"/>
                    </w:rPr>
                  </w:pPr>
                  <w:r>
                    <w:rPr>
                      <w:kern w:val="0"/>
                      <w:szCs w:val="21"/>
                    </w:rPr>
                    <w:t>7.25</w:t>
                  </w:r>
                </w:p>
              </w:tc>
            </w:tr>
          </w:tbl>
          <w:p>
            <w:pPr>
              <w:pStyle w:val="15"/>
              <w:spacing w:line="360" w:lineRule="auto"/>
              <w:ind w:firstLine="560"/>
              <w:rPr>
                <w:rFonts w:ascii="Times New Roman" w:hAnsi="Times New Roman" w:eastAsia="宋体" w:cs="Times New Roman"/>
                <w:sz w:val="28"/>
                <w:szCs w:val="28"/>
              </w:rPr>
            </w:pP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bCs/>
                <w:sz w:val="28"/>
                <w:szCs w:val="28"/>
              </w:rPr>
              <w:t>寺山</w:t>
            </w:r>
            <w:r>
              <w:rPr>
                <w:rFonts w:ascii="Times New Roman" w:hAnsi="Times New Roman" w:eastAsia="宋体" w:cs="Times New Roman"/>
                <w:sz w:val="28"/>
                <w:szCs w:val="28"/>
              </w:rPr>
              <w:t>110kV类比变电站监测时运行工况见表16。</w:t>
            </w:r>
          </w:p>
          <w:p>
            <w:pPr>
              <w:ind w:right="101" w:rightChars="48"/>
              <w:jc w:val="center"/>
              <w:rPr>
                <w:b/>
                <w:sz w:val="24"/>
                <w:szCs w:val="24"/>
              </w:rPr>
            </w:pPr>
            <w:r>
              <w:rPr>
                <w:b/>
                <w:sz w:val="24"/>
                <w:szCs w:val="24"/>
              </w:rPr>
              <w:t>表16  类比监测时寺山变电站运行工况</w:t>
            </w:r>
          </w:p>
          <w:tbl>
            <w:tblPr>
              <w:tblStyle w:val="11"/>
              <w:tblW w:w="813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22"/>
              <w:gridCol w:w="1970"/>
              <w:gridCol w:w="1970"/>
              <w:gridCol w:w="19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222" w:type="dxa"/>
                  <w:vAlign w:val="top"/>
                </w:tcPr>
                <w:p>
                  <w:pPr>
                    <w:jc w:val="center"/>
                    <w:rPr>
                      <w:kern w:val="0"/>
                      <w:szCs w:val="21"/>
                    </w:rPr>
                  </w:pPr>
                  <w:r>
                    <w:rPr>
                      <w:kern w:val="0"/>
                      <w:szCs w:val="21"/>
                    </w:rPr>
                    <w:t>变电站</w:t>
                  </w:r>
                </w:p>
              </w:tc>
              <w:tc>
                <w:tcPr>
                  <w:tcW w:w="1970" w:type="dxa"/>
                  <w:vAlign w:val="top"/>
                </w:tcPr>
                <w:p>
                  <w:pPr>
                    <w:jc w:val="center"/>
                    <w:rPr>
                      <w:kern w:val="0"/>
                      <w:szCs w:val="21"/>
                    </w:rPr>
                  </w:pPr>
                  <w:r>
                    <w:rPr>
                      <w:kern w:val="0"/>
                      <w:szCs w:val="21"/>
                    </w:rPr>
                    <w:t>名称</w:t>
                  </w:r>
                </w:p>
              </w:tc>
              <w:tc>
                <w:tcPr>
                  <w:tcW w:w="1970" w:type="dxa"/>
                  <w:vAlign w:val="top"/>
                </w:tcPr>
                <w:p>
                  <w:pPr>
                    <w:jc w:val="center"/>
                    <w:rPr>
                      <w:kern w:val="0"/>
                      <w:szCs w:val="21"/>
                    </w:rPr>
                  </w:pPr>
                  <w:r>
                    <w:rPr>
                      <w:kern w:val="0"/>
                      <w:szCs w:val="21"/>
                    </w:rPr>
                    <w:t>有功（MW）</w:t>
                  </w:r>
                </w:p>
              </w:tc>
              <w:tc>
                <w:tcPr>
                  <w:tcW w:w="1970" w:type="dxa"/>
                  <w:vAlign w:val="top"/>
                </w:tcPr>
                <w:p>
                  <w:pPr>
                    <w:jc w:val="center"/>
                    <w:rPr>
                      <w:kern w:val="0"/>
                      <w:szCs w:val="21"/>
                    </w:rPr>
                  </w:pPr>
                  <w:r>
                    <w:rPr>
                      <w:kern w:val="0"/>
                      <w:szCs w:val="21"/>
                    </w:rPr>
                    <w:t>无功（Mvar）</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2" w:hRule="atLeast"/>
                <w:jc w:val="center"/>
              </w:trPr>
              <w:tc>
                <w:tcPr>
                  <w:tcW w:w="2222" w:type="dxa"/>
                  <w:vMerge w:val="restart"/>
                  <w:vAlign w:val="center"/>
                </w:tcPr>
                <w:p>
                  <w:pPr>
                    <w:jc w:val="center"/>
                    <w:rPr>
                      <w:kern w:val="0"/>
                      <w:szCs w:val="21"/>
                    </w:rPr>
                  </w:pPr>
                  <w:r>
                    <w:rPr>
                      <w:kern w:val="0"/>
                      <w:szCs w:val="21"/>
                    </w:rPr>
                    <w:t>寺山110kV</w:t>
                  </w:r>
                </w:p>
                <w:p>
                  <w:pPr>
                    <w:jc w:val="center"/>
                    <w:rPr>
                      <w:kern w:val="0"/>
                      <w:szCs w:val="21"/>
                    </w:rPr>
                  </w:pPr>
                  <w:r>
                    <w:rPr>
                      <w:kern w:val="0"/>
                      <w:szCs w:val="21"/>
                    </w:rPr>
                    <w:t>变电站</w:t>
                  </w:r>
                </w:p>
              </w:tc>
              <w:tc>
                <w:tcPr>
                  <w:tcW w:w="1970" w:type="dxa"/>
                  <w:vAlign w:val="center"/>
                </w:tcPr>
                <w:p>
                  <w:pPr>
                    <w:jc w:val="center"/>
                    <w:rPr>
                      <w:kern w:val="0"/>
                      <w:szCs w:val="21"/>
                    </w:rPr>
                  </w:pPr>
                  <w:r>
                    <w:rPr>
                      <w:kern w:val="0"/>
                      <w:szCs w:val="21"/>
                    </w:rPr>
                    <w:t>＃1主变</w:t>
                  </w:r>
                </w:p>
              </w:tc>
              <w:tc>
                <w:tcPr>
                  <w:tcW w:w="1970" w:type="dxa"/>
                  <w:vAlign w:val="center"/>
                </w:tcPr>
                <w:p>
                  <w:pPr>
                    <w:jc w:val="center"/>
                    <w:rPr>
                      <w:kern w:val="0"/>
                      <w:szCs w:val="21"/>
                    </w:rPr>
                  </w:pPr>
                  <w:r>
                    <w:rPr>
                      <w:kern w:val="0"/>
                      <w:szCs w:val="21"/>
                    </w:rPr>
                    <w:t>13.01</w:t>
                  </w:r>
                </w:p>
              </w:tc>
              <w:tc>
                <w:tcPr>
                  <w:tcW w:w="1970" w:type="dxa"/>
                  <w:vAlign w:val="center"/>
                </w:tcPr>
                <w:p>
                  <w:pPr>
                    <w:jc w:val="center"/>
                    <w:rPr>
                      <w:kern w:val="0"/>
                      <w:szCs w:val="21"/>
                    </w:rPr>
                  </w:pPr>
                  <w:r>
                    <w:rPr>
                      <w:kern w:val="0"/>
                      <w:szCs w:val="21"/>
                    </w:rPr>
                    <w:t>6.28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2" w:hRule="atLeast"/>
                <w:jc w:val="center"/>
              </w:trPr>
              <w:tc>
                <w:tcPr>
                  <w:tcW w:w="2222" w:type="dxa"/>
                  <w:vMerge w:val="continue"/>
                  <w:vAlign w:val="center"/>
                </w:tcPr>
                <w:p>
                  <w:pPr>
                    <w:jc w:val="center"/>
                    <w:rPr>
                      <w:kern w:val="0"/>
                      <w:szCs w:val="21"/>
                    </w:rPr>
                  </w:pPr>
                </w:p>
              </w:tc>
              <w:tc>
                <w:tcPr>
                  <w:tcW w:w="1970" w:type="dxa"/>
                  <w:vAlign w:val="center"/>
                </w:tcPr>
                <w:p>
                  <w:pPr>
                    <w:jc w:val="center"/>
                    <w:rPr>
                      <w:kern w:val="0"/>
                      <w:szCs w:val="21"/>
                    </w:rPr>
                  </w:pPr>
                  <w:r>
                    <w:rPr>
                      <w:kern w:val="0"/>
                      <w:szCs w:val="21"/>
                    </w:rPr>
                    <w:t>＃2主变</w:t>
                  </w:r>
                </w:p>
              </w:tc>
              <w:tc>
                <w:tcPr>
                  <w:tcW w:w="1970" w:type="dxa"/>
                  <w:vAlign w:val="center"/>
                </w:tcPr>
                <w:p>
                  <w:pPr>
                    <w:jc w:val="center"/>
                    <w:rPr>
                      <w:kern w:val="0"/>
                      <w:szCs w:val="21"/>
                    </w:rPr>
                  </w:pPr>
                  <w:r>
                    <w:rPr>
                      <w:kern w:val="0"/>
                      <w:szCs w:val="21"/>
                    </w:rPr>
                    <w:t>15.74</w:t>
                  </w:r>
                </w:p>
              </w:tc>
              <w:tc>
                <w:tcPr>
                  <w:tcW w:w="1970" w:type="dxa"/>
                  <w:vAlign w:val="center"/>
                </w:tcPr>
                <w:p>
                  <w:pPr>
                    <w:jc w:val="center"/>
                    <w:rPr>
                      <w:kern w:val="0"/>
                      <w:szCs w:val="21"/>
                    </w:rPr>
                  </w:pPr>
                  <w:r>
                    <w:rPr>
                      <w:kern w:val="0"/>
                      <w:szCs w:val="21"/>
                    </w:rPr>
                    <w:t>5.46</w:t>
                  </w:r>
                </w:p>
              </w:tc>
            </w:tr>
          </w:tbl>
          <w:p>
            <w:pPr>
              <w:ind w:firstLine="560" w:firstLineChars="200"/>
              <w:rPr>
                <w:bCs/>
                <w:sz w:val="28"/>
                <w:szCs w:val="28"/>
              </w:rPr>
            </w:pP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bCs/>
                <w:sz w:val="28"/>
                <w:szCs w:val="28"/>
              </w:rPr>
              <w:t>桔园</w:t>
            </w:r>
            <w:r>
              <w:rPr>
                <w:rFonts w:ascii="Times New Roman" w:hAnsi="Times New Roman" w:eastAsia="宋体" w:cs="Times New Roman"/>
                <w:sz w:val="28"/>
                <w:szCs w:val="28"/>
              </w:rPr>
              <w:t>110kV类比变电站监测时运行工况见表17。</w:t>
            </w:r>
          </w:p>
          <w:p>
            <w:pPr>
              <w:ind w:right="101" w:rightChars="48"/>
              <w:jc w:val="center"/>
              <w:rPr>
                <w:b/>
                <w:sz w:val="24"/>
                <w:szCs w:val="24"/>
              </w:rPr>
            </w:pPr>
            <w:r>
              <w:rPr>
                <w:b/>
                <w:sz w:val="24"/>
                <w:szCs w:val="24"/>
              </w:rPr>
              <w:t>表17  类比监测时寺山变电站运行工况</w:t>
            </w:r>
          </w:p>
          <w:tbl>
            <w:tblPr>
              <w:tblStyle w:val="11"/>
              <w:tblW w:w="813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22"/>
              <w:gridCol w:w="1970"/>
              <w:gridCol w:w="1970"/>
              <w:gridCol w:w="19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2222" w:type="dxa"/>
                  <w:vAlign w:val="top"/>
                </w:tcPr>
                <w:p>
                  <w:pPr>
                    <w:jc w:val="center"/>
                    <w:rPr>
                      <w:kern w:val="0"/>
                      <w:szCs w:val="21"/>
                    </w:rPr>
                  </w:pPr>
                  <w:r>
                    <w:rPr>
                      <w:kern w:val="0"/>
                      <w:szCs w:val="21"/>
                    </w:rPr>
                    <w:t>变电站</w:t>
                  </w:r>
                </w:p>
              </w:tc>
              <w:tc>
                <w:tcPr>
                  <w:tcW w:w="1970" w:type="dxa"/>
                  <w:vAlign w:val="top"/>
                </w:tcPr>
                <w:p>
                  <w:pPr>
                    <w:jc w:val="center"/>
                    <w:rPr>
                      <w:kern w:val="0"/>
                      <w:szCs w:val="21"/>
                    </w:rPr>
                  </w:pPr>
                  <w:r>
                    <w:rPr>
                      <w:kern w:val="0"/>
                      <w:szCs w:val="21"/>
                    </w:rPr>
                    <w:t>名称</w:t>
                  </w:r>
                </w:p>
              </w:tc>
              <w:tc>
                <w:tcPr>
                  <w:tcW w:w="1970" w:type="dxa"/>
                  <w:vAlign w:val="top"/>
                </w:tcPr>
                <w:p>
                  <w:pPr>
                    <w:jc w:val="center"/>
                    <w:rPr>
                      <w:kern w:val="0"/>
                      <w:szCs w:val="21"/>
                    </w:rPr>
                  </w:pPr>
                  <w:r>
                    <w:rPr>
                      <w:kern w:val="0"/>
                      <w:szCs w:val="21"/>
                    </w:rPr>
                    <w:t>有功（MW）</w:t>
                  </w:r>
                </w:p>
              </w:tc>
              <w:tc>
                <w:tcPr>
                  <w:tcW w:w="1970" w:type="dxa"/>
                  <w:vAlign w:val="top"/>
                </w:tcPr>
                <w:p>
                  <w:pPr>
                    <w:jc w:val="center"/>
                    <w:rPr>
                      <w:kern w:val="0"/>
                      <w:szCs w:val="21"/>
                    </w:rPr>
                  </w:pPr>
                  <w:r>
                    <w:rPr>
                      <w:kern w:val="0"/>
                      <w:szCs w:val="21"/>
                    </w:rPr>
                    <w:t>无功（Mvar）</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2" w:hRule="atLeast"/>
                <w:jc w:val="center"/>
              </w:trPr>
              <w:tc>
                <w:tcPr>
                  <w:tcW w:w="2222" w:type="dxa"/>
                  <w:vMerge w:val="restart"/>
                  <w:vAlign w:val="center"/>
                </w:tcPr>
                <w:p>
                  <w:pPr>
                    <w:jc w:val="center"/>
                    <w:rPr>
                      <w:kern w:val="0"/>
                      <w:szCs w:val="21"/>
                    </w:rPr>
                  </w:pPr>
                  <w:r>
                    <w:rPr>
                      <w:kern w:val="0"/>
                      <w:szCs w:val="21"/>
                    </w:rPr>
                    <w:t>桔园110kV</w:t>
                  </w:r>
                </w:p>
                <w:p>
                  <w:pPr>
                    <w:jc w:val="center"/>
                    <w:rPr>
                      <w:kern w:val="0"/>
                      <w:szCs w:val="21"/>
                    </w:rPr>
                  </w:pPr>
                  <w:r>
                    <w:rPr>
                      <w:kern w:val="0"/>
                      <w:szCs w:val="21"/>
                    </w:rPr>
                    <w:t>变电站</w:t>
                  </w:r>
                </w:p>
              </w:tc>
              <w:tc>
                <w:tcPr>
                  <w:tcW w:w="1970" w:type="dxa"/>
                  <w:vAlign w:val="center"/>
                </w:tcPr>
                <w:p>
                  <w:pPr>
                    <w:jc w:val="center"/>
                    <w:rPr>
                      <w:kern w:val="0"/>
                      <w:szCs w:val="21"/>
                    </w:rPr>
                  </w:pPr>
                  <w:r>
                    <w:rPr>
                      <w:kern w:val="0"/>
                      <w:szCs w:val="21"/>
                    </w:rPr>
                    <w:t>＃1主变</w:t>
                  </w:r>
                </w:p>
              </w:tc>
              <w:tc>
                <w:tcPr>
                  <w:tcW w:w="1970" w:type="dxa"/>
                  <w:vAlign w:val="center"/>
                </w:tcPr>
                <w:p>
                  <w:pPr>
                    <w:jc w:val="center"/>
                    <w:rPr>
                      <w:kern w:val="0"/>
                      <w:szCs w:val="21"/>
                    </w:rPr>
                  </w:pPr>
                  <w:r>
                    <w:rPr>
                      <w:kern w:val="0"/>
                      <w:szCs w:val="21"/>
                    </w:rPr>
                    <w:t>12.98</w:t>
                  </w:r>
                </w:p>
              </w:tc>
              <w:tc>
                <w:tcPr>
                  <w:tcW w:w="1970" w:type="dxa"/>
                  <w:vAlign w:val="center"/>
                </w:tcPr>
                <w:p>
                  <w:pPr>
                    <w:jc w:val="center"/>
                    <w:rPr>
                      <w:kern w:val="0"/>
                      <w:szCs w:val="21"/>
                    </w:rPr>
                  </w:pPr>
                  <w:r>
                    <w:rPr>
                      <w:kern w:val="0"/>
                      <w:szCs w:val="21"/>
                    </w:rPr>
                    <w:t>3.98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2" w:hRule="atLeast"/>
                <w:jc w:val="center"/>
              </w:trPr>
              <w:tc>
                <w:tcPr>
                  <w:tcW w:w="2222" w:type="dxa"/>
                  <w:vMerge w:val="continue"/>
                  <w:vAlign w:val="center"/>
                </w:tcPr>
                <w:p>
                  <w:pPr>
                    <w:jc w:val="center"/>
                    <w:rPr>
                      <w:kern w:val="0"/>
                      <w:szCs w:val="21"/>
                    </w:rPr>
                  </w:pPr>
                </w:p>
              </w:tc>
              <w:tc>
                <w:tcPr>
                  <w:tcW w:w="1970" w:type="dxa"/>
                  <w:vAlign w:val="center"/>
                </w:tcPr>
                <w:p>
                  <w:pPr>
                    <w:jc w:val="center"/>
                    <w:rPr>
                      <w:kern w:val="0"/>
                      <w:szCs w:val="21"/>
                    </w:rPr>
                  </w:pPr>
                  <w:r>
                    <w:rPr>
                      <w:kern w:val="0"/>
                      <w:szCs w:val="21"/>
                    </w:rPr>
                    <w:t>＃2主变</w:t>
                  </w:r>
                </w:p>
              </w:tc>
              <w:tc>
                <w:tcPr>
                  <w:tcW w:w="1970" w:type="dxa"/>
                  <w:vAlign w:val="center"/>
                </w:tcPr>
                <w:p>
                  <w:pPr>
                    <w:jc w:val="center"/>
                    <w:rPr>
                      <w:kern w:val="0"/>
                      <w:szCs w:val="21"/>
                    </w:rPr>
                  </w:pPr>
                  <w:r>
                    <w:rPr>
                      <w:kern w:val="0"/>
                      <w:szCs w:val="21"/>
                    </w:rPr>
                    <w:t>14.73</w:t>
                  </w:r>
                </w:p>
              </w:tc>
              <w:tc>
                <w:tcPr>
                  <w:tcW w:w="1970" w:type="dxa"/>
                  <w:vAlign w:val="center"/>
                </w:tcPr>
                <w:p>
                  <w:pPr>
                    <w:jc w:val="center"/>
                    <w:rPr>
                      <w:kern w:val="0"/>
                      <w:szCs w:val="21"/>
                    </w:rPr>
                  </w:pPr>
                  <w:r>
                    <w:rPr>
                      <w:kern w:val="0"/>
                      <w:szCs w:val="21"/>
                    </w:rPr>
                    <w:t>5.66</w:t>
                  </w:r>
                </w:p>
              </w:tc>
            </w:tr>
          </w:tbl>
          <w:p>
            <w:pPr>
              <w:ind w:firstLine="560" w:firstLineChars="200"/>
              <w:rPr>
                <w:bCs/>
                <w:sz w:val="28"/>
                <w:szCs w:val="28"/>
              </w:rPr>
            </w:pP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（6） 类比监测结果</w:t>
            </w:r>
          </w:p>
          <w:p>
            <w:pPr>
              <w:ind w:firstLine="560" w:firstLineChars="200"/>
              <w:rPr>
                <w:sz w:val="28"/>
              </w:rPr>
            </w:pPr>
            <w:r>
              <w:rPr>
                <w:sz w:val="28"/>
              </w:rPr>
              <w:t>月溪</w:t>
            </w:r>
            <w:r>
              <w:rPr>
                <w:bCs/>
                <w:sz w:val="28"/>
                <w:szCs w:val="28"/>
              </w:rPr>
              <w:t>110kV</w:t>
            </w:r>
            <w:r>
              <w:rPr>
                <w:sz w:val="28"/>
              </w:rPr>
              <w:t>变电站</w:t>
            </w:r>
            <w:r>
              <w:rPr>
                <w:bCs/>
                <w:sz w:val="28"/>
                <w:szCs w:val="28"/>
              </w:rPr>
              <w:t>电磁环境类比监测</w:t>
            </w:r>
            <w:r>
              <w:rPr>
                <w:sz w:val="28"/>
              </w:rPr>
              <w:t>结果见表18。</w:t>
            </w:r>
          </w:p>
          <w:p>
            <w:pPr>
              <w:ind w:firstLine="560" w:firstLineChars="200"/>
              <w:rPr>
                <w:sz w:val="28"/>
              </w:rPr>
            </w:pPr>
          </w:p>
          <w:p>
            <w:pPr>
              <w:ind w:hanging="3"/>
              <w:jc w:val="center"/>
              <w:rPr>
                <w:b/>
                <w:sz w:val="24"/>
                <w:szCs w:val="24"/>
              </w:rPr>
            </w:pPr>
            <w:r>
              <w:rPr>
                <w:b/>
                <w:sz w:val="24"/>
                <w:szCs w:val="24"/>
              </w:rPr>
              <w:t>表18 月溪110kV变电站周围工频电磁场监测试结果</w:t>
            </w:r>
          </w:p>
          <w:tbl>
            <w:tblPr>
              <w:tblStyle w:val="11"/>
              <w:tblW w:w="79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2"/>
              <w:gridCol w:w="2385"/>
              <w:gridCol w:w="2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jc w:val="center"/>
              </w:trPr>
              <w:tc>
                <w:tcPr>
                  <w:tcW w:w="2822" w:type="dxa"/>
                  <w:vMerge w:val="restart"/>
                  <w:tcBorders>
                    <w:top w:val="single" w:color="auto" w:sz="12" w:space="0"/>
                    <w:left w:val="single" w:color="auto" w:sz="12" w:space="0"/>
                    <w:right w:val="single" w:color="auto" w:sz="2" w:space="0"/>
                  </w:tcBorders>
                  <w:vAlign w:val="center"/>
                </w:tcPr>
                <w:p>
                  <w:pPr>
                    <w:spacing w:line="240" w:lineRule="exact"/>
                    <w:jc w:val="center"/>
                    <w:rPr>
                      <w:szCs w:val="21"/>
                    </w:rPr>
                  </w:pPr>
                  <w:r>
                    <w:rPr>
                      <w:szCs w:val="21"/>
                    </w:rPr>
                    <w:t>测点</w:t>
                  </w:r>
                </w:p>
              </w:tc>
              <w:tc>
                <w:tcPr>
                  <w:tcW w:w="2385" w:type="dxa"/>
                  <w:vMerge w:val="restart"/>
                  <w:tcBorders>
                    <w:top w:val="single" w:color="auto" w:sz="12" w:space="0"/>
                    <w:left w:val="single" w:color="auto" w:sz="2" w:space="0"/>
                    <w:right w:val="single" w:color="auto" w:sz="8" w:space="0"/>
                  </w:tcBorders>
                  <w:vAlign w:val="center"/>
                </w:tcPr>
                <w:p>
                  <w:pPr>
                    <w:spacing w:line="240" w:lineRule="exact"/>
                    <w:jc w:val="center"/>
                    <w:rPr>
                      <w:szCs w:val="21"/>
                    </w:rPr>
                  </w:pPr>
                  <w:r>
                    <w:rPr>
                      <w:szCs w:val="21"/>
                    </w:rPr>
                    <w:t>工频电场（V/m）</w:t>
                  </w:r>
                </w:p>
              </w:tc>
              <w:tc>
                <w:tcPr>
                  <w:tcW w:w="2727" w:type="dxa"/>
                  <w:vMerge w:val="restart"/>
                  <w:tcBorders>
                    <w:top w:val="single" w:color="auto" w:sz="12" w:space="0"/>
                    <w:left w:val="single" w:color="auto" w:sz="8" w:space="0"/>
                    <w:right w:val="single" w:color="auto" w:sz="12" w:space="0"/>
                  </w:tcBorders>
                  <w:vAlign w:val="center"/>
                </w:tcPr>
                <w:p>
                  <w:pPr>
                    <w:spacing w:line="240" w:lineRule="exact"/>
                    <w:jc w:val="center"/>
                    <w:rPr>
                      <w:szCs w:val="21"/>
                    </w:rPr>
                  </w:pPr>
                  <w:r>
                    <w:rPr>
                      <w:szCs w:val="21"/>
                    </w:rPr>
                    <w:t>工频磁场（×10</w:t>
                  </w:r>
                  <w:r>
                    <w:rPr>
                      <w:szCs w:val="21"/>
                      <w:vertAlign w:val="superscript"/>
                    </w:rPr>
                    <w:t>-3</w:t>
                  </w:r>
                  <w:r>
                    <w:rPr>
                      <w:szCs w:val="21"/>
                    </w:rPr>
                    <w:t>μT）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2822" w:type="dxa"/>
                  <w:vMerge w:val="continue"/>
                  <w:tcBorders>
                    <w:left w:val="single" w:color="auto" w:sz="12" w:space="0"/>
                    <w:right w:val="single" w:color="auto" w:sz="2" w:space="0"/>
                  </w:tcBorders>
                  <w:vAlign w:val="center"/>
                </w:tcPr>
                <w:p>
                  <w:pPr>
                    <w:spacing w:line="240" w:lineRule="exact"/>
                    <w:jc w:val="center"/>
                    <w:rPr>
                      <w:szCs w:val="21"/>
                    </w:rPr>
                  </w:pPr>
                </w:p>
              </w:tc>
              <w:tc>
                <w:tcPr>
                  <w:tcW w:w="2385" w:type="dxa"/>
                  <w:vMerge w:val="continue"/>
                  <w:tcBorders>
                    <w:left w:val="single" w:color="auto" w:sz="2" w:space="0"/>
                    <w:right w:val="single" w:color="auto" w:sz="8" w:space="0"/>
                  </w:tcBorders>
                  <w:vAlign w:val="center"/>
                </w:tcPr>
                <w:p>
                  <w:pPr>
                    <w:spacing w:line="240" w:lineRule="exact"/>
                    <w:jc w:val="center"/>
                    <w:rPr>
                      <w:szCs w:val="21"/>
                    </w:rPr>
                  </w:pPr>
                </w:p>
              </w:tc>
              <w:tc>
                <w:tcPr>
                  <w:tcW w:w="2727" w:type="dxa"/>
                  <w:vMerge w:val="continue"/>
                  <w:tcBorders>
                    <w:left w:val="single" w:color="auto" w:sz="8" w:space="0"/>
                    <w:right w:val="single" w:color="auto" w:sz="12" w:space="0"/>
                  </w:tcBorders>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变电站东面</w:t>
                  </w:r>
                </w:p>
              </w:tc>
              <w:tc>
                <w:tcPr>
                  <w:tcW w:w="2385" w:type="dxa"/>
                  <w:tcBorders>
                    <w:top w:val="single" w:color="auto" w:sz="2" w:space="0"/>
                    <w:left w:val="single" w:color="auto" w:sz="2" w:space="0"/>
                    <w:bottom w:val="single" w:color="auto" w:sz="2" w:space="0"/>
                    <w:right w:val="single" w:color="auto" w:sz="8" w:space="0"/>
                  </w:tcBorders>
                  <w:vAlign w:val="center"/>
                </w:tcPr>
                <w:p>
                  <w:pPr>
                    <w:jc w:val="center"/>
                    <w:rPr>
                      <w:szCs w:val="21"/>
                    </w:rPr>
                  </w:pPr>
                  <w:r>
                    <w:rPr>
                      <w:szCs w:val="21"/>
                    </w:rPr>
                    <w:t>9.7</w:t>
                  </w:r>
                </w:p>
              </w:tc>
              <w:tc>
                <w:tcPr>
                  <w:tcW w:w="2727" w:type="dxa"/>
                  <w:tcBorders>
                    <w:top w:val="single" w:color="auto" w:sz="2" w:space="0"/>
                    <w:left w:val="single" w:color="auto" w:sz="8" w:space="0"/>
                    <w:bottom w:val="single" w:color="auto" w:sz="2" w:space="0"/>
                    <w:right w:val="single" w:color="auto" w:sz="12" w:space="0"/>
                  </w:tcBorders>
                  <w:vAlign w:val="center"/>
                </w:tcPr>
                <w:p>
                  <w:pPr>
                    <w:jc w:val="center"/>
                    <w:rPr>
                      <w:szCs w:val="21"/>
                    </w:rPr>
                  </w:pPr>
                  <w:r>
                    <w:rPr>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变电站南面</w:t>
                  </w:r>
                </w:p>
              </w:tc>
              <w:tc>
                <w:tcPr>
                  <w:tcW w:w="2385" w:type="dxa"/>
                  <w:tcBorders>
                    <w:top w:val="single" w:color="auto" w:sz="2" w:space="0"/>
                    <w:left w:val="single" w:color="auto" w:sz="2" w:space="0"/>
                    <w:bottom w:val="single" w:color="auto" w:sz="4" w:space="0"/>
                    <w:right w:val="single" w:color="auto" w:sz="8" w:space="0"/>
                  </w:tcBorders>
                  <w:vAlign w:val="center"/>
                </w:tcPr>
                <w:p>
                  <w:pPr>
                    <w:jc w:val="center"/>
                    <w:rPr>
                      <w:szCs w:val="21"/>
                    </w:rPr>
                  </w:pPr>
                  <w:r>
                    <w:rPr>
                      <w:szCs w:val="21"/>
                    </w:rPr>
                    <w:t>215.1</w:t>
                  </w:r>
                </w:p>
              </w:tc>
              <w:tc>
                <w:tcPr>
                  <w:tcW w:w="2727" w:type="dxa"/>
                  <w:tcBorders>
                    <w:top w:val="single" w:color="auto" w:sz="2" w:space="0"/>
                    <w:left w:val="single" w:color="auto" w:sz="8" w:space="0"/>
                    <w:bottom w:val="single" w:color="auto" w:sz="4" w:space="0"/>
                    <w:right w:val="single" w:color="auto" w:sz="12" w:space="0"/>
                  </w:tcBorders>
                  <w:vAlign w:val="center"/>
                </w:tcPr>
                <w:p>
                  <w:pPr>
                    <w:jc w:val="center"/>
                    <w:rPr>
                      <w:szCs w:val="21"/>
                    </w:rPr>
                  </w:pPr>
                  <w:r>
                    <w:rPr>
                      <w:szCs w:val="21"/>
                    </w:rPr>
                    <w:t>1093.8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2822" w:type="dxa"/>
                  <w:tcBorders>
                    <w:top w:val="single" w:color="auto" w:sz="4" w:space="0"/>
                    <w:left w:val="single" w:color="auto" w:sz="12" w:space="0"/>
                    <w:bottom w:val="single" w:color="auto" w:sz="4" w:space="0"/>
                    <w:right w:val="single" w:color="auto" w:sz="2" w:space="0"/>
                  </w:tcBorders>
                  <w:vAlign w:val="center"/>
                </w:tcPr>
                <w:p>
                  <w:pPr>
                    <w:jc w:val="center"/>
                    <w:rPr>
                      <w:kern w:val="0"/>
                      <w:szCs w:val="21"/>
                    </w:rPr>
                  </w:pPr>
                  <w:r>
                    <w:rPr>
                      <w:kern w:val="0"/>
                      <w:szCs w:val="21"/>
                    </w:rPr>
                    <w:t>变电站西面</w:t>
                  </w:r>
                </w:p>
              </w:tc>
              <w:tc>
                <w:tcPr>
                  <w:tcW w:w="2385" w:type="dxa"/>
                  <w:tcBorders>
                    <w:top w:val="single" w:color="auto" w:sz="4" w:space="0"/>
                    <w:left w:val="single" w:color="auto" w:sz="2" w:space="0"/>
                    <w:bottom w:val="single" w:color="auto" w:sz="4" w:space="0"/>
                    <w:right w:val="single" w:color="auto" w:sz="8" w:space="0"/>
                  </w:tcBorders>
                  <w:vAlign w:val="center"/>
                </w:tcPr>
                <w:p>
                  <w:pPr>
                    <w:jc w:val="center"/>
                    <w:rPr>
                      <w:szCs w:val="21"/>
                    </w:rPr>
                  </w:pPr>
                  <w:r>
                    <w:rPr>
                      <w:szCs w:val="21"/>
                    </w:rPr>
                    <w:t>30.6</w:t>
                  </w:r>
                </w:p>
              </w:tc>
              <w:tc>
                <w:tcPr>
                  <w:tcW w:w="2727" w:type="dxa"/>
                  <w:tcBorders>
                    <w:top w:val="single" w:color="auto" w:sz="4" w:space="0"/>
                    <w:left w:val="single" w:color="auto" w:sz="8" w:space="0"/>
                    <w:bottom w:val="single" w:color="auto" w:sz="4" w:space="0"/>
                    <w:right w:val="single" w:color="auto" w:sz="12" w:space="0"/>
                  </w:tcBorders>
                  <w:vAlign w:val="center"/>
                </w:tcPr>
                <w:p>
                  <w:pPr>
                    <w:jc w:val="center"/>
                    <w:rPr>
                      <w:szCs w:val="21"/>
                    </w:rPr>
                  </w:pPr>
                  <w:r>
                    <w:rPr>
                      <w:szCs w:val="21"/>
                    </w:rPr>
                    <w:t>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2822" w:type="dxa"/>
                  <w:tcBorders>
                    <w:top w:val="single" w:color="auto" w:sz="4" w:space="0"/>
                    <w:left w:val="single" w:color="auto" w:sz="12" w:space="0"/>
                    <w:bottom w:val="single" w:color="auto" w:sz="4" w:space="0"/>
                    <w:right w:val="single" w:color="auto" w:sz="2" w:space="0"/>
                  </w:tcBorders>
                  <w:vAlign w:val="center"/>
                </w:tcPr>
                <w:p>
                  <w:pPr>
                    <w:jc w:val="center"/>
                    <w:rPr>
                      <w:kern w:val="0"/>
                      <w:szCs w:val="21"/>
                    </w:rPr>
                  </w:pPr>
                  <w:r>
                    <w:rPr>
                      <w:kern w:val="0"/>
                      <w:szCs w:val="21"/>
                    </w:rPr>
                    <w:t>变电站北面</w:t>
                  </w:r>
                </w:p>
              </w:tc>
              <w:tc>
                <w:tcPr>
                  <w:tcW w:w="2385" w:type="dxa"/>
                  <w:tcBorders>
                    <w:top w:val="single" w:color="auto" w:sz="4" w:space="0"/>
                    <w:left w:val="single" w:color="auto" w:sz="2" w:space="0"/>
                    <w:bottom w:val="single" w:color="auto" w:sz="4" w:space="0"/>
                    <w:right w:val="single" w:color="auto" w:sz="8" w:space="0"/>
                  </w:tcBorders>
                  <w:vAlign w:val="center"/>
                </w:tcPr>
                <w:p>
                  <w:pPr>
                    <w:jc w:val="center"/>
                    <w:rPr>
                      <w:szCs w:val="21"/>
                    </w:rPr>
                  </w:pPr>
                  <w:r>
                    <w:rPr>
                      <w:szCs w:val="21"/>
                    </w:rPr>
                    <w:t>38.8</w:t>
                  </w:r>
                </w:p>
              </w:tc>
              <w:tc>
                <w:tcPr>
                  <w:tcW w:w="2727" w:type="dxa"/>
                  <w:tcBorders>
                    <w:top w:val="single" w:color="auto" w:sz="4" w:space="0"/>
                    <w:left w:val="single" w:color="auto" w:sz="8" w:space="0"/>
                    <w:bottom w:val="single" w:color="auto" w:sz="4" w:space="0"/>
                    <w:right w:val="single" w:color="auto" w:sz="12" w:space="0"/>
                  </w:tcBorders>
                  <w:vAlign w:val="center"/>
                </w:tcPr>
                <w:p>
                  <w:pPr>
                    <w:jc w:val="center"/>
                    <w:rPr>
                      <w:szCs w:val="21"/>
                    </w:rPr>
                  </w:pPr>
                  <w:r>
                    <w:rPr>
                      <w:szCs w:val="21"/>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0"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距南面围墙1m</w:t>
                  </w:r>
                </w:p>
              </w:tc>
              <w:tc>
                <w:tcPr>
                  <w:tcW w:w="2385" w:type="dxa"/>
                  <w:tcBorders>
                    <w:top w:val="single" w:color="auto" w:sz="2" w:space="0"/>
                    <w:left w:val="single" w:color="auto" w:sz="2" w:space="0"/>
                    <w:bottom w:val="single" w:color="auto" w:sz="2" w:space="0"/>
                    <w:right w:val="single" w:color="auto" w:sz="2" w:space="0"/>
                  </w:tcBorders>
                  <w:vAlign w:val="center"/>
                </w:tcPr>
                <w:p>
                  <w:pPr>
                    <w:spacing w:before="19" w:beforeLines="8" w:after="19" w:afterLines="8"/>
                    <w:jc w:val="center"/>
                    <w:rPr>
                      <w:kern w:val="0"/>
                      <w:szCs w:val="21"/>
                    </w:rPr>
                  </w:pPr>
                  <w:r>
                    <w:rPr>
                      <w:kern w:val="0"/>
                      <w:szCs w:val="21"/>
                    </w:rPr>
                    <w:t>245.3</w:t>
                  </w:r>
                </w:p>
              </w:tc>
              <w:tc>
                <w:tcPr>
                  <w:tcW w:w="2727" w:type="dxa"/>
                  <w:tcBorders>
                    <w:top w:val="single" w:color="auto" w:sz="2" w:space="0"/>
                    <w:left w:val="single" w:color="auto" w:sz="2" w:space="0"/>
                    <w:bottom w:val="single" w:color="auto" w:sz="2" w:space="0"/>
                    <w:right w:val="single" w:color="auto" w:sz="12" w:space="0"/>
                  </w:tcBorders>
                  <w:vAlign w:val="center"/>
                </w:tcPr>
                <w:p>
                  <w:pPr>
                    <w:spacing w:before="19" w:beforeLines="8" w:after="19" w:afterLines="8"/>
                    <w:jc w:val="center"/>
                    <w:rPr>
                      <w:kern w:val="0"/>
                      <w:szCs w:val="21"/>
                    </w:rPr>
                  </w:pPr>
                  <w:r>
                    <w:rPr>
                      <w:kern w:val="0"/>
                      <w:szCs w:val="21"/>
                    </w:rPr>
                    <w:t>1032.7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0"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距南面围墙5m</w:t>
                  </w:r>
                </w:p>
              </w:tc>
              <w:tc>
                <w:tcPr>
                  <w:tcW w:w="2385" w:type="dxa"/>
                  <w:tcBorders>
                    <w:top w:val="single" w:color="auto" w:sz="2" w:space="0"/>
                    <w:left w:val="single" w:color="auto" w:sz="2" w:space="0"/>
                    <w:bottom w:val="single" w:color="auto" w:sz="2" w:space="0"/>
                    <w:right w:val="single" w:color="auto" w:sz="2" w:space="0"/>
                  </w:tcBorders>
                  <w:vAlign w:val="center"/>
                </w:tcPr>
                <w:p>
                  <w:pPr>
                    <w:spacing w:before="19" w:beforeLines="8" w:after="19" w:afterLines="8"/>
                    <w:jc w:val="center"/>
                    <w:rPr>
                      <w:kern w:val="0"/>
                      <w:szCs w:val="21"/>
                    </w:rPr>
                  </w:pPr>
                  <w:r>
                    <w:rPr>
                      <w:kern w:val="0"/>
                      <w:szCs w:val="21"/>
                    </w:rPr>
                    <w:t>289.8</w:t>
                  </w:r>
                </w:p>
              </w:tc>
              <w:tc>
                <w:tcPr>
                  <w:tcW w:w="2727" w:type="dxa"/>
                  <w:tcBorders>
                    <w:top w:val="single" w:color="auto" w:sz="2" w:space="0"/>
                    <w:left w:val="single" w:color="auto" w:sz="2" w:space="0"/>
                    <w:bottom w:val="single" w:color="auto" w:sz="2" w:space="0"/>
                    <w:right w:val="single" w:color="auto" w:sz="12" w:space="0"/>
                  </w:tcBorders>
                  <w:vAlign w:val="center"/>
                </w:tcPr>
                <w:p>
                  <w:pPr>
                    <w:spacing w:before="19" w:beforeLines="8" w:after="19" w:afterLines="8"/>
                    <w:jc w:val="center"/>
                    <w:rPr>
                      <w:kern w:val="0"/>
                      <w:szCs w:val="21"/>
                    </w:rPr>
                  </w:pPr>
                  <w:r>
                    <w:rPr>
                      <w:kern w:val="0"/>
                      <w:szCs w:val="21"/>
                    </w:rPr>
                    <w:t>1147.3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0"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距南面围墙10m</w:t>
                  </w:r>
                </w:p>
              </w:tc>
              <w:tc>
                <w:tcPr>
                  <w:tcW w:w="2385" w:type="dxa"/>
                  <w:tcBorders>
                    <w:top w:val="single" w:color="auto" w:sz="2" w:space="0"/>
                    <w:left w:val="single" w:color="auto" w:sz="2" w:space="0"/>
                    <w:bottom w:val="single" w:color="auto" w:sz="2" w:space="0"/>
                    <w:right w:val="single" w:color="auto" w:sz="2" w:space="0"/>
                  </w:tcBorders>
                  <w:vAlign w:val="center"/>
                </w:tcPr>
                <w:p>
                  <w:pPr>
                    <w:spacing w:before="19" w:beforeLines="8" w:after="19" w:afterLines="8"/>
                    <w:jc w:val="center"/>
                    <w:rPr>
                      <w:kern w:val="0"/>
                      <w:szCs w:val="21"/>
                    </w:rPr>
                  </w:pPr>
                  <w:r>
                    <w:rPr>
                      <w:kern w:val="0"/>
                      <w:szCs w:val="21"/>
                    </w:rPr>
                    <w:t>178.2</w:t>
                  </w:r>
                </w:p>
              </w:tc>
              <w:tc>
                <w:tcPr>
                  <w:tcW w:w="2727" w:type="dxa"/>
                  <w:tcBorders>
                    <w:top w:val="single" w:color="auto" w:sz="2" w:space="0"/>
                    <w:left w:val="single" w:color="auto" w:sz="2" w:space="0"/>
                    <w:bottom w:val="single" w:color="auto" w:sz="2" w:space="0"/>
                    <w:right w:val="single" w:color="auto" w:sz="12" w:space="0"/>
                  </w:tcBorders>
                  <w:vAlign w:val="center"/>
                </w:tcPr>
                <w:p>
                  <w:pPr>
                    <w:spacing w:before="19" w:beforeLines="8" w:after="19" w:afterLines="8"/>
                    <w:jc w:val="center"/>
                    <w:rPr>
                      <w:kern w:val="0"/>
                      <w:szCs w:val="21"/>
                    </w:rPr>
                  </w:pPr>
                  <w:r>
                    <w:rPr>
                      <w:kern w:val="0"/>
                      <w:szCs w:val="21"/>
                    </w:rPr>
                    <w:t>825.1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2822" w:type="dxa"/>
                  <w:tcBorders>
                    <w:top w:val="single" w:color="auto" w:sz="2" w:space="0"/>
                    <w:left w:val="single" w:color="auto" w:sz="12" w:space="0"/>
                    <w:bottom w:val="single" w:color="auto" w:sz="4" w:space="0"/>
                    <w:right w:val="single" w:color="auto" w:sz="2" w:space="0"/>
                  </w:tcBorders>
                  <w:vAlign w:val="center"/>
                </w:tcPr>
                <w:p>
                  <w:pPr>
                    <w:jc w:val="center"/>
                    <w:rPr>
                      <w:kern w:val="0"/>
                      <w:szCs w:val="21"/>
                    </w:rPr>
                  </w:pPr>
                  <w:r>
                    <w:rPr>
                      <w:kern w:val="0"/>
                      <w:szCs w:val="21"/>
                    </w:rPr>
                    <w:t>距南面围墙20m</w:t>
                  </w:r>
                </w:p>
              </w:tc>
              <w:tc>
                <w:tcPr>
                  <w:tcW w:w="2385" w:type="dxa"/>
                  <w:tcBorders>
                    <w:top w:val="single" w:color="auto" w:sz="2" w:space="0"/>
                    <w:left w:val="single" w:color="auto" w:sz="2" w:space="0"/>
                    <w:bottom w:val="single" w:color="auto" w:sz="4" w:space="0"/>
                    <w:right w:val="single" w:color="auto" w:sz="2" w:space="0"/>
                  </w:tcBorders>
                  <w:vAlign w:val="center"/>
                </w:tcPr>
                <w:p>
                  <w:pPr>
                    <w:spacing w:before="19" w:beforeLines="8" w:after="19" w:afterLines="8"/>
                    <w:jc w:val="center"/>
                    <w:rPr>
                      <w:kern w:val="0"/>
                      <w:szCs w:val="21"/>
                    </w:rPr>
                  </w:pPr>
                  <w:r>
                    <w:rPr>
                      <w:kern w:val="0"/>
                      <w:szCs w:val="21"/>
                    </w:rPr>
                    <w:t>142.5</w:t>
                  </w:r>
                </w:p>
              </w:tc>
              <w:tc>
                <w:tcPr>
                  <w:tcW w:w="2727" w:type="dxa"/>
                  <w:tcBorders>
                    <w:top w:val="single" w:color="auto" w:sz="2" w:space="0"/>
                    <w:left w:val="single" w:color="auto" w:sz="2" w:space="0"/>
                    <w:bottom w:val="single" w:color="auto" w:sz="4" w:space="0"/>
                    <w:right w:val="single" w:color="auto" w:sz="12" w:space="0"/>
                  </w:tcBorders>
                  <w:vAlign w:val="center"/>
                </w:tcPr>
                <w:p>
                  <w:pPr>
                    <w:spacing w:before="19" w:beforeLines="8" w:after="19" w:afterLines="8"/>
                    <w:jc w:val="center"/>
                    <w:rPr>
                      <w:kern w:val="0"/>
                      <w:szCs w:val="21"/>
                    </w:rPr>
                  </w:pPr>
                  <w:r>
                    <w:rPr>
                      <w:kern w:val="0"/>
                      <w:szCs w:val="21"/>
                    </w:rPr>
                    <w:t>616.8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2822" w:type="dxa"/>
                  <w:tcBorders>
                    <w:top w:val="single" w:color="auto" w:sz="4" w:space="0"/>
                    <w:left w:val="single" w:color="auto" w:sz="12" w:space="0"/>
                    <w:bottom w:val="single" w:color="auto" w:sz="2" w:space="0"/>
                    <w:right w:val="single" w:color="auto" w:sz="4" w:space="0"/>
                  </w:tcBorders>
                  <w:vAlign w:val="center"/>
                </w:tcPr>
                <w:p>
                  <w:pPr>
                    <w:jc w:val="center"/>
                    <w:rPr>
                      <w:kern w:val="0"/>
                      <w:szCs w:val="21"/>
                    </w:rPr>
                  </w:pPr>
                  <w:r>
                    <w:rPr>
                      <w:kern w:val="0"/>
                      <w:szCs w:val="21"/>
                    </w:rPr>
                    <w:t>距南面围墙30m</w:t>
                  </w:r>
                </w:p>
              </w:tc>
              <w:tc>
                <w:tcPr>
                  <w:tcW w:w="2385" w:type="dxa"/>
                  <w:tcBorders>
                    <w:top w:val="single" w:color="auto" w:sz="4" w:space="0"/>
                    <w:left w:val="single" w:color="auto" w:sz="4" w:space="0"/>
                    <w:bottom w:val="single" w:color="auto" w:sz="2" w:space="0"/>
                    <w:right w:val="single" w:color="auto" w:sz="2" w:space="0"/>
                  </w:tcBorders>
                  <w:vAlign w:val="center"/>
                </w:tcPr>
                <w:p>
                  <w:pPr>
                    <w:spacing w:before="19" w:beforeLines="8" w:after="19" w:afterLines="8"/>
                    <w:jc w:val="center"/>
                    <w:rPr>
                      <w:kern w:val="0"/>
                      <w:szCs w:val="21"/>
                    </w:rPr>
                  </w:pPr>
                  <w:r>
                    <w:rPr>
                      <w:kern w:val="0"/>
                      <w:szCs w:val="21"/>
                    </w:rPr>
                    <w:t>95.3</w:t>
                  </w:r>
                </w:p>
              </w:tc>
              <w:tc>
                <w:tcPr>
                  <w:tcW w:w="2727" w:type="dxa"/>
                  <w:tcBorders>
                    <w:top w:val="single" w:color="auto" w:sz="4" w:space="0"/>
                    <w:left w:val="single" w:color="auto" w:sz="2" w:space="0"/>
                    <w:bottom w:val="single" w:color="auto" w:sz="2" w:space="0"/>
                    <w:right w:val="single" w:color="auto" w:sz="12" w:space="0"/>
                  </w:tcBorders>
                  <w:vAlign w:val="center"/>
                </w:tcPr>
                <w:p>
                  <w:pPr>
                    <w:spacing w:before="19" w:beforeLines="8" w:after="19" w:afterLines="8"/>
                    <w:jc w:val="center"/>
                    <w:rPr>
                      <w:kern w:val="0"/>
                      <w:szCs w:val="21"/>
                    </w:rPr>
                  </w:pPr>
                  <w:r>
                    <w:rPr>
                      <w:kern w:val="0"/>
                      <w:szCs w:val="21"/>
                    </w:rPr>
                    <w:t>257.9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距南面围墙50m</w:t>
                  </w:r>
                </w:p>
              </w:tc>
              <w:tc>
                <w:tcPr>
                  <w:tcW w:w="2385" w:type="dxa"/>
                  <w:tcBorders>
                    <w:top w:val="single" w:color="auto" w:sz="2" w:space="0"/>
                    <w:left w:val="single" w:color="auto" w:sz="2" w:space="0"/>
                    <w:bottom w:val="single" w:color="auto" w:sz="2" w:space="0"/>
                    <w:right w:val="single" w:color="auto" w:sz="2" w:space="0"/>
                  </w:tcBorders>
                  <w:vAlign w:val="center"/>
                </w:tcPr>
                <w:p>
                  <w:pPr>
                    <w:spacing w:before="19" w:beforeLines="8" w:after="19" w:afterLines="8"/>
                    <w:jc w:val="center"/>
                    <w:rPr>
                      <w:kern w:val="0"/>
                      <w:szCs w:val="21"/>
                    </w:rPr>
                  </w:pPr>
                  <w:r>
                    <w:rPr>
                      <w:kern w:val="0"/>
                      <w:szCs w:val="21"/>
                    </w:rPr>
                    <w:t>74.8</w:t>
                  </w:r>
                </w:p>
              </w:tc>
              <w:tc>
                <w:tcPr>
                  <w:tcW w:w="2727" w:type="dxa"/>
                  <w:tcBorders>
                    <w:top w:val="single" w:color="auto" w:sz="2" w:space="0"/>
                    <w:left w:val="single" w:color="auto" w:sz="2" w:space="0"/>
                    <w:bottom w:val="single" w:color="auto" w:sz="2" w:space="0"/>
                    <w:right w:val="single" w:color="auto" w:sz="12" w:space="0"/>
                  </w:tcBorders>
                  <w:vAlign w:val="center"/>
                </w:tcPr>
                <w:p>
                  <w:pPr>
                    <w:spacing w:before="19" w:beforeLines="8" w:after="19" w:afterLines="8"/>
                    <w:jc w:val="center"/>
                    <w:rPr>
                      <w:kern w:val="0"/>
                      <w:szCs w:val="21"/>
                    </w:rPr>
                  </w:pPr>
                  <w:r>
                    <w:rPr>
                      <w:kern w:val="0"/>
                      <w:szCs w:val="21"/>
                    </w:rPr>
                    <w:t>167.8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5" w:hRule="atLeast"/>
                <w:jc w:val="center"/>
              </w:trPr>
              <w:tc>
                <w:tcPr>
                  <w:tcW w:w="7934" w:type="dxa"/>
                  <w:gridSpan w:val="3"/>
                  <w:tcBorders>
                    <w:top w:val="single" w:color="auto" w:sz="2" w:space="0"/>
                    <w:left w:val="single" w:color="auto" w:sz="12" w:space="0"/>
                    <w:bottom w:val="single" w:color="auto" w:sz="12" w:space="0"/>
                    <w:right w:val="single" w:color="auto" w:sz="12" w:space="0"/>
                  </w:tcBorders>
                  <w:vAlign w:val="center"/>
                </w:tcPr>
                <w:p>
                  <w:pPr>
                    <w:jc w:val="center"/>
                    <w:rPr>
                      <w:kern w:val="0"/>
                      <w:szCs w:val="21"/>
                    </w:rPr>
                  </w:pPr>
                  <w:r>
                    <w:rPr>
                      <w:kern w:val="0"/>
                      <w:szCs w:val="21"/>
                    </w:rPr>
                    <w:t>监测日期2016年11月16日，阴，温度15.5℃，相对湿度70.8%。</w:t>
                  </w:r>
                </w:p>
              </w:tc>
            </w:tr>
          </w:tbl>
          <w:p>
            <w:pPr>
              <w:ind w:firstLine="560" w:firstLineChars="200"/>
              <w:rPr>
                <w:sz w:val="28"/>
              </w:rPr>
            </w:pPr>
          </w:p>
          <w:p>
            <w:pPr>
              <w:ind w:firstLine="560" w:firstLineChars="200"/>
              <w:rPr>
                <w:sz w:val="28"/>
              </w:rPr>
            </w:pPr>
            <w:r>
              <w:rPr>
                <w:sz w:val="28"/>
              </w:rPr>
              <w:t>寺山</w:t>
            </w:r>
            <w:r>
              <w:rPr>
                <w:bCs/>
                <w:sz w:val="28"/>
                <w:szCs w:val="28"/>
              </w:rPr>
              <w:t>110kV</w:t>
            </w:r>
            <w:r>
              <w:rPr>
                <w:sz w:val="28"/>
              </w:rPr>
              <w:t>变电站</w:t>
            </w:r>
            <w:r>
              <w:rPr>
                <w:bCs/>
                <w:sz w:val="28"/>
                <w:szCs w:val="28"/>
              </w:rPr>
              <w:t>电磁环境类比监测</w:t>
            </w:r>
            <w:r>
              <w:rPr>
                <w:sz w:val="28"/>
              </w:rPr>
              <w:t>结果见表19。</w:t>
            </w:r>
          </w:p>
          <w:p>
            <w:pPr>
              <w:ind w:hanging="3"/>
              <w:jc w:val="center"/>
              <w:rPr>
                <w:b/>
                <w:sz w:val="24"/>
                <w:szCs w:val="24"/>
              </w:rPr>
            </w:pPr>
          </w:p>
          <w:p>
            <w:pPr>
              <w:ind w:hanging="3"/>
              <w:jc w:val="center"/>
              <w:rPr>
                <w:b/>
                <w:sz w:val="24"/>
                <w:szCs w:val="24"/>
              </w:rPr>
            </w:pPr>
            <w:r>
              <w:rPr>
                <w:b/>
                <w:sz w:val="24"/>
                <w:szCs w:val="24"/>
              </w:rPr>
              <w:t>表19 寺山110kV变电站周围工频电磁场监测试结果</w:t>
            </w:r>
          </w:p>
          <w:tbl>
            <w:tblPr>
              <w:tblStyle w:val="11"/>
              <w:tblW w:w="79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2"/>
              <w:gridCol w:w="2385"/>
              <w:gridCol w:w="2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jc w:val="center"/>
              </w:trPr>
              <w:tc>
                <w:tcPr>
                  <w:tcW w:w="2822" w:type="dxa"/>
                  <w:vMerge w:val="restart"/>
                  <w:tcBorders>
                    <w:top w:val="single" w:color="auto" w:sz="12" w:space="0"/>
                    <w:left w:val="single" w:color="auto" w:sz="12" w:space="0"/>
                    <w:right w:val="single" w:color="auto" w:sz="2" w:space="0"/>
                  </w:tcBorders>
                  <w:vAlign w:val="center"/>
                </w:tcPr>
                <w:p>
                  <w:pPr>
                    <w:spacing w:line="240" w:lineRule="exact"/>
                    <w:jc w:val="center"/>
                    <w:rPr>
                      <w:szCs w:val="21"/>
                    </w:rPr>
                  </w:pPr>
                  <w:r>
                    <w:rPr>
                      <w:szCs w:val="21"/>
                    </w:rPr>
                    <w:t>测点</w:t>
                  </w:r>
                </w:p>
              </w:tc>
              <w:tc>
                <w:tcPr>
                  <w:tcW w:w="2385" w:type="dxa"/>
                  <w:vMerge w:val="restart"/>
                  <w:tcBorders>
                    <w:top w:val="single" w:color="auto" w:sz="12" w:space="0"/>
                    <w:left w:val="single" w:color="auto" w:sz="2" w:space="0"/>
                    <w:right w:val="single" w:color="auto" w:sz="8" w:space="0"/>
                  </w:tcBorders>
                  <w:vAlign w:val="center"/>
                </w:tcPr>
                <w:p>
                  <w:pPr>
                    <w:spacing w:line="240" w:lineRule="exact"/>
                    <w:jc w:val="center"/>
                    <w:rPr>
                      <w:szCs w:val="21"/>
                    </w:rPr>
                  </w:pPr>
                  <w:r>
                    <w:rPr>
                      <w:szCs w:val="21"/>
                    </w:rPr>
                    <w:t>工频电场（V/m）</w:t>
                  </w:r>
                </w:p>
              </w:tc>
              <w:tc>
                <w:tcPr>
                  <w:tcW w:w="2727" w:type="dxa"/>
                  <w:vMerge w:val="restart"/>
                  <w:tcBorders>
                    <w:top w:val="single" w:color="auto" w:sz="12" w:space="0"/>
                    <w:left w:val="single" w:color="auto" w:sz="8" w:space="0"/>
                    <w:right w:val="single" w:color="auto" w:sz="12" w:space="0"/>
                  </w:tcBorders>
                  <w:vAlign w:val="center"/>
                </w:tcPr>
                <w:p>
                  <w:pPr>
                    <w:spacing w:line="240" w:lineRule="exact"/>
                    <w:jc w:val="center"/>
                    <w:rPr>
                      <w:szCs w:val="21"/>
                    </w:rPr>
                  </w:pPr>
                  <w:r>
                    <w:rPr>
                      <w:szCs w:val="21"/>
                    </w:rPr>
                    <w:t>工频磁场（×10</w:t>
                  </w:r>
                  <w:r>
                    <w:rPr>
                      <w:szCs w:val="21"/>
                      <w:vertAlign w:val="superscript"/>
                    </w:rPr>
                    <w:t>-3</w:t>
                  </w:r>
                  <w:r>
                    <w:rPr>
                      <w:szCs w:val="21"/>
                    </w:rPr>
                    <w:t>μT）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2822" w:type="dxa"/>
                  <w:vMerge w:val="continue"/>
                  <w:tcBorders>
                    <w:left w:val="single" w:color="auto" w:sz="12" w:space="0"/>
                    <w:right w:val="single" w:color="auto" w:sz="2" w:space="0"/>
                  </w:tcBorders>
                  <w:vAlign w:val="center"/>
                </w:tcPr>
                <w:p>
                  <w:pPr>
                    <w:spacing w:line="240" w:lineRule="exact"/>
                    <w:jc w:val="center"/>
                    <w:rPr>
                      <w:szCs w:val="21"/>
                    </w:rPr>
                  </w:pPr>
                </w:p>
              </w:tc>
              <w:tc>
                <w:tcPr>
                  <w:tcW w:w="2385" w:type="dxa"/>
                  <w:vMerge w:val="continue"/>
                  <w:tcBorders>
                    <w:left w:val="single" w:color="auto" w:sz="2" w:space="0"/>
                    <w:right w:val="single" w:color="auto" w:sz="8" w:space="0"/>
                  </w:tcBorders>
                  <w:vAlign w:val="center"/>
                </w:tcPr>
                <w:p>
                  <w:pPr>
                    <w:spacing w:line="240" w:lineRule="exact"/>
                    <w:jc w:val="center"/>
                    <w:rPr>
                      <w:szCs w:val="21"/>
                    </w:rPr>
                  </w:pPr>
                </w:p>
              </w:tc>
              <w:tc>
                <w:tcPr>
                  <w:tcW w:w="2727" w:type="dxa"/>
                  <w:vMerge w:val="continue"/>
                  <w:tcBorders>
                    <w:left w:val="single" w:color="auto" w:sz="8" w:space="0"/>
                    <w:right w:val="single" w:color="auto" w:sz="12" w:space="0"/>
                  </w:tcBorders>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变电站东面</w:t>
                  </w:r>
                </w:p>
              </w:tc>
              <w:tc>
                <w:tcPr>
                  <w:tcW w:w="2385" w:type="dxa"/>
                  <w:tcBorders>
                    <w:top w:val="single" w:color="auto" w:sz="2" w:space="0"/>
                    <w:left w:val="single" w:color="auto" w:sz="2" w:space="0"/>
                    <w:bottom w:val="single" w:color="auto" w:sz="2" w:space="0"/>
                    <w:right w:val="single" w:color="auto" w:sz="8" w:space="0"/>
                  </w:tcBorders>
                  <w:vAlign w:val="center"/>
                </w:tcPr>
                <w:p>
                  <w:pPr>
                    <w:jc w:val="center"/>
                    <w:rPr>
                      <w:szCs w:val="21"/>
                    </w:rPr>
                  </w:pPr>
                  <w:r>
                    <w:rPr>
                      <w:szCs w:val="21"/>
                    </w:rPr>
                    <w:t>459.2</w:t>
                  </w:r>
                </w:p>
              </w:tc>
              <w:tc>
                <w:tcPr>
                  <w:tcW w:w="2727" w:type="dxa"/>
                  <w:tcBorders>
                    <w:top w:val="single" w:color="auto" w:sz="2" w:space="0"/>
                    <w:left w:val="single" w:color="auto" w:sz="8" w:space="0"/>
                    <w:bottom w:val="single" w:color="auto" w:sz="2" w:space="0"/>
                    <w:right w:val="single" w:color="auto" w:sz="12" w:space="0"/>
                  </w:tcBorders>
                  <w:vAlign w:val="center"/>
                </w:tcPr>
                <w:p>
                  <w:pPr>
                    <w:jc w:val="center"/>
                    <w:rPr>
                      <w:szCs w:val="21"/>
                    </w:rPr>
                  </w:pPr>
                  <w:r>
                    <w:rPr>
                      <w:szCs w:val="21"/>
                    </w:rPr>
                    <w:t>213.4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变电站南面</w:t>
                  </w:r>
                </w:p>
              </w:tc>
              <w:tc>
                <w:tcPr>
                  <w:tcW w:w="2385" w:type="dxa"/>
                  <w:tcBorders>
                    <w:top w:val="single" w:color="auto" w:sz="2" w:space="0"/>
                    <w:left w:val="single" w:color="auto" w:sz="2" w:space="0"/>
                    <w:bottom w:val="single" w:color="auto" w:sz="4" w:space="0"/>
                    <w:right w:val="single" w:color="auto" w:sz="8" w:space="0"/>
                  </w:tcBorders>
                  <w:vAlign w:val="center"/>
                </w:tcPr>
                <w:p>
                  <w:pPr>
                    <w:jc w:val="center"/>
                    <w:rPr>
                      <w:szCs w:val="21"/>
                    </w:rPr>
                  </w:pPr>
                  <w:r>
                    <w:rPr>
                      <w:szCs w:val="21"/>
                    </w:rPr>
                    <w:t>22.9</w:t>
                  </w:r>
                </w:p>
              </w:tc>
              <w:tc>
                <w:tcPr>
                  <w:tcW w:w="2727" w:type="dxa"/>
                  <w:tcBorders>
                    <w:top w:val="single" w:color="auto" w:sz="2" w:space="0"/>
                    <w:left w:val="single" w:color="auto" w:sz="8" w:space="0"/>
                    <w:bottom w:val="single" w:color="auto" w:sz="4" w:space="0"/>
                    <w:right w:val="single" w:color="auto" w:sz="12" w:space="0"/>
                  </w:tcBorders>
                  <w:vAlign w:val="center"/>
                </w:tcPr>
                <w:p>
                  <w:pPr>
                    <w:jc w:val="center"/>
                    <w:rPr>
                      <w:szCs w:val="21"/>
                    </w:rPr>
                  </w:pPr>
                  <w:r>
                    <w:rPr>
                      <w:szCs w:val="21"/>
                    </w:rPr>
                    <w:t>321.9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2822" w:type="dxa"/>
                  <w:tcBorders>
                    <w:top w:val="single" w:color="auto" w:sz="4" w:space="0"/>
                    <w:left w:val="single" w:color="auto" w:sz="12" w:space="0"/>
                    <w:bottom w:val="single" w:color="auto" w:sz="4" w:space="0"/>
                    <w:right w:val="single" w:color="auto" w:sz="2" w:space="0"/>
                  </w:tcBorders>
                  <w:vAlign w:val="center"/>
                </w:tcPr>
                <w:p>
                  <w:pPr>
                    <w:jc w:val="center"/>
                    <w:rPr>
                      <w:kern w:val="0"/>
                      <w:szCs w:val="21"/>
                    </w:rPr>
                  </w:pPr>
                  <w:r>
                    <w:rPr>
                      <w:kern w:val="0"/>
                      <w:szCs w:val="21"/>
                    </w:rPr>
                    <w:t>变电站西面</w:t>
                  </w:r>
                </w:p>
              </w:tc>
              <w:tc>
                <w:tcPr>
                  <w:tcW w:w="2385" w:type="dxa"/>
                  <w:tcBorders>
                    <w:top w:val="single" w:color="auto" w:sz="4" w:space="0"/>
                    <w:left w:val="single" w:color="auto" w:sz="2" w:space="0"/>
                    <w:bottom w:val="single" w:color="auto" w:sz="4" w:space="0"/>
                    <w:right w:val="single" w:color="auto" w:sz="8" w:space="0"/>
                  </w:tcBorders>
                  <w:vAlign w:val="center"/>
                </w:tcPr>
                <w:p>
                  <w:pPr>
                    <w:jc w:val="center"/>
                    <w:rPr>
                      <w:szCs w:val="21"/>
                    </w:rPr>
                  </w:pPr>
                  <w:r>
                    <w:rPr>
                      <w:szCs w:val="21"/>
                    </w:rPr>
                    <w:t>23.1</w:t>
                  </w:r>
                </w:p>
              </w:tc>
              <w:tc>
                <w:tcPr>
                  <w:tcW w:w="2727" w:type="dxa"/>
                  <w:tcBorders>
                    <w:top w:val="single" w:color="auto" w:sz="4" w:space="0"/>
                    <w:left w:val="single" w:color="auto" w:sz="8" w:space="0"/>
                    <w:bottom w:val="single" w:color="auto" w:sz="4" w:space="0"/>
                    <w:right w:val="single" w:color="auto" w:sz="12" w:space="0"/>
                  </w:tcBorders>
                  <w:vAlign w:val="center"/>
                </w:tcPr>
                <w:p>
                  <w:pPr>
                    <w:jc w:val="center"/>
                    <w:rPr>
                      <w:szCs w:val="21"/>
                    </w:rPr>
                  </w:pPr>
                  <w:r>
                    <w:rPr>
                      <w:szCs w:val="21"/>
                    </w:rPr>
                    <w:t>257.4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2822" w:type="dxa"/>
                  <w:tcBorders>
                    <w:top w:val="single" w:color="auto" w:sz="4" w:space="0"/>
                    <w:left w:val="single" w:color="auto" w:sz="12" w:space="0"/>
                    <w:bottom w:val="single" w:color="auto" w:sz="4" w:space="0"/>
                    <w:right w:val="single" w:color="auto" w:sz="2" w:space="0"/>
                  </w:tcBorders>
                  <w:vAlign w:val="center"/>
                </w:tcPr>
                <w:p>
                  <w:pPr>
                    <w:jc w:val="center"/>
                    <w:rPr>
                      <w:kern w:val="0"/>
                      <w:szCs w:val="21"/>
                    </w:rPr>
                  </w:pPr>
                  <w:r>
                    <w:rPr>
                      <w:kern w:val="0"/>
                      <w:szCs w:val="21"/>
                    </w:rPr>
                    <w:t>变电站北面</w:t>
                  </w:r>
                </w:p>
              </w:tc>
              <w:tc>
                <w:tcPr>
                  <w:tcW w:w="2385" w:type="dxa"/>
                  <w:tcBorders>
                    <w:top w:val="single" w:color="auto" w:sz="4" w:space="0"/>
                    <w:left w:val="single" w:color="auto" w:sz="2" w:space="0"/>
                    <w:bottom w:val="single" w:color="auto" w:sz="4" w:space="0"/>
                    <w:right w:val="single" w:color="auto" w:sz="8" w:space="0"/>
                  </w:tcBorders>
                  <w:vAlign w:val="center"/>
                </w:tcPr>
                <w:p>
                  <w:pPr>
                    <w:jc w:val="center"/>
                    <w:rPr>
                      <w:szCs w:val="21"/>
                    </w:rPr>
                  </w:pPr>
                  <w:r>
                    <w:rPr>
                      <w:szCs w:val="21"/>
                    </w:rPr>
                    <w:t>90.2</w:t>
                  </w:r>
                </w:p>
              </w:tc>
              <w:tc>
                <w:tcPr>
                  <w:tcW w:w="2727" w:type="dxa"/>
                  <w:tcBorders>
                    <w:top w:val="single" w:color="auto" w:sz="4" w:space="0"/>
                    <w:left w:val="single" w:color="auto" w:sz="8" w:space="0"/>
                    <w:bottom w:val="single" w:color="auto" w:sz="4" w:space="0"/>
                    <w:right w:val="single" w:color="auto" w:sz="12" w:space="0"/>
                  </w:tcBorders>
                  <w:vAlign w:val="center"/>
                </w:tcPr>
                <w:p>
                  <w:pPr>
                    <w:jc w:val="center"/>
                    <w:rPr>
                      <w:szCs w:val="21"/>
                    </w:rPr>
                  </w:pPr>
                  <w:r>
                    <w:rPr>
                      <w:szCs w:val="21"/>
                    </w:rPr>
                    <w:t>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0"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距东面围墙1m</w:t>
                  </w:r>
                </w:p>
              </w:tc>
              <w:tc>
                <w:tcPr>
                  <w:tcW w:w="2385" w:type="dxa"/>
                  <w:tcBorders>
                    <w:top w:val="single" w:color="auto" w:sz="2" w:space="0"/>
                    <w:left w:val="single" w:color="auto" w:sz="2" w:space="0"/>
                    <w:bottom w:val="single" w:color="auto" w:sz="2" w:space="0"/>
                    <w:right w:val="single" w:color="auto" w:sz="2" w:space="0"/>
                  </w:tcBorders>
                  <w:vAlign w:val="center"/>
                </w:tcPr>
                <w:p>
                  <w:pPr>
                    <w:spacing w:before="19" w:beforeLines="8" w:after="19" w:afterLines="8"/>
                    <w:jc w:val="center"/>
                    <w:rPr>
                      <w:kern w:val="0"/>
                      <w:szCs w:val="21"/>
                    </w:rPr>
                  </w:pPr>
                  <w:r>
                    <w:rPr>
                      <w:kern w:val="0"/>
                      <w:szCs w:val="21"/>
                    </w:rPr>
                    <w:t>415.3</w:t>
                  </w:r>
                </w:p>
              </w:tc>
              <w:tc>
                <w:tcPr>
                  <w:tcW w:w="2727" w:type="dxa"/>
                  <w:tcBorders>
                    <w:top w:val="single" w:color="auto" w:sz="2" w:space="0"/>
                    <w:left w:val="single" w:color="auto" w:sz="2" w:space="0"/>
                    <w:bottom w:val="single" w:color="auto" w:sz="2" w:space="0"/>
                    <w:right w:val="single" w:color="auto" w:sz="12" w:space="0"/>
                  </w:tcBorders>
                  <w:vAlign w:val="center"/>
                </w:tcPr>
                <w:p>
                  <w:pPr>
                    <w:spacing w:before="19" w:beforeLines="8" w:after="19" w:afterLines="8"/>
                    <w:jc w:val="center"/>
                    <w:rPr>
                      <w:kern w:val="0"/>
                      <w:szCs w:val="21"/>
                    </w:rPr>
                  </w:pPr>
                  <w:r>
                    <w:rPr>
                      <w:kern w:val="0"/>
                      <w:szCs w:val="21"/>
                    </w:rPr>
                    <w:t>231.8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0"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距东面围墙5m</w:t>
                  </w:r>
                </w:p>
              </w:tc>
              <w:tc>
                <w:tcPr>
                  <w:tcW w:w="2385" w:type="dxa"/>
                  <w:tcBorders>
                    <w:top w:val="single" w:color="auto" w:sz="2" w:space="0"/>
                    <w:left w:val="single" w:color="auto" w:sz="2" w:space="0"/>
                    <w:bottom w:val="single" w:color="auto" w:sz="2" w:space="0"/>
                    <w:right w:val="single" w:color="auto" w:sz="2" w:space="0"/>
                  </w:tcBorders>
                  <w:vAlign w:val="center"/>
                </w:tcPr>
                <w:p>
                  <w:pPr>
                    <w:spacing w:before="19" w:beforeLines="8" w:after="19" w:afterLines="8"/>
                    <w:jc w:val="center"/>
                    <w:rPr>
                      <w:kern w:val="0"/>
                      <w:szCs w:val="21"/>
                    </w:rPr>
                  </w:pPr>
                  <w:r>
                    <w:rPr>
                      <w:kern w:val="0"/>
                      <w:szCs w:val="21"/>
                    </w:rPr>
                    <w:t>546.4</w:t>
                  </w:r>
                </w:p>
              </w:tc>
              <w:tc>
                <w:tcPr>
                  <w:tcW w:w="2727" w:type="dxa"/>
                  <w:tcBorders>
                    <w:top w:val="single" w:color="auto" w:sz="2" w:space="0"/>
                    <w:left w:val="single" w:color="auto" w:sz="2" w:space="0"/>
                    <w:bottom w:val="single" w:color="auto" w:sz="2" w:space="0"/>
                    <w:right w:val="single" w:color="auto" w:sz="12" w:space="0"/>
                  </w:tcBorders>
                  <w:vAlign w:val="center"/>
                </w:tcPr>
                <w:p>
                  <w:pPr>
                    <w:spacing w:before="19" w:beforeLines="8" w:after="19" w:afterLines="8"/>
                    <w:jc w:val="center"/>
                    <w:rPr>
                      <w:kern w:val="0"/>
                      <w:szCs w:val="21"/>
                    </w:rPr>
                  </w:pPr>
                  <w:r>
                    <w:rPr>
                      <w:kern w:val="0"/>
                      <w:szCs w:val="21"/>
                    </w:rPr>
                    <w:t>307.3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0"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距东面围墙10m</w:t>
                  </w:r>
                </w:p>
              </w:tc>
              <w:tc>
                <w:tcPr>
                  <w:tcW w:w="2385" w:type="dxa"/>
                  <w:tcBorders>
                    <w:top w:val="single" w:color="auto" w:sz="2" w:space="0"/>
                    <w:left w:val="single" w:color="auto" w:sz="2" w:space="0"/>
                    <w:bottom w:val="single" w:color="auto" w:sz="2" w:space="0"/>
                    <w:right w:val="single" w:color="auto" w:sz="2" w:space="0"/>
                  </w:tcBorders>
                  <w:vAlign w:val="center"/>
                </w:tcPr>
                <w:p>
                  <w:pPr>
                    <w:spacing w:before="19" w:beforeLines="8" w:after="19" w:afterLines="8"/>
                    <w:jc w:val="center"/>
                    <w:rPr>
                      <w:kern w:val="0"/>
                      <w:szCs w:val="21"/>
                    </w:rPr>
                  </w:pPr>
                  <w:r>
                    <w:rPr>
                      <w:kern w:val="0"/>
                      <w:szCs w:val="21"/>
                    </w:rPr>
                    <w:t>428.9</w:t>
                  </w:r>
                </w:p>
              </w:tc>
              <w:tc>
                <w:tcPr>
                  <w:tcW w:w="2727" w:type="dxa"/>
                  <w:tcBorders>
                    <w:top w:val="single" w:color="auto" w:sz="2" w:space="0"/>
                    <w:left w:val="single" w:color="auto" w:sz="2" w:space="0"/>
                    <w:bottom w:val="single" w:color="auto" w:sz="2" w:space="0"/>
                    <w:right w:val="single" w:color="auto" w:sz="12" w:space="0"/>
                  </w:tcBorders>
                  <w:vAlign w:val="center"/>
                </w:tcPr>
                <w:p>
                  <w:pPr>
                    <w:spacing w:before="19" w:beforeLines="8" w:after="19" w:afterLines="8"/>
                    <w:jc w:val="center"/>
                    <w:rPr>
                      <w:kern w:val="0"/>
                      <w:szCs w:val="21"/>
                    </w:rPr>
                  </w:pPr>
                  <w:r>
                    <w:rPr>
                      <w:kern w:val="0"/>
                      <w:szCs w:val="21"/>
                    </w:rPr>
                    <w:t>295.1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2822" w:type="dxa"/>
                  <w:tcBorders>
                    <w:top w:val="single" w:color="auto" w:sz="2" w:space="0"/>
                    <w:left w:val="single" w:color="auto" w:sz="12" w:space="0"/>
                    <w:bottom w:val="single" w:color="auto" w:sz="4" w:space="0"/>
                    <w:right w:val="single" w:color="auto" w:sz="2" w:space="0"/>
                  </w:tcBorders>
                  <w:vAlign w:val="center"/>
                </w:tcPr>
                <w:p>
                  <w:pPr>
                    <w:jc w:val="center"/>
                    <w:rPr>
                      <w:kern w:val="0"/>
                      <w:szCs w:val="21"/>
                    </w:rPr>
                  </w:pPr>
                  <w:r>
                    <w:rPr>
                      <w:kern w:val="0"/>
                      <w:szCs w:val="21"/>
                    </w:rPr>
                    <w:t>距东面围墙20m</w:t>
                  </w:r>
                </w:p>
              </w:tc>
              <w:tc>
                <w:tcPr>
                  <w:tcW w:w="2385" w:type="dxa"/>
                  <w:tcBorders>
                    <w:top w:val="single" w:color="auto" w:sz="2" w:space="0"/>
                    <w:left w:val="single" w:color="auto" w:sz="2" w:space="0"/>
                    <w:bottom w:val="single" w:color="auto" w:sz="4" w:space="0"/>
                    <w:right w:val="single" w:color="auto" w:sz="2" w:space="0"/>
                  </w:tcBorders>
                  <w:vAlign w:val="center"/>
                </w:tcPr>
                <w:p>
                  <w:pPr>
                    <w:spacing w:before="19" w:beforeLines="8" w:after="19" w:afterLines="8"/>
                    <w:jc w:val="center"/>
                    <w:rPr>
                      <w:kern w:val="0"/>
                      <w:szCs w:val="21"/>
                    </w:rPr>
                  </w:pPr>
                  <w:r>
                    <w:rPr>
                      <w:kern w:val="0"/>
                      <w:szCs w:val="21"/>
                    </w:rPr>
                    <w:t>301.0</w:t>
                  </w:r>
                </w:p>
              </w:tc>
              <w:tc>
                <w:tcPr>
                  <w:tcW w:w="2727" w:type="dxa"/>
                  <w:tcBorders>
                    <w:top w:val="single" w:color="auto" w:sz="2" w:space="0"/>
                    <w:left w:val="single" w:color="auto" w:sz="2" w:space="0"/>
                    <w:bottom w:val="single" w:color="auto" w:sz="4" w:space="0"/>
                    <w:right w:val="single" w:color="auto" w:sz="12" w:space="0"/>
                  </w:tcBorders>
                  <w:vAlign w:val="center"/>
                </w:tcPr>
                <w:p>
                  <w:pPr>
                    <w:spacing w:before="19" w:beforeLines="8" w:after="19" w:afterLines="8"/>
                    <w:jc w:val="center"/>
                    <w:rPr>
                      <w:kern w:val="0"/>
                      <w:szCs w:val="21"/>
                    </w:rPr>
                  </w:pPr>
                  <w:r>
                    <w:rPr>
                      <w:kern w:val="0"/>
                      <w:szCs w:val="21"/>
                    </w:rPr>
                    <w:t>176.9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2822" w:type="dxa"/>
                  <w:tcBorders>
                    <w:top w:val="single" w:color="auto" w:sz="4" w:space="0"/>
                    <w:left w:val="single" w:color="auto" w:sz="12" w:space="0"/>
                    <w:bottom w:val="single" w:color="auto" w:sz="2" w:space="0"/>
                    <w:right w:val="single" w:color="auto" w:sz="2" w:space="0"/>
                  </w:tcBorders>
                  <w:vAlign w:val="center"/>
                </w:tcPr>
                <w:p>
                  <w:pPr>
                    <w:jc w:val="center"/>
                    <w:rPr>
                      <w:kern w:val="0"/>
                      <w:szCs w:val="21"/>
                    </w:rPr>
                  </w:pPr>
                  <w:r>
                    <w:rPr>
                      <w:kern w:val="0"/>
                      <w:szCs w:val="21"/>
                    </w:rPr>
                    <w:t>距东面围墙30m</w:t>
                  </w:r>
                </w:p>
              </w:tc>
              <w:tc>
                <w:tcPr>
                  <w:tcW w:w="2385" w:type="dxa"/>
                  <w:tcBorders>
                    <w:top w:val="single" w:color="auto" w:sz="4" w:space="0"/>
                    <w:left w:val="single" w:color="auto" w:sz="2" w:space="0"/>
                    <w:bottom w:val="single" w:color="auto" w:sz="2" w:space="0"/>
                    <w:right w:val="single" w:color="auto" w:sz="2" w:space="0"/>
                  </w:tcBorders>
                  <w:vAlign w:val="center"/>
                </w:tcPr>
                <w:p>
                  <w:pPr>
                    <w:spacing w:before="19" w:beforeLines="8" w:after="19" w:afterLines="8"/>
                    <w:jc w:val="center"/>
                    <w:rPr>
                      <w:kern w:val="0"/>
                      <w:szCs w:val="21"/>
                    </w:rPr>
                  </w:pPr>
                  <w:r>
                    <w:rPr>
                      <w:kern w:val="0"/>
                      <w:szCs w:val="21"/>
                    </w:rPr>
                    <w:t>165.3</w:t>
                  </w:r>
                </w:p>
              </w:tc>
              <w:tc>
                <w:tcPr>
                  <w:tcW w:w="2727" w:type="dxa"/>
                  <w:tcBorders>
                    <w:top w:val="single" w:color="auto" w:sz="4" w:space="0"/>
                    <w:left w:val="single" w:color="auto" w:sz="2" w:space="0"/>
                    <w:bottom w:val="single" w:color="auto" w:sz="2" w:space="0"/>
                    <w:right w:val="single" w:color="auto" w:sz="12" w:space="0"/>
                  </w:tcBorders>
                  <w:vAlign w:val="center"/>
                </w:tcPr>
                <w:p>
                  <w:pPr>
                    <w:spacing w:before="19" w:beforeLines="8" w:after="19" w:afterLines="8"/>
                    <w:jc w:val="center"/>
                    <w:rPr>
                      <w:kern w:val="0"/>
                      <w:szCs w:val="21"/>
                    </w:rPr>
                  </w:pPr>
                  <w:r>
                    <w:rPr>
                      <w:kern w:val="0"/>
                      <w:szCs w:val="21"/>
                    </w:rPr>
                    <w:t>148.4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距东面围墙50m</w:t>
                  </w:r>
                </w:p>
              </w:tc>
              <w:tc>
                <w:tcPr>
                  <w:tcW w:w="2385" w:type="dxa"/>
                  <w:tcBorders>
                    <w:top w:val="single" w:color="auto" w:sz="2" w:space="0"/>
                    <w:left w:val="single" w:color="auto" w:sz="2" w:space="0"/>
                    <w:bottom w:val="single" w:color="auto" w:sz="2" w:space="0"/>
                    <w:right w:val="single" w:color="auto" w:sz="2" w:space="0"/>
                  </w:tcBorders>
                  <w:vAlign w:val="center"/>
                </w:tcPr>
                <w:p>
                  <w:pPr>
                    <w:spacing w:before="19" w:beforeLines="8" w:after="19" w:afterLines="8"/>
                    <w:jc w:val="center"/>
                    <w:rPr>
                      <w:kern w:val="0"/>
                      <w:szCs w:val="21"/>
                    </w:rPr>
                  </w:pPr>
                  <w:r>
                    <w:rPr>
                      <w:kern w:val="0"/>
                      <w:szCs w:val="21"/>
                    </w:rPr>
                    <w:t>89.0</w:t>
                  </w:r>
                </w:p>
              </w:tc>
              <w:tc>
                <w:tcPr>
                  <w:tcW w:w="2727" w:type="dxa"/>
                  <w:tcBorders>
                    <w:top w:val="single" w:color="auto" w:sz="2" w:space="0"/>
                    <w:left w:val="single" w:color="auto" w:sz="2" w:space="0"/>
                    <w:bottom w:val="single" w:color="auto" w:sz="2" w:space="0"/>
                    <w:right w:val="single" w:color="auto" w:sz="12" w:space="0"/>
                  </w:tcBorders>
                  <w:vAlign w:val="center"/>
                </w:tcPr>
                <w:p>
                  <w:pPr>
                    <w:spacing w:before="19" w:beforeLines="8" w:after="19" w:afterLines="8"/>
                    <w:jc w:val="center"/>
                    <w:rPr>
                      <w:kern w:val="0"/>
                      <w:szCs w:val="21"/>
                    </w:rPr>
                  </w:pPr>
                  <w:r>
                    <w:rPr>
                      <w:kern w:val="0"/>
                      <w:szCs w:val="21"/>
                    </w:rPr>
                    <w:t>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5" w:hRule="atLeast"/>
                <w:jc w:val="center"/>
              </w:trPr>
              <w:tc>
                <w:tcPr>
                  <w:tcW w:w="7934" w:type="dxa"/>
                  <w:gridSpan w:val="3"/>
                  <w:tcBorders>
                    <w:top w:val="single" w:color="auto" w:sz="2" w:space="0"/>
                    <w:left w:val="single" w:color="auto" w:sz="12" w:space="0"/>
                    <w:bottom w:val="single" w:color="auto" w:sz="12" w:space="0"/>
                    <w:right w:val="single" w:color="auto" w:sz="12" w:space="0"/>
                  </w:tcBorders>
                  <w:vAlign w:val="center"/>
                </w:tcPr>
                <w:p>
                  <w:pPr>
                    <w:jc w:val="center"/>
                    <w:rPr>
                      <w:kern w:val="0"/>
                      <w:szCs w:val="21"/>
                    </w:rPr>
                  </w:pPr>
                  <w:r>
                    <w:rPr>
                      <w:kern w:val="0"/>
                      <w:szCs w:val="21"/>
                    </w:rPr>
                    <w:t>监测日期2016年11月9日，阴，温度8.3℃，相对湿度76.7%。</w:t>
                  </w:r>
                </w:p>
              </w:tc>
            </w:tr>
          </w:tbl>
          <w:p>
            <w:pPr>
              <w:ind w:firstLine="560" w:firstLineChars="200"/>
              <w:rPr>
                <w:sz w:val="28"/>
              </w:rPr>
            </w:pPr>
          </w:p>
          <w:p>
            <w:pPr>
              <w:ind w:firstLine="560" w:firstLineChars="200"/>
              <w:rPr>
                <w:sz w:val="28"/>
              </w:rPr>
            </w:pPr>
            <w:r>
              <w:rPr>
                <w:sz w:val="28"/>
              </w:rPr>
              <w:t>桔园</w:t>
            </w:r>
            <w:r>
              <w:rPr>
                <w:bCs/>
                <w:sz w:val="28"/>
                <w:szCs w:val="28"/>
              </w:rPr>
              <w:t>110kV</w:t>
            </w:r>
            <w:r>
              <w:rPr>
                <w:sz w:val="28"/>
              </w:rPr>
              <w:t>变电站</w:t>
            </w:r>
            <w:r>
              <w:rPr>
                <w:bCs/>
                <w:sz w:val="28"/>
                <w:szCs w:val="28"/>
              </w:rPr>
              <w:t>电磁环境类比监测</w:t>
            </w:r>
            <w:r>
              <w:rPr>
                <w:sz w:val="28"/>
              </w:rPr>
              <w:t>结果见表20。</w:t>
            </w:r>
          </w:p>
          <w:p>
            <w:pPr>
              <w:ind w:hanging="3"/>
              <w:jc w:val="center"/>
              <w:rPr>
                <w:b/>
                <w:sz w:val="24"/>
                <w:szCs w:val="24"/>
              </w:rPr>
            </w:pPr>
          </w:p>
          <w:p>
            <w:pPr>
              <w:ind w:hanging="3"/>
              <w:jc w:val="center"/>
              <w:rPr>
                <w:b/>
                <w:sz w:val="24"/>
                <w:szCs w:val="24"/>
              </w:rPr>
            </w:pPr>
            <w:r>
              <w:rPr>
                <w:b/>
                <w:sz w:val="24"/>
                <w:szCs w:val="24"/>
              </w:rPr>
              <w:t>表20 桔园110kV变电站周围工频电磁场监测试结果</w:t>
            </w:r>
          </w:p>
          <w:tbl>
            <w:tblPr>
              <w:tblStyle w:val="11"/>
              <w:tblW w:w="79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2"/>
              <w:gridCol w:w="2385"/>
              <w:gridCol w:w="2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5" w:hRule="atLeast"/>
                <w:jc w:val="center"/>
              </w:trPr>
              <w:tc>
                <w:tcPr>
                  <w:tcW w:w="2822" w:type="dxa"/>
                  <w:vMerge w:val="restart"/>
                  <w:tcBorders>
                    <w:top w:val="single" w:color="auto" w:sz="12" w:space="0"/>
                    <w:left w:val="single" w:color="auto" w:sz="12" w:space="0"/>
                    <w:right w:val="single" w:color="auto" w:sz="2" w:space="0"/>
                  </w:tcBorders>
                  <w:vAlign w:val="center"/>
                </w:tcPr>
                <w:p>
                  <w:pPr>
                    <w:spacing w:line="240" w:lineRule="exact"/>
                    <w:jc w:val="center"/>
                    <w:rPr>
                      <w:szCs w:val="21"/>
                    </w:rPr>
                  </w:pPr>
                  <w:r>
                    <w:rPr>
                      <w:szCs w:val="21"/>
                    </w:rPr>
                    <w:t>测点</w:t>
                  </w:r>
                </w:p>
              </w:tc>
              <w:tc>
                <w:tcPr>
                  <w:tcW w:w="2385" w:type="dxa"/>
                  <w:vMerge w:val="restart"/>
                  <w:tcBorders>
                    <w:top w:val="single" w:color="auto" w:sz="12" w:space="0"/>
                    <w:left w:val="single" w:color="auto" w:sz="2" w:space="0"/>
                    <w:right w:val="single" w:color="auto" w:sz="8" w:space="0"/>
                  </w:tcBorders>
                  <w:vAlign w:val="center"/>
                </w:tcPr>
                <w:p>
                  <w:pPr>
                    <w:spacing w:line="240" w:lineRule="exact"/>
                    <w:jc w:val="center"/>
                    <w:rPr>
                      <w:szCs w:val="21"/>
                    </w:rPr>
                  </w:pPr>
                  <w:r>
                    <w:rPr>
                      <w:szCs w:val="21"/>
                    </w:rPr>
                    <w:t>工频电场（V/m）</w:t>
                  </w:r>
                </w:p>
              </w:tc>
              <w:tc>
                <w:tcPr>
                  <w:tcW w:w="2727" w:type="dxa"/>
                  <w:vMerge w:val="restart"/>
                  <w:tcBorders>
                    <w:top w:val="single" w:color="auto" w:sz="12" w:space="0"/>
                    <w:left w:val="single" w:color="auto" w:sz="8" w:space="0"/>
                    <w:right w:val="single" w:color="auto" w:sz="12" w:space="0"/>
                  </w:tcBorders>
                  <w:vAlign w:val="center"/>
                </w:tcPr>
                <w:p>
                  <w:pPr>
                    <w:spacing w:line="240" w:lineRule="exact"/>
                    <w:jc w:val="center"/>
                    <w:rPr>
                      <w:szCs w:val="21"/>
                    </w:rPr>
                  </w:pPr>
                  <w:r>
                    <w:rPr>
                      <w:szCs w:val="21"/>
                    </w:rPr>
                    <w:t>工频磁场（×10</w:t>
                  </w:r>
                  <w:r>
                    <w:rPr>
                      <w:szCs w:val="21"/>
                      <w:vertAlign w:val="superscript"/>
                    </w:rPr>
                    <w:t>-3</w:t>
                  </w:r>
                  <w:r>
                    <w:rPr>
                      <w:szCs w:val="21"/>
                    </w:rPr>
                    <w:t>μT）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jc w:val="center"/>
              </w:trPr>
              <w:tc>
                <w:tcPr>
                  <w:tcW w:w="2822" w:type="dxa"/>
                  <w:vMerge w:val="continue"/>
                  <w:tcBorders>
                    <w:left w:val="single" w:color="auto" w:sz="12" w:space="0"/>
                    <w:right w:val="single" w:color="auto" w:sz="2" w:space="0"/>
                  </w:tcBorders>
                  <w:vAlign w:val="center"/>
                </w:tcPr>
                <w:p>
                  <w:pPr>
                    <w:spacing w:line="240" w:lineRule="exact"/>
                    <w:jc w:val="center"/>
                    <w:rPr>
                      <w:szCs w:val="21"/>
                    </w:rPr>
                  </w:pPr>
                </w:p>
              </w:tc>
              <w:tc>
                <w:tcPr>
                  <w:tcW w:w="2385" w:type="dxa"/>
                  <w:vMerge w:val="continue"/>
                  <w:tcBorders>
                    <w:left w:val="single" w:color="auto" w:sz="2" w:space="0"/>
                    <w:right w:val="single" w:color="auto" w:sz="8" w:space="0"/>
                  </w:tcBorders>
                  <w:vAlign w:val="center"/>
                </w:tcPr>
                <w:p>
                  <w:pPr>
                    <w:spacing w:line="240" w:lineRule="exact"/>
                    <w:jc w:val="center"/>
                    <w:rPr>
                      <w:szCs w:val="21"/>
                    </w:rPr>
                  </w:pPr>
                </w:p>
              </w:tc>
              <w:tc>
                <w:tcPr>
                  <w:tcW w:w="2727" w:type="dxa"/>
                  <w:vMerge w:val="continue"/>
                  <w:tcBorders>
                    <w:left w:val="single" w:color="auto" w:sz="8" w:space="0"/>
                    <w:right w:val="single" w:color="auto" w:sz="12" w:space="0"/>
                  </w:tcBorders>
                  <w:vAlign w:val="center"/>
                </w:tcPr>
                <w:p>
                  <w:pPr>
                    <w:spacing w:line="24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变电站东面</w:t>
                  </w:r>
                </w:p>
              </w:tc>
              <w:tc>
                <w:tcPr>
                  <w:tcW w:w="2385" w:type="dxa"/>
                  <w:tcBorders>
                    <w:top w:val="single" w:color="auto" w:sz="2" w:space="0"/>
                    <w:left w:val="single" w:color="auto" w:sz="2" w:space="0"/>
                    <w:bottom w:val="single" w:color="auto" w:sz="2" w:space="0"/>
                    <w:right w:val="single" w:color="auto" w:sz="8" w:space="0"/>
                  </w:tcBorders>
                  <w:vAlign w:val="center"/>
                </w:tcPr>
                <w:p>
                  <w:pPr>
                    <w:jc w:val="center"/>
                    <w:rPr>
                      <w:szCs w:val="21"/>
                    </w:rPr>
                  </w:pPr>
                  <w:r>
                    <w:rPr>
                      <w:szCs w:val="21"/>
                    </w:rPr>
                    <w:t>7.7</w:t>
                  </w:r>
                </w:p>
              </w:tc>
              <w:tc>
                <w:tcPr>
                  <w:tcW w:w="2727" w:type="dxa"/>
                  <w:tcBorders>
                    <w:top w:val="single" w:color="auto" w:sz="2" w:space="0"/>
                    <w:left w:val="single" w:color="auto" w:sz="8" w:space="0"/>
                    <w:bottom w:val="single" w:color="auto" w:sz="2" w:space="0"/>
                    <w:right w:val="single" w:color="auto" w:sz="12" w:space="0"/>
                  </w:tcBorders>
                  <w:vAlign w:val="center"/>
                </w:tcPr>
                <w:p>
                  <w:pPr>
                    <w:jc w:val="center"/>
                    <w:rPr>
                      <w:szCs w:val="21"/>
                    </w:rPr>
                  </w:pPr>
                  <w:r>
                    <w:rPr>
                      <w:szCs w:val="21"/>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5"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变电站南面</w:t>
                  </w:r>
                </w:p>
              </w:tc>
              <w:tc>
                <w:tcPr>
                  <w:tcW w:w="2385" w:type="dxa"/>
                  <w:tcBorders>
                    <w:top w:val="single" w:color="auto" w:sz="2" w:space="0"/>
                    <w:left w:val="single" w:color="auto" w:sz="2" w:space="0"/>
                    <w:bottom w:val="single" w:color="auto" w:sz="4" w:space="0"/>
                    <w:right w:val="single" w:color="auto" w:sz="8" w:space="0"/>
                  </w:tcBorders>
                  <w:vAlign w:val="center"/>
                </w:tcPr>
                <w:p>
                  <w:pPr>
                    <w:jc w:val="center"/>
                    <w:rPr>
                      <w:szCs w:val="21"/>
                    </w:rPr>
                  </w:pPr>
                  <w:r>
                    <w:rPr>
                      <w:szCs w:val="21"/>
                    </w:rPr>
                    <w:t>66.7</w:t>
                  </w:r>
                </w:p>
              </w:tc>
              <w:tc>
                <w:tcPr>
                  <w:tcW w:w="2727" w:type="dxa"/>
                  <w:tcBorders>
                    <w:top w:val="single" w:color="auto" w:sz="2" w:space="0"/>
                    <w:left w:val="single" w:color="auto" w:sz="8" w:space="0"/>
                    <w:bottom w:val="single" w:color="auto" w:sz="4" w:space="0"/>
                    <w:right w:val="single" w:color="auto" w:sz="12" w:space="0"/>
                  </w:tcBorders>
                  <w:vAlign w:val="center"/>
                </w:tcPr>
                <w:p>
                  <w:pPr>
                    <w:jc w:val="center"/>
                    <w:rPr>
                      <w:szCs w:val="21"/>
                    </w:rPr>
                  </w:pPr>
                  <w:r>
                    <w:rPr>
                      <w:szCs w:val="21"/>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2822" w:type="dxa"/>
                  <w:tcBorders>
                    <w:top w:val="single" w:color="auto" w:sz="4" w:space="0"/>
                    <w:left w:val="single" w:color="auto" w:sz="12" w:space="0"/>
                    <w:bottom w:val="single" w:color="auto" w:sz="4" w:space="0"/>
                    <w:right w:val="single" w:color="auto" w:sz="2" w:space="0"/>
                  </w:tcBorders>
                  <w:vAlign w:val="center"/>
                </w:tcPr>
                <w:p>
                  <w:pPr>
                    <w:jc w:val="center"/>
                    <w:rPr>
                      <w:kern w:val="0"/>
                      <w:szCs w:val="21"/>
                    </w:rPr>
                  </w:pPr>
                  <w:r>
                    <w:rPr>
                      <w:kern w:val="0"/>
                      <w:szCs w:val="21"/>
                    </w:rPr>
                    <w:t>变电站西面</w:t>
                  </w:r>
                </w:p>
              </w:tc>
              <w:tc>
                <w:tcPr>
                  <w:tcW w:w="2385" w:type="dxa"/>
                  <w:tcBorders>
                    <w:top w:val="single" w:color="auto" w:sz="4" w:space="0"/>
                    <w:left w:val="single" w:color="auto" w:sz="2" w:space="0"/>
                    <w:bottom w:val="single" w:color="auto" w:sz="4" w:space="0"/>
                    <w:right w:val="single" w:color="auto" w:sz="8" w:space="0"/>
                  </w:tcBorders>
                  <w:vAlign w:val="center"/>
                </w:tcPr>
                <w:p>
                  <w:pPr>
                    <w:jc w:val="center"/>
                    <w:rPr>
                      <w:szCs w:val="21"/>
                    </w:rPr>
                  </w:pPr>
                  <w:r>
                    <w:rPr>
                      <w:szCs w:val="21"/>
                    </w:rPr>
                    <w:t>2.4</w:t>
                  </w:r>
                </w:p>
              </w:tc>
              <w:tc>
                <w:tcPr>
                  <w:tcW w:w="2727" w:type="dxa"/>
                  <w:tcBorders>
                    <w:top w:val="single" w:color="auto" w:sz="4" w:space="0"/>
                    <w:left w:val="single" w:color="auto" w:sz="8" w:space="0"/>
                    <w:bottom w:val="single" w:color="auto" w:sz="4" w:space="0"/>
                    <w:right w:val="single" w:color="auto" w:sz="12" w:space="0"/>
                  </w:tcBorders>
                  <w:vAlign w:val="center"/>
                </w:tcPr>
                <w:p>
                  <w:pPr>
                    <w:jc w:val="center"/>
                    <w:rPr>
                      <w:szCs w:val="21"/>
                    </w:rPr>
                  </w:pPr>
                  <w:r>
                    <w:rPr>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2822" w:type="dxa"/>
                  <w:tcBorders>
                    <w:top w:val="single" w:color="auto" w:sz="4" w:space="0"/>
                    <w:left w:val="single" w:color="auto" w:sz="12" w:space="0"/>
                    <w:bottom w:val="single" w:color="auto" w:sz="4" w:space="0"/>
                    <w:right w:val="single" w:color="auto" w:sz="2" w:space="0"/>
                  </w:tcBorders>
                  <w:vAlign w:val="center"/>
                </w:tcPr>
                <w:p>
                  <w:pPr>
                    <w:jc w:val="center"/>
                    <w:rPr>
                      <w:kern w:val="0"/>
                      <w:szCs w:val="21"/>
                    </w:rPr>
                  </w:pPr>
                  <w:r>
                    <w:rPr>
                      <w:kern w:val="0"/>
                      <w:szCs w:val="21"/>
                    </w:rPr>
                    <w:t>变电站北面</w:t>
                  </w:r>
                </w:p>
              </w:tc>
              <w:tc>
                <w:tcPr>
                  <w:tcW w:w="2385" w:type="dxa"/>
                  <w:tcBorders>
                    <w:top w:val="single" w:color="auto" w:sz="4" w:space="0"/>
                    <w:left w:val="single" w:color="auto" w:sz="2" w:space="0"/>
                    <w:bottom w:val="single" w:color="auto" w:sz="4" w:space="0"/>
                    <w:right w:val="single" w:color="auto" w:sz="8" w:space="0"/>
                  </w:tcBorders>
                  <w:vAlign w:val="center"/>
                </w:tcPr>
                <w:p>
                  <w:pPr>
                    <w:jc w:val="center"/>
                    <w:rPr>
                      <w:szCs w:val="21"/>
                    </w:rPr>
                  </w:pPr>
                  <w:r>
                    <w:rPr>
                      <w:szCs w:val="21"/>
                    </w:rPr>
                    <w:t>1.5</w:t>
                  </w:r>
                </w:p>
              </w:tc>
              <w:tc>
                <w:tcPr>
                  <w:tcW w:w="2727" w:type="dxa"/>
                  <w:tcBorders>
                    <w:top w:val="single" w:color="auto" w:sz="4" w:space="0"/>
                    <w:left w:val="single" w:color="auto" w:sz="8" w:space="0"/>
                    <w:bottom w:val="single" w:color="auto" w:sz="4" w:space="0"/>
                    <w:right w:val="single" w:color="auto" w:sz="12" w:space="0"/>
                  </w:tcBorders>
                  <w:vAlign w:val="center"/>
                </w:tcPr>
                <w:p>
                  <w:pPr>
                    <w:jc w:val="center"/>
                    <w:rPr>
                      <w:szCs w:val="21"/>
                    </w:rPr>
                  </w:pPr>
                  <w:r>
                    <w:rPr>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0"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距南面围墙1m</w:t>
                  </w:r>
                </w:p>
              </w:tc>
              <w:tc>
                <w:tcPr>
                  <w:tcW w:w="2385" w:type="dxa"/>
                  <w:tcBorders>
                    <w:top w:val="single" w:color="auto" w:sz="2" w:space="0"/>
                    <w:left w:val="single" w:color="auto" w:sz="2" w:space="0"/>
                    <w:bottom w:val="single" w:color="auto" w:sz="2" w:space="0"/>
                    <w:right w:val="single" w:color="auto" w:sz="2" w:space="0"/>
                  </w:tcBorders>
                  <w:vAlign w:val="center"/>
                </w:tcPr>
                <w:p>
                  <w:pPr>
                    <w:spacing w:before="19" w:beforeLines="8" w:after="19" w:afterLines="8"/>
                    <w:jc w:val="center"/>
                    <w:rPr>
                      <w:kern w:val="0"/>
                      <w:szCs w:val="21"/>
                    </w:rPr>
                  </w:pPr>
                  <w:r>
                    <w:rPr>
                      <w:kern w:val="0"/>
                      <w:szCs w:val="21"/>
                    </w:rPr>
                    <w:t>79.6</w:t>
                  </w:r>
                </w:p>
              </w:tc>
              <w:tc>
                <w:tcPr>
                  <w:tcW w:w="2727" w:type="dxa"/>
                  <w:tcBorders>
                    <w:top w:val="single" w:color="auto" w:sz="2" w:space="0"/>
                    <w:left w:val="single" w:color="auto" w:sz="2" w:space="0"/>
                    <w:bottom w:val="single" w:color="auto" w:sz="2" w:space="0"/>
                    <w:right w:val="single" w:color="auto" w:sz="12" w:space="0"/>
                  </w:tcBorders>
                  <w:vAlign w:val="center"/>
                </w:tcPr>
                <w:p>
                  <w:pPr>
                    <w:spacing w:before="19" w:beforeLines="8" w:after="19" w:afterLines="8"/>
                    <w:jc w:val="center"/>
                    <w:rPr>
                      <w:kern w:val="0"/>
                      <w:szCs w:val="21"/>
                    </w:rPr>
                  </w:pPr>
                  <w:r>
                    <w:rPr>
                      <w:kern w:val="0"/>
                      <w:szCs w:val="21"/>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0"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距南面围墙5m</w:t>
                  </w:r>
                </w:p>
              </w:tc>
              <w:tc>
                <w:tcPr>
                  <w:tcW w:w="2385" w:type="dxa"/>
                  <w:tcBorders>
                    <w:top w:val="single" w:color="auto" w:sz="2" w:space="0"/>
                    <w:left w:val="single" w:color="auto" w:sz="2" w:space="0"/>
                    <w:bottom w:val="single" w:color="auto" w:sz="2" w:space="0"/>
                    <w:right w:val="single" w:color="auto" w:sz="2" w:space="0"/>
                  </w:tcBorders>
                  <w:vAlign w:val="center"/>
                </w:tcPr>
                <w:p>
                  <w:pPr>
                    <w:spacing w:before="19" w:beforeLines="8" w:after="19" w:afterLines="8"/>
                    <w:jc w:val="center"/>
                    <w:rPr>
                      <w:kern w:val="0"/>
                      <w:szCs w:val="21"/>
                    </w:rPr>
                  </w:pPr>
                  <w:r>
                    <w:rPr>
                      <w:kern w:val="0"/>
                      <w:szCs w:val="21"/>
                    </w:rPr>
                    <w:t>102.4</w:t>
                  </w:r>
                </w:p>
              </w:tc>
              <w:tc>
                <w:tcPr>
                  <w:tcW w:w="2727" w:type="dxa"/>
                  <w:tcBorders>
                    <w:top w:val="single" w:color="auto" w:sz="2" w:space="0"/>
                    <w:left w:val="single" w:color="auto" w:sz="2" w:space="0"/>
                    <w:bottom w:val="single" w:color="auto" w:sz="2" w:space="0"/>
                    <w:right w:val="single" w:color="auto" w:sz="12" w:space="0"/>
                  </w:tcBorders>
                  <w:vAlign w:val="center"/>
                </w:tcPr>
                <w:p>
                  <w:pPr>
                    <w:spacing w:before="19" w:beforeLines="8" w:after="19" w:afterLines="8"/>
                    <w:jc w:val="center"/>
                    <w:rPr>
                      <w:kern w:val="0"/>
                      <w:szCs w:val="21"/>
                    </w:rPr>
                  </w:pPr>
                  <w:r>
                    <w:rPr>
                      <w:kern w:val="0"/>
                      <w:szCs w:val="21"/>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0"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距南面围墙10m</w:t>
                  </w:r>
                </w:p>
              </w:tc>
              <w:tc>
                <w:tcPr>
                  <w:tcW w:w="2385" w:type="dxa"/>
                  <w:tcBorders>
                    <w:top w:val="single" w:color="auto" w:sz="2" w:space="0"/>
                    <w:left w:val="single" w:color="auto" w:sz="2" w:space="0"/>
                    <w:bottom w:val="single" w:color="auto" w:sz="2" w:space="0"/>
                    <w:right w:val="single" w:color="auto" w:sz="2" w:space="0"/>
                  </w:tcBorders>
                  <w:vAlign w:val="center"/>
                </w:tcPr>
                <w:p>
                  <w:pPr>
                    <w:spacing w:before="19" w:beforeLines="8" w:after="19" w:afterLines="8"/>
                    <w:jc w:val="center"/>
                    <w:rPr>
                      <w:kern w:val="0"/>
                      <w:szCs w:val="21"/>
                    </w:rPr>
                  </w:pPr>
                  <w:r>
                    <w:rPr>
                      <w:kern w:val="0"/>
                      <w:szCs w:val="21"/>
                    </w:rPr>
                    <w:t>78.3</w:t>
                  </w:r>
                </w:p>
              </w:tc>
              <w:tc>
                <w:tcPr>
                  <w:tcW w:w="2727" w:type="dxa"/>
                  <w:tcBorders>
                    <w:top w:val="single" w:color="auto" w:sz="2" w:space="0"/>
                    <w:left w:val="single" w:color="auto" w:sz="2" w:space="0"/>
                    <w:bottom w:val="single" w:color="auto" w:sz="2" w:space="0"/>
                    <w:right w:val="single" w:color="auto" w:sz="12" w:space="0"/>
                  </w:tcBorders>
                  <w:vAlign w:val="center"/>
                </w:tcPr>
                <w:p>
                  <w:pPr>
                    <w:spacing w:before="19" w:beforeLines="8" w:after="19" w:afterLines="8"/>
                    <w:jc w:val="center"/>
                    <w:rPr>
                      <w:kern w:val="0"/>
                      <w:szCs w:val="21"/>
                    </w:rPr>
                  </w:pPr>
                  <w:r>
                    <w:rPr>
                      <w:kern w:val="0"/>
                      <w:szCs w:val="21"/>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2822" w:type="dxa"/>
                  <w:tcBorders>
                    <w:top w:val="single" w:color="auto" w:sz="2" w:space="0"/>
                    <w:left w:val="single" w:color="auto" w:sz="12" w:space="0"/>
                    <w:bottom w:val="single" w:color="auto" w:sz="4" w:space="0"/>
                    <w:right w:val="single" w:color="auto" w:sz="2" w:space="0"/>
                  </w:tcBorders>
                  <w:vAlign w:val="center"/>
                </w:tcPr>
                <w:p>
                  <w:pPr>
                    <w:jc w:val="center"/>
                    <w:rPr>
                      <w:kern w:val="0"/>
                      <w:szCs w:val="21"/>
                    </w:rPr>
                  </w:pPr>
                  <w:r>
                    <w:rPr>
                      <w:kern w:val="0"/>
                      <w:szCs w:val="21"/>
                    </w:rPr>
                    <w:t>距南面围墙20m</w:t>
                  </w:r>
                </w:p>
              </w:tc>
              <w:tc>
                <w:tcPr>
                  <w:tcW w:w="2385" w:type="dxa"/>
                  <w:tcBorders>
                    <w:top w:val="single" w:color="auto" w:sz="2" w:space="0"/>
                    <w:left w:val="single" w:color="auto" w:sz="2" w:space="0"/>
                    <w:bottom w:val="single" w:color="auto" w:sz="4" w:space="0"/>
                    <w:right w:val="single" w:color="auto" w:sz="2" w:space="0"/>
                  </w:tcBorders>
                  <w:vAlign w:val="center"/>
                </w:tcPr>
                <w:p>
                  <w:pPr>
                    <w:spacing w:before="19" w:beforeLines="8" w:after="19" w:afterLines="8"/>
                    <w:jc w:val="center"/>
                    <w:rPr>
                      <w:kern w:val="0"/>
                      <w:szCs w:val="21"/>
                    </w:rPr>
                  </w:pPr>
                  <w:r>
                    <w:rPr>
                      <w:kern w:val="0"/>
                      <w:szCs w:val="21"/>
                    </w:rPr>
                    <w:t>51.4</w:t>
                  </w:r>
                </w:p>
              </w:tc>
              <w:tc>
                <w:tcPr>
                  <w:tcW w:w="2727" w:type="dxa"/>
                  <w:tcBorders>
                    <w:top w:val="single" w:color="auto" w:sz="2" w:space="0"/>
                    <w:left w:val="single" w:color="auto" w:sz="2" w:space="0"/>
                    <w:bottom w:val="single" w:color="auto" w:sz="4" w:space="0"/>
                    <w:right w:val="single" w:color="auto" w:sz="12" w:space="0"/>
                  </w:tcBorders>
                  <w:vAlign w:val="center"/>
                </w:tcPr>
                <w:p>
                  <w:pPr>
                    <w:spacing w:before="19" w:beforeLines="8" w:after="19" w:afterLines="8"/>
                    <w:jc w:val="center"/>
                    <w:rPr>
                      <w:kern w:val="0"/>
                      <w:szCs w:val="21"/>
                    </w:rPr>
                  </w:pPr>
                  <w:r>
                    <w:rPr>
                      <w:kern w:val="0"/>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2822" w:type="dxa"/>
                  <w:tcBorders>
                    <w:top w:val="single" w:color="auto" w:sz="4" w:space="0"/>
                    <w:left w:val="single" w:color="auto" w:sz="12" w:space="0"/>
                    <w:bottom w:val="single" w:color="auto" w:sz="2" w:space="0"/>
                    <w:right w:val="single" w:color="auto" w:sz="2" w:space="0"/>
                  </w:tcBorders>
                  <w:vAlign w:val="center"/>
                </w:tcPr>
                <w:p>
                  <w:pPr>
                    <w:jc w:val="center"/>
                    <w:rPr>
                      <w:kern w:val="0"/>
                      <w:szCs w:val="21"/>
                    </w:rPr>
                  </w:pPr>
                  <w:r>
                    <w:rPr>
                      <w:kern w:val="0"/>
                      <w:szCs w:val="21"/>
                    </w:rPr>
                    <w:t>距南面围墙30m</w:t>
                  </w:r>
                </w:p>
              </w:tc>
              <w:tc>
                <w:tcPr>
                  <w:tcW w:w="2385" w:type="dxa"/>
                  <w:tcBorders>
                    <w:top w:val="single" w:color="auto" w:sz="4" w:space="0"/>
                    <w:left w:val="single" w:color="auto" w:sz="2" w:space="0"/>
                    <w:bottom w:val="single" w:color="auto" w:sz="2" w:space="0"/>
                    <w:right w:val="single" w:color="auto" w:sz="2" w:space="0"/>
                  </w:tcBorders>
                  <w:vAlign w:val="center"/>
                </w:tcPr>
                <w:p>
                  <w:pPr>
                    <w:spacing w:before="19" w:beforeLines="8" w:after="19" w:afterLines="8"/>
                    <w:jc w:val="center"/>
                    <w:rPr>
                      <w:kern w:val="0"/>
                      <w:szCs w:val="21"/>
                    </w:rPr>
                  </w:pPr>
                  <w:r>
                    <w:rPr>
                      <w:kern w:val="0"/>
                      <w:szCs w:val="21"/>
                    </w:rPr>
                    <w:t>25.7</w:t>
                  </w:r>
                </w:p>
              </w:tc>
              <w:tc>
                <w:tcPr>
                  <w:tcW w:w="2727" w:type="dxa"/>
                  <w:tcBorders>
                    <w:top w:val="single" w:color="auto" w:sz="4" w:space="0"/>
                    <w:left w:val="single" w:color="auto" w:sz="2" w:space="0"/>
                    <w:bottom w:val="single" w:color="auto" w:sz="2" w:space="0"/>
                    <w:right w:val="single" w:color="auto" w:sz="12" w:space="0"/>
                  </w:tcBorders>
                  <w:vAlign w:val="center"/>
                </w:tcPr>
                <w:p>
                  <w:pPr>
                    <w:spacing w:before="19" w:beforeLines="8" w:after="19" w:afterLines="8"/>
                    <w:jc w:val="center"/>
                    <w:rPr>
                      <w:kern w:val="0"/>
                      <w:szCs w:val="21"/>
                    </w:rPr>
                  </w:pPr>
                  <w:r>
                    <w:rPr>
                      <w:kern w:val="0"/>
                      <w:szCs w:val="21"/>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jc w:val="center"/>
              </w:trPr>
              <w:tc>
                <w:tcPr>
                  <w:tcW w:w="2822" w:type="dxa"/>
                  <w:tcBorders>
                    <w:top w:val="single" w:color="auto" w:sz="2" w:space="0"/>
                    <w:left w:val="single" w:color="auto" w:sz="12" w:space="0"/>
                    <w:bottom w:val="single" w:color="auto" w:sz="2" w:space="0"/>
                    <w:right w:val="single" w:color="auto" w:sz="2" w:space="0"/>
                  </w:tcBorders>
                  <w:vAlign w:val="center"/>
                </w:tcPr>
                <w:p>
                  <w:pPr>
                    <w:jc w:val="center"/>
                    <w:rPr>
                      <w:kern w:val="0"/>
                      <w:szCs w:val="21"/>
                    </w:rPr>
                  </w:pPr>
                  <w:r>
                    <w:rPr>
                      <w:kern w:val="0"/>
                      <w:szCs w:val="21"/>
                    </w:rPr>
                    <w:t>距南面围墙50m</w:t>
                  </w:r>
                </w:p>
              </w:tc>
              <w:tc>
                <w:tcPr>
                  <w:tcW w:w="2385" w:type="dxa"/>
                  <w:tcBorders>
                    <w:top w:val="single" w:color="auto" w:sz="2" w:space="0"/>
                    <w:left w:val="single" w:color="auto" w:sz="2" w:space="0"/>
                    <w:bottom w:val="single" w:color="auto" w:sz="2" w:space="0"/>
                    <w:right w:val="single" w:color="auto" w:sz="2" w:space="0"/>
                  </w:tcBorders>
                  <w:vAlign w:val="center"/>
                </w:tcPr>
                <w:p>
                  <w:pPr>
                    <w:spacing w:before="19" w:beforeLines="8" w:after="19" w:afterLines="8"/>
                    <w:jc w:val="center"/>
                    <w:rPr>
                      <w:kern w:val="0"/>
                      <w:szCs w:val="21"/>
                    </w:rPr>
                  </w:pPr>
                  <w:r>
                    <w:rPr>
                      <w:kern w:val="0"/>
                      <w:szCs w:val="21"/>
                    </w:rPr>
                    <w:t>11.2</w:t>
                  </w:r>
                </w:p>
              </w:tc>
              <w:tc>
                <w:tcPr>
                  <w:tcW w:w="2727" w:type="dxa"/>
                  <w:tcBorders>
                    <w:top w:val="single" w:color="auto" w:sz="2" w:space="0"/>
                    <w:left w:val="single" w:color="auto" w:sz="2" w:space="0"/>
                    <w:bottom w:val="single" w:color="auto" w:sz="2" w:space="0"/>
                    <w:right w:val="single" w:color="auto" w:sz="12" w:space="0"/>
                  </w:tcBorders>
                  <w:vAlign w:val="center"/>
                </w:tcPr>
                <w:p>
                  <w:pPr>
                    <w:spacing w:before="19" w:beforeLines="8" w:after="19" w:afterLines="8"/>
                    <w:jc w:val="center"/>
                    <w:rPr>
                      <w:kern w:val="0"/>
                      <w:szCs w:val="21"/>
                    </w:rPr>
                  </w:pPr>
                  <w:r>
                    <w:rPr>
                      <w:kern w:val="0"/>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5" w:hRule="atLeast"/>
                <w:jc w:val="center"/>
              </w:trPr>
              <w:tc>
                <w:tcPr>
                  <w:tcW w:w="7934" w:type="dxa"/>
                  <w:gridSpan w:val="3"/>
                  <w:tcBorders>
                    <w:top w:val="single" w:color="auto" w:sz="2" w:space="0"/>
                    <w:left w:val="single" w:color="auto" w:sz="12" w:space="0"/>
                    <w:bottom w:val="single" w:color="auto" w:sz="12" w:space="0"/>
                    <w:right w:val="single" w:color="auto" w:sz="12" w:space="0"/>
                  </w:tcBorders>
                  <w:vAlign w:val="center"/>
                </w:tcPr>
                <w:p>
                  <w:pPr>
                    <w:jc w:val="center"/>
                    <w:rPr>
                      <w:kern w:val="0"/>
                      <w:szCs w:val="21"/>
                    </w:rPr>
                  </w:pPr>
                  <w:r>
                    <w:rPr>
                      <w:kern w:val="0"/>
                      <w:szCs w:val="21"/>
                    </w:rPr>
                    <w:t>监测日期2016年11月22日，阴，温度17.2℃，相对湿度76.9%。</w:t>
                  </w:r>
                </w:p>
              </w:tc>
            </w:tr>
          </w:tbl>
          <w:p>
            <w:pPr>
              <w:pStyle w:val="15"/>
              <w:spacing w:before="120" w:beforeLines="50" w:line="360" w:lineRule="auto"/>
              <w:ind w:firstLine="560"/>
              <w:rPr>
                <w:rFonts w:ascii="Times New Roman" w:hAnsi="Times New Roman" w:eastAsia="宋体" w:cs="Times New Roman"/>
                <w:sz w:val="28"/>
                <w:szCs w:val="28"/>
              </w:rPr>
            </w:pPr>
          </w:p>
          <w:p>
            <w:pPr>
              <w:pStyle w:val="15"/>
              <w:spacing w:before="120" w:beforeLines="50"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（7）类比监测结果分析</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根据表18、19、20可知，在运的月溪110kV变电站、寺山110kV变电站、桔园110kV变电站周围测得的工频电场强度分别为9.7～289.8V/m 、22.9～546.4V/m、1.5～102.4V/m，均小于4kV/m的标准限值，结合变电站现有110 kV出线分布情况，变电站围墙外工频电场主要是受进出线影响。围墙外衰减断面上的工频电场强度最大值为厂界处，随着距离增大快速减小，距离围墙50m的工频电场强度分别为74.8 V/m 、89.0 V/m、11.2 V/m。</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根据表18、19、20可知，在运的月溪110kV变电站、寺山110kV变电站、桔园110kV变电站周围测得的工频磁场强度分别为21.2～1147.3×10-3μT 、98.2～321.9×10-3μT、2.3～37.6×10-3μT，均小于100μT的标准限值，围墙外断面上的工频磁场强度最大值为厂界处，随着距离增大快速减小，距离围墙50m的工频电场强度分别为167.8×10-3μT 、72.6×10-3μT、2.3×10-3μT。</w:t>
            </w:r>
          </w:p>
          <w:p>
            <w:pPr>
              <w:pStyle w:val="15"/>
              <w:spacing w:line="36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1.1.2 输电线路线路类比监测</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（1）类比对象选择的原则</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输电线路电磁场环境类比测量，从严格意义讲，应具备完全相同的电压等级、架设形式、布置形式、导线类型、对地高度以及输送电流。但是要满足这样的条件是很困难的，要决这一实际困难，可以在关键部分相同，而达到进行类比的条件。所谓关键部分，就是主要的工频电场、工频磁场产生源。</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对于输电线路的工频电场强度，要求电压等级架设及布置形式一致、电压相同、对地高度类似，此时就可以认为具有可比性；同样对于输电线路的工频磁场，还要求通过导线的电流相同才具有可比性。实际情况是：工频电场的类比条件相对容易实现，但是产生工频磁场的电流却随负荷变化而有较大的变化。根据以往对输电线路的电磁环境的类比监测结果输电线线路的磁感应强度远小于100μT的限值标准，而输电线路下方的工频电场强度则有可能超过4000V/m。因此主要针对工频电场选取类比对象。</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（2）类比线路的可比性分析</w:t>
            </w:r>
          </w:p>
          <w:p>
            <w:pPr>
              <w:spacing w:line="360" w:lineRule="auto"/>
              <w:ind w:firstLine="560" w:firstLineChars="200"/>
              <w:rPr>
                <w:sz w:val="28"/>
                <w:szCs w:val="28"/>
              </w:rPr>
            </w:pPr>
            <w:r>
              <w:rPr>
                <w:kern w:val="0"/>
                <w:sz w:val="28"/>
                <w:szCs w:val="28"/>
              </w:rPr>
              <w:t>根据上述类比原则以及本报告中新建输电线路的电压等级、架设形式、环境条件等因素，本报告选取在运行的</w:t>
            </w:r>
            <w:r>
              <w:rPr>
                <w:sz w:val="28"/>
                <w:szCs w:val="28"/>
              </w:rPr>
              <w:t>110kV银武线类比</w:t>
            </w:r>
            <w:r>
              <w:rPr>
                <w:bCs/>
                <w:sz w:val="28"/>
                <w:szCs w:val="28"/>
              </w:rPr>
              <w:t>测</w:t>
            </w:r>
            <w:r>
              <w:rPr>
                <w:sz w:val="28"/>
                <w:szCs w:val="28"/>
              </w:rPr>
              <w:t>量结果</w:t>
            </w:r>
            <w:r>
              <w:rPr>
                <w:bCs/>
                <w:sz w:val="28"/>
                <w:szCs w:val="28"/>
              </w:rPr>
              <w:t>对报告中评价的城东110kV输变电工程配套线路单回段</w:t>
            </w:r>
            <w:r>
              <w:rPr>
                <w:sz w:val="28"/>
                <w:szCs w:val="28"/>
              </w:rPr>
              <w:t>、邵阳宝莲二期风电110kV线路、绥宁宝鼎山风电二期三期110kV线路、隆回金坪110kV风电线路进行工频电磁场预测；</w:t>
            </w:r>
            <w:r>
              <w:rPr>
                <w:kern w:val="0"/>
                <w:sz w:val="28"/>
                <w:szCs w:val="28"/>
              </w:rPr>
              <w:t>选取在运行的</w:t>
            </w:r>
            <w:r>
              <w:rPr>
                <w:sz w:val="28"/>
                <w:szCs w:val="28"/>
              </w:rPr>
              <w:t>在运的110kV神蔡线类比</w:t>
            </w:r>
            <w:r>
              <w:rPr>
                <w:bCs/>
                <w:sz w:val="28"/>
                <w:szCs w:val="28"/>
              </w:rPr>
              <w:t>测</w:t>
            </w:r>
            <w:r>
              <w:rPr>
                <w:sz w:val="28"/>
                <w:szCs w:val="28"/>
              </w:rPr>
              <w:t>量结果</w:t>
            </w:r>
            <w:r>
              <w:rPr>
                <w:bCs/>
                <w:sz w:val="28"/>
                <w:szCs w:val="28"/>
              </w:rPr>
              <w:t>对报告中评价的城东110kV输变电工程配套线路双回段</w:t>
            </w:r>
            <w:r>
              <w:rPr>
                <w:sz w:val="28"/>
                <w:szCs w:val="28"/>
              </w:rPr>
              <w:t>进行工频电磁场预测。类比线路与本期工程线路概况见表21。监测数据引用自湖南省电力环境监测中心站监测报告。</w:t>
            </w:r>
          </w:p>
          <w:p>
            <w:pPr>
              <w:spacing w:line="300" w:lineRule="exact"/>
              <w:jc w:val="center"/>
              <w:rPr>
                <w:b/>
                <w:bCs/>
                <w:sz w:val="24"/>
                <w:szCs w:val="24"/>
              </w:rPr>
            </w:pPr>
            <w:r>
              <w:rPr>
                <w:b/>
                <w:bCs/>
                <w:sz w:val="24"/>
                <w:szCs w:val="24"/>
              </w:rPr>
              <w:t>表21  类比线路与本期工程线路概况</w:t>
            </w:r>
          </w:p>
          <w:tbl>
            <w:tblPr>
              <w:tblStyle w:val="11"/>
              <w:tblW w:w="828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7"/>
              <w:gridCol w:w="2898"/>
              <w:gridCol w:w="1148"/>
              <w:gridCol w:w="1503"/>
              <w:gridCol w:w="16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4" w:hRule="atLeast"/>
                <w:jc w:val="center"/>
              </w:trPr>
              <w:tc>
                <w:tcPr>
                  <w:tcW w:w="1117" w:type="dxa"/>
                  <w:tcBorders>
                    <w:right w:val="single" w:color="auto" w:sz="8" w:space="0"/>
                  </w:tcBorders>
                  <w:vAlign w:val="center"/>
                </w:tcPr>
                <w:p>
                  <w:pPr>
                    <w:jc w:val="center"/>
                    <w:rPr>
                      <w:kern w:val="0"/>
                      <w:sz w:val="24"/>
                    </w:rPr>
                  </w:pPr>
                  <w:r>
                    <w:rPr>
                      <w:kern w:val="0"/>
                      <w:sz w:val="24"/>
                    </w:rPr>
                    <w:t>性质</w:t>
                  </w:r>
                </w:p>
              </w:tc>
              <w:tc>
                <w:tcPr>
                  <w:tcW w:w="2898" w:type="dxa"/>
                  <w:tcBorders>
                    <w:left w:val="single" w:color="auto" w:sz="8" w:space="0"/>
                  </w:tcBorders>
                  <w:vAlign w:val="center"/>
                </w:tcPr>
                <w:p>
                  <w:pPr>
                    <w:jc w:val="center"/>
                    <w:rPr>
                      <w:kern w:val="0"/>
                      <w:sz w:val="24"/>
                    </w:rPr>
                  </w:pPr>
                  <w:r>
                    <w:rPr>
                      <w:kern w:val="0"/>
                      <w:sz w:val="24"/>
                    </w:rPr>
                    <w:t>线路名称</w:t>
                  </w:r>
                </w:p>
              </w:tc>
              <w:tc>
                <w:tcPr>
                  <w:tcW w:w="1148" w:type="dxa"/>
                  <w:tcBorders>
                    <w:right w:val="single" w:color="auto" w:sz="8" w:space="0"/>
                  </w:tcBorders>
                  <w:vAlign w:val="center"/>
                </w:tcPr>
                <w:p>
                  <w:pPr>
                    <w:jc w:val="center"/>
                    <w:rPr>
                      <w:kern w:val="0"/>
                      <w:sz w:val="24"/>
                    </w:rPr>
                  </w:pPr>
                  <w:r>
                    <w:rPr>
                      <w:kern w:val="0"/>
                      <w:sz w:val="24"/>
                    </w:rPr>
                    <w:t>电压等级</w:t>
                  </w:r>
                </w:p>
              </w:tc>
              <w:tc>
                <w:tcPr>
                  <w:tcW w:w="1503" w:type="dxa"/>
                  <w:tcBorders>
                    <w:left w:val="single" w:color="auto" w:sz="8" w:space="0"/>
                  </w:tcBorders>
                  <w:vAlign w:val="center"/>
                </w:tcPr>
                <w:p>
                  <w:pPr>
                    <w:jc w:val="center"/>
                    <w:rPr>
                      <w:kern w:val="0"/>
                      <w:sz w:val="24"/>
                    </w:rPr>
                  </w:pPr>
                  <w:r>
                    <w:rPr>
                      <w:kern w:val="0"/>
                      <w:sz w:val="24"/>
                    </w:rPr>
                    <w:t>架设形式</w:t>
                  </w:r>
                </w:p>
              </w:tc>
              <w:tc>
                <w:tcPr>
                  <w:tcW w:w="1617" w:type="dxa"/>
                  <w:tcBorders>
                    <w:left w:val="single" w:color="auto" w:sz="8" w:space="0"/>
                  </w:tcBorders>
                  <w:vAlign w:val="center"/>
                </w:tcPr>
                <w:p>
                  <w:pPr>
                    <w:jc w:val="center"/>
                    <w:rPr>
                      <w:kern w:val="0"/>
                      <w:sz w:val="24"/>
                    </w:rPr>
                  </w:pPr>
                  <w:r>
                    <w:rPr>
                      <w:kern w:val="0"/>
                      <w:sz w:val="24"/>
                    </w:rPr>
                    <w:t>地形、地貌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7" w:type="dxa"/>
                  <w:tcBorders>
                    <w:right w:val="single" w:color="auto" w:sz="8" w:space="0"/>
                  </w:tcBorders>
                  <w:vAlign w:val="center"/>
                </w:tcPr>
                <w:p>
                  <w:pPr>
                    <w:jc w:val="center"/>
                    <w:rPr>
                      <w:kern w:val="0"/>
                      <w:szCs w:val="21"/>
                    </w:rPr>
                  </w:pPr>
                  <w:r>
                    <w:rPr>
                      <w:kern w:val="0"/>
                      <w:szCs w:val="21"/>
                    </w:rPr>
                    <w:t>类比</w:t>
                  </w:r>
                </w:p>
              </w:tc>
              <w:tc>
                <w:tcPr>
                  <w:tcW w:w="2898" w:type="dxa"/>
                  <w:tcBorders>
                    <w:left w:val="single" w:color="auto" w:sz="8" w:space="0"/>
                  </w:tcBorders>
                  <w:vAlign w:val="center"/>
                </w:tcPr>
                <w:p>
                  <w:pPr>
                    <w:jc w:val="center"/>
                    <w:rPr>
                      <w:kern w:val="0"/>
                      <w:szCs w:val="21"/>
                    </w:rPr>
                  </w:pPr>
                  <w:r>
                    <w:rPr>
                      <w:kern w:val="0"/>
                      <w:szCs w:val="21"/>
                    </w:rPr>
                    <w:t>110kV银武线</w:t>
                  </w:r>
                </w:p>
              </w:tc>
              <w:tc>
                <w:tcPr>
                  <w:tcW w:w="1148" w:type="dxa"/>
                  <w:vMerge w:val="restart"/>
                  <w:tcBorders>
                    <w:right w:val="single" w:color="auto" w:sz="8" w:space="0"/>
                  </w:tcBorders>
                  <w:vAlign w:val="center"/>
                </w:tcPr>
                <w:p>
                  <w:pPr>
                    <w:jc w:val="center"/>
                    <w:rPr>
                      <w:kern w:val="0"/>
                      <w:szCs w:val="21"/>
                    </w:rPr>
                  </w:pPr>
                  <w:r>
                    <w:rPr>
                      <w:kern w:val="0"/>
                      <w:szCs w:val="21"/>
                    </w:rPr>
                    <w:t>110kV</w:t>
                  </w:r>
                </w:p>
              </w:tc>
              <w:tc>
                <w:tcPr>
                  <w:tcW w:w="1503" w:type="dxa"/>
                  <w:tcBorders>
                    <w:left w:val="single" w:color="auto" w:sz="8" w:space="0"/>
                  </w:tcBorders>
                  <w:vAlign w:val="center"/>
                </w:tcPr>
                <w:p>
                  <w:pPr>
                    <w:jc w:val="center"/>
                    <w:rPr>
                      <w:kern w:val="0"/>
                      <w:szCs w:val="21"/>
                    </w:rPr>
                  </w:pPr>
                  <w:r>
                    <w:rPr>
                      <w:kern w:val="0"/>
                      <w:szCs w:val="21"/>
                    </w:rPr>
                    <w:t>单回架空</w:t>
                  </w:r>
                </w:p>
              </w:tc>
              <w:tc>
                <w:tcPr>
                  <w:tcW w:w="1617" w:type="dxa"/>
                  <w:tcBorders>
                    <w:left w:val="single" w:color="auto" w:sz="8" w:space="0"/>
                  </w:tcBorders>
                  <w:vAlign w:val="center"/>
                </w:tcPr>
                <w:p>
                  <w:pPr>
                    <w:jc w:val="center"/>
                    <w:rPr>
                      <w:kern w:val="0"/>
                      <w:szCs w:val="21"/>
                    </w:rPr>
                  </w:pPr>
                  <w:r>
                    <w:rPr>
                      <w:kern w:val="0"/>
                      <w:szCs w:val="21"/>
                    </w:rPr>
                    <w:t>山地、丘陵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7" w:type="dxa"/>
                  <w:vMerge w:val="restart"/>
                  <w:tcBorders>
                    <w:right w:val="single" w:color="auto" w:sz="8" w:space="0"/>
                  </w:tcBorders>
                  <w:vAlign w:val="center"/>
                </w:tcPr>
                <w:p>
                  <w:pPr>
                    <w:jc w:val="center"/>
                    <w:rPr>
                      <w:kern w:val="0"/>
                      <w:szCs w:val="21"/>
                    </w:rPr>
                  </w:pPr>
                  <w:r>
                    <w:rPr>
                      <w:kern w:val="0"/>
                      <w:szCs w:val="21"/>
                    </w:rPr>
                    <w:t>本期</w:t>
                  </w:r>
                </w:p>
              </w:tc>
              <w:tc>
                <w:tcPr>
                  <w:tcW w:w="2898" w:type="dxa"/>
                  <w:tcBorders>
                    <w:left w:val="single" w:color="auto" w:sz="8" w:space="0"/>
                  </w:tcBorders>
                  <w:vAlign w:val="center"/>
                </w:tcPr>
                <w:p>
                  <w:pPr>
                    <w:jc w:val="center"/>
                    <w:rPr>
                      <w:kern w:val="0"/>
                      <w:szCs w:val="21"/>
                    </w:rPr>
                  </w:pPr>
                  <w:r>
                    <w:rPr>
                      <w:kern w:val="0"/>
                      <w:szCs w:val="21"/>
                    </w:rPr>
                    <w:t>城东110kV输变电工程配套线路单回段</w:t>
                  </w:r>
                </w:p>
              </w:tc>
              <w:tc>
                <w:tcPr>
                  <w:tcW w:w="1148" w:type="dxa"/>
                  <w:vMerge w:val="continue"/>
                  <w:tcBorders>
                    <w:right w:val="single" w:color="auto" w:sz="8" w:space="0"/>
                  </w:tcBorders>
                  <w:vAlign w:val="center"/>
                </w:tcPr>
                <w:p>
                  <w:pPr>
                    <w:jc w:val="center"/>
                    <w:rPr>
                      <w:kern w:val="0"/>
                      <w:szCs w:val="21"/>
                    </w:rPr>
                  </w:pPr>
                </w:p>
              </w:tc>
              <w:tc>
                <w:tcPr>
                  <w:tcW w:w="1503" w:type="dxa"/>
                  <w:tcBorders>
                    <w:left w:val="single" w:color="auto" w:sz="8" w:space="0"/>
                  </w:tcBorders>
                  <w:vAlign w:val="center"/>
                </w:tcPr>
                <w:p>
                  <w:pPr>
                    <w:jc w:val="center"/>
                    <w:rPr>
                      <w:kern w:val="0"/>
                      <w:szCs w:val="21"/>
                    </w:rPr>
                  </w:pPr>
                  <w:r>
                    <w:rPr>
                      <w:kern w:val="0"/>
                      <w:szCs w:val="21"/>
                    </w:rPr>
                    <w:t>单回架空</w:t>
                  </w:r>
                </w:p>
              </w:tc>
              <w:tc>
                <w:tcPr>
                  <w:tcW w:w="1617" w:type="dxa"/>
                  <w:tcBorders>
                    <w:left w:val="single" w:color="auto" w:sz="8" w:space="0"/>
                  </w:tcBorders>
                  <w:vAlign w:val="center"/>
                </w:tcPr>
                <w:p>
                  <w:pPr>
                    <w:jc w:val="center"/>
                    <w:rPr>
                      <w:kern w:val="0"/>
                      <w:szCs w:val="21"/>
                    </w:rPr>
                  </w:pPr>
                  <w:r>
                    <w:rPr>
                      <w:kern w:val="0"/>
                      <w:szCs w:val="21"/>
                    </w:rPr>
                    <w:t>山地、丘陵、水田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7" w:type="dxa"/>
                  <w:vMerge w:val="continue"/>
                  <w:tcBorders>
                    <w:right w:val="single" w:color="auto" w:sz="8" w:space="0"/>
                  </w:tcBorders>
                  <w:vAlign w:val="center"/>
                </w:tcPr>
                <w:p>
                  <w:pPr>
                    <w:jc w:val="center"/>
                    <w:rPr>
                      <w:kern w:val="0"/>
                      <w:szCs w:val="21"/>
                    </w:rPr>
                  </w:pPr>
                </w:p>
              </w:tc>
              <w:tc>
                <w:tcPr>
                  <w:tcW w:w="2898" w:type="dxa"/>
                  <w:tcBorders>
                    <w:left w:val="single" w:color="auto" w:sz="8" w:space="0"/>
                  </w:tcBorders>
                  <w:vAlign w:val="center"/>
                </w:tcPr>
                <w:p>
                  <w:pPr>
                    <w:jc w:val="center"/>
                    <w:rPr>
                      <w:kern w:val="0"/>
                      <w:szCs w:val="21"/>
                    </w:rPr>
                  </w:pPr>
                  <w:r>
                    <w:rPr>
                      <w:kern w:val="0"/>
                      <w:szCs w:val="21"/>
                    </w:rPr>
                    <w:t>邵阳宝莲二期风电110kV线路</w:t>
                  </w:r>
                </w:p>
              </w:tc>
              <w:tc>
                <w:tcPr>
                  <w:tcW w:w="1148" w:type="dxa"/>
                  <w:vMerge w:val="continue"/>
                  <w:tcBorders>
                    <w:right w:val="single" w:color="auto" w:sz="8" w:space="0"/>
                  </w:tcBorders>
                  <w:vAlign w:val="center"/>
                </w:tcPr>
                <w:p>
                  <w:pPr>
                    <w:jc w:val="center"/>
                    <w:rPr>
                      <w:kern w:val="0"/>
                      <w:szCs w:val="21"/>
                    </w:rPr>
                  </w:pPr>
                </w:p>
              </w:tc>
              <w:tc>
                <w:tcPr>
                  <w:tcW w:w="1503" w:type="dxa"/>
                  <w:tcBorders>
                    <w:left w:val="single" w:color="auto" w:sz="8" w:space="0"/>
                  </w:tcBorders>
                  <w:vAlign w:val="center"/>
                </w:tcPr>
                <w:p>
                  <w:pPr>
                    <w:jc w:val="center"/>
                    <w:rPr>
                      <w:kern w:val="0"/>
                      <w:szCs w:val="21"/>
                    </w:rPr>
                  </w:pPr>
                  <w:r>
                    <w:rPr>
                      <w:kern w:val="0"/>
                      <w:szCs w:val="21"/>
                    </w:rPr>
                    <w:t>单回架空</w:t>
                  </w:r>
                </w:p>
              </w:tc>
              <w:tc>
                <w:tcPr>
                  <w:tcW w:w="1617" w:type="dxa"/>
                  <w:tcBorders>
                    <w:left w:val="single" w:color="auto" w:sz="8" w:space="0"/>
                  </w:tcBorders>
                  <w:vAlign w:val="center"/>
                </w:tcPr>
                <w:p>
                  <w:pPr>
                    <w:jc w:val="center"/>
                    <w:rPr>
                      <w:kern w:val="0"/>
                      <w:szCs w:val="21"/>
                    </w:rPr>
                  </w:pPr>
                  <w:r>
                    <w:rPr>
                      <w:kern w:val="0"/>
                      <w:szCs w:val="21"/>
                    </w:rPr>
                    <w:t>山地、丘陵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7" w:type="dxa"/>
                  <w:vMerge w:val="continue"/>
                  <w:tcBorders>
                    <w:right w:val="single" w:color="auto" w:sz="8" w:space="0"/>
                  </w:tcBorders>
                  <w:vAlign w:val="center"/>
                </w:tcPr>
                <w:p>
                  <w:pPr>
                    <w:jc w:val="center"/>
                    <w:rPr>
                      <w:kern w:val="0"/>
                      <w:szCs w:val="21"/>
                    </w:rPr>
                  </w:pPr>
                </w:p>
              </w:tc>
              <w:tc>
                <w:tcPr>
                  <w:tcW w:w="2898" w:type="dxa"/>
                  <w:tcBorders>
                    <w:left w:val="single" w:color="auto" w:sz="8" w:space="0"/>
                  </w:tcBorders>
                  <w:vAlign w:val="center"/>
                </w:tcPr>
                <w:p>
                  <w:pPr>
                    <w:jc w:val="center"/>
                    <w:rPr>
                      <w:kern w:val="0"/>
                      <w:szCs w:val="21"/>
                    </w:rPr>
                  </w:pPr>
                  <w:r>
                    <w:rPr>
                      <w:kern w:val="0"/>
                      <w:szCs w:val="21"/>
                    </w:rPr>
                    <w:t>绥宁宝鼎山风电二期三期110kV线路</w:t>
                  </w:r>
                </w:p>
              </w:tc>
              <w:tc>
                <w:tcPr>
                  <w:tcW w:w="1148" w:type="dxa"/>
                  <w:vMerge w:val="continue"/>
                  <w:tcBorders>
                    <w:right w:val="single" w:color="auto" w:sz="8" w:space="0"/>
                  </w:tcBorders>
                  <w:vAlign w:val="center"/>
                </w:tcPr>
                <w:p>
                  <w:pPr>
                    <w:jc w:val="center"/>
                    <w:rPr>
                      <w:kern w:val="0"/>
                      <w:szCs w:val="21"/>
                    </w:rPr>
                  </w:pPr>
                </w:p>
              </w:tc>
              <w:tc>
                <w:tcPr>
                  <w:tcW w:w="1503" w:type="dxa"/>
                  <w:tcBorders>
                    <w:left w:val="single" w:color="auto" w:sz="8" w:space="0"/>
                  </w:tcBorders>
                  <w:vAlign w:val="center"/>
                </w:tcPr>
                <w:p>
                  <w:pPr>
                    <w:jc w:val="center"/>
                    <w:rPr>
                      <w:kern w:val="0"/>
                      <w:szCs w:val="21"/>
                    </w:rPr>
                  </w:pPr>
                  <w:r>
                    <w:rPr>
                      <w:kern w:val="0"/>
                      <w:szCs w:val="21"/>
                    </w:rPr>
                    <w:t>单回架空</w:t>
                  </w:r>
                </w:p>
              </w:tc>
              <w:tc>
                <w:tcPr>
                  <w:tcW w:w="1617" w:type="dxa"/>
                  <w:tcBorders>
                    <w:left w:val="single" w:color="auto" w:sz="8" w:space="0"/>
                  </w:tcBorders>
                  <w:vAlign w:val="center"/>
                </w:tcPr>
                <w:p>
                  <w:pPr>
                    <w:jc w:val="center"/>
                    <w:rPr>
                      <w:kern w:val="0"/>
                      <w:szCs w:val="21"/>
                    </w:rPr>
                  </w:pPr>
                  <w:r>
                    <w:rPr>
                      <w:kern w:val="0"/>
                      <w:szCs w:val="21"/>
                    </w:rPr>
                    <w:t>山地、丘陵、水田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7" w:type="dxa"/>
                  <w:vMerge w:val="continue"/>
                  <w:tcBorders>
                    <w:right w:val="single" w:color="auto" w:sz="8" w:space="0"/>
                  </w:tcBorders>
                  <w:vAlign w:val="center"/>
                </w:tcPr>
                <w:p>
                  <w:pPr>
                    <w:jc w:val="center"/>
                    <w:rPr>
                      <w:kern w:val="0"/>
                      <w:szCs w:val="21"/>
                    </w:rPr>
                  </w:pPr>
                </w:p>
              </w:tc>
              <w:tc>
                <w:tcPr>
                  <w:tcW w:w="2898" w:type="dxa"/>
                  <w:tcBorders>
                    <w:left w:val="single" w:color="auto" w:sz="8" w:space="0"/>
                  </w:tcBorders>
                  <w:vAlign w:val="center"/>
                </w:tcPr>
                <w:p>
                  <w:pPr>
                    <w:jc w:val="center"/>
                    <w:rPr>
                      <w:kern w:val="0"/>
                      <w:szCs w:val="21"/>
                    </w:rPr>
                  </w:pPr>
                  <w:r>
                    <w:rPr>
                      <w:kern w:val="0"/>
                      <w:szCs w:val="21"/>
                    </w:rPr>
                    <w:t>隆回金坪110kV风电线路</w:t>
                  </w:r>
                </w:p>
              </w:tc>
              <w:tc>
                <w:tcPr>
                  <w:tcW w:w="1148" w:type="dxa"/>
                  <w:vMerge w:val="continue"/>
                  <w:tcBorders>
                    <w:right w:val="single" w:color="auto" w:sz="8" w:space="0"/>
                  </w:tcBorders>
                  <w:vAlign w:val="center"/>
                </w:tcPr>
                <w:p>
                  <w:pPr>
                    <w:jc w:val="center"/>
                    <w:rPr>
                      <w:kern w:val="0"/>
                      <w:szCs w:val="21"/>
                    </w:rPr>
                  </w:pPr>
                </w:p>
              </w:tc>
              <w:tc>
                <w:tcPr>
                  <w:tcW w:w="1503" w:type="dxa"/>
                  <w:tcBorders>
                    <w:left w:val="single" w:color="auto" w:sz="8" w:space="0"/>
                  </w:tcBorders>
                  <w:vAlign w:val="center"/>
                </w:tcPr>
                <w:p>
                  <w:pPr>
                    <w:jc w:val="center"/>
                    <w:rPr>
                      <w:kern w:val="0"/>
                      <w:szCs w:val="21"/>
                    </w:rPr>
                  </w:pPr>
                  <w:r>
                    <w:rPr>
                      <w:kern w:val="0"/>
                      <w:szCs w:val="21"/>
                    </w:rPr>
                    <w:t>单回架空</w:t>
                  </w:r>
                </w:p>
              </w:tc>
              <w:tc>
                <w:tcPr>
                  <w:tcW w:w="1617" w:type="dxa"/>
                  <w:tcBorders>
                    <w:left w:val="single" w:color="auto" w:sz="8" w:space="0"/>
                  </w:tcBorders>
                  <w:vAlign w:val="center"/>
                </w:tcPr>
                <w:p>
                  <w:pPr>
                    <w:jc w:val="center"/>
                    <w:rPr>
                      <w:kern w:val="0"/>
                      <w:szCs w:val="21"/>
                    </w:rPr>
                  </w:pPr>
                  <w:r>
                    <w:rPr>
                      <w:kern w:val="0"/>
                      <w:szCs w:val="21"/>
                    </w:rPr>
                    <w:t>山地、丘陵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7" w:type="dxa"/>
                  <w:tcBorders>
                    <w:right w:val="single" w:color="auto" w:sz="8" w:space="0"/>
                  </w:tcBorders>
                  <w:vAlign w:val="center"/>
                </w:tcPr>
                <w:p>
                  <w:pPr>
                    <w:jc w:val="center"/>
                    <w:rPr>
                      <w:kern w:val="0"/>
                      <w:szCs w:val="21"/>
                    </w:rPr>
                  </w:pPr>
                  <w:r>
                    <w:rPr>
                      <w:kern w:val="0"/>
                      <w:szCs w:val="21"/>
                    </w:rPr>
                    <w:t>类比</w:t>
                  </w:r>
                </w:p>
              </w:tc>
              <w:tc>
                <w:tcPr>
                  <w:tcW w:w="2898" w:type="dxa"/>
                  <w:tcBorders>
                    <w:left w:val="single" w:color="auto" w:sz="8" w:space="0"/>
                  </w:tcBorders>
                  <w:vAlign w:val="center"/>
                </w:tcPr>
                <w:p>
                  <w:pPr>
                    <w:jc w:val="center"/>
                    <w:rPr>
                      <w:kern w:val="0"/>
                      <w:szCs w:val="21"/>
                    </w:rPr>
                  </w:pPr>
                  <w:r>
                    <w:rPr>
                      <w:kern w:val="0"/>
                      <w:szCs w:val="21"/>
                    </w:rPr>
                    <w:t>110kV神蔡线/柑蔡线</w:t>
                  </w:r>
                </w:p>
              </w:tc>
              <w:tc>
                <w:tcPr>
                  <w:tcW w:w="1148" w:type="dxa"/>
                  <w:vMerge w:val="continue"/>
                  <w:tcBorders>
                    <w:right w:val="single" w:color="auto" w:sz="8" w:space="0"/>
                  </w:tcBorders>
                  <w:vAlign w:val="center"/>
                </w:tcPr>
                <w:p>
                  <w:pPr>
                    <w:jc w:val="center"/>
                    <w:rPr>
                      <w:kern w:val="0"/>
                      <w:szCs w:val="21"/>
                    </w:rPr>
                  </w:pPr>
                </w:p>
              </w:tc>
              <w:tc>
                <w:tcPr>
                  <w:tcW w:w="1503" w:type="dxa"/>
                  <w:tcBorders>
                    <w:left w:val="single" w:color="auto" w:sz="8" w:space="0"/>
                  </w:tcBorders>
                  <w:vAlign w:val="center"/>
                </w:tcPr>
                <w:p>
                  <w:pPr>
                    <w:jc w:val="center"/>
                    <w:rPr>
                      <w:kern w:val="0"/>
                      <w:szCs w:val="21"/>
                    </w:rPr>
                  </w:pPr>
                  <w:r>
                    <w:rPr>
                      <w:kern w:val="0"/>
                      <w:szCs w:val="21"/>
                    </w:rPr>
                    <w:t>双回架空</w:t>
                  </w:r>
                </w:p>
              </w:tc>
              <w:tc>
                <w:tcPr>
                  <w:tcW w:w="1617" w:type="dxa"/>
                  <w:tcBorders>
                    <w:left w:val="single" w:color="auto" w:sz="8" w:space="0"/>
                  </w:tcBorders>
                  <w:vAlign w:val="center"/>
                </w:tcPr>
                <w:p>
                  <w:pPr>
                    <w:jc w:val="center"/>
                    <w:rPr>
                      <w:kern w:val="0"/>
                      <w:szCs w:val="21"/>
                    </w:rPr>
                  </w:pPr>
                  <w:r>
                    <w:rPr>
                      <w:kern w:val="0"/>
                      <w:szCs w:val="21"/>
                    </w:rPr>
                    <w:t>山地、丘陵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17" w:type="dxa"/>
                  <w:tcBorders>
                    <w:right w:val="single" w:color="auto" w:sz="8" w:space="0"/>
                  </w:tcBorders>
                  <w:vAlign w:val="center"/>
                </w:tcPr>
                <w:p>
                  <w:pPr>
                    <w:jc w:val="center"/>
                    <w:rPr>
                      <w:kern w:val="0"/>
                      <w:szCs w:val="21"/>
                    </w:rPr>
                  </w:pPr>
                  <w:r>
                    <w:rPr>
                      <w:kern w:val="0"/>
                      <w:szCs w:val="21"/>
                    </w:rPr>
                    <w:t>本期</w:t>
                  </w:r>
                </w:p>
              </w:tc>
              <w:tc>
                <w:tcPr>
                  <w:tcW w:w="2898" w:type="dxa"/>
                  <w:tcBorders>
                    <w:left w:val="single" w:color="auto" w:sz="8" w:space="0"/>
                  </w:tcBorders>
                  <w:vAlign w:val="center"/>
                </w:tcPr>
                <w:p>
                  <w:pPr>
                    <w:jc w:val="center"/>
                    <w:rPr>
                      <w:kern w:val="0"/>
                      <w:szCs w:val="21"/>
                    </w:rPr>
                  </w:pPr>
                  <w:r>
                    <w:rPr>
                      <w:kern w:val="0"/>
                      <w:szCs w:val="21"/>
                    </w:rPr>
                    <w:t>城东110kV输变电工程配套线路单回段</w:t>
                  </w:r>
                </w:p>
              </w:tc>
              <w:tc>
                <w:tcPr>
                  <w:tcW w:w="1148" w:type="dxa"/>
                  <w:vMerge w:val="continue"/>
                  <w:tcBorders>
                    <w:right w:val="single" w:color="auto" w:sz="8" w:space="0"/>
                  </w:tcBorders>
                  <w:vAlign w:val="center"/>
                </w:tcPr>
                <w:p>
                  <w:pPr>
                    <w:jc w:val="center"/>
                    <w:rPr>
                      <w:kern w:val="0"/>
                      <w:szCs w:val="21"/>
                    </w:rPr>
                  </w:pPr>
                </w:p>
              </w:tc>
              <w:tc>
                <w:tcPr>
                  <w:tcW w:w="1503" w:type="dxa"/>
                  <w:tcBorders>
                    <w:left w:val="single" w:color="auto" w:sz="8" w:space="0"/>
                  </w:tcBorders>
                  <w:vAlign w:val="center"/>
                </w:tcPr>
                <w:p>
                  <w:pPr>
                    <w:jc w:val="center"/>
                    <w:rPr>
                      <w:kern w:val="0"/>
                      <w:szCs w:val="21"/>
                    </w:rPr>
                  </w:pPr>
                  <w:r>
                    <w:rPr>
                      <w:kern w:val="0"/>
                      <w:szCs w:val="21"/>
                    </w:rPr>
                    <w:t>双回架空</w:t>
                  </w:r>
                </w:p>
              </w:tc>
              <w:tc>
                <w:tcPr>
                  <w:tcW w:w="1617" w:type="dxa"/>
                  <w:tcBorders>
                    <w:left w:val="single" w:color="auto" w:sz="8" w:space="0"/>
                  </w:tcBorders>
                  <w:vAlign w:val="center"/>
                </w:tcPr>
                <w:p>
                  <w:pPr>
                    <w:jc w:val="center"/>
                    <w:rPr>
                      <w:kern w:val="0"/>
                      <w:szCs w:val="21"/>
                    </w:rPr>
                  </w:pPr>
                  <w:r>
                    <w:rPr>
                      <w:kern w:val="0"/>
                      <w:szCs w:val="21"/>
                    </w:rPr>
                    <w:t>山地、丘陵、水田</w:t>
                  </w:r>
                </w:p>
              </w:tc>
            </w:tr>
          </w:tbl>
          <w:p>
            <w:pPr>
              <w:spacing w:before="120" w:beforeLines="50" w:line="360" w:lineRule="auto"/>
              <w:ind w:firstLine="560" w:firstLineChars="200"/>
              <w:rPr>
                <w:kern w:val="0"/>
                <w:sz w:val="28"/>
                <w:szCs w:val="28"/>
              </w:rPr>
            </w:pPr>
            <w:r>
              <w:rPr>
                <w:sz w:val="28"/>
                <w:szCs w:val="28"/>
              </w:rPr>
              <w:t>由表21可知，拟建输电线路与类比输电线路电压等级、架设形式一致，</w:t>
            </w:r>
            <w:r>
              <w:rPr>
                <w:kern w:val="0"/>
                <w:sz w:val="28"/>
                <w:szCs w:val="28"/>
              </w:rPr>
              <w:t>因此具有可比性。类比线路的工频电磁场监测结果即能代表拟建线路建成投运后的工频电磁场水平。</w:t>
            </w:r>
          </w:p>
          <w:p>
            <w:pPr>
              <w:spacing w:line="360" w:lineRule="auto"/>
              <w:ind w:firstLine="560" w:firstLineChars="200"/>
              <w:rPr>
                <w:kern w:val="0"/>
                <w:sz w:val="28"/>
                <w:szCs w:val="28"/>
              </w:rPr>
            </w:pPr>
            <w:r>
              <w:rPr>
                <w:kern w:val="0"/>
                <w:sz w:val="28"/>
                <w:szCs w:val="28"/>
              </w:rPr>
              <w:t>（3）监测布点</w:t>
            </w:r>
          </w:p>
          <w:p>
            <w:pPr>
              <w:spacing w:line="360" w:lineRule="auto"/>
              <w:ind w:firstLine="560" w:firstLineChars="200"/>
              <w:rPr>
                <w:kern w:val="0"/>
                <w:sz w:val="28"/>
                <w:szCs w:val="28"/>
              </w:rPr>
            </w:pPr>
            <w:r>
              <w:rPr>
                <w:kern w:val="0"/>
                <w:sz w:val="28"/>
                <w:szCs w:val="28"/>
              </w:rPr>
              <w:t>按照《环境影响评价技术导则 输变电工程》（HJ 24-2014）中的类比测量布点，工频电磁场监测自中心线投影处并垂直送电线路向外布点至距边导线投影处50m为止。</w:t>
            </w:r>
          </w:p>
          <w:p>
            <w:pPr>
              <w:spacing w:line="360" w:lineRule="auto"/>
              <w:ind w:firstLine="560" w:firstLineChars="200"/>
              <w:rPr>
                <w:kern w:val="0"/>
                <w:sz w:val="28"/>
                <w:szCs w:val="28"/>
              </w:rPr>
            </w:pPr>
            <w:r>
              <w:rPr>
                <w:kern w:val="0"/>
                <w:sz w:val="28"/>
                <w:szCs w:val="28"/>
              </w:rPr>
              <w:t>（4）监测仪器和方法</w:t>
            </w:r>
          </w:p>
          <w:p>
            <w:pPr>
              <w:spacing w:line="360" w:lineRule="auto"/>
              <w:ind w:firstLine="560" w:firstLineChars="200"/>
              <w:rPr>
                <w:kern w:val="0"/>
                <w:sz w:val="28"/>
                <w:szCs w:val="28"/>
              </w:rPr>
            </w:pPr>
            <w:r>
              <w:rPr>
                <w:kern w:val="0"/>
                <w:sz w:val="28"/>
                <w:szCs w:val="28"/>
              </w:rPr>
              <w:t>与拟建线路电磁环境现状监测中采用的仪器和方法相同。</w:t>
            </w:r>
          </w:p>
          <w:p>
            <w:pPr>
              <w:spacing w:line="360" w:lineRule="auto"/>
              <w:ind w:firstLine="560" w:firstLineChars="200"/>
              <w:rPr>
                <w:kern w:val="0"/>
                <w:sz w:val="28"/>
                <w:szCs w:val="28"/>
              </w:rPr>
            </w:pPr>
            <w:r>
              <w:rPr>
                <w:kern w:val="0"/>
                <w:sz w:val="28"/>
                <w:szCs w:val="28"/>
              </w:rPr>
              <w:t>（5）运行工况及线路参数</w:t>
            </w:r>
          </w:p>
          <w:p>
            <w:pPr>
              <w:spacing w:line="360" w:lineRule="auto"/>
              <w:ind w:firstLine="560" w:firstLineChars="200"/>
              <w:rPr>
                <w:kern w:val="0"/>
                <w:sz w:val="28"/>
                <w:szCs w:val="28"/>
              </w:rPr>
            </w:pPr>
            <w:r>
              <w:rPr>
                <w:kern w:val="0"/>
                <w:sz w:val="28"/>
                <w:szCs w:val="28"/>
              </w:rPr>
              <w:t>110kV银武线：</w:t>
            </w:r>
            <w:r>
              <w:rPr>
                <w:sz w:val="28"/>
                <w:szCs w:val="28"/>
              </w:rPr>
              <w:t>P=45.3MW，Q=14.9Mvar， I=250.5A</w:t>
            </w:r>
            <w:r>
              <w:rPr>
                <w:kern w:val="0"/>
                <w:sz w:val="28"/>
                <w:szCs w:val="28"/>
              </w:rPr>
              <w:t xml:space="preserve"> ；</w:t>
            </w:r>
          </w:p>
          <w:p>
            <w:pPr>
              <w:spacing w:line="360" w:lineRule="auto"/>
              <w:ind w:firstLine="560" w:firstLineChars="200"/>
              <w:rPr>
                <w:sz w:val="28"/>
                <w:szCs w:val="28"/>
              </w:rPr>
            </w:pPr>
            <w:r>
              <w:rPr>
                <w:sz w:val="28"/>
                <w:szCs w:val="28"/>
              </w:rPr>
              <w:t>110kV神蔡线：P=17.9MW，Q=5.9Mvar，I=99.2A；</w:t>
            </w:r>
          </w:p>
          <w:p>
            <w:pPr>
              <w:spacing w:line="360" w:lineRule="auto"/>
              <w:ind w:firstLine="560" w:firstLineChars="200"/>
              <w:rPr>
                <w:sz w:val="28"/>
                <w:szCs w:val="28"/>
              </w:rPr>
            </w:pPr>
            <w:r>
              <w:rPr>
                <w:sz w:val="28"/>
                <w:szCs w:val="28"/>
              </w:rPr>
              <w:t>110kV柑蔡线：P=18.4MW，Q=6.1Mvar，I=101.7A。</w:t>
            </w:r>
          </w:p>
          <w:p>
            <w:pPr>
              <w:spacing w:line="360" w:lineRule="auto"/>
              <w:ind w:firstLine="560" w:firstLineChars="200"/>
              <w:rPr>
                <w:kern w:val="0"/>
                <w:sz w:val="28"/>
                <w:szCs w:val="28"/>
              </w:rPr>
            </w:pPr>
            <w:r>
              <w:rPr>
                <w:kern w:val="0"/>
                <w:sz w:val="28"/>
                <w:szCs w:val="28"/>
              </w:rPr>
              <w:t>（6）监测结果</w:t>
            </w:r>
          </w:p>
          <w:p>
            <w:pPr>
              <w:spacing w:line="360" w:lineRule="auto"/>
              <w:ind w:firstLine="560" w:firstLineChars="200"/>
              <w:rPr>
                <w:kern w:val="0"/>
                <w:sz w:val="28"/>
                <w:szCs w:val="28"/>
              </w:rPr>
            </w:pPr>
            <w:r>
              <w:rPr>
                <w:kern w:val="0"/>
                <w:sz w:val="28"/>
                <w:szCs w:val="28"/>
              </w:rPr>
              <w:t>类比线路工频电磁场监测结果见表22。</w:t>
            </w:r>
          </w:p>
          <w:p>
            <w:pPr>
              <w:ind w:right="101" w:rightChars="48"/>
              <w:jc w:val="center"/>
              <w:rPr>
                <w:b/>
                <w:sz w:val="24"/>
              </w:rPr>
            </w:pPr>
          </w:p>
          <w:p>
            <w:pPr>
              <w:ind w:right="101" w:rightChars="48"/>
              <w:jc w:val="center"/>
              <w:rPr>
                <w:b/>
                <w:sz w:val="24"/>
              </w:rPr>
            </w:pPr>
          </w:p>
          <w:p>
            <w:pPr>
              <w:ind w:right="101" w:rightChars="48"/>
              <w:jc w:val="center"/>
              <w:rPr>
                <w:b/>
                <w:sz w:val="24"/>
              </w:rPr>
            </w:pPr>
          </w:p>
          <w:p>
            <w:pPr>
              <w:ind w:right="101" w:rightChars="48"/>
              <w:jc w:val="center"/>
              <w:rPr>
                <w:b/>
                <w:sz w:val="24"/>
              </w:rPr>
            </w:pPr>
            <w:r>
              <w:rPr>
                <w:b/>
                <w:sz w:val="24"/>
              </w:rPr>
              <w:t>表22  110kV银武线单回架空线路段工频电磁场监测结果</w:t>
            </w:r>
          </w:p>
          <w:tbl>
            <w:tblPr>
              <w:tblStyle w:val="11"/>
              <w:tblW w:w="861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59"/>
              <w:gridCol w:w="2408"/>
              <w:gridCol w:w="1863"/>
              <w:gridCol w:w="11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8" w:hRule="atLeast"/>
                <w:jc w:val="center"/>
              </w:trPr>
              <w:tc>
                <w:tcPr>
                  <w:tcW w:w="3159" w:type="dxa"/>
                  <w:vAlign w:val="center"/>
                </w:tcPr>
                <w:p>
                  <w:pPr>
                    <w:jc w:val="center"/>
                    <w:rPr>
                      <w:kern w:val="0"/>
                      <w:sz w:val="24"/>
                    </w:rPr>
                  </w:pPr>
                  <w:r>
                    <w:rPr>
                      <w:kern w:val="0"/>
                      <w:sz w:val="24"/>
                    </w:rPr>
                    <w:t>测点</w:t>
                  </w:r>
                </w:p>
              </w:tc>
              <w:tc>
                <w:tcPr>
                  <w:tcW w:w="2408" w:type="dxa"/>
                  <w:vAlign w:val="center"/>
                </w:tcPr>
                <w:p>
                  <w:pPr>
                    <w:jc w:val="center"/>
                    <w:rPr>
                      <w:kern w:val="0"/>
                      <w:sz w:val="24"/>
                    </w:rPr>
                  </w:pPr>
                  <w:r>
                    <w:rPr>
                      <w:kern w:val="0"/>
                      <w:sz w:val="24"/>
                    </w:rPr>
                    <w:t>工频电场强度（V/m）</w:t>
                  </w:r>
                </w:p>
              </w:tc>
              <w:tc>
                <w:tcPr>
                  <w:tcW w:w="1863" w:type="dxa"/>
                  <w:vAlign w:val="center"/>
                </w:tcPr>
                <w:p>
                  <w:pPr>
                    <w:jc w:val="center"/>
                    <w:rPr>
                      <w:kern w:val="0"/>
                      <w:sz w:val="24"/>
                    </w:rPr>
                  </w:pPr>
                  <w:r>
                    <w:rPr>
                      <w:kern w:val="0"/>
                      <w:sz w:val="24"/>
                    </w:rPr>
                    <w:t>工频磁感应强度（μT）</w:t>
                  </w:r>
                </w:p>
              </w:tc>
              <w:tc>
                <w:tcPr>
                  <w:tcW w:w="1189" w:type="dxa"/>
                  <w:vAlign w:val="center"/>
                </w:tcPr>
                <w:p>
                  <w:pPr>
                    <w:jc w:val="center"/>
                    <w:rPr>
                      <w:kern w:val="0"/>
                      <w:sz w:val="24"/>
                    </w:rPr>
                  </w:pPr>
                  <w:r>
                    <w:rPr>
                      <w:kern w:val="0"/>
                      <w:sz w:val="24"/>
                    </w:rPr>
                    <w:t>是否</w:t>
                  </w:r>
                </w:p>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59" w:type="dxa"/>
                  <w:vAlign w:val="center"/>
                </w:tcPr>
                <w:p>
                  <w:pPr>
                    <w:jc w:val="center"/>
                    <w:rPr>
                      <w:kern w:val="0"/>
                      <w:sz w:val="24"/>
                    </w:rPr>
                  </w:pPr>
                  <w:r>
                    <w:rPr>
                      <w:kern w:val="0"/>
                      <w:sz w:val="24"/>
                    </w:rPr>
                    <w:t>中心线下</w:t>
                  </w:r>
                </w:p>
              </w:tc>
              <w:tc>
                <w:tcPr>
                  <w:tcW w:w="2408" w:type="dxa"/>
                  <w:vAlign w:val="center"/>
                </w:tcPr>
                <w:p>
                  <w:pPr>
                    <w:jc w:val="center"/>
                    <w:rPr>
                      <w:kern w:val="0"/>
                      <w:sz w:val="24"/>
                    </w:rPr>
                  </w:pPr>
                  <w:r>
                    <w:rPr>
                      <w:kern w:val="0"/>
                      <w:sz w:val="24"/>
                    </w:rPr>
                    <w:t>124.5</w:t>
                  </w:r>
                </w:p>
              </w:tc>
              <w:tc>
                <w:tcPr>
                  <w:tcW w:w="1863" w:type="dxa"/>
                  <w:vAlign w:val="center"/>
                </w:tcPr>
                <w:p>
                  <w:pPr>
                    <w:jc w:val="center"/>
                    <w:rPr>
                      <w:kern w:val="0"/>
                      <w:sz w:val="24"/>
                    </w:rPr>
                  </w:pPr>
                  <w:r>
                    <w:rPr>
                      <w:kern w:val="0"/>
                      <w:sz w:val="24"/>
                    </w:rPr>
                    <w:t>0.471</w:t>
                  </w:r>
                </w:p>
              </w:tc>
              <w:tc>
                <w:tcPr>
                  <w:tcW w:w="1189"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59" w:type="dxa"/>
                  <w:vAlign w:val="center"/>
                </w:tcPr>
                <w:p>
                  <w:pPr>
                    <w:jc w:val="center"/>
                    <w:rPr>
                      <w:kern w:val="0"/>
                      <w:sz w:val="24"/>
                    </w:rPr>
                  </w:pPr>
                  <w:r>
                    <w:rPr>
                      <w:kern w:val="0"/>
                      <w:sz w:val="24"/>
                    </w:rPr>
                    <w:t>边导线下</w:t>
                  </w:r>
                </w:p>
              </w:tc>
              <w:tc>
                <w:tcPr>
                  <w:tcW w:w="2408" w:type="dxa"/>
                  <w:vAlign w:val="center"/>
                </w:tcPr>
                <w:p>
                  <w:pPr>
                    <w:jc w:val="center"/>
                    <w:rPr>
                      <w:kern w:val="0"/>
                      <w:sz w:val="24"/>
                    </w:rPr>
                  </w:pPr>
                  <w:r>
                    <w:rPr>
                      <w:kern w:val="0"/>
                      <w:sz w:val="24"/>
                    </w:rPr>
                    <w:t>128.6</w:t>
                  </w:r>
                </w:p>
              </w:tc>
              <w:tc>
                <w:tcPr>
                  <w:tcW w:w="1863" w:type="dxa"/>
                  <w:vAlign w:val="center"/>
                </w:tcPr>
                <w:p>
                  <w:pPr>
                    <w:jc w:val="center"/>
                    <w:rPr>
                      <w:kern w:val="0"/>
                      <w:sz w:val="24"/>
                    </w:rPr>
                  </w:pPr>
                  <w:r>
                    <w:rPr>
                      <w:kern w:val="0"/>
                      <w:sz w:val="24"/>
                    </w:rPr>
                    <w:t>0.492</w:t>
                  </w:r>
                </w:p>
              </w:tc>
              <w:tc>
                <w:tcPr>
                  <w:tcW w:w="1189"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59" w:type="dxa"/>
                  <w:vAlign w:val="center"/>
                </w:tcPr>
                <w:p>
                  <w:pPr>
                    <w:jc w:val="center"/>
                    <w:rPr>
                      <w:kern w:val="0"/>
                      <w:sz w:val="24"/>
                    </w:rPr>
                  </w:pPr>
                  <w:r>
                    <w:rPr>
                      <w:kern w:val="0"/>
                      <w:sz w:val="24"/>
                    </w:rPr>
                    <w:t>距边导线水平5m</w:t>
                  </w:r>
                </w:p>
              </w:tc>
              <w:tc>
                <w:tcPr>
                  <w:tcW w:w="2408" w:type="dxa"/>
                  <w:vAlign w:val="center"/>
                </w:tcPr>
                <w:p>
                  <w:pPr>
                    <w:jc w:val="center"/>
                    <w:rPr>
                      <w:kern w:val="0"/>
                      <w:sz w:val="24"/>
                    </w:rPr>
                  </w:pPr>
                  <w:r>
                    <w:rPr>
                      <w:kern w:val="0"/>
                      <w:sz w:val="24"/>
                    </w:rPr>
                    <w:t>122.2</w:t>
                  </w:r>
                </w:p>
              </w:tc>
              <w:tc>
                <w:tcPr>
                  <w:tcW w:w="1863" w:type="dxa"/>
                  <w:vAlign w:val="center"/>
                </w:tcPr>
                <w:p>
                  <w:pPr>
                    <w:jc w:val="center"/>
                    <w:rPr>
                      <w:kern w:val="0"/>
                      <w:sz w:val="24"/>
                    </w:rPr>
                  </w:pPr>
                  <w:r>
                    <w:rPr>
                      <w:kern w:val="0"/>
                      <w:sz w:val="24"/>
                    </w:rPr>
                    <w:t>0.385</w:t>
                  </w:r>
                </w:p>
              </w:tc>
              <w:tc>
                <w:tcPr>
                  <w:tcW w:w="1189"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59" w:type="dxa"/>
                  <w:vAlign w:val="center"/>
                </w:tcPr>
                <w:p>
                  <w:pPr>
                    <w:jc w:val="center"/>
                    <w:rPr>
                      <w:kern w:val="0"/>
                      <w:sz w:val="24"/>
                    </w:rPr>
                  </w:pPr>
                  <w:r>
                    <w:rPr>
                      <w:kern w:val="0"/>
                      <w:sz w:val="24"/>
                    </w:rPr>
                    <w:t>距边导线水平10m</w:t>
                  </w:r>
                </w:p>
              </w:tc>
              <w:tc>
                <w:tcPr>
                  <w:tcW w:w="2408" w:type="dxa"/>
                  <w:vAlign w:val="center"/>
                </w:tcPr>
                <w:p>
                  <w:pPr>
                    <w:jc w:val="center"/>
                    <w:rPr>
                      <w:kern w:val="0"/>
                      <w:sz w:val="24"/>
                    </w:rPr>
                  </w:pPr>
                  <w:r>
                    <w:rPr>
                      <w:kern w:val="0"/>
                      <w:sz w:val="24"/>
                    </w:rPr>
                    <w:t>116.3</w:t>
                  </w:r>
                </w:p>
              </w:tc>
              <w:tc>
                <w:tcPr>
                  <w:tcW w:w="1863" w:type="dxa"/>
                  <w:vAlign w:val="center"/>
                </w:tcPr>
                <w:p>
                  <w:pPr>
                    <w:jc w:val="center"/>
                    <w:rPr>
                      <w:kern w:val="0"/>
                      <w:sz w:val="24"/>
                    </w:rPr>
                  </w:pPr>
                  <w:r>
                    <w:rPr>
                      <w:kern w:val="0"/>
                      <w:sz w:val="24"/>
                    </w:rPr>
                    <w:t>0.361</w:t>
                  </w:r>
                </w:p>
              </w:tc>
              <w:tc>
                <w:tcPr>
                  <w:tcW w:w="1189"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59" w:type="dxa"/>
                  <w:vAlign w:val="center"/>
                </w:tcPr>
                <w:p>
                  <w:pPr>
                    <w:jc w:val="center"/>
                    <w:rPr>
                      <w:kern w:val="0"/>
                      <w:sz w:val="24"/>
                    </w:rPr>
                  </w:pPr>
                  <w:r>
                    <w:rPr>
                      <w:kern w:val="0"/>
                      <w:sz w:val="24"/>
                    </w:rPr>
                    <w:t>距边导线水平15m</w:t>
                  </w:r>
                </w:p>
              </w:tc>
              <w:tc>
                <w:tcPr>
                  <w:tcW w:w="2408" w:type="dxa"/>
                  <w:vAlign w:val="center"/>
                </w:tcPr>
                <w:p>
                  <w:pPr>
                    <w:jc w:val="center"/>
                    <w:rPr>
                      <w:kern w:val="0"/>
                      <w:sz w:val="24"/>
                    </w:rPr>
                  </w:pPr>
                  <w:r>
                    <w:rPr>
                      <w:kern w:val="0"/>
                      <w:sz w:val="24"/>
                    </w:rPr>
                    <w:t>117.2</w:t>
                  </w:r>
                </w:p>
              </w:tc>
              <w:tc>
                <w:tcPr>
                  <w:tcW w:w="1863" w:type="dxa"/>
                  <w:vAlign w:val="center"/>
                </w:tcPr>
                <w:p>
                  <w:pPr>
                    <w:jc w:val="center"/>
                    <w:rPr>
                      <w:kern w:val="0"/>
                      <w:sz w:val="24"/>
                    </w:rPr>
                  </w:pPr>
                  <w:r>
                    <w:rPr>
                      <w:kern w:val="0"/>
                      <w:sz w:val="24"/>
                    </w:rPr>
                    <w:t>0.283</w:t>
                  </w:r>
                </w:p>
              </w:tc>
              <w:tc>
                <w:tcPr>
                  <w:tcW w:w="1189"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59" w:type="dxa"/>
                  <w:vAlign w:val="center"/>
                </w:tcPr>
                <w:p>
                  <w:pPr>
                    <w:jc w:val="center"/>
                    <w:rPr>
                      <w:kern w:val="0"/>
                      <w:sz w:val="24"/>
                    </w:rPr>
                  </w:pPr>
                  <w:r>
                    <w:rPr>
                      <w:kern w:val="0"/>
                      <w:sz w:val="24"/>
                    </w:rPr>
                    <w:t>距边导线水平20m</w:t>
                  </w:r>
                </w:p>
              </w:tc>
              <w:tc>
                <w:tcPr>
                  <w:tcW w:w="2408" w:type="dxa"/>
                  <w:vAlign w:val="center"/>
                </w:tcPr>
                <w:p>
                  <w:pPr>
                    <w:jc w:val="center"/>
                    <w:rPr>
                      <w:kern w:val="0"/>
                      <w:sz w:val="24"/>
                    </w:rPr>
                  </w:pPr>
                  <w:r>
                    <w:rPr>
                      <w:kern w:val="0"/>
                      <w:sz w:val="24"/>
                    </w:rPr>
                    <w:t>105.1</w:t>
                  </w:r>
                </w:p>
              </w:tc>
              <w:tc>
                <w:tcPr>
                  <w:tcW w:w="1863" w:type="dxa"/>
                  <w:vAlign w:val="center"/>
                </w:tcPr>
                <w:p>
                  <w:pPr>
                    <w:jc w:val="center"/>
                    <w:rPr>
                      <w:kern w:val="0"/>
                      <w:sz w:val="24"/>
                    </w:rPr>
                  </w:pPr>
                  <w:r>
                    <w:rPr>
                      <w:kern w:val="0"/>
                      <w:sz w:val="24"/>
                    </w:rPr>
                    <w:t>0.154</w:t>
                  </w:r>
                </w:p>
              </w:tc>
              <w:tc>
                <w:tcPr>
                  <w:tcW w:w="1189"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59" w:type="dxa"/>
                  <w:vAlign w:val="center"/>
                </w:tcPr>
                <w:p>
                  <w:pPr>
                    <w:jc w:val="center"/>
                    <w:rPr>
                      <w:kern w:val="0"/>
                      <w:sz w:val="24"/>
                    </w:rPr>
                  </w:pPr>
                  <w:r>
                    <w:rPr>
                      <w:kern w:val="0"/>
                      <w:sz w:val="24"/>
                    </w:rPr>
                    <w:t>距边导线水平25m</w:t>
                  </w:r>
                </w:p>
              </w:tc>
              <w:tc>
                <w:tcPr>
                  <w:tcW w:w="2408" w:type="dxa"/>
                  <w:vAlign w:val="center"/>
                </w:tcPr>
                <w:p>
                  <w:pPr>
                    <w:jc w:val="center"/>
                    <w:rPr>
                      <w:kern w:val="0"/>
                      <w:sz w:val="24"/>
                    </w:rPr>
                  </w:pPr>
                  <w:r>
                    <w:rPr>
                      <w:kern w:val="0"/>
                      <w:sz w:val="24"/>
                    </w:rPr>
                    <w:t>91.5</w:t>
                  </w:r>
                </w:p>
              </w:tc>
              <w:tc>
                <w:tcPr>
                  <w:tcW w:w="1863" w:type="dxa"/>
                  <w:vAlign w:val="center"/>
                </w:tcPr>
                <w:p>
                  <w:pPr>
                    <w:jc w:val="center"/>
                    <w:rPr>
                      <w:kern w:val="0"/>
                      <w:sz w:val="24"/>
                    </w:rPr>
                  </w:pPr>
                  <w:r>
                    <w:rPr>
                      <w:kern w:val="0"/>
                      <w:sz w:val="24"/>
                    </w:rPr>
                    <w:t>0.151</w:t>
                  </w:r>
                </w:p>
              </w:tc>
              <w:tc>
                <w:tcPr>
                  <w:tcW w:w="1189"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59" w:type="dxa"/>
                  <w:vAlign w:val="center"/>
                </w:tcPr>
                <w:p>
                  <w:pPr>
                    <w:jc w:val="center"/>
                    <w:rPr>
                      <w:kern w:val="0"/>
                      <w:sz w:val="24"/>
                    </w:rPr>
                  </w:pPr>
                  <w:r>
                    <w:rPr>
                      <w:kern w:val="0"/>
                      <w:sz w:val="24"/>
                    </w:rPr>
                    <w:t>距边导线水平30m</w:t>
                  </w:r>
                </w:p>
              </w:tc>
              <w:tc>
                <w:tcPr>
                  <w:tcW w:w="2408" w:type="dxa"/>
                  <w:vAlign w:val="center"/>
                </w:tcPr>
                <w:p>
                  <w:pPr>
                    <w:jc w:val="center"/>
                    <w:rPr>
                      <w:kern w:val="0"/>
                      <w:sz w:val="24"/>
                    </w:rPr>
                  </w:pPr>
                  <w:r>
                    <w:rPr>
                      <w:kern w:val="0"/>
                      <w:sz w:val="24"/>
                    </w:rPr>
                    <w:t>88.7</w:t>
                  </w:r>
                </w:p>
              </w:tc>
              <w:tc>
                <w:tcPr>
                  <w:tcW w:w="1863" w:type="dxa"/>
                  <w:vAlign w:val="center"/>
                </w:tcPr>
                <w:p>
                  <w:pPr>
                    <w:jc w:val="center"/>
                    <w:rPr>
                      <w:kern w:val="0"/>
                      <w:sz w:val="24"/>
                    </w:rPr>
                  </w:pPr>
                  <w:r>
                    <w:rPr>
                      <w:kern w:val="0"/>
                      <w:sz w:val="24"/>
                    </w:rPr>
                    <w:t>0.98</w:t>
                  </w:r>
                </w:p>
              </w:tc>
              <w:tc>
                <w:tcPr>
                  <w:tcW w:w="1189"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59" w:type="dxa"/>
                  <w:vAlign w:val="center"/>
                </w:tcPr>
                <w:p>
                  <w:pPr>
                    <w:jc w:val="center"/>
                    <w:rPr>
                      <w:kern w:val="0"/>
                      <w:sz w:val="24"/>
                    </w:rPr>
                  </w:pPr>
                  <w:r>
                    <w:rPr>
                      <w:kern w:val="0"/>
                      <w:sz w:val="24"/>
                    </w:rPr>
                    <w:t>距边导线水平40m</w:t>
                  </w:r>
                </w:p>
              </w:tc>
              <w:tc>
                <w:tcPr>
                  <w:tcW w:w="2408" w:type="dxa"/>
                  <w:vAlign w:val="center"/>
                </w:tcPr>
                <w:p>
                  <w:pPr>
                    <w:jc w:val="center"/>
                    <w:rPr>
                      <w:kern w:val="0"/>
                      <w:sz w:val="24"/>
                    </w:rPr>
                  </w:pPr>
                  <w:r>
                    <w:rPr>
                      <w:kern w:val="0"/>
                      <w:sz w:val="24"/>
                    </w:rPr>
                    <w:t>74.3</w:t>
                  </w:r>
                </w:p>
              </w:tc>
              <w:tc>
                <w:tcPr>
                  <w:tcW w:w="1863" w:type="dxa"/>
                  <w:vAlign w:val="center"/>
                </w:tcPr>
                <w:p>
                  <w:pPr>
                    <w:jc w:val="center"/>
                    <w:rPr>
                      <w:kern w:val="0"/>
                      <w:sz w:val="24"/>
                    </w:rPr>
                  </w:pPr>
                  <w:r>
                    <w:rPr>
                      <w:kern w:val="0"/>
                      <w:sz w:val="24"/>
                    </w:rPr>
                    <w:t>0.84</w:t>
                  </w:r>
                </w:p>
              </w:tc>
              <w:tc>
                <w:tcPr>
                  <w:tcW w:w="1189"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159" w:type="dxa"/>
                  <w:vAlign w:val="center"/>
                </w:tcPr>
                <w:p>
                  <w:pPr>
                    <w:jc w:val="center"/>
                    <w:rPr>
                      <w:kern w:val="0"/>
                      <w:sz w:val="24"/>
                    </w:rPr>
                  </w:pPr>
                  <w:r>
                    <w:rPr>
                      <w:kern w:val="0"/>
                      <w:sz w:val="24"/>
                    </w:rPr>
                    <w:t>距边导线水平50m</w:t>
                  </w:r>
                </w:p>
              </w:tc>
              <w:tc>
                <w:tcPr>
                  <w:tcW w:w="2408" w:type="dxa"/>
                  <w:vAlign w:val="center"/>
                </w:tcPr>
                <w:p>
                  <w:pPr>
                    <w:jc w:val="center"/>
                    <w:rPr>
                      <w:kern w:val="0"/>
                      <w:sz w:val="24"/>
                    </w:rPr>
                  </w:pPr>
                  <w:r>
                    <w:rPr>
                      <w:kern w:val="0"/>
                      <w:sz w:val="24"/>
                    </w:rPr>
                    <w:t>20.6</w:t>
                  </w:r>
                </w:p>
              </w:tc>
              <w:tc>
                <w:tcPr>
                  <w:tcW w:w="1863" w:type="dxa"/>
                  <w:vAlign w:val="center"/>
                </w:tcPr>
                <w:p>
                  <w:pPr>
                    <w:jc w:val="center"/>
                    <w:rPr>
                      <w:kern w:val="0"/>
                      <w:sz w:val="24"/>
                    </w:rPr>
                  </w:pPr>
                  <w:r>
                    <w:rPr>
                      <w:kern w:val="0"/>
                      <w:sz w:val="24"/>
                    </w:rPr>
                    <w:t>0.61</w:t>
                  </w:r>
                </w:p>
              </w:tc>
              <w:tc>
                <w:tcPr>
                  <w:tcW w:w="1189"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619" w:type="dxa"/>
                  <w:gridSpan w:val="4"/>
                  <w:vAlign w:val="center"/>
                </w:tcPr>
                <w:p>
                  <w:pPr>
                    <w:jc w:val="center"/>
                    <w:rPr>
                      <w:kern w:val="0"/>
                      <w:sz w:val="24"/>
                    </w:rPr>
                  </w:pPr>
                  <w:r>
                    <w:rPr>
                      <w:kern w:val="0"/>
                      <w:sz w:val="24"/>
                    </w:rPr>
                    <w:t>监测时间：2016年11月15日，阴，温度18.6℃，相对湿度73.5%</w:t>
                  </w:r>
                </w:p>
              </w:tc>
            </w:tr>
          </w:tbl>
          <w:p>
            <w:pPr>
              <w:ind w:right="101" w:rightChars="48"/>
              <w:jc w:val="center"/>
              <w:rPr>
                <w:b/>
                <w:sz w:val="24"/>
              </w:rPr>
            </w:pPr>
          </w:p>
          <w:p>
            <w:pPr>
              <w:ind w:right="101" w:rightChars="48"/>
              <w:jc w:val="center"/>
              <w:rPr>
                <w:b/>
                <w:sz w:val="24"/>
              </w:rPr>
            </w:pPr>
            <w:r>
              <w:rPr>
                <w:b/>
                <w:sz w:val="24"/>
              </w:rPr>
              <w:t>表23  110kV神蔡线/柑蔡双回架空线路段工频电磁场监测结果</w:t>
            </w:r>
          </w:p>
          <w:tbl>
            <w:tblPr>
              <w:tblStyle w:val="11"/>
              <w:tblW w:w="853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90"/>
              <w:gridCol w:w="2411"/>
              <w:gridCol w:w="1842"/>
              <w:gridCol w:w="11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2" w:hRule="atLeast"/>
                <w:jc w:val="center"/>
              </w:trPr>
              <w:tc>
                <w:tcPr>
                  <w:tcW w:w="3090" w:type="dxa"/>
                  <w:vAlign w:val="center"/>
                </w:tcPr>
                <w:p>
                  <w:pPr>
                    <w:jc w:val="center"/>
                    <w:rPr>
                      <w:kern w:val="0"/>
                      <w:sz w:val="24"/>
                    </w:rPr>
                  </w:pPr>
                  <w:r>
                    <w:rPr>
                      <w:kern w:val="0"/>
                      <w:sz w:val="24"/>
                    </w:rPr>
                    <w:t>测点</w:t>
                  </w:r>
                </w:p>
              </w:tc>
              <w:tc>
                <w:tcPr>
                  <w:tcW w:w="2411" w:type="dxa"/>
                  <w:vAlign w:val="center"/>
                </w:tcPr>
                <w:p>
                  <w:pPr>
                    <w:jc w:val="center"/>
                    <w:rPr>
                      <w:kern w:val="0"/>
                      <w:sz w:val="24"/>
                    </w:rPr>
                  </w:pPr>
                  <w:r>
                    <w:rPr>
                      <w:kern w:val="0"/>
                      <w:sz w:val="24"/>
                    </w:rPr>
                    <w:t>工频电场（V/m）</w:t>
                  </w:r>
                </w:p>
              </w:tc>
              <w:tc>
                <w:tcPr>
                  <w:tcW w:w="1842" w:type="dxa"/>
                  <w:vAlign w:val="center"/>
                </w:tcPr>
                <w:p>
                  <w:pPr>
                    <w:jc w:val="center"/>
                    <w:rPr>
                      <w:kern w:val="0"/>
                      <w:sz w:val="24"/>
                    </w:rPr>
                  </w:pPr>
                  <w:r>
                    <w:rPr>
                      <w:kern w:val="0"/>
                      <w:sz w:val="24"/>
                    </w:rPr>
                    <w:t>工频磁场（μT）</w:t>
                  </w:r>
                </w:p>
              </w:tc>
              <w:tc>
                <w:tcPr>
                  <w:tcW w:w="1187" w:type="dxa"/>
                  <w:vAlign w:val="center"/>
                </w:tcPr>
                <w:p>
                  <w:pPr>
                    <w:jc w:val="center"/>
                    <w:rPr>
                      <w:kern w:val="0"/>
                      <w:sz w:val="24"/>
                    </w:rPr>
                  </w:pPr>
                  <w:r>
                    <w:rPr>
                      <w:kern w:val="0"/>
                      <w:sz w:val="24"/>
                    </w:rPr>
                    <w:t>是否</w:t>
                  </w:r>
                </w:p>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90" w:type="dxa"/>
                  <w:vAlign w:val="center"/>
                </w:tcPr>
                <w:p>
                  <w:pPr>
                    <w:jc w:val="center"/>
                    <w:rPr>
                      <w:kern w:val="0"/>
                      <w:sz w:val="24"/>
                    </w:rPr>
                  </w:pPr>
                  <w:r>
                    <w:rPr>
                      <w:kern w:val="0"/>
                      <w:sz w:val="24"/>
                    </w:rPr>
                    <w:t>中心线下</w:t>
                  </w:r>
                </w:p>
              </w:tc>
              <w:tc>
                <w:tcPr>
                  <w:tcW w:w="2411" w:type="dxa"/>
                  <w:vAlign w:val="center"/>
                </w:tcPr>
                <w:p>
                  <w:pPr>
                    <w:jc w:val="center"/>
                    <w:rPr>
                      <w:kern w:val="0"/>
                      <w:sz w:val="24"/>
                    </w:rPr>
                  </w:pPr>
                  <w:r>
                    <w:rPr>
                      <w:kern w:val="0"/>
                      <w:sz w:val="24"/>
                    </w:rPr>
                    <w:t>198.5</w:t>
                  </w:r>
                </w:p>
              </w:tc>
              <w:tc>
                <w:tcPr>
                  <w:tcW w:w="1842" w:type="dxa"/>
                  <w:vAlign w:val="center"/>
                </w:tcPr>
                <w:p>
                  <w:pPr>
                    <w:jc w:val="center"/>
                    <w:rPr>
                      <w:kern w:val="0"/>
                      <w:sz w:val="24"/>
                    </w:rPr>
                  </w:pPr>
                  <w:r>
                    <w:rPr>
                      <w:kern w:val="0"/>
                      <w:sz w:val="24"/>
                    </w:rPr>
                    <w:t>0.287</w:t>
                  </w:r>
                </w:p>
              </w:tc>
              <w:tc>
                <w:tcPr>
                  <w:tcW w:w="1187"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90" w:type="dxa"/>
                  <w:vAlign w:val="center"/>
                </w:tcPr>
                <w:p>
                  <w:pPr>
                    <w:jc w:val="center"/>
                    <w:rPr>
                      <w:kern w:val="0"/>
                      <w:sz w:val="24"/>
                    </w:rPr>
                  </w:pPr>
                  <w:r>
                    <w:rPr>
                      <w:kern w:val="0"/>
                      <w:sz w:val="24"/>
                    </w:rPr>
                    <w:t>边导线下</w:t>
                  </w:r>
                </w:p>
              </w:tc>
              <w:tc>
                <w:tcPr>
                  <w:tcW w:w="2411" w:type="dxa"/>
                  <w:vAlign w:val="center"/>
                </w:tcPr>
                <w:p>
                  <w:pPr>
                    <w:jc w:val="center"/>
                    <w:rPr>
                      <w:kern w:val="0"/>
                      <w:sz w:val="24"/>
                    </w:rPr>
                  </w:pPr>
                  <w:r>
                    <w:rPr>
                      <w:kern w:val="0"/>
                      <w:sz w:val="24"/>
                    </w:rPr>
                    <w:t>203.4</w:t>
                  </w:r>
                </w:p>
              </w:tc>
              <w:tc>
                <w:tcPr>
                  <w:tcW w:w="1842" w:type="dxa"/>
                  <w:vAlign w:val="center"/>
                </w:tcPr>
                <w:p>
                  <w:pPr>
                    <w:jc w:val="center"/>
                    <w:rPr>
                      <w:kern w:val="0"/>
                      <w:sz w:val="24"/>
                    </w:rPr>
                  </w:pPr>
                  <w:r>
                    <w:rPr>
                      <w:kern w:val="0"/>
                      <w:sz w:val="24"/>
                    </w:rPr>
                    <w:t>0.279</w:t>
                  </w:r>
                </w:p>
              </w:tc>
              <w:tc>
                <w:tcPr>
                  <w:tcW w:w="1187"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90" w:type="dxa"/>
                  <w:vAlign w:val="center"/>
                </w:tcPr>
                <w:p>
                  <w:pPr>
                    <w:jc w:val="center"/>
                    <w:rPr>
                      <w:kern w:val="0"/>
                      <w:sz w:val="24"/>
                    </w:rPr>
                  </w:pPr>
                  <w:r>
                    <w:rPr>
                      <w:kern w:val="0"/>
                      <w:sz w:val="24"/>
                    </w:rPr>
                    <w:t>距边导线5m</w:t>
                  </w:r>
                </w:p>
              </w:tc>
              <w:tc>
                <w:tcPr>
                  <w:tcW w:w="2411" w:type="dxa"/>
                  <w:vAlign w:val="center"/>
                </w:tcPr>
                <w:p>
                  <w:pPr>
                    <w:jc w:val="center"/>
                    <w:rPr>
                      <w:kern w:val="0"/>
                      <w:sz w:val="24"/>
                    </w:rPr>
                  </w:pPr>
                  <w:r>
                    <w:rPr>
                      <w:kern w:val="0"/>
                      <w:sz w:val="24"/>
                    </w:rPr>
                    <w:t>183.1</w:t>
                  </w:r>
                </w:p>
              </w:tc>
              <w:tc>
                <w:tcPr>
                  <w:tcW w:w="1842" w:type="dxa"/>
                  <w:vAlign w:val="center"/>
                </w:tcPr>
                <w:p>
                  <w:pPr>
                    <w:jc w:val="center"/>
                    <w:rPr>
                      <w:kern w:val="0"/>
                      <w:sz w:val="24"/>
                    </w:rPr>
                  </w:pPr>
                  <w:r>
                    <w:rPr>
                      <w:kern w:val="0"/>
                      <w:sz w:val="24"/>
                    </w:rPr>
                    <w:t>0.257</w:t>
                  </w:r>
                </w:p>
              </w:tc>
              <w:tc>
                <w:tcPr>
                  <w:tcW w:w="1187"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90" w:type="dxa"/>
                  <w:vAlign w:val="center"/>
                </w:tcPr>
                <w:p>
                  <w:pPr>
                    <w:jc w:val="center"/>
                    <w:rPr>
                      <w:kern w:val="0"/>
                      <w:sz w:val="24"/>
                    </w:rPr>
                  </w:pPr>
                  <w:r>
                    <w:rPr>
                      <w:kern w:val="0"/>
                      <w:sz w:val="24"/>
                    </w:rPr>
                    <w:t>距边导线10m</w:t>
                  </w:r>
                </w:p>
              </w:tc>
              <w:tc>
                <w:tcPr>
                  <w:tcW w:w="2411" w:type="dxa"/>
                  <w:vAlign w:val="center"/>
                </w:tcPr>
                <w:p>
                  <w:pPr>
                    <w:jc w:val="center"/>
                    <w:rPr>
                      <w:kern w:val="0"/>
                      <w:sz w:val="24"/>
                    </w:rPr>
                  </w:pPr>
                  <w:r>
                    <w:rPr>
                      <w:kern w:val="0"/>
                      <w:sz w:val="24"/>
                    </w:rPr>
                    <w:t>152.9</w:t>
                  </w:r>
                </w:p>
              </w:tc>
              <w:tc>
                <w:tcPr>
                  <w:tcW w:w="1842" w:type="dxa"/>
                  <w:vAlign w:val="center"/>
                </w:tcPr>
                <w:p>
                  <w:pPr>
                    <w:jc w:val="center"/>
                    <w:rPr>
                      <w:kern w:val="0"/>
                      <w:sz w:val="24"/>
                    </w:rPr>
                  </w:pPr>
                  <w:r>
                    <w:rPr>
                      <w:kern w:val="0"/>
                      <w:sz w:val="24"/>
                    </w:rPr>
                    <w:t>0.216</w:t>
                  </w:r>
                </w:p>
              </w:tc>
              <w:tc>
                <w:tcPr>
                  <w:tcW w:w="1187"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90" w:type="dxa"/>
                  <w:vAlign w:val="center"/>
                </w:tcPr>
                <w:p>
                  <w:pPr>
                    <w:jc w:val="center"/>
                    <w:rPr>
                      <w:kern w:val="0"/>
                      <w:sz w:val="24"/>
                    </w:rPr>
                  </w:pPr>
                  <w:r>
                    <w:rPr>
                      <w:kern w:val="0"/>
                      <w:sz w:val="24"/>
                    </w:rPr>
                    <w:t>距边导线15m</w:t>
                  </w:r>
                </w:p>
              </w:tc>
              <w:tc>
                <w:tcPr>
                  <w:tcW w:w="2411" w:type="dxa"/>
                  <w:vAlign w:val="center"/>
                </w:tcPr>
                <w:p>
                  <w:pPr>
                    <w:jc w:val="center"/>
                    <w:rPr>
                      <w:kern w:val="0"/>
                      <w:sz w:val="24"/>
                    </w:rPr>
                  </w:pPr>
                  <w:r>
                    <w:rPr>
                      <w:kern w:val="0"/>
                      <w:sz w:val="24"/>
                    </w:rPr>
                    <w:t>136.7</w:t>
                  </w:r>
                </w:p>
              </w:tc>
              <w:tc>
                <w:tcPr>
                  <w:tcW w:w="1842" w:type="dxa"/>
                  <w:vAlign w:val="center"/>
                </w:tcPr>
                <w:p>
                  <w:pPr>
                    <w:jc w:val="center"/>
                    <w:rPr>
                      <w:kern w:val="0"/>
                      <w:sz w:val="24"/>
                    </w:rPr>
                  </w:pPr>
                  <w:r>
                    <w:rPr>
                      <w:kern w:val="0"/>
                      <w:sz w:val="24"/>
                    </w:rPr>
                    <w:t>0.173</w:t>
                  </w:r>
                </w:p>
              </w:tc>
              <w:tc>
                <w:tcPr>
                  <w:tcW w:w="1187"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90" w:type="dxa"/>
                  <w:vAlign w:val="center"/>
                </w:tcPr>
                <w:p>
                  <w:pPr>
                    <w:jc w:val="center"/>
                    <w:rPr>
                      <w:kern w:val="0"/>
                      <w:sz w:val="24"/>
                    </w:rPr>
                  </w:pPr>
                  <w:r>
                    <w:rPr>
                      <w:kern w:val="0"/>
                      <w:sz w:val="24"/>
                    </w:rPr>
                    <w:t>距边导线20m</w:t>
                  </w:r>
                </w:p>
              </w:tc>
              <w:tc>
                <w:tcPr>
                  <w:tcW w:w="2411" w:type="dxa"/>
                  <w:vAlign w:val="center"/>
                </w:tcPr>
                <w:p>
                  <w:pPr>
                    <w:jc w:val="center"/>
                    <w:rPr>
                      <w:kern w:val="0"/>
                      <w:sz w:val="24"/>
                    </w:rPr>
                  </w:pPr>
                  <w:r>
                    <w:rPr>
                      <w:kern w:val="0"/>
                      <w:sz w:val="24"/>
                    </w:rPr>
                    <w:t>117.0</w:t>
                  </w:r>
                </w:p>
              </w:tc>
              <w:tc>
                <w:tcPr>
                  <w:tcW w:w="1842" w:type="dxa"/>
                  <w:vAlign w:val="center"/>
                </w:tcPr>
                <w:p>
                  <w:pPr>
                    <w:jc w:val="center"/>
                    <w:rPr>
                      <w:kern w:val="0"/>
                      <w:sz w:val="24"/>
                    </w:rPr>
                  </w:pPr>
                  <w:r>
                    <w:rPr>
                      <w:kern w:val="0"/>
                      <w:sz w:val="24"/>
                    </w:rPr>
                    <w:t>0.142</w:t>
                  </w:r>
                </w:p>
              </w:tc>
              <w:tc>
                <w:tcPr>
                  <w:tcW w:w="1187"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90" w:type="dxa"/>
                  <w:vAlign w:val="center"/>
                </w:tcPr>
                <w:p>
                  <w:pPr>
                    <w:jc w:val="center"/>
                    <w:rPr>
                      <w:kern w:val="0"/>
                      <w:sz w:val="24"/>
                    </w:rPr>
                  </w:pPr>
                  <w:r>
                    <w:rPr>
                      <w:kern w:val="0"/>
                      <w:sz w:val="24"/>
                    </w:rPr>
                    <w:t>距边导线25m</w:t>
                  </w:r>
                </w:p>
              </w:tc>
              <w:tc>
                <w:tcPr>
                  <w:tcW w:w="2411" w:type="dxa"/>
                  <w:vAlign w:val="center"/>
                </w:tcPr>
                <w:p>
                  <w:pPr>
                    <w:jc w:val="center"/>
                    <w:rPr>
                      <w:kern w:val="0"/>
                      <w:sz w:val="24"/>
                    </w:rPr>
                  </w:pPr>
                  <w:r>
                    <w:rPr>
                      <w:kern w:val="0"/>
                      <w:sz w:val="24"/>
                    </w:rPr>
                    <w:t>83.6</w:t>
                  </w:r>
                </w:p>
              </w:tc>
              <w:tc>
                <w:tcPr>
                  <w:tcW w:w="1842" w:type="dxa"/>
                  <w:vAlign w:val="center"/>
                </w:tcPr>
                <w:p>
                  <w:pPr>
                    <w:jc w:val="center"/>
                    <w:rPr>
                      <w:kern w:val="0"/>
                      <w:sz w:val="24"/>
                    </w:rPr>
                  </w:pPr>
                  <w:r>
                    <w:rPr>
                      <w:kern w:val="0"/>
                      <w:sz w:val="24"/>
                    </w:rPr>
                    <w:t>0.125</w:t>
                  </w:r>
                </w:p>
              </w:tc>
              <w:tc>
                <w:tcPr>
                  <w:tcW w:w="1187"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90" w:type="dxa"/>
                  <w:vAlign w:val="center"/>
                </w:tcPr>
                <w:p>
                  <w:pPr>
                    <w:jc w:val="center"/>
                    <w:rPr>
                      <w:kern w:val="0"/>
                      <w:sz w:val="24"/>
                    </w:rPr>
                  </w:pPr>
                  <w:r>
                    <w:rPr>
                      <w:kern w:val="0"/>
                      <w:sz w:val="24"/>
                    </w:rPr>
                    <w:t>距边导线30m</w:t>
                  </w:r>
                </w:p>
              </w:tc>
              <w:tc>
                <w:tcPr>
                  <w:tcW w:w="2411" w:type="dxa"/>
                  <w:vAlign w:val="center"/>
                </w:tcPr>
                <w:p>
                  <w:pPr>
                    <w:jc w:val="center"/>
                    <w:rPr>
                      <w:kern w:val="0"/>
                      <w:sz w:val="24"/>
                    </w:rPr>
                  </w:pPr>
                  <w:r>
                    <w:rPr>
                      <w:kern w:val="0"/>
                      <w:sz w:val="24"/>
                    </w:rPr>
                    <w:t>58.3</w:t>
                  </w:r>
                </w:p>
              </w:tc>
              <w:tc>
                <w:tcPr>
                  <w:tcW w:w="1842" w:type="dxa"/>
                  <w:vAlign w:val="center"/>
                </w:tcPr>
                <w:p>
                  <w:pPr>
                    <w:jc w:val="center"/>
                    <w:rPr>
                      <w:kern w:val="0"/>
                      <w:sz w:val="24"/>
                    </w:rPr>
                  </w:pPr>
                  <w:r>
                    <w:rPr>
                      <w:kern w:val="0"/>
                      <w:sz w:val="24"/>
                    </w:rPr>
                    <w:t>0.098</w:t>
                  </w:r>
                </w:p>
              </w:tc>
              <w:tc>
                <w:tcPr>
                  <w:tcW w:w="1187"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90" w:type="dxa"/>
                  <w:vAlign w:val="center"/>
                </w:tcPr>
                <w:p>
                  <w:pPr>
                    <w:jc w:val="center"/>
                    <w:rPr>
                      <w:kern w:val="0"/>
                      <w:sz w:val="24"/>
                    </w:rPr>
                  </w:pPr>
                  <w:r>
                    <w:rPr>
                      <w:kern w:val="0"/>
                      <w:sz w:val="24"/>
                    </w:rPr>
                    <w:t>距边导线40m</w:t>
                  </w:r>
                </w:p>
              </w:tc>
              <w:tc>
                <w:tcPr>
                  <w:tcW w:w="2411" w:type="dxa"/>
                  <w:vAlign w:val="center"/>
                </w:tcPr>
                <w:p>
                  <w:pPr>
                    <w:jc w:val="center"/>
                    <w:rPr>
                      <w:kern w:val="0"/>
                      <w:sz w:val="24"/>
                    </w:rPr>
                  </w:pPr>
                  <w:r>
                    <w:rPr>
                      <w:kern w:val="0"/>
                      <w:sz w:val="24"/>
                    </w:rPr>
                    <w:t>26.3</w:t>
                  </w:r>
                </w:p>
              </w:tc>
              <w:tc>
                <w:tcPr>
                  <w:tcW w:w="1842" w:type="dxa"/>
                  <w:vAlign w:val="center"/>
                </w:tcPr>
                <w:p>
                  <w:pPr>
                    <w:jc w:val="center"/>
                    <w:rPr>
                      <w:kern w:val="0"/>
                      <w:sz w:val="24"/>
                    </w:rPr>
                  </w:pPr>
                  <w:r>
                    <w:rPr>
                      <w:kern w:val="0"/>
                      <w:sz w:val="24"/>
                    </w:rPr>
                    <w:t>0.068</w:t>
                  </w:r>
                </w:p>
              </w:tc>
              <w:tc>
                <w:tcPr>
                  <w:tcW w:w="1187"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3090" w:type="dxa"/>
                  <w:vAlign w:val="center"/>
                </w:tcPr>
                <w:p>
                  <w:pPr>
                    <w:jc w:val="center"/>
                    <w:rPr>
                      <w:kern w:val="0"/>
                      <w:sz w:val="24"/>
                    </w:rPr>
                  </w:pPr>
                  <w:r>
                    <w:rPr>
                      <w:kern w:val="0"/>
                      <w:sz w:val="24"/>
                    </w:rPr>
                    <w:t>距边导线50m</w:t>
                  </w:r>
                </w:p>
              </w:tc>
              <w:tc>
                <w:tcPr>
                  <w:tcW w:w="2411" w:type="dxa"/>
                  <w:vAlign w:val="center"/>
                </w:tcPr>
                <w:p>
                  <w:pPr>
                    <w:jc w:val="center"/>
                    <w:rPr>
                      <w:kern w:val="0"/>
                      <w:sz w:val="24"/>
                    </w:rPr>
                  </w:pPr>
                  <w:r>
                    <w:rPr>
                      <w:kern w:val="0"/>
                      <w:sz w:val="24"/>
                    </w:rPr>
                    <w:t>19.9</w:t>
                  </w:r>
                </w:p>
              </w:tc>
              <w:tc>
                <w:tcPr>
                  <w:tcW w:w="1842" w:type="dxa"/>
                  <w:vAlign w:val="center"/>
                </w:tcPr>
                <w:p>
                  <w:pPr>
                    <w:jc w:val="center"/>
                    <w:rPr>
                      <w:kern w:val="0"/>
                      <w:sz w:val="24"/>
                    </w:rPr>
                  </w:pPr>
                  <w:r>
                    <w:rPr>
                      <w:kern w:val="0"/>
                      <w:sz w:val="24"/>
                    </w:rPr>
                    <w:t>0.063</w:t>
                  </w:r>
                </w:p>
              </w:tc>
              <w:tc>
                <w:tcPr>
                  <w:tcW w:w="1187" w:type="dxa"/>
                  <w:vAlign w:val="center"/>
                </w:tcPr>
                <w:p>
                  <w:pPr>
                    <w:jc w:val="center"/>
                    <w:rPr>
                      <w:kern w:val="0"/>
                      <w:sz w:val="24"/>
                    </w:rPr>
                  </w:pPr>
                  <w:r>
                    <w:rPr>
                      <w:kern w:val="0"/>
                      <w:sz w:val="24"/>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530" w:type="dxa"/>
                  <w:gridSpan w:val="4"/>
                  <w:vAlign w:val="center"/>
                </w:tcPr>
                <w:p>
                  <w:pPr>
                    <w:jc w:val="center"/>
                    <w:rPr>
                      <w:kern w:val="0"/>
                      <w:sz w:val="24"/>
                    </w:rPr>
                  </w:pPr>
                  <w:r>
                    <w:rPr>
                      <w:kern w:val="0"/>
                      <w:sz w:val="24"/>
                    </w:rPr>
                    <w:t>监测时间2015年10月17日，晴，温度21.9℃，相对湿度54.2%。</w:t>
                  </w:r>
                </w:p>
              </w:tc>
            </w:tr>
          </w:tbl>
          <w:p>
            <w:pPr>
              <w:spacing w:line="360" w:lineRule="auto"/>
              <w:rPr>
                <w:kern w:val="0"/>
                <w:sz w:val="28"/>
                <w:szCs w:val="28"/>
              </w:rPr>
            </w:pP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（7）类比监测结果分析</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根据表22可知，银武110kV线路附近区域工频电场、工频磁场最大值分别为128.6V/m、0.492μT，均小于4000V/m、100μT的相应评价标准限值。</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根据表23可知，神蔡/柑蔡110kV双回共塔线路附近区域工频电场、工频磁场最大值分别为203.4V/m、0.287μT，均小于4000V/m、100μT的相应评价标准限值。</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因此，根据类比监测结果，本工程线路沿线敏感目标的工频电场强度、工频磁感应强度能够满足《电磁环境控制限值》（GB 8702-2014）工频电场强度4000V/m、工频磁感应强度100μT的限值标准要求。</w:t>
            </w:r>
          </w:p>
          <w:p>
            <w:pPr>
              <w:pStyle w:val="15"/>
              <w:spacing w:line="36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1.2 模式预测</w:t>
            </w:r>
          </w:p>
          <w:p>
            <w:pPr>
              <w:pStyle w:val="15"/>
              <w:spacing w:line="36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1.2.1 预测模型</w:t>
            </w:r>
          </w:p>
          <w:p>
            <w:pPr>
              <w:pStyle w:val="15"/>
              <w:spacing w:line="36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 xml:space="preserve">    （1）工频电场强度计算模型</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高压输电线上的等效电荷是线电荷，由于高压输电线半径</w:t>
            </w:r>
            <w:r>
              <w:rPr>
                <w:rFonts w:ascii="Times New Roman" w:hAnsi="Times New Roman" w:eastAsia="宋体" w:cs="Times New Roman"/>
                <w:i/>
                <w:sz w:val="28"/>
                <w:szCs w:val="28"/>
              </w:rPr>
              <w:t>r</w:t>
            </w:r>
            <w:r>
              <w:rPr>
                <w:rFonts w:ascii="Times New Roman" w:hAnsi="Times New Roman" w:eastAsia="宋体" w:cs="Times New Roman"/>
                <w:sz w:val="28"/>
                <w:szCs w:val="28"/>
              </w:rPr>
              <w:t>远远小于架设高度</w:t>
            </w:r>
            <w:r>
              <w:rPr>
                <w:rFonts w:ascii="Times New Roman" w:hAnsi="Times New Roman" w:eastAsia="宋体" w:cs="Times New Roman"/>
                <w:i/>
                <w:sz w:val="28"/>
                <w:szCs w:val="28"/>
              </w:rPr>
              <w:t>h</w:t>
            </w:r>
            <w:r>
              <w:rPr>
                <w:rFonts w:ascii="Times New Roman" w:hAnsi="Times New Roman" w:eastAsia="宋体" w:cs="Times New Roman"/>
                <w:sz w:val="28"/>
                <w:szCs w:val="28"/>
              </w:rPr>
              <w:t>，所以等效电荷的位置可以认为是在输电导线的几何中心。</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设输电线路为无限长并且平行于地面，地面可视为良导体，利用镜像法计算输电线上的等效电荷。</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为了计算多导线线路中导线上的等效电荷，可写出下列矩阵方程：</w:t>
            </w:r>
          </w:p>
          <w:p>
            <w:pPr>
              <w:pStyle w:val="16"/>
              <w:spacing w:line="360" w:lineRule="auto"/>
              <w:ind w:firstLine="560"/>
              <w:rPr>
                <w:rStyle w:val="17"/>
                <w:rFonts w:ascii="Times New Roman" w:eastAsia="宋体" w:cs="Times New Roman"/>
                <w:sz w:val="28"/>
                <w:szCs w:val="28"/>
              </w:rPr>
            </w:pPr>
            <w:r>
              <w:rPr>
                <w:rFonts w:ascii="Times New Roman" w:cs="Times New Roman"/>
                <w:position w:val="-68"/>
                <w:sz w:val="28"/>
                <w:szCs w:val="28"/>
              </w:rPr>
              <w:object>
                <v:shape id="_x0000_i1029" o:spt="75" type="#_x0000_t75" style="height:78.25pt;width:181.95pt;" o:ole="t" filled="f" o:preferrelative="t" stroked="f" coordsize="21600,21600">
                  <v:path/>
                  <v:fill on="f" focussize="0,0"/>
                  <v:stroke on="f"/>
                  <v:imagedata r:id="rId16" o:title=""/>
                  <o:lock v:ext="edit" grouping="f" rotation="f" text="f" aspectratio="t"/>
                  <w10:wrap type="none"/>
                  <w10:anchorlock/>
                </v:shape>
                <o:OLEObject Type="Embed" ProgID="Equation.DSMT4" ShapeID="_x0000_i1029" DrawAspect="Content" ObjectID="_1468075727" r:id="rId15">
                  <o:LockedField>false</o:LockedField>
                </o:OLEObject>
              </w:object>
            </w:r>
            <w:r>
              <w:rPr>
                <w:rStyle w:val="17"/>
                <w:rFonts w:ascii="Times New Roman" w:eastAsia="宋体" w:cs="Times New Roman"/>
                <w:sz w:val="28"/>
                <w:szCs w:val="28"/>
              </w:rPr>
              <w:t xml:space="preserve">                               （1）</w:t>
            </w:r>
          </w:p>
          <w:p>
            <w:pPr>
              <w:pStyle w:val="15"/>
              <w:spacing w:line="36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式中：</w:t>
            </w:r>
            <w:r>
              <w:rPr>
                <w:rFonts w:ascii="Times New Roman" w:hAnsi="Times New Roman" w:eastAsia="宋体" w:cs="Times New Roman"/>
                <w:i/>
                <w:sz w:val="28"/>
                <w:szCs w:val="28"/>
              </w:rPr>
              <w:t>U</w:t>
            </w:r>
            <w:r>
              <w:rPr>
                <w:rFonts w:ascii="Times New Roman" w:hAnsi="Times New Roman" w:eastAsia="宋体" w:cs="Times New Roman"/>
                <w:sz w:val="28"/>
                <w:szCs w:val="28"/>
              </w:rPr>
              <w:t>——各导线对地电压的单列矩阵；</w:t>
            </w:r>
          </w:p>
          <w:p>
            <w:pPr>
              <w:pStyle w:val="15"/>
              <w:spacing w:line="360" w:lineRule="auto"/>
              <w:ind w:firstLine="918" w:firstLineChars="328"/>
              <w:rPr>
                <w:rFonts w:ascii="Times New Roman" w:hAnsi="Times New Roman" w:eastAsia="宋体" w:cs="Times New Roman"/>
                <w:sz w:val="28"/>
                <w:szCs w:val="28"/>
              </w:rPr>
            </w:pPr>
            <w:bookmarkStart w:id="25" w:name="_Toc141414697"/>
            <w:r>
              <w:rPr>
                <w:rFonts w:ascii="Times New Roman" w:hAnsi="Times New Roman" w:eastAsia="宋体" w:cs="Times New Roman"/>
                <w:i/>
                <w:sz w:val="28"/>
                <w:szCs w:val="28"/>
              </w:rPr>
              <w:t>Q</w:t>
            </w:r>
            <w:r>
              <w:rPr>
                <w:rFonts w:ascii="Times New Roman" w:hAnsi="Times New Roman" w:eastAsia="宋体" w:cs="Times New Roman"/>
                <w:sz w:val="28"/>
                <w:szCs w:val="28"/>
              </w:rPr>
              <w:t>——各导线上等效电荷的单列矩阵；</w:t>
            </w:r>
            <w:bookmarkEnd w:id="25"/>
          </w:p>
          <w:p>
            <w:pPr>
              <w:pStyle w:val="15"/>
              <w:spacing w:line="360" w:lineRule="auto"/>
              <w:ind w:firstLine="918" w:firstLineChars="328"/>
              <w:rPr>
                <w:rFonts w:ascii="Times New Roman" w:hAnsi="Times New Roman" w:eastAsia="宋体" w:cs="Times New Roman"/>
                <w:sz w:val="28"/>
                <w:szCs w:val="28"/>
              </w:rPr>
            </w:pPr>
            <w:r>
              <w:rPr>
                <w:rFonts w:ascii="Times New Roman" w:hAnsi="Times New Roman" w:eastAsia="宋体" w:cs="Times New Roman"/>
                <w:i/>
                <w:sz w:val="28"/>
                <w:szCs w:val="28"/>
              </w:rPr>
              <w:t>λ</w:t>
            </w:r>
            <w:r>
              <w:rPr>
                <w:rFonts w:ascii="Times New Roman" w:hAnsi="Times New Roman" w:eastAsia="宋体" w:cs="Times New Roman"/>
                <w:sz w:val="28"/>
                <w:szCs w:val="28"/>
              </w:rPr>
              <w:t>——各导线的电位系数组成的</w:t>
            </w:r>
            <w:r>
              <w:rPr>
                <w:rFonts w:ascii="Times New Roman" w:hAnsi="Times New Roman" w:eastAsia="宋体" w:cs="Times New Roman"/>
                <w:i/>
                <w:sz w:val="28"/>
                <w:szCs w:val="28"/>
              </w:rPr>
              <w:t>m</w:t>
            </w:r>
            <w:r>
              <w:rPr>
                <w:rFonts w:ascii="Times New Roman" w:hAnsi="Times New Roman" w:eastAsia="宋体" w:cs="Times New Roman"/>
                <w:sz w:val="28"/>
                <w:szCs w:val="28"/>
              </w:rPr>
              <w:t>阶方阵（</w:t>
            </w:r>
            <w:r>
              <w:rPr>
                <w:rFonts w:ascii="Times New Roman" w:hAnsi="Times New Roman" w:eastAsia="宋体" w:cs="Times New Roman"/>
                <w:i/>
                <w:sz w:val="28"/>
                <w:szCs w:val="28"/>
              </w:rPr>
              <w:t>m</w:t>
            </w:r>
            <w:r>
              <w:rPr>
                <w:rFonts w:ascii="Times New Roman" w:hAnsi="Times New Roman" w:eastAsia="宋体" w:cs="Times New Roman"/>
                <w:sz w:val="28"/>
                <w:szCs w:val="28"/>
              </w:rPr>
              <w:t>为导线数目）。</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w:t>
            </w:r>
            <w:r>
              <w:rPr>
                <w:rFonts w:ascii="Times New Roman" w:hAnsi="Times New Roman" w:eastAsia="宋体" w:cs="Times New Roman"/>
                <w:i/>
                <w:sz w:val="28"/>
                <w:szCs w:val="28"/>
              </w:rPr>
              <w:t>U</w:t>
            </w:r>
            <w:r>
              <w:rPr>
                <w:rFonts w:ascii="Times New Roman" w:hAnsi="Times New Roman" w:eastAsia="宋体" w:cs="Times New Roman"/>
                <w:sz w:val="28"/>
                <w:szCs w:val="28"/>
              </w:rPr>
              <w:t>]矩阵可由输电线的电压和相位确定，从环境保护考虑以额定电压的1.05倍作为计算电压。</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w:t>
            </w:r>
            <w:r>
              <w:rPr>
                <w:rFonts w:ascii="Times New Roman" w:hAnsi="Times New Roman" w:eastAsia="宋体" w:cs="Times New Roman"/>
                <w:i/>
                <w:sz w:val="28"/>
                <w:szCs w:val="28"/>
              </w:rPr>
              <w:t>λ</w:t>
            </w:r>
            <w:r>
              <w:rPr>
                <w:rFonts w:ascii="Times New Roman" w:hAnsi="Times New Roman" w:eastAsia="宋体" w:cs="Times New Roman"/>
                <w:sz w:val="28"/>
                <w:szCs w:val="28"/>
              </w:rPr>
              <w:t>]矩阵由镜像原理求得。地面为电位等于零的平面，地面的感应电荷可由对应地面导线的镜像电荷代替，用</w:t>
            </w:r>
            <w:r>
              <w:rPr>
                <w:rFonts w:ascii="Times New Roman" w:hAnsi="Times New Roman" w:eastAsia="宋体" w:cs="Times New Roman"/>
                <w:i/>
                <w:sz w:val="28"/>
                <w:szCs w:val="28"/>
              </w:rPr>
              <w:t>i</w:t>
            </w:r>
            <w:r>
              <w:rPr>
                <w:rFonts w:ascii="Times New Roman" w:hAnsi="Times New Roman" w:eastAsia="宋体" w:cs="Times New Roman"/>
                <w:sz w:val="28"/>
                <w:szCs w:val="28"/>
              </w:rPr>
              <w:t>，</w:t>
            </w:r>
            <w:r>
              <w:rPr>
                <w:rFonts w:ascii="Times New Roman" w:hAnsi="Times New Roman" w:eastAsia="宋体" w:cs="Times New Roman"/>
                <w:i/>
                <w:sz w:val="28"/>
                <w:szCs w:val="28"/>
              </w:rPr>
              <w:t>j，</w:t>
            </w:r>
            <w:r>
              <w:rPr>
                <w:rFonts w:ascii="Times New Roman" w:hAnsi="Times New Roman" w:eastAsia="宋体" w:cs="Times New Roman"/>
                <w:sz w:val="28"/>
                <w:szCs w:val="28"/>
              </w:rPr>
              <w:t>… 表示相互平行的实际导线，用</w:t>
            </w:r>
            <w:r>
              <w:rPr>
                <w:rFonts w:ascii="Times New Roman" w:hAnsi="Times New Roman" w:eastAsia="宋体" w:cs="Times New Roman"/>
                <w:i/>
                <w:sz w:val="28"/>
                <w:szCs w:val="28"/>
              </w:rPr>
              <w:t>i′</w:t>
            </w:r>
            <w:r>
              <w:rPr>
                <w:rFonts w:ascii="Times New Roman" w:hAnsi="Times New Roman" w:eastAsia="宋体" w:cs="Times New Roman"/>
                <w:sz w:val="28"/>
                <w:szCs w:val="28"/>
              </w:rPr>
              <w:t>，</w:t>
            </w:r>
            <w:r>
              <w:rPr>
                <w:rFonts w:ascii="Times New Roman" w:hAnsi="Times New Roman" w:eastAsia="宋体" w:cs="Times New Roman"/>
                <w:i/>
                <w:sz w:val="28"/>
                <w:szCs w:val="28"/>
              </w:rPr>
              <w:t>j′</w:t>
            </w:r>
            <w:r>
              <w:rPr>
                <w:rFonts w:ascii="Times New Roman" w:hAnsi="Times New Roman" w:eastAsia="宋体" w:cs="Times New Roman"/>
                <w:sz w:val="28"/>
                <w:szCs w:val="28"/>
              </w:rPr>
              <w:t>，… 表示它们的镜像，如图5所示，电位系数可写为：</w:t>
            </w:r>
          </w:p>
          <w:p>
            <w:pPr>
              <w:pStyle w:val="16"/>
              <w:spacing w:line="360" w:lineRule="auto"/>
              <w:ind w:firstLine="560"/>
              <w:rPr>
                <w:rStyle w:val="17"/>
                <w:rFonts w:ascii="Times New Roman" w:eastAsia="宋体" w:cs="Times New Roman"/>
                <w:sz w:val="28"/>
                <w:szCs w:val="28"/>
              </w:rPr>
            </w:pPr>
            <w:r>
              <w:rPr>
                <w:rFonts w:ascii="Times New Roman" w:eastAsia="宋体" w:cs="Times New Roman"/>
                <w:position w:val="-30"/>
                <w:sz w:val="28"/>
                <w:szCs w:val="28"/>
              </w:rPr>
              <w:object>
                <v:shape id="_x0000_i1030" o:spt="75" type="#_x0000_t75" style="height:38.9pt;width:92.65pt;" o:ole="t" filled="f" o:preferrelative="t" stroked="f" coordsize="21600,21600">
                  <v:path/>
                  <v:fill on="f" alignshape="1" focussize="0,0"/>
                  <v:stroke on="f"/>
                  <v:imagedata r:id="rId18" grayscale="f" bilevel="f" o:title=""/>
                  <o:lock v:ext="edit" aspectratio="t"/>
                  <w10:wrap type="none"/>
                  <w10:anchorlock/>
                </v:shape>
                <o:OLEObject Type="Embed" ProgID="Equation.3" ShapeID="_x0000_i1030" DrawAspect="Content" ObjectID="_1468075728" r:id="rId17">
                  <o:LockedField>false</o:LockedField>
                </o:OLEObject>
              </w:object>
            </w:r>
            <w:r>
              <w:rPr>
                <w:rFonts w:ascii="Times New Roman" w:eastAsia="宋体" w:cs="Times New Roman"/>
                <w:sz w:val="28"/>
                <w:szCs w:val="28"/>
              </w:rPr>
              <w:t xml:space="preserve">                                            </w:t>
            </w:r>
            <w:r>
              <w:rPr>
                <w:rStyle w:val="17"/>
                <w:rFonts w:ascii="Times New Roman" w:eastAsia="宋体" w:cs="Times New Roman"/>
                <w:sz w:val="28"/>
                <w:szCs w:val="28"/>
              </w:rPr>
              <w:t>（2）</w:t>
            </w:r>
          </w:p>
          <w:p>
            <w:pPr>
              <w:pStyle w:val="16"/>
              <w:spacing w:line="360" w:lineRule="auto"/>
              <w:ind w:firstLine="560"/>
              <w:jc w:val="left"/>
              <w:rPr>
                <w:rStyle w:val="17"/>
                <w:rFonts w:ascii="Times New Roman" w:eastAsia="宋体" w:cs="Times New Roman"/>
                <w:sz w:val="28"/>
                <w:szCs w:val="28"/>
              </w:rPr>
            </w:pPr>
            <w:r>
              <w:rPr>
                <w:rFonts w:ascii="Times New Roman" w:eastAsia="宋体" w:cs="Times New Roman"/>
                <w:position w:val="-32"/>
                <w:sz w:val="28"/>
                <w:szCs w:val="28"/>
              </w:rPr>
              <w:object>
                <v:shape id="_x0000_i1031" o:spt="75" type="#_x0000_t75" style="height:41.7pt;width:87.4pt;" o:ole="t" filled="f" o:preferrelative="t" stroked="f" coordsize="21600,21600">
                  <v:path/>
                  <v:fill on="f" focussize="0,0"/>
                  <v:stroke on="f"/>
                  <v:imagedata r:id="rId20" o:title=""/>
                  <o:lock v:ext="edit" grouping="f" rotation="f" text="f" aspectratio="t"/>
                  <w10:wrap type="none"/>
                  <w10:anchorlock/>
                </v:shape>
                <o:OLEObject Type="Embed" ProgID="Equation.3" ShapeID="_x0000_i1031" DrawAspect="Content" ObjectID="_1468075729" r:id="rId19">
                  <o:LockedField>false</o:LockedField>
                </o:OLEObject>
              </w:object>
            </w:r>
            <w:r>
              <w:rPr>
                <w:rFonts w:ascii="Times New Roman" w:eastAsia="宋体" w:cs="Times New Roman"/>
                <w:sz w:val="28"/>
                <w:szCs w:val="28"/>
              </w:rPr>
              <w:t xml:space="preserve">                                             </w:t>
            </w:r>
            <w:r>
              <w:rPr>
                <w:rStyle w:val="17"/>
                <w:rFonts w:ascii="Times New Roman" w:eastAsia="宋体" w:cs="Times New Roman"/>
                <w:sz w:val="28"/>
                <w:szCs w:val="28"/>
              </w:rPr>
              <w:t>（3）</w:t>
            </w:r>
          </w:p>
          <w:p>
            <w:pPr>
              <w:pStyle w:val="18"/>
              <w:spacing w:line="360" w:lineRule="auto"/>
              <w:ind w:firstLine="0" w:firstLineChars="0"/>
              <w:rPr>
                <w:rFonts w:ascii="Times New Roman" w:eastAsia="宋体"/>
                <w:sz w:val="28"/>
                <w:szCs w:val="28"/>
              </w:rPr>
            </w:pPr>
            <w:r>
              <w:rPr>
                <w:rFonts w:ascii="Times New Roman" w:eastAsia="宋体"/>
                <w:sz w:val="28"/>
                <w:szCs w:val="28"/>
              </w:rPr>
              <w:t>式中：</w:t>
            </w:r>
            <w:r>
              <w:rPr>
                <w:rFonts w:ascii="Times New Roman" w:eastAsia="宋体"/>
                <w:i/>
                <w:sz w:val="28"/>
                <w:szCs w:val="28"/>
              </w:rPr>
              <w:t>ε</w:t>
            </w:r>
            <w:r>
              <w:rPr>
                <w:rFonts w:ascii="Times New Roman" w:eastAsia="宋体"/>
                <w:i/>
                <w:sz w:val="28"/>
                <w:szCs w:val="28"/>
                <w:vertAlign w:val="subscript"/>
              </w:rPr>
              <w:t>0</w:t>
            </w:r>
            <w:r>
              <w:rPr>
                <w:rFonts w:ascii="Times New Roman"/>
                <w:sz w:val="28"/>
                <w:szCs w:val="28"/>
              </w:rPr>
              <w:t>——</w:t>
            </w:r>
            <w:r>
              <w:rPr>
                <w:rFonts w:ascii="Times New Roman" w:eastAsia="宋体"/>
                <w:sz w:val="28"/>
                <w:szCs w:val="28"/>
              </w:rPr>
              <w:t>真空介电常数，</w:t>
            </w:r>
            <w:r>
              <w:rPr>
                <w:rFonts w:ascii="Times New Roman" w:eastAsia="宋体"/>
                <w:position w:val="-24"/>
                <w:sz w:val="28"/>
                <w:szCs w:val="28"/>
              </w:rPr>
              <w:object>
                <v:shape id="_x0000_i1032" o:spt="75" type="#_x0000_t75" style="height:31.4pt;width:110.65pt;" o:ole="t" filled="f" o:preferrelative="t" stroked="f" coordsize="21600,21600">
                  <v:path/>
                  <v:fill on="f" alignshape="1" focussize="0,0"/>
                  <v:stroke on="f"/>
                  <v:imagedata r:id="rId22" grayscale="f" bilevel="f" o:title=""/>
                  <o:lock v:ext="edit" aspectratio="t"/>
                  <w10:wrap type="none"/>
                  <w10:anchorlock/>
                </v:shape>
                <o:OLEObject Type="Embed" ProgID="Equation.3" ShapeID="_x0000_i1032" DrawAspect="Content" ObjectID="_1468075730" r:id="rId21">
                  <o:LockedField>false</o:LockedField>
                </o:OLEObject>
              </w:object>
            </w:r>
            <w:r>
              <w:rPr>
                <w:rFonts w:ascii="Times New Roman" w:eastAsia="宋体"/>
                <w:sz w:val="28"/>
                <w:szCs w:val="28"/>
              </w:rPr>
              <w:t>；</w:t>
            </w:r>
          </w:p>
          <w:p>
            <w:pPr>
              <w:pStyle w:val="3"/>
              <w:spacing w:line="360" w:lineRule="auto"/>
              <w:ind w:firstLine="814" w:firstLineChars="291"/>
              <w:rPr>
                <w:sz w:val="28"/>
                <w:szCs w:val="28"/>
              </w:rPr>
            </w:pPr>
            <w:r>
              <w:rPr>
                <w:i/>
                <w:sz w:val="28"/>
                <w:szCs w:val="28"/>
              </w:rPr>
              <w:t>R</w:t>
            </w:r>
            <w:r>
              <w:rPr>
                <w:i/>
                <w:sz w:val="28"/>
                <w:szCs w:val="28"/>
                <w:vertAlign w:val="subscript"/>
              </w:rPr>
              <w:t>i</w:t>
            </w:r>
            <w:r>
              <w:rPr>
                <w:sz w:val="28"/>
                <w:szCs w:val="28"/>
              </w:rPr>
              <w:t>——输电导线半径，对于分裂导线可用等效单根导线半径代入，</w:t>
            </w:r>
            <w:r>
              <w:rPr>
                <w:i/>
                <w:sz w:val="28"/>
                <w:szCs w:val="28"/>
              </w:rPr>
              <w:t>R</w:t>
            </w:r>
            <w:r>
              <w:rPr>
                <w:i/>
                <w:sz w:val="28"/>
                <w:szCs w:val="28"/>
                <w:vertAlign w:val="subscript"/>
              </w:rPr>
              <w:t>i</w:t>
            </w:r>
            <w:r>
              <w:rPr>
                <w:sz w:val="28"/>
                <w:szCs w:val="28"/>
              </w:rPr>
              <w:t>的计算式为：</w:t>
            </w:r>
          </w:p>
          <w:p>
            <w:pPr>
              <w:pStyle w:val="16"/>
              <w:spacing w:line="360" w:lineRule="auto"/>
              <w:ind w:firstLine="560"/>
              <w:rPr>
                <w:rFonts w:ascii="Times New Roman" w:eastAsia="宋体" w:cs="Times New Roman"/>
                <w:sz w:val="28"/>
                <w:szCs w:val="28"/>
              </w:rPr>
            </w:pPr>
            <w:bookmarkStart w:id="26" w:name="_Toc141414698"/>
            <w:r>
              <w:rPr>
                <w:rFonts w:ascii="Times New Roman" w:eastAsia="宋体" w:cs="Times New Roman"/>
                <w:position w:val="-26"/>
                <w:sz w:val="28"/>
                <w:szCs w:val="28"/>
              </w:rPr>
              <w:object>
                <v:shape id="_x0000_i1033" o:spt="75" type="#_x0000_t75" style="height:41.2pt;width:76.9pt;" o:ole="t" filled="f" o:preferrelative="t" stroked="f" coordsize="21600,21600">
                  <v:path/>
                  <v:fill on="f" alignshape="1" focussize="0,0"/>
                  <v:stroke on="f"/>
                  <v:imagedata r:id="rId24" grayscale="f" bilevel="f" o:title=""/>
                  <o:lock v:ext="edit" aspectratio="t"/>
                  <w10:wrap type="none"/>
                  <w10:anchorlock/>
                </v:shape>
                <o:OLEObject Type="Embed" ProgID="Equation.3" ShapeID="_x0000_i1033" DrawAspect="Content" ObjectID="_1468075731" r:id="rId23">
                  <o:LockedField>false</o:LockedField>
                </o:OLEObject>
              </w:object>
            </w:r>
            <w:r>
              <w:rPr>
                <w:rFonts w:ascii="Times New Roman" w:eastAsia="宋体" w:cs="Times New Roman"/>
                <w:sz w:val="28"/>
                <w:szCs w:val="28"/>
              </w:rPr>
              <w:t xml:space="preserve">                                              （4）</w:t>
            </w:r>
            <w:bookmarkEnd w:id="26"/>
          </w:p>
          <w:p>
            <w:pPr>
              <w:pStyle w:val="15"/>
              <w:spacing w:line="36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式中：</w:t>
            </w:r>
            <w:r>
              <w:rPr>
                <w:rFonts w:ascii="Times New Roman" w:hAnsi="Times New Roman" w:eastAsia="宋体" w:cs="Times New Roman"/>
                <w:i/>
                <w:sz w:val="28"/>
                <w:szCs w:val="28"/>
              </w:rPr>
              <w:t>R</w:t>
            </w:r>
            <w:r>
              <w:rPr>
                <w:rFonts w:ascii="Times New Roman" w:hAnsi="Times New Roman" w:eastAsia="宋体" w:cs="Times New Roman"/>
                <w:sz w:val="28"/>
                <w:szCs w:val="28"/>
              </w:rPr>
              <w:t>——分裂导线半径，m；（如图6）</w:t>
            </w:r>
          </w:p>
          <w:p>
            <w:pPr>
              <w:pStyle w:val="19"/>
              <w:spacing w:line="360" w:lineRule="auto"/>
              <w:ind w:firstLineChars="300"/>
              <w:rPr>
                <w:rFonts w:ascii="Times New Roman" w:hAnsi="Times New Roman" w:eastAsia="宋体" w:cs="Times New Roman"/>
                <w:sz w:val="28"/>
                <w:szCs w:val="28"/>
              </w:rPr>
            </w:pPr>
            <w:r>
              <w:rPr>
                <w:rFonts w:ascii="Times New Roman" w:hAnsi="Times New Roman" w:eastAsia="宋体" w:cs="Times New Roman"/>
                <w:i/>
                <w:sz w:val="28"/>
                <w:szCs w:val="28"/>
              </w:rPr>
              <w:t>n</w:t>
            </w:r>
            <w:r>
              <w:rPr>
                <w:rFonts w:ascii="Times New Roman" w:hAnsi="Times New Roman" w:eastAsia="宋体" w:cs="Times New Roman"/>
                <w:sz w:val="28"/>
                <w:szCs w:val="28"/>
              </w:rPr>
              <w:t>——次导线根数；</w:t>
            </w:r>
          </w:p>
          <w:p>
            <w:pPr>
              <w:pStyle w:val="19"/>
              <w:spacing w:line="360" w:lineRule="auto"/>
              <w:ind w:firstLineChars="300"/>
              <w:rPr>
                <w:rFonts w:ascii="Times New Roman" w:hAnsi="Times New Roman" w:eastAsia="宋体" w:cs="Times New Roman"/>
                <w:sz w:val="28"/>
                <w:szCs w:val="28"/>
              </w:rPr>
            </w:pPr>
            <w:r>
              <w:rPr>
                <w:rFonts w:ascii="Times New Roman" w:hAnsi="Times New Roman" w:eastAsia="宋体" w:cs="Times New Roman"/>
                <w:i/>
                <w:sz w:val="28"/>
                <w:szCs w:val="28"/>
              </w:rPr>
              <w:t>r</w:t>
            </w:r>
            <w:r>
              <w:rPr>
                <w:rFonts w:ascii="Times New Roman" w:hAnsi="Times New Roman" w:eastAsia="宋体" w:cs="Times New Roman"/>
                <w:sz w:val="28"/>
                <w:szCs w:val="28"/>
              </w:rPr>
              <w:t>——次导线半径，m。</w:t>
            </w:r>
          </w:p>
          <w:p>
            <w:pPr>
              <w:pStyle w:val="15"/>
              <w:spacing w:before="120" w:beforeLines="50"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由[</w:t>
            </w:r>
            <w:r>
              <w:rPr>
                <w:rFonts w:ascii="Times New Roman" w:hAnsi="Times New Roman" w:eastAsia="宋体" w:cs="Times New Roman"/>
                <w:i/>
                <w:sz w:val="28"/>
                <w:szCs w:val="28"/>
              </w:rPr>
              <w:t>U</w:t>
            </w:r>
            <w:r>
              <w:rPr>
                <w:rFonts w:ascii="Times New Roman" w:hAnsi="Times New Roman" w:eastAsia="宋体" w:cs="Times New Roman"/>
                <w:sz w:val="28"/>
                <w:szCs w:val="28"/>
              </w:rPr>
              <w:t>]矩阵和[</w:t>
            </w:r>
            <w:r>
              <w:rPr>
                <w:rFonts w:ascii="Times New Roman" w:hAnsi="Times New Roman" w:eastAsia="宋体" w:cs="Times New Roman"/>
                <w:i/>
                <w:sz w:val="28"/>
                <w:szCs w:val="28"/>
              </w:rPr>
              <w:t>λ</w:t>
            </w:r>
            <w:r>
              <w:rPr>
                <w:rFonts w:ascii="Times New Roman" w:hAnsi="Times New Roman" w:eastAsia="宋体" w:cs="Times New Roman"/>
                <w:sz w:val="28"/>
                <w:szCs w:val="28"/>
              </w:rPr>
              <w:t>]矩阵，利用式（1）即可解出[</w:t>
            </w:r>
            <w:r>
              <w:rPr>
                <w:rFonts w:ascii="Times New Roman" w:hAnsi="Times New Roman" w:eastAsia="宋体" w:cs="Times New Roman"/>
                <w:i/>
                <w:sz w:val="28"/>
                <w:szCs w:val="28"/>
              </w:rPr>
              <w:t>Q</w:t>
            </w:r>
            <w:r>
              <w:rPr>
                <w:rFonts w:ascii="Times New Roman" w:hAnsi="Times New Roman" w:eastAsia="宋体" w:cs="Times New Roman"/>
                <w:sz w:val="28"/>
                <w:szCs w:val="28"/>
              </w:rPr>
              <w:t>]矩阵。</w:t>
            </w:r>
          </w:p>
          <w:p>
            <w:pPr>
              <w:pStyle w:val="15"/>
              <w:spacing w:line="360" w:lineRule="auto"/>
              <w:ind w:firstLine="0" w:firstLineChars="0"/>
              <w:jc w:val="center"/>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114300" distR="114300">
                  <wp:extent cx="2376805" cy="2156460"/>
                  <wp:effectExtent l="0" t="0" r="4445" b="15240"/>
                  <wp:docPr id="4" name="图片 10"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001"/>
                          <pic:cNvPicPr>
                            <a:picLocks noChangeAspect="1"/>
                          </pic:cNvPicPr>
                        </pic:nvPicPr>
                        <pic:blipFill>
                          <a:blip r:embed="rId25"/>
                          <a:stretch>
                            <a:fillRect/>
                          </a:stretch>
                        </pic:blipFill>
                        <pic:spPr>
                          <a:xfrm>
                            <a:off x="0" y="0"/>
                            <a:ext cx="2376805" cy="2156460"/>
                          </a:xfrm>
                          <a:prstGeom prst="rect">
                            <a:avLst/>
                          </a:prstGeom>
                          <a:noFill/>
                          <a:ln w="9525">
                            <a:noFill/>
                          </a:ln>
                        </pic:spPr>
                      </pic:pic>
                    </a:graphicData>
                  </a:graphic>
                </wp:inline>
              </w:drawing>
            </w:r>
            <w:r>
              <w:rPr>
                <w:rFonts w:ascii="Times New Roman" w:hAnsi="Times New Roman" w:eastAsia="宋体" w:cs="Times New Roman"/>
                <w:sz w:val="28"/>
                <w:szCs w:val="28"/>
              </w:rPr>
              <w:t xml:space="preserve">          </w:t>
            </w:r>
            <w:r>
              <w:rPr>
                <w:rFonts w:ascii="Times New Roman" w:hAnsi="Times New Roman" w:eastAsia="宋体" w:cs="Times New Roman"/>
                <w:sz w:val="28"/>
                <w:szCs w:val="28"/>
              </w:rPr>
              <w:drawing>
                <wp:inline distT="0" distB="0" distL="114300" distR="114300">
                  <wp:extent cx="2071370" cy="1881505"/>
                  <wp:effectExtent l="0" t="0" r="5080" b="4445"/>
                  <wp:docPr id="5" name="图片 1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02"/>
                          <pic:cNvPicPr>
                            <a:picLocks noChangeAspect="1"/>
                          </pic:cNvPicPr>
                        </pic:nvPicPr>
                        <pic:blipFill>
                          <a:blip r:embed="rId26"/>
                          <a:stretch>
                            <a:fillRect/>
                          </a:stretch>
                        </pic:blipFill>
                        <pic:spPr>
                          <a:xfrm>
                            <a:off x="0" y="0"/>
                            <a:ext cx="2071370" cy="1881505"/>
                          </a:xfrm>
                          <a:prstGeom prst="rect">
                            <a:avLst/>
                          </a:prstGeom>
                          <a:noFill/>
                          <a:ln w="9525">
                            <a:noFill/>
                          </a:ln>
                        </pic:spPr>
                      </pic:pic>
                    </a:graphicData>
                  </a:graphic>
                </wp:inline>
              </w:drawing>
            </w:r>
          </w:p>
          <w:p>
            <w:pPr>
              <w:pStyle w:val="3"/>
              <w:spacing w:line="360" w:lineRule="auto"/>
              <w:jc w:val="center"/>
              <w:rPr>
                <w:sz w:val="28"/>
                <w:szCs w:val="28"/>
              </w:rPr>
            </w:pPr>
          </w:p>
          <w:p>
            <w:pPr>
              <w:pStyle w:val="3"/>
              <w:spacing w:line="360" w:lineRule="auto"/>
              <w:ind w:firstLine="1140" w:firstLineChars="475"/>
              <w:rPr>
                <w:bCs/>
                <w:sz w:val="24"/>
                <w:szCs w:val="24"/>
              </w:rPr>
            </w:pPr>
            <w:r>
              <w:rPr>
                <w:bCs/>
                <w:sz w:val="24"/>
                <w:szCs w:val="24"/>
              </w:rPr>
              <w:t>图6  电位系数计算图                    图7  等效半径计算图</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对于三相交流线路，由于电压为时间向量，计算各相导线的电压时要用复数表示：</w:t>
            </w:r>
          </w:p>
          <w:p>
            <w:pPr>
              <w:pStyle w:val="16"/>
              <w:spacing w:line="360" w:lineRule="auto"/>
              <w:ind w:firstLine="560"/>
              <w:jc w:val="left"/>
              <w:rPr>
                <w:rStyle w:val="17"/>
                <w:rFonts w:ascii="Times New Roman" w:eastAsia="宋体" w:cs="Times New Roman"/>
                <w:sz w:val="28"/>
                <w:szCs w:val="28"/>
              </w:rPr>
            </w:pPr>
            <w:r>
              <w:rPr>
                <w:rFonts w:ascii="Times New Roman" w:eastAsia="宋体" w:cs="Times New Roman"/>
                <w:position w:val="-12"/>
                <w:sz w:val="28"/>
                <w:szCs w:val="28"/>
              </w:rPr>
              <w:object>
                <v:shape id="_x0000_i1036" o:spt="75" type="#_x0000_t75" style="height:24.3pt;width:92.65pt;" o:ole="t" filled="f" o:preferrelative="t" stroked="f" coordsize="21600,21600">
                  <v:path/>
                  <v:fill on="f" alignshape="1" focussize="0,0"/>
                  <v:stroke on="f"/>
                  <v:imagedata r:id="rId28" grayscale="f" bilevel="f" o:title=""/>
                  <o:lock v:ext="edit" aspectratio="t"/>
                  <w10:wrap type="none"/>
                  <w10:anchorlock/>
                </v:shape>
                <o:OLEObject Type="Embed" ProgID="Equation.3" ShapeID="_x0000_i1036" DrawAspect="Content" ObjectID="_1468075732" r:id="rId27">
                  <o:LockedField>false</o:LockedField>
                </o:OLEObject>
              </w:object>
            </w:r>
            <w:r>
              <w:rPr>
                <w:rStyle w:val="17"/>
                <w:rFonts w:ascii="Times New Roman" w:eastAsia="宋体" w:cs="Times New Roman"/>
                <w:sz w:val="28"/>
                <w:szCs w:val="28"/>
              </w:rPr>
              <w:t xml:space="preserve"> </w:t>
            </w:r>
            <w:r>
              <w:rPr>
                <w:rFonts w:ascii="Times New Roman" w:eastAsia="宋体" w:cs="Times New Roman"/>
                <w:sz w:val="28"/>
                <w:szCs w:val="28"/>
              </w:rPr>
              <w:t xml:space="preserve">                                           </w:t>
            </w:r>
            <w:r>
              <w:rPr>
                <w:rStyle w:val="17"/>
                <w:rFonts w:ascii="Times New Roman" w:eastAsia="宋体" w:cs="Times New Roman"/>
                <w:sz w:val="28"/>
                <w:szCs w:val="28"/>
              </w:rPr>
              <w:t>（5）</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相应地电荷也是复数量：</w:t>
            </w:r>
          </w:p>
          <w:p>
            <w:pPr>
              <w:pStyle w:val="16"/>
              <w:spacing w:line="360" w:lineRule="auto"/>
              <w:ind w:firstLine="560"/>
              <w:rPr>
                <w:rStyle w:val="17"/>
                <w:rFonts w:ascii="Times New Roman" w:eastAsia="宋体" w:cs="Times New Roman"/>
                <w:sz w:val="28"/>
                <w:szCs w:val="28"/>
              </w:rPr>
            </w:pPr>
            <w:r>
              <w:rPr>
                <w:rFonts w:ascii="Times New Roman" w:eastAsia="宋体" w:cs="Times New Roman"/>
                <w:position w:val="-12"/>
                <w:sz w:val="28"/>
                <w:szCs w:val="28"/>
              </w:rPr>
              <w:object>
                <v:shape id="_x0000_i1037" o:spt="75" type="#_x0000_t75" style="height:22.7pt;width:87.4pt;" o:ole="t" filled="f" o:preferrelative="t" stroked="f" coordsize="21600,21600">
                  <v:path/>
                  <v:fill on="f" alignshape="1" focussize="0,0"/>
                  <v:stroke on="f"/>
                  <v:imagedata r:id="rId30" grayscale="f" bilevel="f" o:title=""/>
                  <o:lock v:ext="edit" aspectratio="t"/>
                  <w10:wrap type="none"/>
                  <w10:anchorlock/>
                </v:shape>
                <o:OLEObject Type="Embed" ProgID="Equation.3" ShapeID="_x0000_i1037" DrawAspect="Content" ObjectID="_1468075733" r:id="rId29">
                  <o:LockedField>false</o:LockedField>
                </o:OLEObject>
              </w:object>
            </w:r>
            <w:r>
              <w:rPr>
                <w:rStyle w:val="17"/>
                <w:rFonts w:ascii="Times New Roman" w:eastAsia="宋体" w:cs="Times New Roman"/>
                <w:sz w:val="28"/>
                <w:szCs w:val="28"/>
              </w:rPr>
              <w:t xml:space="preserve"> </w:t>
            </w:r>
            <w:r>
              <w:rPr>
                <w:rFonts w:ascii="Times New Roman" w:eastAsia="宋体" w:cs="Times New Roman"/>
                <w:position w:val="-10"/>
                <w:sz w:val="28"/>
                <w:szCs w:val="28"/>
              </w:rPr>
              <w:object>
                <v:shape id="_x0000_i1038" o:spt="75" type="#_x0000_t75" style="height:17.15pt;width:9pt;" o:ole="t" filled="f" o:preferrelative="t" stroked="f" coordsize="21600,21600">
                  <v:path/>
                  <v:fill on="f" alignshape="1" focussize="0,0"/>
                  <v:stroke on="f"/>
                  <v:imagedata r:id="rId32" grayscale="f" bilevel="f" o:title=""/>
                  <o:lock v:ext="edit" aspectratio="t"/>
                  <w10:wrap type="none"/>
                  <w10:anchorlock/>
                </v:shape>
                <o:OLEObject Type="Embed" ProgID="Equation.3" ShapeID="_x0000_i1038" DrawAspect="Content" ObjectID="_1468075734" r:id="rId31">
                  <o:LockedField>false</o:LockedField>
                </o:OLEObject>
              </w:object>
            </w:r>
            <w:r>
              <w:rPr>
                <w:rFonts w:ascii="Times New Roman" w:eastAsia="宋体" w:cs="Times New Roman"/>
                <w:sz w:val="28"/>
                <w:szCs w:val="28"/>
              </w:rPr>
              <w:t xml:space="preserve">                                          </w:t>
            </w:r>
            <w:r>
              <w:rPr>
                <w:rStyle w:val="17"/>
                <w:rFonts w:ascii="Times New Roman" w:eastAsia="宋体" w:cs="Times New Roman"/>
                <w:sz w:val="28"/>
                <w:szCs w:val="28"/>
              </w:rPr>
              <w:t>（6</w:t>
            </w:r>
            <w:r>
              <w:rPr>
                <w:rFonts w:ascii="Times New Roman" w:eastAsia="宋体" w:cs="Times New Roman"/>
                <w:sz w:val="28"/>
                <w:szCs w:val="28"/>
                <w:lang w:val="el-GR"/>
              </w:rPr>
              <w:t>）</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为计算地面电场强度的最大值，通常取设计最大弧垂时导线的最小对地高度。</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当各导线单位长度的等效电荷量求出后，空间任意一点的电场强度可根据叠加原理计算得出，在（</w:t>
            </w:r>
            <w:r>
              <w:rPr>
                <w:rFonts w:ascii="Times New Roman" w:hAnsi="Times New Roman" w:eastAsia="宋体" w:cs="Times New Roman"/>
                <w:i/>
                <w:sz w:val="28"/>
                <w:szCs w:val="28"/>
              </w:rPr>
              <w:t>x，y</w:t>
            </w:r>
            <w:r>
              <w:rPr>
                <w:rFonts w:ascii="Times New Roman" w:hAnsi="Times New Roman" w:eastAsia="宋体" w:cs="Times New Roman"/>
                <w:sz w:val="28"/>
                <w:szCs w:val="28"/>
              </w:rPr>
              <w:t>）点的电场强度分量</w:t>
            </w:r>
            <w:r>
              <w:rPr>
                <w:rFonts w:ascii="Times New Roman" w:hAnsi="Times New Roman" w:eastAsia="宋体" w:cs="Times New Roman"/>
                <w:i/>
                <w:sz w:val="28"/>
                <w:szCs w:val="28"/>
              </w:rPr>
              <w:t>E</w:t>
            </w:r>
            <w:r>
              <w:rPr>
                <w:rFonts w:ascii="Times New Roman" w:hAnsi="Times New Roman" w:eastAsia="宋体" w:cs="Times New Roman"/>
                <w:i/>
                <w:sz w:val="28"/>
                <w:szCs w:val="28"/>
                <w:vertAlign w:val="subscript"/>
              </w:rPr>
              <w:t>x</w:t>
            </w:r>
            <w:r>
              <w:rPr>
                <w:rFonts w:ascii="Times New Roman" w:hAnsi="Times New Roman" w:eastAsia="宋体" w:cs="Times New Roman"/>
                <w:sz w:val="28"/>
                <w:szCs w:val="28"/>
              </w:rPr>
              <w:t>和</w:t>
            </w:r>
            <w:r>
              <w:rPr>
                <w:rFonts w:ascii="Times New Roman" w:hAnsi="Times New Roman" w:eastAsia="宋体" w:cs="Times New Roman"/>
                <w:i/>
                <w:sz w:val="28"/>
                <w:szCs w:val="28"/>
              </w:rPr>
              <w:t>E</w:t>
            </w:r>
            <w:r>
              <w:rPr>
                <w:rFonts w:ascii="Times New Roman" w:hAnsi="Times New Roman" w:eastAsia="宋体" w:cs="Times New Roman"/>
                <w:i/>
                <w:sz w:val="28"/>
                <w:szCs w:val="28"/>
                <w:vertAlign w:val="subscript"/>
              </w:rPr>
              <w:t>y</w:t>
            </w:r>
            <w:r>
              <w:rPr>
                <w:rFonts w:ascii="Times New Roman" w:hAnsi="Times New Roman" w:eastAsia="宋体" w:cs="Times New Roman"/>
                <w:sz w:val="28"/>
                <w:szCs w:val="28"/>
              </w:rPr>
              <w:t>可表示为：</w:t>
            </w:r>
          </w:p>
          <w:p>
            <w:pPr>
              <w:pStyle w:val="16"/>
              <w:spacing w:line="360" w:lineRule="auto"/>
              <w:ind w:firstLine="560"/>
              <w:rPr>
                <w:rFonts w:ascii="Times New Roman" w:eastAsia="宋体" w:cs="Times New Roman"/>
                <w:sz w:val="28"/>
                <w:szCs w:val="28"/>
              </w:rPr>
            </w:pPr>
            <w:r>
              <w:rPr>
                <w:rFonts w:ascii="Times New Roman" w:eastAsia="宋体" w:cs="Times New Roman"/>
                <w:position w:val="-38"/>
                <w:sz w:val="28"/>
                <w:szCs w:val="28"/>
              </w:rPr>
              <w:object>
                <v:shape id="_x0000_i1039" o:spt="75" type="#_x0000_t75" style="height:47.95pt;width:181.85pt;" o:ole="t" filled="f" o:preferrelative="t" stroked="f" coordsize="21600,21600">
                  <v:path/>
                  <v:fill on="f" focussize="0,0"/>
                  <v:stroke on="f"/>
                  <v:imagedata r:id="rId34" o:title=""/>
                  <o:lock v:ext="edit" grouping="f" rotation="f" text="f" aspectratio="t"/>
                  <w10:wrap type="none"/>
                  <w10:anchorlock/>
                </v:shape>
                <o:OLEObject Type="Embed" ProgID="Equation.3" ShapeID="_x0000_i1039" DrawAspect="Content" ObjectID="_1468075735" r:id="rId33">
                  <o:LockedField>false</o:LockedField>
                </o:OLEObject>
              </w:object>
            </w:r>
            <w:r>
              <w:rPr>
                <w:rFonts w:ascii="Times New Roman" w:eastAsia="宋体" w:cs="Times New Roman"/>
                <w:sz w:val="28"/>
                <w:szCs w:val="28"/>
              </w:rPr>
              <w:t xml:space="preserve">                               （7）</w:t>
            </w:r>
          </w:p>
          <w:p>
            <w:pPr>
              <w:pStyle w:val="16"/>
              <w:spacing w:line="360" w:lineRule="auto"/>
              <w:ind w:firstLine="560"/>
              <w:rPr>
                <w:rFonts w:ascii="Times New Roman" w:eastAsia="宋体" w:cs="Times New Roman"/>
                <w:sz w:val="28"/>
                <w:szCs w:val="28"/>
              </w:rPr>
            </w:pPr>
            <w:r>
              <w:rPr>
                <w:rFonts w:ascii="Times New Roman" w:eastAsia="宋体" w:cs="Times New Roman"/>
                <w:position w:val="-30"/>
                <w:sz w:val="28"/>
                <w:szCs w:val="28"/>
              </w:rPr>
              <w:object>
                <v:shape id="_x0000_i1040" o:spt="75" type="#_x0000_t75" style="height:39.35pt;width:192.45pt;" o:ole="t" filled="f" o:preferrelative="t" stroked="f" coordsize="21600,21600">
                  <v:path/>
                  <v:fill on="f" focussize="0,0"/>
                  <v:stroke on="f"/>
                  <v:imagedata r:id="rId36" o:title=""/>
                  <o:lock v:ext="edit" grouping="f" rotation="f" text="f" aspectratio="t"/>
                  <w10:wrap type="none"/>
                  <w10:anchorlock/>
                </v:shape>
                <o:OLEObject Type="Embed" ProgID="Equation.3" ShapeID="_x0000_i1040" DrawAspect="Content" ObjectID="_1468075736" r:id="rId35">
                  <o:LockedField>false</o:LockedField>
                </o:OLEObject>
              </w:object>
            </w:r>
            <w:r>
              <w:rPr>
                <w:rFonts w:ascii="Times New Roman" w:eastAsia="宋体" w:cs="Times New Roman"/>
                <w:sz w:val="28"/>
                <w:szCs w:val="28"/>
              </w:rPr>
              <w:t xml:space="preserve">                              （8）</w:t>
            </w:r>
          </w:p>
          <w:p>
            <w:pPr>
              <w:pStyle w:val="15"/>
              <w:spacing w:line="36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式中：</w:t>
            </w:r>
            <w:r>
              <w:rPr>
                <w:rFonts w:ascii="Times New Roman" w:hAnsi="Times New Roman" w:eastAsia="宋体" w:cs="Times New Roman"/>
                <w:i/>
                <w:sz w:val="28"/>
                <w:szCs w:val="28"/>
              </w:rPr>
              <w:t>x</w:t>
            </w:r>
            <w:r>
              <w:rPr>
                <w:rFonts w:ascii="Times New Roman" w:hAnsi="Times New Roman" w:eastAsia="宋体" w:cs="Times New Roman"/>
                <w:i/>
                <w:sz w:val="28"/>
                <w:szCs w:val="28"/>
                <w:vertAlign w:val="subscript"/>
              </w:rPr>
              <w:t>i</w:t>
            </w:r>
            <w:r>
              <w:rPr>
                <w:rFonts w:ascii="Times New Roman" w:hAnsi="Times New Roman" w:eastAsia="宋体" w:cs="Times New Roman"/>
                <w:i/>
                <w:sz w:val="28"/>
                <w:szCs w:val="28"/>
              </w:rPr>
              <w:t>， y</w:t>
            </w:r>
            <w:r>
              <w:rPr>
                <w:rFonts w:ascii="Times New Roman" w:hAnsi="Times New Roman" w:eastAsia="宋体" w:cs="Times New Roman"/>
                <w:i/>
                <w:sz w:val="28"/>
                <w:szCs w:val="28"/>
                <w:vertAlign w:val="subscript"/>
              </w:rPr>
              <w:t xml:space="preserve">i </w:t>
            </w:r>
            <w:r>
              <w:rPr>
                <w:rFonts w:ascii="Times New Roman" w:hAnsi="Times New Roman" w:eastAsia="宋体" w:cs="Times New Roman"/>
                <w:sz w:val="28"/>
                <w:szCs w:val="28"/>
              </w:rPr>
              <w:t>——导线</w:t>
            </w:r>
            <w:r>
              <w:rPr>
                <w:rFonts w:ascii="Times New Roman" w:hAnsi="Times New Roman" w:eastAsia="宋体" w:cs="Times New Roman"/>
                <w:i/>
                <w:sz w:val="28"/>
                <w:szCs w:val="28"/>
              </w:rPr>
              <w:t>i</w:t>
            </w:r>
            <w:r>
              <w:rPr>
                <w:rFonts w:ascii="Times New Roman" w:hAnsi="Times New Roman" w:eastAsia="宋体" w:cs="Times New Roman"/>
                <w:sz w:val="28"/>
                <w:szCs w:val="28"/>
              </w:rPr>
              <w:t>的坐标（</w:t>
            </w:r>
            <w:r>
              <w:rPr>
                <w:rFonts w:ascii="Times New Roman" w:hAnsi="Times New Roman" w:eastAsia="宋体" w:cs="Times New Roman"/>
                <w:i/>
                <w:sz w:val="28"/>
                <w:szCs w:val="28"/>
              </w:rPr>
              <w:t>i</w:t>
            </w:r>
            <w:r>
              <w:rPr>
                <w:rFonts w:ascii="Times New Roman" w:hAnsi="Times New Roman" w:eastAsia="宋体" w:cs="Times New Roman"/>
                <w:sz w:val="28"/>
                <w:szCs w:val="28"/>
              </w:rPr>
              <w:t>=1、2、…m）；</w:t>
            </w:r>
          </w:p>
          <w:p>
            <w:pPr>
              <w:pStyle w:val="15"/>
              <w:spacing w:line="360" w:lineRule="auto"/>
              <w:ind w:firstLine="778" w:firstLineChars="278"/>
              <w:rPr>
                <w:rFonts w:ascii="Times New Roman" w:hAnsi="Times New Roman" w:eastAsia="宋体" w:cs="Times New Roman"/>
                <w:sz w:val="28"/>
                <w:szCs w:val="28"/>
              </w:rPr>
            </w:pPr>
            <w:r>
              <w:rPr>
                <w:rFonts w:ascii="Times New Roman" w:hAnsi="Times New Roman" w:eastAsia="宋体" w:cs="Times New Roman"/>
                <w:i/>
                <w:sz w:val="28"/>
                <w:szCs w:val="28"/>
              </w:rPr>
              <w:t xml:space="preserve">m </w:t>
            </w:r>
            <w:r>
              <w:rPr>
                <w:rFonts w:ascii="Times New Roman" w:hAnsi="Times New Roman" w:eastAsia="宋体" w:cs="Times New Roman"/>
                <w:sz w:val="28"/>
                <w:szCs w:val="28"/>
              </w:rPr>
              <w:t>——导线数目；</w:t>
            </w:r>
          </w:p>
          <w:p>
            <w:pPr>
              <w:pStyle w:val="15"/>
              <w:spacing w:line="360" w:lineRule="auto"/>
              <w:ind w:firstLine="778" w:firstLineChars="278"/>
              <w:rPr>
                <w:rFonts w:ascii="Times New Roman" w:hAnsi="Times New Roman" w:eastAsia="宋体" w:cs="Times New Roman"/>
                <w:sz w:val="28"/>
                <w:szCs w:val="28"/>
              </w:rPr>
            </w:pPr>
            <w:r>
              <w:rPr>
                <w:rFonts w:ascii="Times New Roman" w:hAnsi="Times New Roman" w:eastAsia="宋体" w:cs="Times New Roman"/>
                <w:i/>
                <w:sz w:val="28"/>
                <w:szCs w:val="28"/>
              </w:rPr>
              <w:t>L</w:t>
            </w:r>
            <w:r>
              <w:rPr>
                <w:rFonts w:ascii="Times New Roman" w:hAnsi="Times New Roman" w:eastAsia="宋体" w:cs="Times New Roman"/>
                <w:i/>
                <w:sz w:val="28"/>
                <w:szCs w:val="28"/>
                <w:vertAlign w:val="subscript"/>
              </w:rPr>
              <w:t xml:space="preserve">i </w:t>
            </w:r>
            <w:r>
              <w:rPr>
                <w:rFonts w:ascii="Times New Roman" w:hAnsi="Times New Roman" w:eastAsia="宋体" w:cs="Times New Roman"/>
                <w:i/>
                <w:sz w:val="28"/>
                <w:szCs w:val="28"/>
              </w:rPr>
              <w:t>，L'</w:t>
            </w:r>
            <w:r>
              <w:rPr>
                <w:rFonts w:ascii="Times New Roman" w:hAnsi="Times New Roman" w:eastAsia="宋体" w:cs="Times New Roman"/>
                <w:i/>
                <w:sz w:val="28"/>
                <w:szCs w:val="28"/>
                <w:vertAlign w:val="subscript"/>
              </w:rPr>
              <w:t xml:space="preserve">i </w:t>
            </w:r>
            <w:r>
              <w:rPr>
                <w:rFonts w:ascii="Times New Roman" w:hAnsi="Times New Roman" w:eastAsia="宋体" w:cs="Times New Roman"/>
                <w:sz w:val="28"/>
                <w:szCs w:val="28"/>
              </w:rPr>
              <w:t>——分别为导线</w:t>
            </w:r>
            <w:r>
              <w:rPr>
                <w:rFonts w:ascii="Times New Roman" w:hAnsi="Times New Roman" w:eastAsia="宋体" w:cs="Times New Roman"/>
                <w:i/>
                <w:sz w:val="28"/>
                <w:szCs w:val="28"/>
              </w:rPr>
              <w:t>i</w:t>
            </w:r>
            <w:r>
              <w:rPr>
                <w:rFonts w:ascii="Times New Roman" w:hAnsi="Times New Roman" w:eastAsia="宋体" w:cs="Times New Roman"/>
                <w:sz w:val="28"/>
                <w:szCs w:val="28"/>
              </w:rPr>
              <w:t>及其镜像至计算点的距离，m。</w:t>
            </w:r>
          </w:p>
          <w:p>
            <w:pPr>
              <w:pStyle w:val="15"/>
              <w:spacing w:before="120" w:beforeLines="50"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对于三相交流线路，可根据式（7）和（8）求得的电荷计算空间任一点电场强度的水平和垂直分量为：</w:t>
            </w:r>
          </w:p>
          <w:p>
            <w:pPr>
              <w:pStyle w:val="18"/>
              <w:spacing w:line="360" w:lineRule="auto"/>
              <w:ind w:firstLine="560"/>
              <w:rPr>
                <w:rFonts w:ascii="Times New Roman" w:eastAsia="宋体"/>
                <w:sz w:val="28"/>
                <w:szCs w:val="28"/>
              </w:rPr>
            </w:pPr>
            <w:r>
              <w:rPr>
                <w:rFonts w:ascii="Times New Roman" w:eastAsia="宋体"/>
                <w:position w:val="-28"/>
                <w:sz w:val="28"/>
                <w:szCs w:val="28"/>
              </w:rPr>
              <w:object>
                <v:shape id="_x0000_i1041" o:spt="75" type="#_x0000_t75" style="height:33.95pt;width:114.25pt;" o:ole="t" filled="f" o:preferrelative="t" stroked="f" coordsize="21600,21600">
                  <v:path/>
                  <v:fill on="f" focussize="0,0"/>
                  <v:stroke on="f"/>
                  <v:imagedata r:id="rId38" o:title=""/>
                  <o:lock v:ext="edit" grouping="f" rotation="f" text="f" aspectratio="t"/>
                  <w10:wrap type="none"/>
                  <w10:anchorlock/>
                </v:shape>
                <o:OLEObject Type="Embed" ProgID="Equation.3" ShapeID="_x0000_i1041" DrawAspect="Content" ObjectID="_1468075737" r:id="rId37">
                  <o:LockedField>false</o:LockedField>
                </o:OLEObject>
              </w:object>
            </w:r>
            <w:r>
              <w:rPr>
                <w:rFonts w:ascii="Times New Roman" w:eastAsia="宋体"/>
                <w:sz w:val="28"/>
                <w:szCs w:val="28"/>
              </w:rPr>
              <w:t xml:space="preserve">= </w:t>
            </w:r>
            <w:r>
              <w:rPr>
                <w:rFonts w:ascii="Times New Roman" w:eastAsia="宋体"/>
                <w:position w:val="-12"/>
                <w:sz w:val="28"/>
                <w:szCs w:val="28"/>
              </w:rPr>
              <w:object>
                <v:shape id="_x0000_i1042" o:spt="75" type="#_x0000_t75" style="height:18.2pt;width:52.95pt;" o:ole="t" filled="f" o:preferrelative="t" stroked="f" coordsize="21600,21600">
                  <v:path/>
                  <v:fill on="f" focussize="0,0"/>
                  <v:stroke on="f"/>
                  <v:imagedata r:id="rId40" o:title=""/>
                  <o:lock v:ext="edit" grouping="f" rotation="f" text="f" aspectratio="t"/>
                  <w10:wrap type="none"/>
                  <w10:anchorlock/>
                </v:shape>
                <o:OLEObject Type="Embed" ProgID="Equation.3" ShapeID="_x0000_i1042" DrawAspect="Content" ObjectID="_1468075738" r:id="rId39">
                  <o:LockedField>false</o:LockedField>
                </o:OLEObject>
              </w:object>
            </w:r>
            <w:r>
              <w:rPr>
                <w:rFonts w:ascii="Times New Roman" w:eastAsia="宋体"/>
                <w:sz w:val="28"/>
                <w:szCs w:val="28"/>
              </w:rPr>
              <w:t xml:space="preserve">                               （9）</w:t>
            </w:r>
          </w:p>
          <w:p>
            <w:pPr>
              <w:pStyle w:val="18"/>
              <w:spacing w:line="360" w:lineRule="auto"/>
              <w:ind w:firstLine="560"/>
              <w:rPr>
                <w:rFonts w:ascii="Times New Roman" w:eastAsia="宋体"/>
                <w:sz w:val="28"/>
                <w:szCs w:val="28"/>
              </w:rPr>
            </w:pPr>
            <w:r>
              <w:rPr>
                <w:rFonts w:ascii="Times New Roman" w:eastAsia="宋体"/>
                <w:position w:val="-28"/>
                <w:sz w:val="28"/>
                <w:szCs w:val="28"/>
              </w:rPr>
              <w:object>
                <v:shape id="_x0000_i1043" o:spt="75" type="#_x0000_t75" style="height:33.95pt;width:114.25pt;" o:ole="t" filled="f" o:preferrelative="t" stroked="f" coordsize="21600,21600">
                  <v:path/>
                  <v:fill on="f" focussize="0,0"/>
                  <v:stroke on="f"/>
                  <v:imagedata r:id="rId42" o:title=""/>
                  <o:lock v:ext="edit" grouping="f" rotation="f" text="f" aspectratio="t"/>
                  <w10:wrap type="none"/>
                  <w10:anchorlock/>
                </v:shape>
                <o:OLEObject Type="Embed" ProgID="Equation.3" ShapeID="_x0000_i1043" DrawAspect="Content" ObjectID="_1468075739" r:id="rId41">
                  <o:LockedField>false</o:LockedField>
                </o:OLEObject>
              </w:object>
            </w:r>
            <w:r>
              <w:rPr>
                <w:rFonts w:ascii="Times New Roman" w:eastAsia="宋体"/>
                <w:sz w:val="28"/>
                <w:szCs w:val="28"/>
              </w:rPr>
              <w:t xml:space="preserve">= </w:t>
            </w:r>
            <w:r>
              <w:rPr>
                <w:rFonts w:ascii="Times New Roman" w:eastAsia="宋体"/>
                <w:position w:val="-14"/>
                <w:sz w:val="28"/>
                <w:szCs w:val="28"/>
              </w:rPr>
              <w:object>
                <v:shape id="_x0000_i1044" o:spt="75" type="#_x0000_t75" style="height:19.05pt;width:53.8pt;" o:ole="t" filled="f" o:preferrelative="t" stroked="f" coordsize="21600,21600">
                  <v:path/>
                  <v:fill on="f" focussize="0,0"/>
                  <v:stroke on="f"/>
                  <v:imagedata r:id="rId44" o:title=""/>
                  <o:lock v:ext="edit" grouping="f" rotation="f" text="f" aspectratio="t"/>
                  <w10:wrap type="none"/>
                  <w10:anchorlock/>
                </v:shape>
                <o:OLEObject Type="Embed" ProgID="Equation.3" ShapeID="_x0000_i1044" DrawAspect="Content" ObjectID="_1468075740" r:id="rId43">
                  <o:LockedField>false</o:LockedField>
                </o:OLEObject>
              </w:object>
            </w:r>
            <w:r>
              <w:rPr>
                <w:rFonts w:ascii="Times New Roman" w:eastAsia="宋体"/>
                <w:position w:val="-14"/>
                <w:sz w:val="28"/>
                <w:szCs w:val="28"/>
              </w:rPr>
              <w:t xml:space="preserve">                              </w:t>
            </w:r>
            <w:r>
              <w:rPr>
                <w:rFonts w:ascii="Times New Roman" w:eastAsia="宋体"/>
                <w:sz w:val="28"/>
                <w:szCs w:val="28"/>
              </w:rPr>
              <w:t>（10）</w:t>
            </w:r>
          </w:p>
          <w:p>
            <w:pPr>
              <w:pStyle w:val="18"/>
              <w:spacing w:line="360" w:lineRule="auto"/>
              <w:ind w:firstLine="0" w:firstLineChars="0"/>
              <w:rPr>
                <w:rFonts w:ascii="Times New Roman" w:eastAsia="宋体"/>
                <w:sz w:val="28"/>
                <w:szCs w:val="28"/>
              </w:rPr>
            </w:pPr>
            <w:r>
              <w:rPr>
                <w:rFonts w:ascii="Times New Roman" w:eastAsia="宋体"/>
                <w:sz w:val="28"/>
                <w:szCs w:val="28"/>
              </w:rPr>
              <w:t>式中：</w:t>
            </w:r>
            <w:r>
              <w:rPr>
                <w:rFonts w:ascii="Times New Roman" w:eastAsia="宋体"/>
                <w:position w:val="-12"/>
                <w:sz w:val="28"/>
                <w:szCs w:val="28"/>
              </w:rPr>
              <w:object>
                <v:shape id="_x0000_i1045" o:spt="75" type="#_x0000_t75" style="height:18.2pt;width:19.85pt;" o:ole="t" filled="f" o:preferrelative="t" stroked="f" coordsize="21600,21600">
                  <v:path/>
                  <v:fill on="f" focussize="0,0"/>
                  <v:stroke on="f"/>
                  <v:imagedata r:id="rId46" o:title=""/>
                  <o:lock v:ext="edit" grouping="f" rotation="f" text="f" aspectratio="t"/>
                  <w10:wrap type="none"/>
                  <w10:anchorlock/>
                </v:shape>
                <o:OLEObject Type="Embed" ProgID="Equation.3" ShapeID="_x0000_i1045" DrawAspect="Content" ObjectID="_1468075741" r:id="rId45">
                  <o:LockedField>false</o:LockedField>
                </o:OLEObject>
              </w:object>
            </w:r>
            <w:r>
              <w:rPr>
                <w:rFonts w:ascii="Times New Roman" w:eastAsia="宋体"/>
                <w:sz w:val="28"/>
                <w:szCs w:val="28"/>
                <w:vertAlign w:val="subscript"/>
              </w:rPr>
              <w:t>————</w:t>
            </w:r>
            <w:r>
              <w:rPr>
                <w:rFonts w:ascii="Times New Roman" w:eastAsia="宋体"/>
                <w:sz w:val="28"/>
                <w:szCs w:val="28"/>
              </w:rPr>
              <w:t>由各导线的实部电荷在该点产生场强的水平分量；</w:t>
            </w:r>
          </w:p>
          <w:p>
            <w:pPr>
              <w:pStyle w:val="18"/>
              <w:spacing w:line="360" w:lineRule="auto"/>
              <w:ind w:firstLine="814" w:firstLineChars="291"/>
              <w:rPr>
                <w:rFonts w:ascii="Times New Roman" w:eastAsia="宋体"/>
                <w:sz w:val="28"/>
                <w:szCs w:val="28"/>
              </w:rPr>
            </w:pPr>
            <w:r>
              <w:rPr>
                <w:rFonts w:ascii="Times New Roman" w:eastAsia="宋体"/>
                <w:position w:val="-12"/>
                <w:sz w:val="28"/>
                <w:szCs w:val="28"/>
              </w:rPr>
              <w:object>
                <v:shape id="_x0000_i1046" o:spt="75" type="#_x0000_t75" style="height:18.2pt;width:19.05pt;" o:ole="t" filled="f" o:preferrelative="t" stroked="f" coordsize="21600,21600">
                  <v:path/>
                  <v:fill on="f" focussize="0,0"/>
                  <v:stroke on="f"/>
                  <v:imagedata r:id="rId48" o:title=""/>
                  <o:lock v:ext="edit" grouping="f" rotation="f" text="f" aspectratio="t"/>
                  <w10:wrap type="none"/>
                  <w10:anchorlock/>
                </v:shape>
                <o:OLEObject Type="Embed" ProgID="Equation.3" ShapeID="_x0000_i1046" DrawAspect="Content" ObjectID="_1468075742" r:id="rId47">
                  <o:LockedField>false</o:LockedField>
                </o:OLEObject>
              </w:object>
            </w:r>
            <w:r>
              <w:rPr>
                <w:rFonts w:ascii="Times New Roman" w:eastAsia="宋体"/>
                <w:sz w:val="28"/>
                <w:szCs w:val="28"/>
                <w:vertAlign w:val="subscript"/>
              </w:rPr>
              <w:t>————</w:t>
            </w:r>
            <w:r>
              <w:rPr>
                <w:rFonts w:ascii="Times New Roman" w:eastAsia="宋体"/>
                <w:sz w:val="28"/>
                <w:szCs w:val="28"/>
              </w:rPr>
              <w:t>由各导线的虚部电荷在该点产生场强的水平分量；</w:t>
            </w:r>
          </w:p>
          <w:p>
            <w:pPr>
              <w:pStyle w:val="18"/>
              <w:spacing w:line="360" w:lineRule="auto"/>
              <w:ind w:firstLine="814" w:firstLineChars="291"/>
              <w:rPr>
                <w:rFonts w:ascii="Times New Roman" w:eastAsia="宋体"/>
                <w:sz w:val="28"/>
                <w:szCs w:val="28"/>
              </w:rPr>
            </w:pPr>
            <w:r>
              <w:rPr>
                <w:rFonts w:ascii="Times New Roman" w:eastAsia="宋体"/>
                <w:position w:val="-14"/>
                <w:sz w:val="28"/>
                <w:szCs w:val="28"/>
              </w:rPr>
              <w:object>
                <v:shape id="_x0000_i1047" o:spt="75" type="#_x0000_t75" style="height:19.05pt;width:19.85pt;" o:ole="t" filled="f" o:preferrelative="t" stroked="f" coordsize="21600,21600">
                  <v:path/>
                  <v:fill on="f" focussize="0,0"/>
                  <v:stroke on="f"/>
                  <v:imagedata r:id="rId50" o:title=""/>
                  <o:lock v:ext="edit" grouping="f" rotation="f" text="f" aspectratio="t"/>
                  <w10:wrap type="none"/>
                  <w10:anchorlock/>
                </v:shape>
                <o:OLEObject Type="Embed" ProgID="Equation.3" ShapeID="_x0000_i1047" DrawAspect="Content" ObjectID="_1468075743" r:id="rId49">
                  <o:LockedField>false</o:LockedField>
                </o:OLEObject>
              </w:object>
            </w:r>
            <w:r>
              <w:rPr>
                <w:rFonts w:ascii="Times New Roman" w:eastAsia="宋体"/>
                <w:sz w:val="28"/>
                <w:szCs w:val="28"/>
                <w:vertAlign w:val="subscript"/>
              </w:rPr>
              <w:t>————</w:t>
            </w:r>
            <w:r>
              <w:rPr>
                <w:rFonts w:ascii="Times New Roman" w:eastAsia="宋体"/>
                <w:sz w:val="28"/>
                <w:szCs w:val="28"/>
              </w:rPr>
              <w:t>由各导线的实部电荷在该点产生场强的垂直分量；</w:t>
            </w:r>
          </w:p>
          <w:p>
            <w:pPr>
              <w:pStyle w:val="18"/>
              <w:spacing w:line="360" w:lineRule="auto"/>
              <w:ind w:firstLine="814" w:firstLineChars="291"/>
              <w:rPr>
                <w:rFonts w:ascii="Times New Roman" w:eastAsia="宋体"/>
                <w:sz w:val="28"/>
                <w:szCs w:val="28"/>
              </w:rPr>
            </w:pPr>
            <w:r>
              <w:rPr>
                <w:rFonts w:ascii="Times New Roman" w:eastAsia="宋体"/>
                <w:position w:val="-14"/>
                <w:sz w:val="28"/>
                <w:szCs w:val="28"/>
              </w:rPr>
              <w:object>
                <v:shape id="_x0000_i1048" o:spt="75" type="#_x0000_t75" style="height:19.05pt;width:19.05pt;" o:ole="t" filled="f" o:preferrelative="t" stroked="f" coordsize="21600,21600">
                  <v:path/>
                  <v:fill on="f" focussize="0,0"/>
                  <v:stroke on="f"/>
                  <v:imagedata r:id="rId52" o:title=""/>
                  <o:lock v:ext="edit" grouping="f" rotation="f" text="f" aspectratio="t"/>
                  <w10:wrap type="none"/>
                  <w10:anchorlock/>
                </v:shape>
                <o:OLEObject Type="Embed" ProgID="Equation.3" ShapeID="_x0000_i1048" DrawAspect="Content" ObjectID="_1468075744" r:id="rId51">
                  <o:LockedField>false</o:LockedField>
                </o:OLEObject>
              </w:object>
            </w:r>
            <w:r>
              <w:rPr>
                <w:rFonts w:ascii="Times New Roman" w:eastAsia="宋体"/>
                <w:sz w:val="28"/>
                <w:szCs w:val="28"/>
                <w:vertAlign w:val="subscript"/>
              </w:rPr>
              <w:t>————</w:t>
            </w:r>
            <w:r>
              <w:rPr>
                <w:rFonts w:ascii="Times New Roman" w:eastAsia="宋体"/>
                <w:sz w:val="28"/>
                <w:szCs w:val="28"/>
              </w:rPr>
              <w:t>由各导线的虚部电荷在该点产生场强的垂直分量。</w:t>
            </w:r>
          </w:p>
          <w:p>
            <w:pPr>
              <w:pStyle w:val="15"/>
              <w:spacing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该点的合成的电场强度则为：</w:t>
            </w:r>
          </w:p>
          <w:p>
            <w:pPr>
              <w:pStyle w:val="16"/>
              <w:spacing w:line="360" w:lineRule="auto"/>
              <w:ind w:firstLine="480"/>
              <w:jc w:val="left"/>
              <w:rPr>
                <w:rStyle w:val="17"/>
                <w:rFonts w:ascii="Times New Roman" w:eastAsia="宋体" w:cs="Times New Roman"/>
                <w:sz w:val="28"/>
                <w:szCs w:val="28"/>
              </w:rPr>
            </w:pPr>
            <w:r>
              <w:rPr>
                <w:rFonts w:ascii="Times New Roman" w:cs="Times New Roman"/>
                <w:position w:val="-12"/>
              </w:rPr>
              <w:object>
                <v:shape id="_x0000_i1049" o:spt="75" type="#_x0000_t75" style="height:19.85pt;width:91.1pt;" o:ole="t" filled="f" o:preferrelative="t" stroked="f" coordsize="21600,21600">
                  <v:path/>
                  <v:fill on="f" focussize="0,0"/>
                  <v:stroke on="f"/>
                  <v:imagedata r:id="rId54" o:title=""/>
                  <o:lock v:ext="edit" grouping="f" rotation="f" text="f" aspectratio="t"/>
                  <w10:wrap type="none"/>
                  <w10:anchorlock/>
                </v:shape>
                <o:OLEObject Type="Embed" ProgID="Equation.3" ShapeID="_x0000_i1049" DrawAspect="Content" ObjectID="_1468075745" r:id="rId53">
                  <o:LockedField>false</o:LockedField>
                </o:OLEObject>
              </w:object>
            </w:r>
            <w:r>
              <w:rPr>
                <w:rStyle w:val="17"/>
                <w:rFonts w:ascii="Times New Roman" w:eastAsia="宋体" w:cs="Times New Roman"/>
                <w:sz w:val="28"/>
                <w:szCs w:val="28"/>
              </w:rPr>
              <w:t xml:space="preserve"> + </w:t>
            </w:r>
            <w:r>
              <w:rPr>
                <w:rFonts w:ascii="Times New Roman" w:cs="Times New Roman"/>
                <w:position w:val="-14"/>
              </w:rPr>
              <w:object>
                <v:shape id="_x0000_i1050" o:spt="75" type="#_x0000_t75" style="height:20.7pt;width:71.15pt;" o:ole="t" filled="f" o:preferrelative="t" stroked="f" coordsize="21600,21600">
                  <v:path/>
                  <v:fill on="f" focussize="0,0"/>
                  <v:stroke on="f"/>
                  <v:imagedata r:id="rId56" o:title=""/>
                  <o:lock v:ext="edit" grouping="f" rotation="f" text="f" aspectratio="t"/>
                  <w10:wrap type="none"/>
                  <w10:anchorlock/>
                </v:shape>
                <o:OLEObject Type="Embed" ProgID="Equation.3" ShapeID="_x0000_i1050" DrawAspect="Content" ObjectID="_1468075746" r:id="rId55">
                  <o:LockedField>false</o:LockedField>
                </o:OLEObject>
              </w:object>
            </w:r>
            <w:r>
              <w:rPr>
                <w:rFonts w:ascii="Times New Roman" w:cs="Times New Roman"/>
                <w:position w:val="-14"/>
              </w:rPr>
              <w:object>
                <v:shape id="_x0000_i1051" o:spt="75" type="#_x0000_t75" style="height:20.7pt;width:52.15pt;" o:ole="t" filled="f" o:preferrelative="t" stroked="f" coordsize="21600,21600">
                  <v:path/>
                  <v:fill on="f" focussize="0,0"/>
                  <v:stroke on="f"/>
                  <v:imagedata r:id="rId58" o:title=""/>
                  <o:lock v:ext="edit" grouping="f" rotation="f" text="f" aspectratio="t"/>
                  <w10:wrap type="none"/>
                  <w10:anchorlock/>
                </v:shape>
                <o:OLEObject Type="Embed" ProgID="Equation.3" ShapeID="_x0000_i1051" DrawAspect="Content" ObjectID="_1468075747" r:id="rId57">
                  <o:LockedField>false</o:LockedField>
                </o:OLEObject>
              </w:object>
            </w:r>
            <w:r>
              <w:rPr>
                <w:rStyle w:val="17"/>
                <w:rFonts w:ascii="Times New Roman" w:eastAsia="宋体" w:cs="Times New Roman"/>
                <w:sz w:val="28"/>
                <w:szCs w:val="28"/>
              </w:rPr>
              <w:tab/>
            </w:r>
            <w:r>
              <w:rPr>
                <w:rFonts w:ascii="Times New Roman" w:cs="Times New Roman"/>
              </w:rPr>
              <w:t xml:space="preserve">                       </w:t>
            </w:r>
            <w:r>
              <w:rPr>
                <w:rFonts w:ascii="Times New Roman" w:eastAsia="宋体" w:cs="Times New Roman"/>
                <w:position w:val="-14"/>
                <w:sz w:val="28"/>
                <w:szCs w:val="28"/>
              </w:rPr>
              <w:t>（11）</w:t>
            </w:r>
          </w:p>
          <w:p>
            <w:pPr>
              <w:pStyle w:val="15"/>
              <w:spacing w:line="360" w:lineRule="auto"/>
              <w:ind w:firstLine="0" w:firstLineChars="0"/>
              <w:rPr>
                <w:rFonts w:ascii="Times New Roman" w:hAnsi="Times New Roman" w:eastAsia="宋体" w:cs="Times New Roman"/>
                <w:sz w:val="28"/>
                <w:szCs w:val="28"/>
              </w:rPr>
            </w:pPr>
            <w:r>
              <w:rPr>
                <w:rFonts w:ascii="Times New Roman" w:hAnsi="Times New Roman" w:eastAsia="宋体" w:cs="Times New Roman"/>
                <w:sz w:val="28"/>
                <w:szCs w:val="28"/>
              </w:rPr>
              <w:t>式中：</w:t>
            </w:r>
          </w:p>
          <w:p>
            <w:pPr>
              <w:pStyle w:val="16"/>
              <w:spacing w:line="360" w:lineRule="auto"/>
              <w:ind w:firstLine="560"/>
              <w:rPr>
                <w:rStyle w:val="17"/>
                <w:rFonts w:ascii="Times New Roman" w:eastAsia="宋体" w:cs="Times New Roman"/>
                <w:sz w:val="28"/>
                <w:szCs w:val="28"/>
              </w:rPr>
            </w:pPr>
            <w:r>
              <w:rPr>
                <w:rFonts w:ascii="Times New Roman" w:eastAsia="宋体" w:cs="Times New Roman"/>
                <w:position w:val="-14"/>
                <w:sz w:val="28"/>
                <w:szCs w:val="28"/>
              </w:rPr>
              <w:object>
                <v:shape id="_x0000_i1052" o:spt="75" type="#_x0000_t75" style="height:23.15pt;width:84.4pt;" o:ole="t" filled="f" o:preferrelative="t" stroked="f" coordsize="21600,21600">
                  <v:path/>
                  <v:fill on="f" focussize="0,0"/>
                  <v:stroke on="f"/>
                  <v:imagedata r:id="rId60" o:title=""/>
                  <o:lock v:ext="edit" grouping="f" rotation="f" text="f" aspectratio="t"/>
                  <w10:wrap type="none"/>
                  <w10:anchorlock/>
                </v:shape>
                <o:OLEObject Type="Embed" ProgID="Equation.3" ShapeID="_x0000_i1052" DrawAspect="Content" ObjectID="_1468075748" r:id="rId59">
                  <o:LockedField>false</o:LockedField>
                </o:OLEObject>
              </w:object>
            </w:r>
            <w:r>
              <w:rPr>
                <w:rFonts w:ascii="Times New Roman" w:eastAsia="宋体" w:cs="Times New Roman"/>
                <w:sz w:val="28"/>
                <w:szCs w:val="28"/>
              </w:rPr>
              <w:t xml:space="preserve">                                           </w:t>
            </w:r>
            <w:r>
              <w:rPr>
                <w:rStyle w:val="17"/>
                <w:rFonts w:ascii="Times New Roman" w:eastAsia="宋体" w:cs="Times New Roman"/>
                <w:sz w:val="28"/>
                <w:szCs w:val="28"/>
              </w:rPr>
              <w:t>（12）</w:t>
            </w:r>
          </w:p>
          <w:p>
            <w:pPr>
              <w:pStyle w:val="16"/>
              <w:spacing w:line="360" w:lineRule="auto"/>
              <w:ind w:firstLine="560"/>
              <w:rPr>
                <w:rStyle w:val="17"/>
                <w:rFonts w:ascii="Times New Roman" w:eastAsia="宋体" w:cs="Times New Roman"/>
                <w:sz w:val="28"/>
                <w:szCs w:val="28"/>
              </w:rPr>
            </w:pPr>
            <w:r>
              <w:rPr>
                <w:rFonts w:ascii="Times New Roman" w:eastAsia="宋体" w:cs="Times New Roman"/>
                <w:position w:val="-16"/>
                <w:sz w:val="28"/>
                <w:szCs w:val="28"/>
              </w:rPr>
              <w:object>
                <v:shape id="_x0000_i1053" o:spt="75" type="#_x0000_t75" style="height:24pt;width:86.05pt;" o:ole="t" filled="f" o:preferrelative="t" stroked="f" coordsize="21600,21600">
                  <v:path/>
                  <v:fill on="f" focussize="0,0"/>
                  <v:stroke on="f"/>
                  <v:imagedata r:id="rId62" o:title=""/>
                  <o:lock v:ext="edit" grouping="f" rotation="f" text="f" aspectratio="t"/>
                  <w10:wrap type="none"/>
                  <w10:anchorlock/>
                </v:shape>
                <o:OLEObject Type="Embed" ProgID="Equation.3" ShapeID="_x0000_i1053" DrawAspect="Content" ObjectID="_1468075749" r:id="rId61">
                  <o:LockedField>false</o:LockedField>
                </o:OLEObject>
              </w:object>
            </w:r>
            <w:r>
              <w:rPr>
                <w:rFonts w:ascii="Times New Roman" w:eastAsia="宋体" w:cs="Times New Roman"/>
                <w:sz w:val="28"/>
                <w:szCs w:val="28"/>
              </w:rPr>
              <w:t xml:space="preserve">                                           </w:t>
            </w:r>
            <w:r>
              <w:rPr>
                <w:rStyle w:val="17"/>
                <w:rFonts w:ascii="Times New Roman" w:eastAsia="宋体" w:cs="Times New Roman"/>
                <w:sz w:val="28"/>
                <w:szCs w:val="28"/>
              </w:rPr>
              <w:t>（13）</w:t>
            </w:r>
          </w:p>
          <w:p>
            <w:pPr>
              <w:pStyle w:val="16"/>
              <w:spacing w:line="360" w:lineRule="auto"/>
              <w:ind w:firstLine="560"/>
              <w:rPr>
                <w:rStyle w:val="17"/>
                <w:rFonts w:ascii="Times New Roman" w:eastAsia="宋体" w:cs="Times New Roman"/>
                <w:sz w:val="28"/>
                <w:szCs w:val="28"/>
              </w:rPr>
            </w:pPr>
            <w:r>
              <w:rPr>
                <w:rStyle w:val="17"/>
                <w:rFonts w:ascii="Times New Roman" w:eastAsia="宋体" w:cs="Times New Roman"/>
                <w:sz w:val="28"/>
                <w:szCs w:val="28"/>
              </w:rPr>
              <w:t>（2）工频磁感应强度计算模型</w:t>
            </w:r>
          </w:p>
          <w:p>
            <w:pPr>
              <w:pStyle w:val="15"/>
              <w:spacing w:before="120" w:beforeLines="50"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由于工频情况下电磁性能具有准静态特性，线路的磁场仅由电流产生。应用安培定律，将计算结果按矢量叠加，可得出导线周围的磁场强度。</w:t>
            </w:r>
          </w:p>
          <w:p>
            <w:pPr>
              <w:pStyle w:val="15"/>
              <w:spacing w:before="120" w:beforeLines="50"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和电场强度计算不同的是关于镜像导线的考虑，与导线所处高度相比这些镜像导线位于地下很深的距离</w:t>
            </w:r>
            <w:r>
              <w:rPr>
                <w:rFonts w:ascii="Times New Roman" w:hAnsi="Times New Roman" w:eastAsia="宋体" w:cs="Times New Roman"/>
                <w:i/>
                <w:sz w:val="28"/>
                <w:szCs w:val="28"/>
              </w:rPr>
              <w:t>d</w:t>
            </w:r>
            <w:r>
              <w:rPr>
                <w:rFonts w:ascii="Times New Roman" w:hAnsi="Times New Roman" w:eastAsia="宋体" w:cs="Times New Roman"/>
                <w:sz w:val="28"/>
                <w:szCs w:val="28"/>
              </w:rPr>
              <w:t>：</w:t>
            </w:r>
          </w:p>
          <w:p>
            <w:pPr>
              <w:pStyle w:val="15"/>
              <w:spacing w:before="120" w:beforeLines="50" w:line="360" w:lineRule="auto"/>
              <w:ind w:firstLine="560"/>
              <w:rPr>
                <w:rFonts w:ascii="Times New Roman" w:hAnsi="Times New Roman" w:eastAsia="宋体" w:cs="Times New Roman"/>
                <w:sz w:val="28"/>
                <w:szCs w:val="28"/>
              </w:rPr>
            </w:pPr>
            <w:bookmarkStart w:id="27" w:name="_Toc141414704"/>
            <w:r>
              <w:rPr>
                <w:rFonts w:ascii="Times New Roman" w:hAnsi="Times New Roman" w:eastAsia="宋体" w:cs="Times New Roman"/>
                <w:position w:val="-30"/>
                <w:sz w:val="28"/>
                <w:szCs w:val="28"/>
              </w:rPr>
              <w:object>
                <v:shape id="_x0000_i1054" o:spt="75" type="#_x0000_t75" style="height:36.35pt;width:60.2pt;" o:ole="t" filled="f" o:preferrelative="t" stroked="f" coordsize="21600,21600">
                  <v:path/>
                  <v:fill on="f" alignshape="1" focussize="0,0"/>
                  <v:stroke on="f"/>
                  <v:imagedata r:id="rId64" grayscale="f" bilevel="f" o:title=""/>
                  <o:lock v:ext="edit" aspectratio="t"/>
                  <w10:wrap type="none"/>
                  <w10:anchorlock/>
                </v:shape>
                <o:OLEObject Type="Embed" ProgID="Equation.3" ShapeID="_x0000_i1054" DrawAspect="Content" ObjectID="_1468075750" r:id="rId63">
                  <o:LockedField>false</o:LockedField>
                </o:OLEObject>
              </w:object>
            </w:r>
            <w:r>
              <w:rPr>
                <w:rFonts w:ascii="Times New Roman" w:hAnsi="Times New Roman" w:eastAsia="宋体" w:cs="Times New Roman"/>
                <w:sz w:val="28"/>
                <w:szCs w:val="28"/>
              </w:rPr>
              <w:t xml:space="preserve"> （m）                                        （14）</w:t>
            </w:r>
            <w:bookmarkEnd w:id="27"/>
          </w:p>
          <w:p>
            <w:pPr>
              <w:pStyle w:val="15"/>
              <w:spacing w:before="120" w:beforeLines="50"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式中：</w:t>
            </w:r>
            <w:r>
              <w:rPr>
                <w:rFonts w:ascii="Times New Roman" w:hAnsi="Times New Roman" w:eastAsia="宋体" w:cs="Times New Roman"/>
                <w:i/>
                <w:sz w:val="28"/>
                <w:szCs w:val="28"/>
              </w:rPr>
              <w:t>ρ</w:t>
            </w:r>
            <w:r>
              <w:rPr>
                <w:rFonts w:ascii="Times New Roman" w:hAnsi="Times New Roman" w:eastAsia="宋体" w:cs="Times New Roman"/>
                <w:sz w:val="28"/>
                <w:szCs w:val="28"/>
              </w:rPr>
              <w:t>——大地电阻率，</w:t>
            </w:r>
            <w:r>
              <w:rPr>
                <w:rFonts w:ascii="Times New Roman" w:hAnsi="Times New Roman" w:eastAsia="宋体" w:cs="Times New Roman"/>
                <w:sz w:val="28"/>
                <w:szCs w:val="28"/>
              </w:rPr>
              <w:object>
                <v:shape id="_x0000_i1055" o:spt="75" type="#_x0000_t75" style="height:11.8pt;width:23.05pt;" o:ole="t" filled="f" o:preferrelative="t" stroked="f" coordsize="21600,21600">
                  <v:path/>
                  <v:fill on="f" focussize="0,0"/>
                  <v:stroke on="f"/>
                  <v:imagedata r:id="rId66" o:title=""/>
                  <o:lock v:ext="edit" grouping="f" rotation="f" text="f" aspectratio="t"/>
                  <w10:wrap type="none"/>
                  <w10:anchorlock/>
                </v:shape>
                <o:OLEObject Type="Embed" ProgID="Equation.3" ShapeID="_x0000_i1055" DrawAspect="Content" ObjectID="_1468075751" r:id="rId65">
                  <o:LockedField>false</o:LockedField>
                </o:OLEObject>
              </w:object>
            </w:r>
            <w:r>
              <w:rPr>
                <w:rFonts w:ascii="Times New Roman" w:hAnsi="Times New Roman" w:eastAsia="宋体" w:cs="Times New Roman"/>
                <w:sz w:val="28"/>
                <w:szCs w:val="28"/>
              </w:rPr>
              <w:t>；</w:t>
            </w:r>
          </w:p>
          <w:p>
            <w:pPr>
              <w:pStyle w:val="15"/>
              <w:spacing w:before="120" w:beforeLines="50" w:line="360" w:lineRule="auto"/>
              <w:ind w:firstLine="560"/>
              <w:rPr>
                <w:rFonts w:ascii="Times New Roman" w:hAnsi="Times New Roman" w:cs="Times New Roman"/>
                <w:sz w:val="28"/>
                <w:szCs w:val="28"/>
              </w:rPr>
            </w:pPr>
            <w:r>
              <w:rPr>
                <w:rFonts w:ascii="Times New Roman" w:hAnsi="Times New Roman" w:eastAsia="宋体" w:cs="Times New Roman"/>
                <w:i/>
                <w:sz w:val="28"/>
                <w:szCs w:val="28"/>
              </w:rPr>
              <w:t>f</w:t>
            </w:r>
            <w:r>
              <w:rPr>
                <w:rFonts w:ascii="Times New Roman" w:hAnsi="Times New Roman" w:cs="Times New Roman"/>
                <w:sz w:val="28"/>
                <w:szCs w:val="28"/>
              </w:rPr>
              <w:t>——</w:t>
            </w:r>
            <w:r>
              <w:rPr>
                <w:rFonts w:ascii="Times New Roman" w:hAnsi="Times New Roman" w:eastAsia="宋体" w:cs="Times New Roman"/>
                <w:sz w:val="28"/>
                <w:szCs w:val="28"/>
              </w:rPr>
              <w:t>频率，Hz。</w:t>
            </w:r>
          </w:p>
          <w:p>
            <w:pPr>
              <w:pStyle w:val="15"/>
              <w:spacing w:before="120" w:beforeLines="50"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在很多情况下，只考虑处于空间的实际导线，忽略它的镜像进行计算，其结果已足够符合实际。如图7，不考虑导线i的镜像时，可计算在A点其产生的磁场强度：</w:t>
            </w:r>
          </w:p>
          <w:p>
            <w:pPr>
              <w:pStyle w:val="15"/>
              <w:spacing w:before="120" w:beforeLines="50" w:line="360" w:lineRule="auto"/>
              <w:ind w:firstLine="560"/>
              <w:rPr>
                <w:rFonts w:ascii="Times New Roman" w:hAnsi="Times New Roman" w:cs="Times New Roman"/>
                <w:sz w:val="28"/>
                <w:szCs w:val="28"/>
              </w:rPr>
            </w:pPr>
            <w:r>
              <w:rPr>
                <w:rFonts w:ascii="Times New Roman" w:hAnsi="Times New Roman" w:eastAsia="宋体" w:cs="Times New Roman"/>
                <w:position w:val="-32"/>
                <w:sz w:val="28"/>
                <w:szCs w:val="28"/>
              </w:rPr>
              <w:object>
                <v:shape id="_x0000_i1056" o:spt="75" type="#_x0000_t75" style="height:34.85pt;width:85.8pt;" o:ole="t" filled="f" o:preferrelative="t" stroked="f" coordsize="21600,21600">
                  <v:path/>
                  <v:fill on="f" alignshape="1" focussize="0,0"/>
                  <v:stroke on="f"/>
                  <v:imagedata r:id="rId68" grayscale="f" bilevel="f" o:title=""/>
                  <o:lock v:ext="edit" aspectratio="t"/>
                  <w10:wrap type="none"/>
                  <w10:anchorlock/>
                </v:shape>
                <o:OLEObject Type="Embed" ProgID="Equation.3" ShapeID="_x0000_i1056" DrawAspect="Content" ObjectID="_1468075752" r:id="rId67">
                  <o:LockedField>false</o:LockedField>
                </o:OLEObject>
              </w:object>
            </w:r>
            <w:r>
              <w:rPr>
                <w:rFonts w:ascii="Times New Roman" w:hAnsi="Times New Roman" w:eastAsia="宋体" w:cs="Times New Roman"/>
                <w:sz w:val="28"/>
                <w:szCs w:val="28"/>
              </w:rPr>
              <w:t xml:space="preserve"> （A/m）                                   （15）</w:t>
            </w:r>
          </w:p>
          <w:p>
            <w:pPr>
              <w:pStyle w:val="15"/>
              <w:spacing w:before="120" w:beforeLines="50"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式中：</w:t>
            </w:r>
            <w:r>
              <w:rPr>
                <w:rFonts w:ascii="Times New Roman" w:hAnsi="Times New Roman" w:eastAsia="宋体" w:cs="Times New Roman"/>
                <w:i/>
                <w:sz w:val="28"/>
                <w:szCs w:val="28"/>
              </w:rPr>
              <w:t>I</w:t>
            </w:r>
            <w:r>
              <w:rPr>
                <w:rFonts w:ascii="Times New Roman" w:hAnsi="Times New Roman" w:eastAsia="宋体" w:cs="Times New Roman"/>
                <w:sz w:val="28"/>
                <w:szCs w:val="28"/>
              </w:rPr>
              <w:t>——导线i中的电流值，A；</w:t>
            </w:r>
          </w:p>
          <w:p>
            <w:pPr>
              <w:pStyle w:val="15"/>
              <w:spacing w:before="120" w:beforeLines="50" w:line="360" w:lineRule="auto"/>
              <w:ind w:firstLine="560"/>
              <w:rPr>
                <w:rFonts w:ascii="Times New Roman" w:hAnsi="Times New Roman" w:eastAsia="宋体" w:cs="Times New Roman"/>
                <w:sz w:val="28"/>
                <w:szCs w:val="28"/>
              </w:rPr>
            </w:pPr>
            <w:r>
              <w:rPr>
                <w:rFonts w:ascii="Times New Roman" w:hAnsi="Times New Roman" w:eastAsia="宋体" w:cs="Times New Roman"/>
                <w:i/>
                <w:sz w:val="28"/>
                <w:szCs w:val="28"/>
              </w:rPr>
              <w:t>h</w:t>
            </w:r>
            <w:r>
              <w:rPr>
                <w:rFonts w:ascii="Times New Roman" w:hAnsi="Times New Roman" w:eastAsia="宋体" w:cs="Times New Roman"/>
                <w:sz w:val="28"/>
                <w:szCs w:val="28"/>
              </w:rPr>
              <w:t>——导线与预测点的高差，m；</w:t>
            </w:r>
          </w:p>
          <w:p>
            <w:pPr>
              <w:pStyle w:val="15"/>
              <w:spacing w:before="120" w:beforeLines="50" w:line="360" w:lineRule="auto"/>
              <w:ind w:firstLine="560"/>
              <w:rPr>
                <w:rFonts w:ascii="Times New Roman" w:hAnsi="Times New Roman" w:eastAsia="宋体" w:cs="Times New Roman"/>
                <w:sz w:val="28"/>
                <w:szCs w:val="28"/>
              </w:rPr>
            </w:pPr>
            <w:r>
              <w:rPr>
                <w:rFonts w:ascii="Times New Roman" w:hAnsi="Times New Roman" w:eastAsia="宋体" w:cs="Times New Roman"/>
                <w:i/>
                <w:sz w:val="28"/>
                <w:szCs w:val="28"/>
              </w:rPr>
              <w:t>L</w:t>
            </w:r>
            <w:r>
              <w:rPr>
                <w:rFonts w:ascii="Times New Roman" w:hAnsi="Times New Roman" w:eastAsia="宋体" w:cs="Times New Roman"/>
                <w:sz w:val="28"/>
                <w:szCs w:val="28"/>
              </w:rPr>
              <w:t xml:space="preserve"> ——导线与预测点水平距离，m。</w:t>
            </w:r>
          </w:p>
          <w:p>
            <w:pPr>
              <w:pStyle w:val="15"/>
              <w:spacing w:before="120" w:beforeLines="50" w:line="360" w:lineRule="auto"/>
              <w:ind w:firstLine="560"/>
              <w:rPr>
                <w:rFonts w:ascii="Times New Roman" w:hAnsi="Times New Roman" w:eastAsia="宋体" w:cs="Times New Roman"/>
                <w:sz w:val="28"/>
                <w:szCs w:val="28"/>
              </w:rPr>
            </w:pPr>
            <w:r>
              <w:rPr>
                <w:rFonts w:ascii="Times New Roman" w:hAnsi="Times New Roman" w:eastAsia="宋体" w:cs="Times New Roman"/>
                <w:sz w:val="28"/>
                <w:szCs w:val="28"/>
              </w:rPr>
              <w:t>对于三相线路，由相位不同形成的磁场强度水平和垂直分量都应分别考虑电流间的相角，按相位矢量来合成。合成的旋转矢量在空间的轨迹是一个椭圆。</w:t>
            </w:r>
          </w:p>
          <w:p>
            <w:pPr>
              <w:pStyle w:val="15"/>
              <w:spacing w:before="120" w:beforeLines="50"/>
              <w:ind w:firstLine="0" w:firstLineChars="0"/>
              <w:jc w:val="center"/>
              <w:rPr>
                <w:rFonts w:ascii="Times New Roman" w:hAnsi="Times New Roman" w:eastAsia="宋体" w:cs="Times New Roman"/>
                <w:sz w:val="28"/>
                <w:szCs w:val="28"/>
              </w:rPr>
            </w:pPr>
            <w:r>
              <w:rPr>
                <w:rFonts w:ascii="Times New Roman" w:hAnsi="Times New Roman" w:eastAsia="宋体" w:cs="Times New Roman"/>
                <w:sz w:val="28"/>
                <w:szCs w:val="28"/>
              </w:rPr>
              <w:drawing>
                <wp:inline distT="0" distB="0" distL="114300" distR="114300">
                  <wp:extent cx="3390900" cy="2621915"/>
                  <wp:effectExtent l="0" t="0" r="0" b="6985"/>
                  <wp:docPr id="6" name="图片 3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descr="05"/>
                          <pic:cNvPicPr>
                            <a:picLocks noChangeAspect="1"/>
                          </pic:cNvPicPr>
                        </pic:nvPicPr>
                        <pic:blipFill>
                          <a:blip r:embed="rId69"/>
                          <a:stretch>
                            <a:fillRect/>
                          </a:stretch>
                        </pic:blipFill>
                        <pic:spPr>
                          <a:xfrm>
                            <a:off x="0" y="0"/>
                            <a:ext cx="3390900" cy="2621915"/>
                          </a:xfrm>
                          <a:prstGeom prst="rect">
                            <a:avLst/>
                          </a:prstGeom>
                          <a:noFill/>
                          <a:ln w="9525">
                            <a:noFill/>
                          </a:ln>
                        </pic:spPr>
                      </pic:pic>
                    </a:graphicData>
                  </a:graphic>
                </wp:inline>
              </w:drawing>
            </w:r>
          </w:p>
          <w:p>
            <w:pPr>
              <w:pStyle w:val="15"/>
              <w:spacing w:before="120" w:beforeLines="50"/>
              <w:ind w:firstLine="0" w:firstLineChars="0"/>
              <w:jc w:val="center"/>
              <w:rPr>
                <w:rFonts w:ascii="Times New Roman" w:hAnsi="Times New Roman" w:cs="Times New Roman"/>
                <w:szCs w:val="24"/>
              </w:rPr>
            </w:pPr>
            <w:bookmarkStart w:id="28" w:name="_Toc185260014"/>
            <w:r>
              <w:rPr>
                <w:rFonts w:ascii="Times New Roman" w:hAnsi="Times New Roman" w:eastAsia="宋体" w:cs="Times New Roman"/>
                <w:szCs w:val="24"/>
              </w:rPr>
              <w:t>图8  磁场向量图</w:t>
            </w:r>
            <w:bookmarkEnd w:id="28"/>
          </w:p>
          <w:p>
            <w:pPr>
              <w:spacing w:line="360" w:lineRule="auto"/>
              <w:rPr>
                <w:sz w:val="28"/>
                <w:szCs w:val="28"/>
              </w:rPr>
            </w:pPr>
            <w:r>
              <w:rPr>
                <w:sz w:val="28"/>
                <w:szCs w:val="28"/>
              </w:rPr>
              <w:t>1.2.2 模式预测结论</w:t>
            </w:r>
          </w:p>
          <w:p>
            <w:pPr>
              <w:spacing w:line="360" w:lineRule="auto"/>
              <w:ind w:firstLine="560" w:firstLineChars="200"/>
              <w:rPr>
                <w:sz w:val="28"/>
                <w:szCs w:val="28"/>
              </w:rPr>
            </w:pPr>
            <w:r>
              <w:rPr>
                <w:sz w:val="28"/>
                <w:szCs w:val="28"/>
              </w:rPr>
              <w:t>（1）参数选取</w:t>
            </w:r>
          </w:p>
          <w:p>
            <w:pPr>
              <w:spacing w:line="360" w:lineRule="auto"/>
              <w:ind w:firstLine="560" w:firstLineChars="200"/>
              <w:rPr>
                <w:sz w:val="28"/>
              </w:rPr>
            </w:pPr>
            <w:r>
              <w:rPr>
                <w:sz w:val="28"/>
              </w:rPr>
              <w:t>本报告表中共包含110kV送电线路5回，</w:t>
            </w:r>
            <w:r>
              <w:rPr>
                <w:sz w:val="28"/>
                <w:szCs w:val="28"/>
              </w:rPr>
              <w:t>本次预测选取上述线路中的典型架设形式（包括110kV单回架设、110kV双回架设）进行预测</w:t>
            </w:r>
            <w:r>
              <w:rPr>
                <w:sz w:val="28"/>
              </w:rPr>
              <w:t>。</w:t>
            </w:r>
          </w:p>
          <w:p>
            <w:pPr>
              <w:spacing w:line="360" w:lineRule="auto"/>
              <w:ind w:firstLine="560" w:firstLineChars="200"/>
              <w:rPr>
                <w:sz w:val="28"/>
                <w:szCs w:val="28"/>
              </w:rPr>
            </w:pPr>
            <w:r>
              <w:rPr>
                <w:sz w:val="28"/>
                <w:szCs w:val="28"/>
              </w:rPr>
              <w:t>本报告分别就以上各种架设形式的典型设计参数，分别预测不同高度架设时弧垂最低处地面上方1.5m的工频电场强度和工频磁感应强度。根据线路初步设计资料，各线路段预测时使用的参数如表14所示。</w:t>
            </w:r>
          </w:p>
          <w:p>
            <w:pPr>
              <w:spacing w:line="360" w:lineRule="auto"/>
              <w:ind w:left="101" w:leftChars="48" w:right="101" w:rightChars="48"/>
              <w:jc w:val="center"/>
              <w:rPr>
                <w:b/>
                <w:sz w:val="24"/>
                <w:szCs w:val="24"/>
              </w:rPr>
            </w:pPr>
            <w:r>
              <w:rPr>
                <w:b/>
                <w:sz w:val="24"/>
                <w:szCs w:val="24"/>
              </w:rPr>
              <w:t>表14送电线路工频电磁场理论计算参数</w:t>
            </w:r>
          </w:p>
          <w:tbl>
            <w:tblPr>
              <w:tblStyle w:val="11"/>
              <w:tblW w:w="7800"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960"/>
              <w:gridCol w:w="958"/>
              <w:gridCol w:w="1585"/>
              <w:gridCol w:w="1195"/>
              <w:gridCol w:w="718"/>
              <w:gridCol w:w="1195"/>
              <w:gridCol w:w="118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Ex>
              <w:trPr>
                <w:trHeight w:val="117" w:hRule="atLeast"/>
                <w:jc w:val="center"/>
              </w:trPr>
              <w:tc>
                <w:tcPr>
                  <w:tcW w:w="960" w:type="dxa"/>
                  <w:shd w:val="clear" w:color="auto" w:fill="auto"/>
                  <w:vAlign w:val="center"/>
                </w:tcPr>
                <w:p>
                  <w:pPr>
                    <w:spacing w:line="360" w:lineRule="auto"/>
                    <w:jc w:val="center"/>
                    <w:rPr>
                      <w:sz w:val="24"/>
                      <w:szCs w:val="24"/>
                    </w:rPr>
                  </w:pPr>
                  <w:r>
                    <w:rPr>
                      <w:sz w:val="24"/>
                      <w:szCs w:val="24"/>
                    </w:rPr>
                    <w:t>架设</w:t>
                  </w:r>
                </w:p>
                <w:p>
                  <w:pPr>
                    <w:spacing w:line="360" w:lineRule="auto"/>
                    <w:jc w:val="center"/>
                    <w:rPr>
                      <w:sz w:val="24"/>
                      <w:szCs w:val="24"/>
                    </w:rPr>
                  </w:pPr>
                  <w:r>
                    <w:rPr>
                      <w:sz w:val="24"/>
                      <w:szCs w:val="24"/>
                    </w:rPr>
                    <w:t>型式</w:t>
                  </w:r>
                </w:p>
              </w:tc>
              <w:tc>
                <w:tcPr>
                  <w:tcW w:w="958" w:type="dxa"/>
                  <w:shd w:val="clear" w:color="auto" w:fill="auto"/>
                  <w:vAlign w:val="center"/>
                </w:tcPr>
                <w:p>
                  <w:pPr>
                    <w:spacing w:line="360" w:lineRule="auto"/>
                    <w:jc w:val="center"/>
                    <w:rPr>
                      <w:sz w:val="24"/>
                      <w:szCs w:val="24"/>
                    </w:rPr>
                  </w:pPr>
                  <w:r>
                    <w:rPr>
                      <w:sz w:val="24"/>
                      <w:szCs w:val="24"/>
                    </w:rPr>
                    <w:t>最小对</w:t>
                  </w:r>
                </w:p>
                <w:p>
                  <w:pPr>
                    <w:spacing w:line="360" w:lineRule="auto"/>
                    <w:jc w:val="center"/>
                    <w:rPr>
                      <w:sz w:val="24"/>
                      <w:szCs w:val="24"/>
                    </w:rPr>
                  </w:pPr>
                  <w:r>
                    <w:rPr>
                      <w:sz w:val="24"/>
                      <w:szCs w:val="24"/>
                    </w:rPr>
                    <w:t>地距离</w:t>
                  </w:r>
                </w:p>
              </w:tc>
              <w:tc>
                <w:tcPr>
                  <w:tcW w:w="1585" w:type="dxa"/>
                  <w:shd w:val="clear" w:color="auto" w:fill="auto"/>
                  <w:vAlign w:val="center"/>
                </w:tcPr>
                <w:p>
                  <w:pPr>
                    <w:spacing w:line="360" w:lineRule="auto"/>
                    <w:jc w:val="center"/>
                    <w:rPr>
                      <w:sz w:val="24"/>
                      <w:szCs w:val="24"/>
                    </w:rPr>
                  </w:pPr>
                  <w:r>
                    <w:rPr>
                      <w:sz w:val="24"/>
                      <w:szCs w:val="24"/>
                    </w:rPr>
                    <w:t>导线</w:t>
                  </w:r>
                </w:p>
                <w:p>
                  <w:pPr>
                    <w:spacing w:line="360" w:lineRule="auto"/>
                    <w:jc w:val="center"/>
                    <w:rPr>
                      <w:sz w:val="24"/>
                      <w:szCs w:val="24"/>
                    </w:rPr>
                  </w:pPr>
                  <w:r>
                    <w:rPr>
                      <w:sz w:val="24"/>
                      <w:szCs w:val="24"/>
                    </w:rPr>
                    <w:t>类型</w:t>
                  </w:r>
                </w:p>
              </w:tc>
              <w:tc>
                <w:tcPr>
                  <w:tcW w:w="1195" w:type="dxa"/>
                  <w:shd w:val="clear" w:color="auto" w:fill="auto"/>
                  <w:vAlign w:val="center"/>
                </w:tcPr>
                <w:p>
                  <w:pPr>
                    <w:spacing w:line="360" w:lineRule="auto"/>
                    <w:jc w:val="center"/>
                    <w:rPr>
                      <w:sz w:val="24"/>
                      <w:szCs w:val="24"/>
                    </w:rPr>
                  </w:pPr>
                  <w:r>
                    <w:rPr>
                      <w:sz w:val="24"/>
                      <w:szCs w:val="24"/>
                    </w:rPr>
                    <w:t>导线</w:t>
                  </w:r>
                </w:p>
                <w:p>
                  <w:pPr>
                    <w:spacing w:line="360" w:lineRule="auto"/>
                    <w:jc w:val="center"/>
                    <w:rPr>
                      <w:sz w:val="24"/>
                      <w:szCs w:val="24"/>
                    </w:rPr>
                  </w:pPr>
                  <w:r>
                    <w:rPr>
                      <w:sz w:val="24"/>
                      <w:szCs w:val="24"/>
                    </w:rPr>
                    <w:t>外径</w:t>
                  </w:r>
                </w:p>
              </w:tc>
              <w:tc>
                <w:tcPr>
                  <w:tcW w:w="718" w:type="dxa"/>
                  <w:shd w:val="clear" w:color="auto" w:fill="auto"/>
                  <w:vAlign w:val="center"/>
                </w:tcPr>
                <w:p>
                  <w:pPr>
                    <w:spacing w:line="360" w:lineRule="auto"/>
                    <w:jc w:val="center"/>
                    <w:rPr>
                      <w:sz w:val="24"/>
                      <w:szCs w:val="24"/>
                    </w:rPr>
                  </w:pPr>
                  <w:r>
                    <w:rPr>
                      <w:sz w:val="24"/>
                      <w:szCs w:val="24"/>
                    </w:rPr>
                    <w:t>回数</w:t>
                  </w:r>
                </w:p>
              </w:tc>
              <w:tc>
                <w:tcPr>
                  <w:tcW w:w="1195" w:type="dxa"/>
                  <w:shd w:val="clear" w:color="auto" w:fill="auto"/>
                  <w:vAlign w:val="center"/>
                </w:tcPr>
                <w:p>
                  <w:pPr>
                    <w:spacing w:line="360" w:lineRule="auto"/>
                    <w:jc w:val="center"/>
                    <w:rPr>
                      <w:sz w:val="24"/>
                      <w:szCs w:val="24"/>
                    </w:rPr>
                  </w:pPr>
                  <w:r>
                    <w:rPr>
                      <w:sz w:val="24"/>
                      <w:szCs w:val="24"/>
                    </w:rPr>
                    <w:t>额定电流</w:t>
                  </w:r>
                </w:p>
              </w:tc>
              <w:tc>
                <w:tcPr>
                  <w:tcW w:w="1189" w:type="dxa"/>
                  <w:shd w:val="clear" w:color="auto" w:fill="auto"/>
                  <w:vAlign w:val="center"/>
                </w:tcPr>
                <w:p>
                  <w:pPr>
                    <w:spacing w:line="360" w:lineRule="auto"/>
                    <w:jc w:val="center"/>
                    <w:rPr>
                      <w:sz w:val="24"/>
                      <w:szCs w:val="24"/>
                    </w:rPr>
                  </w:pPr>
                  <w:r>
                    <w:rPr>
                      <w:sz w:val="24"/>
                      <w:szCs w:val="24"/>
                    </w:rPr>
                    <w:t>送电电压</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Ex>
              <w:trPr>
                <w:trHeight w:val="117" w:hRule="atLeast"/>
                <w:jc w:val="center"/>
              </w:trPr>
              <w:tc>
                <w:tcPr>
                  <w:tcW w:w="960" w:type="dxa"/>
                  <w:shd w:val="clear" w:color="auto" w:fill="auto"/>
                  <w:vAlign w:val="center"/>
                </w:tcPr>
                <w:p>
                  <w:pPr>
                    <w:spacing w:line="360" w:lineRule="auto"/>
                    <w:jc w:val="center"/>
                    <w:rPr>
                      <w:szCs w:val="21"/>
                    </w:rPr>
                  </w:pPr>
                  <w:r>
                    <w:rPr>
                      <w:szCs w:val="21"/>
                    </w:rPr>
                    <w:t>单回架设</w:t>
                  </w:r>
                </w:p>
              </w:tc>
              <w:tc>
                <w:tcPr>
                  <w:tcW w:w="958" w:type="dxa"/>
                  <w:shd w:val="clear" w:color="auto" w:fill="auto"/>
                  <w:vAlign w:val="center"/>
                </w:tcPr>
                <w:p>
                  <w:pPr>
                    <w:spacing w:line="360" w:lineRule="auto"/>
                    <w:jc w:val="center"/>
                    <w:rPr>
                      <w:szCs w:val="21"/>
                    </w:rPr>
                  </w:pPr>
                  <w:r>
                    <w:rPr>
                      <w:szCs w:val="21"/>
                    </w:rPr>
                    <w:t>5-30m</w:t>
                  </w:r>
                </w:p>
              </w:tc>
              <w:tc>
                <w:tcPr>
                  <w:tcW w:w="1585" w:type="dxa"/>
                  <w:shd w:val="clear" w:color="auto" w:fill="auto"/>
                  <w:vAlign w:val="center"/>
                </w:tcPr>
                <w:p>
                  <w:pPr>
                    <w:spacing w:line="360" w:lineRule="auto"/>
                    <w:jc w:val="center"/>
                    <w:rPr>
                      <w:szCs w:val="21"/>
                    </w:rPr>
                  </w:pPr>
                  <w:r>
                    <w:rPr>
                      <w:szCs w:val="21"/>
                    </w:rPr>
                    <w:t>JL/G1A—300/40</w:t>
                  </w:r>
                </w:p>
              </w:tc>
              <w:tc>
                <w:tcPr>
                  <w:tcW w:w="1195" w:type="dxa"/>
                  <w:shd w:val="clear" w:color="auto" w:fill="auto"/>
                  <w:vAlign w:val="center"/>
                </w:tcPr>
                <w:p>
                  <w:pPr>
                    <w:spacing w:line="360" w:lineRule="auto"/>
                    <w:jc w:val="center"/>
                    <w:rPr>
                      <w:szCs w:val="21"/>
                    </w:rPr>
                  </w:pPr>
                  <w:r>
                    <w:rPr>
                      <w:szCs w:val="21"/>
                    </w:rPr>
                    <w:t>23.9mm</w:t>
                  </w:r>
                </w:p>
              </w:tc>
              <w:tc>
                <w:tcPr>
                  <w:tcW w:w="718" w:type="dxa"/>
                  <w:shd w:val="clear" w:color="auto" w:fill="auto"/>
                  <w:vAlign w:val="center"/>
                </w:tcPr>
                <w:p>
                  <w:pPr>
                    <w:spacing w:line="360" w:lineRule="auto"/>
                    <w:jc w:val="center"/>
                    <w:rPr>
                      <w:szCs w:val="21"/>
                    </w:rPr>
                  </w:pPr>
                  <w:r>
                    <w:rPr>
                      <w:szCs w:val="21"/>
                    </w:rPr>
                    <w:t>1</w:t>
                  </w:r>
                </w:p>
              </w:tc>
              <w:tc>
                <w:tcPr>
                  <w:tcW w:w="1195" w:type="dxa"/>
                  <w:shd w:val="clear" w:color="auto" w:fill="auto"/>
                  <w:vAlign w:val="center"/>
                </w:tcPr>
                <w:p>
                  <w:pPr>
                    <w:spacing w:line="360" w:lineRule="auto"/>
                    <w:jc w:val="center"/>
                    <w:rPr>
                      <w:szCs w:val="21"/>
                    </w:rPr>
                  </w:pPr>
                  <w:r>
                    <w:rPr>
                      <w:szCs w:val="21"/>
                    </w:rPr>
                    <w:t>261.9A</w:t>
                  </w:r>
                </w:p>
              </w:tc>
              <w:tc>
                <w:tcPr>
                  <w:tcW w:w="1189" w:type="dxa"/>
                  <w:shd w:val="clear" w:color="auto" w:fill="auto"/>
                  <w:vAlign w:val="center"/>
                </w:tcPr>
                <w:p>
                  <w:pPr>
                    <w:spacing w:line="360" w:lineRule="auto"/>
                    <w:jc w:val="center"/>
                    <w:rPr>
                      <w:szCs w:val="21"/>
                    </w:rPr>
                  </w:pPr>
                  <w:r>
                    <w:rPr>
                      <w:szCs w:val="21"/>
                    </w:rPr>
                    <w:t>110kV</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Ex>
              <w:trPr>
                <w:trHeight w:val="117" w:hRule="atLeast"/>
                <w:jc w:val="center"/>
              </w:trPr>
              <w:tc>
                <w:tcPr>
                  <w:tcW w:w="960" w:type="dxa"/>
                  <w:shd w:val="clear" w:color="auto" w:fill="auto"/>
                  <w:vAlign w:val="center"/>
                </w:tcPr>
                <w:p>
                  <w:pPr>
                    <w:spacing w:line="360" w:lineRule="auto"/>
                    <w:jc w:val="center"/>
                    <w:rPr>
                      <w:szCs w:val="21"/>
                    </w:rPr>
                  </w:pPr>
                  <w:r>
                    <w:rPr>
                      <w:szCs w:val="21"/>
                    </w:rPr>
                    <w:t>双回架设</w:t>
                  </w:r>
                </w:p>
              </w:tc>
              <w:tc>
                <w:tcPr>
                  <w:tcW w:w="958" w:type="dxa"/>
                  <w:shd w:val="clear" w:color="auto" w:fill="auto"/>
                  <w:vAlign w:val="center"/>
                </w:tcPr>
                <w:p>
                  <w:pPr>
                    <w:spacing w:line="360" w:lineRule="auto"/>
                    <w:jc w:val="center"/>
                    <w:rPr>
                      <w:szCs w:val="21"/>
                    </w:rPr>
                  </w:pPr>
                  <w:r>
                    <w:rPr>
                      <w:szCs w:val="21"/>
                    </w:rPr>
                    <w:t>5-30m</w:t>
                  </w:r>
                </w:p>
              </w:tc>
              <w:tc>
                <w:tcPr>
                  <w:tcW w:w="1585" w:type="dxa"/>
                  <w:shd w:val="clear" w:color="auto" w:fill="auto"/>
                  <w:vAlign w:val="center"/>
                </w:tcPr>
                <w:p>
                  <w:pPr>
                    <w:spacing w:line="360" w:lineRule="auto"/>
                    <w:jc w:val="center"/>
                    <w:rPr>
                      <w:szCs w:val="21"/>
                    </w:rPr>
                  </w:pPr>
                  <w:r>
                    <w:rPr>
                      <w:szCs w:val="21"/>
                    </w:rPr>
                    <w:t>JL/G1A—300/40</w:t>
                  </w:r>
                </w:p>
              </w:tc>
              <w:tc>
                <w:tcPr>
                  <w:tcW w:w="1195" w:type="dxa"/>
                  <w:shd w:val="clear" w:color="auto" w:fill="auto"/>
                  <w:vAlign w:val="center"/>
                </w:tcPr>
                <w:p>
                  <w:pPr>
                    <w:spacing w:line="360" w:lineRule="auto"/>
                    <w:jc w:val="center"/>
                    <w:rPr>
                      <w:szCs w:val="21"/>
                    </w:rPr>
                  </w:pPr>
                  <w:r>
                    <w:rPr>
                      <w:szCs w:val="21"/>
                    </w:rPr>
                    <w:t>23.9mm</w:t>
                  </w:r>
                </w:p>
              </w:tc>
              <w:tc>
                <w:tcPr>
                  <w:tcW w:w="718" w:type="dxa"/>
                  <w:shd w:val="clear" w:color="auto" w:fill="auto"/>
                  <w:vAlign w:val="center"/>
                </w:tcPr>
                <w:p>
                  <w:pPr>
                    <w:spacing w:line="360" w:lineRule="auto"/>
                    <w:jc w:val="center"/>
                    <w:rPr>
                      <w:szCs w:val="21"/>
                    </w:rPr>
                  </w:pPr>
                  <w:r>
                    <w:rPr>
                      <w:szCs w:val="21"/>
                    </w:rPr>
                    <w:t>2</w:t>
                  </w:r>
                </w:p>
              </w:tc>
              <w:tc>
                <w:tcPr>
                  <w:tcW w:w="1195" w:type="dxa"/>
                  <w:shd w:val="clear" w:color="auto" w:fill="auto"/>
                  <w:vAlign w:val="center"/>
                </w:tcPr>
                <w:p>
                  <w:pPr>
                    <w:spacing w:line="360" w:lineRule="auto"/>
                    <w:jc w:val="center"/>
                    <w:rPr>
                      <w:szCs w:val="21"/>
                    </w:rPr>
                  </w:pPr>
                  <w:r>
                    <w:rPr>
                      <w:szCs w:val="21"/>
                    </w:rPr>
                    <w:t>2×245A</w:t>
                  </w:r>
                </w:p>
              </w:tc>
              <w:tc>
                <w:tcPr>
                  <w:tcW w:w="1189" w:type="dxa"/>
                  <w:shd w:val="clear" w:color="auto" w:fill="auto"/>
                  <w:vAlign w:val="center"/>
                </w:tcPr>
                <w:p>
                  <w:pPr>
                    <w:spacing w:line="360" w:lineRule="auto"/>
                    <w:jc w:val="center"/>
                    <w:rPr>
                      <w:szCs w:val="21"/>
                    </w:rPr>
                  </w:pPr>
                  <w:r>
                    <w:rPr>
                      <w:szCs w:val="21"/>
                    </w:rPr>
                    <w:t>110kV</w:t>
                  </w:r>
                </w:p>
              </w:tc>
            </w:tr>
          </w:tbl>
          <w:p>
            <w:pPr>
              <w:spacing w:line="360" w:lineRule="auto"/>
              <w:ind w:firstLine="482"/>
              <w:rPr>
                <w:sz w:val="28"/>
                <w:szCs w:val="28"/>
              </w:rPr>
            </w:pPr>
            <w:r>
              <w:rPr>
                <w:sz w:val="28"/>
                <w:szCs w:val="28"/>
              </w:rPr>
              <w:t xml:space="preserve">（2）电场强度预测结果 </w:t>
            </w:r>
          </w:p>
          <w:p>
            <w:pPr>
              <w:spacing w:after="120" w:afterLines="50" w:line="360" w:lineRule="auto"/>
              <w:ind w:firstLine="480"/>
              <w:rPr>
                <w:sz w:val="28"/>
              </w:rPr>
            </w:pPr>
            <w:r>
              <w:rPr>
                <w:bCs/>
                <w:sz w:val="28"/>
                <w:szCs w:val="28"/>
              </w:rPr>
              <w:t>在选取表14中典型设计参数的条件下，110kV单回路段、110kV双回路段</w:t>
            </w:r>
            <w:r>
              <w:rPr>
                <w:sz w:val="28"/>
                <w:szCs w:val="28"/>
              </w:rPr>
              <w:t>，不同线路对地高度条件下</w:t>
            </w:r>
            <w:r>
              <w:rPr>
                <w:sz w:val="28"/>
              </w:rPr>
              <w:t>地面上方1.5m处的工频电场强度分布分别如图9(a)、(b)所示。</w:t>
            </w:r>
          </w:p>
          <w:p>
            <w:pPr>
              <w:spacing w:before="120" w:beforeLines="50" w:line="360" w:lineRule="auto"/>
              <w:jc w:val="center"/>
              <w:rPr>
                <w:sz w:val="28"/>
                <w:szCs w:val="28"/>
              </w:rPr>
            </w:pPr>
            <w:r>
              <w:rPr>
                <w:sz w:val="28"/>
                <w:szCs w:val="28"/>
              </w:rPr>
              <w:drawing>
                <wp:inline distT="0" distB="0" distL="114300" distR="114300">
                  <wp:extent cx="4149725" cy="3208655"/>
                  <wp:effectExtent l="0" t="0" r="3175" b="10795"/>
                  <wp:docPr id="7" name="图片 34" descr="1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descr="1_E"/>
                          <pic:cNvPicPr>
                            <a:picLocks noChangeAspect="1"/>
                          </pic:cNvPicPr>
                        </pic:nvPicPr>
                        <pic:blipFill>
                          <a:blip r:embed="rId70"/>
                          <a:srcRect l="3246" t="4956" r="4994"/>
                          <a:stretch>
                            <a:fillRect/>
                          </a:stretch>
                        </pic:blipFill>
                        <pic:spPr>
                          <a:xfrm>
                            <a:off x="0" y="0"/>
                            <a:ext cx="4149725" cy="3208655"/>
                          </a:xfrm>
                          <a:prstGeom prst="rect">
                            <a:avLst/>
                          </a:prstGeom>
                          <a:noFill/>
                          <a:ln w="9525">
                            <a:noFill/>
                          </a:ln>
                        </pic:spPr>
                      </pic:pic>
                    </a:graphicData>
                  </a:graphic>
                </wp:inline>
              </w:drawing>
            </w:r>
          </w:p>
          <w:p>
            <w:pPr>
              <w:spacing w:before="120" w:beforeLines="50" w:line="360" w:lineRule="auto"/>
              <w:jc w:val="center"/>
              <w:rPr>
                <w:sz w:val="24"/>
                <w:szCs w:val="24"/>
              </w:rPr>
            </w:pPr>
            <w:r>
              <w:rPr>
                <w:sz w:val="24"/>
                <w:szCs w:val="24"/>
              </w:rPr>
              <w:t>(a) 单回架设</w:t>
            </w:r>
          </w:p>
          <w:p>
            <w:pPr>
              <w:spacing w:before="120" w:beforeLines="50" w:line="360" w:lineRule="auto"/>
              <w:jc w:val="center"/>
              <w:rPr>
                <w:sz w:val="28"/>
                <w:szCs w:val="28"/>
              </w:rPr>
            </w:pPr>
            <w:r>
              <w:rPr>
                <w:sz w:val="28"/>
                <w:szCs w:val="28"/>
              </w:rPr>
              <w:drawing>
                <wp:inline distT="0" distB="0" distL="114300" distR="114300">
                  <wp:extent cx="4737735" cy="3587750"/>
                  <wp:effectExtent l="0" t="0" r="5715" b="12700"/>
                  <wp:docPr id="8" name="图片 35" descr="2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5" descr="2_E"/>
                          <pic:cNvPicPr>
                            <a:picLocks noChangeAspect="1"/>
                          </pic:cNvPicPr>
                        </pic:nvPicPr>
                        <pic:blipFill>
                          <a:blip r:embed="rId71"/>
                          <a:srcRect t="4581" r="5243"/>
                          <a:stretch>
                            <a:fillRect/>
                          </a:stretch>
                        </pic:blipFill>
                        <pic:spPr>
                          <a:xfrm>
                            <a:off x="0" y="0"/>
                            <a:ext cx="4737735" cy="3587750"/>
                          </a:xfrm>
                          <a:prstGeom prst="rect">
                            <a:avLst/>
                          </a:prstGeom>
                          <a:noFill/>
                          <a:ln w="9525">
                            <a:noFill/>
                          </a:ln>
                        </pic:spPr>
                      </pic:pic>
                    </a:graphicData>
                  </a:graphic>
                </wp:inline>
              </w:drawing>
            </w:r>
          </w:p>
          <w:p>
            <w:pPr>
              <w:spacing w:before="120" w:beforeLines="50" w:line="360" w:lineRule="auto"/>
              <w:jc w:val="center"/>
              <w:rPr>
                <w:sz w:val="24"/>
                <w:szCs w:val="24"/>
              </w:rPr>
            </w:pPr>
            <w:r>
              <w:rPr>
                <w:sz w:val="24"/>
                <w:szCs w:val="24"/>
              </w:rPr>
              <w:t>(b) 双回架设</w:t>
            </w:r>
          </w:p>
          <w:p>
            <w:pPr>
              <w:pStyle w:val="15"/>
              <w:spacing w:before="120" w:beforeLines="50" w:line="360" w:lineRule="auto"/>
              <w:ind w:firstLine="0" w:firstLineChars="0"/>
              <w:jc w:val="center"/>
              <w:rPr>
                <w:rFonts w:ascii="Times New Roman" w:hAnsi="Times New Roman" w:eastAsia="宋体" w:cs="Times New Roman"/>
                <w:szCs w:val="24"/>
              </w:rPr>
            </w:pPr>
            <w:r>
              <w:rPr>
                <w:rFonts w:ascii="Times New Roman" w:hAnsi="Times New Roman" w:eastAsia="宋体" w:cs="Times New Roman"/>
                <w:szCs w:val="24"/>
              </w:rPr>
              <w:t>图4  110kV送出线路工频电场强度预测结果</w:t>
            </w:r>
          </w:p>
          <w:p>
            <w:pPr>
              <w:spacing w:after="120" w:afterLines="50" w:line="360" w:lineRule="auto"/>
              <w:ind w:firstLine="560" w:firstLineChars="200"/>
              <w:jc w:val="left"/>
              <w:rPr>
                <w:sz w:val="28"/>
                <w:szCs w:val="28"/>
              </w:rPr>
            </w:pPr>
            <w:r>
              <w:rPr>
                <w:sz w:val="28"/>
                <w:szCs w:val="28"/>
              </w:rPr>
              <w:t>根据图9所示预测结果， 110kV送出线路下导线离地5m时，单回架设与双回架设两种条件下线下地面上方1.5m处最大电场强度分别为2.911kV/m和2.976kV/m，能够满足</w:t>
            </w:r>
            <w:r>
              <w:rPr>
                <w:iCs/>
                <w:sz w:val="28"/>
                <w:szCs w:val="28"/>
              </w:rPr>
              <w:t>《电磁环境控制限值》(GB8702-2014)</w:t>
            </w:r>
            <w:r>
              <w:rPr>
                <w:sz w:val="28"/>
                <w:szCs w:val="28"/>
              </w:rPr>
              <w:t>中4kV/m的限值要求。随着线路对地距离增加，电场强度值显著减小，因此，从环境保护的角度，当线路附近存在民房时应适当抬高对地高度。</w:t>
            </w:r>
          </w:p>
          <w:p>
            <w:pPr>
              <w:spacing w:after="120" w:afterLines="50" w:line="360" w:lineRule="auto"/>
              <w:ind w:firstLine="482"/>
              <w:rPr>
                <w:sz w:val="28"/>
                <w:szCs w:val="28"/>
              </w:rPr>
            </w:pPr>
            <w:r>
              <w:rPr>
                <w:sz w:val="28"/>
                <w:szCs w:val="28"/>
              </w:rPr>
              <w:t>（3）磁感应强度预测结果</w:t>
            </w:r>
          </w:p>
          <w:p>
            <w:pPr>
              <w:spacing w:after="120" w:afterLines="50" w:line="360" w:lineRule="auto"/>
              <w:ind w:firstLine="480"/>
              <w:rPr>
                <w:sz w:val="28"/>
              </w:rPr>
            </w:pPr>
            <w:r>
              <w:rPr>
                <w:bCs/>
                <w:sz w:val="28"/>
                <w:szCs w:val="28"/>
              </w:rPr>
              <w:t>在选取表14中典型设计参数的条件下，110kV单回路段、110kV双回路段</w:t>
            </w:r>
            <w:r>
              <w:rPr>
                <w:sz w:val="28"/>
                <w:szCs w:val="28"/>
              </w:rPr>
              <w:t>，不同线路对地高度条件下</w:t>
            </w:r>
            <w:r>
              <w:rPr>
                <w:sz w:val="28"/>
              </w:rPr>
              <w:t>地面上方1.5m处的工频电场强度分布分别如图10(a)、(b)所示。</w:t>
            </w:r>
          </w:p>
          <w:p>
            <w:pPr>
              <w:spacing w:after="120" w:afterLines="50" w:line="360" w:lineRule="auto"/>
              <w:jc w:val="center"/>
              <w:rPr>
                <w:sz w:val="28"/>
              </w:rPr>
            </w:pPr>
            <w:r>
              <w:rPr>
                <w:sz w:val="28"/>
              </w:rPr>
              <w:drawing>
                <wp:inline distT="0" distB="0" distL="114300" distR="114300">
                  <wp:extent cx="3957955" cy="3176270"/>
                  <wp:effectExtent l="0" t="0" r="4445" b="5080"/>
                  <wp:docPr id="9" name="图片 36" descr="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6" descr="1_B"/>
                          <pic:cNvPicPr>
                            <a:picLocks noChangeAspect="1"/>
                          </pic:cNvPicPr>
                        </pic:nvPicPr>
                        <pic:blipFill>
                          <a:blip r:embed="rId72"/>
                          <a:srcRect l="4021" t="4366" r="6512"/>
                          <a:stretch>
                            <a:fillRect/>
                          </a:stretch>
                        </pic:blipFill>
                        <pic:spPr>
                          <a:xfrm>
                            <a:off x="0" y="0"/>
                            <a:ext cx="3957955" cy="3176270"/>
                          </a:xfrm>
                          <a:prstGeom prst="rect">
                            <a:avLst/>
                          </a:prstGeom>
                          <a:noFill/>
                          <a:ln w="9525">
                            <a:noFill/>
                          </a:ln>
                        </pic:spPr>
                      </pic:pic>
                    </a:graphicData>
                  </a:graphic>
                </wp:inline>
              </w:drawing>
            </w:r>
          </w:p>
          <w:p>
            <w:pPr>
              <w:spacing w:after="120" w:afterLines="50" w:line="360" w:lineRule="auto"/>
              <w:jc w:val="center"/>
              <w:rPr>
                <w:sz w:val="28"/>
              </w:rPr>
            </w:pPr>
            <w:r>
              <w:rPr>
                <w:sz w:val="24"/>
                <w:szCs w:val="24"/>
              </w:rPr>
              <w:t>(a) 110kV单回架设</w:t>
            </w:r>
          </w:p>
          <w:p>
            <w:pPr>
              <w:spacing w:after="120" w:afterLines="50" w:line="360" w:lineRule="auto"/>
              <w:jc w:val="center"/>
              <w:rPr>
                <w:sz w:val="28"/>
              </w:rPr>
            </w:pPr>
            <w:r>
              <w:rPr>
                <w:sz w:val="28"/>
              </w:rPr>
              <w:drawing>
                <wp:inline distT="0" distB="0" distL="114300" distR="114300">
                  <wp:extent cx="4032250" cy="3192145"/>
                  <wp:effectExtent l="0" t="0" r="6350" b="8255"/>
                  <wp:docPr id="10" name="图片 37" descr="2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7" descr="2_B"/>
                          <pic:cNvPicPr>
                            <a:picLocks noChangeAspect="1"/>
                          </pic:cNvPicPr>
                        </pic:nvPicPr>
                        <pic:blipFill>
                          <a:blip r:embed="rId73"/>
                          <a:srcRect l="4564" t="5127" r="5261"/>
                          <a:stretch>
                            <a:fillRect/>
                          </a:stretch>
                        </pic:blipFill>
                        <pic:spPr>
                          <a:xfrm>
                            <a:off x="0" y="0"/>
                            <a:ext cx="4032250" cy="3192145"/>
                          </a:xfrm>
                          <a:prstGeom prst="rect">
                            <a:avLst/>
                          </a:prstGeom>
                          <a:noFill/>
                          <a:ln w="9525">
                            <a:noFill/>
                          </a:ln>
                        </pic:spPr>
                      </pic:pic>
                    </a:graphicData>
                  </a:graphic>
                </wp:inline>
              </w:drawing>
            </w:r>
          </w:p>
          <w:p>
            <w:pPr>
              <w:spacing w:before="120" w:beforeLines="50" w:line="360" w:lineRule="auto"/>
              <w:jc w:val="center"/>
              <w:rPr>
                <w:sz w:val="24"/>
                <w:szCs w:val="24"/>
              </w:rPr>
            </w:pPr>
            <w:r>
              <w:rPr>
                <w:sz w:val="24"/>
                <w:szCs w:val="24"/>
              </w:rPr>
              <w:t>(b) 双回架设</w:t>
            </w:r>
          </w:p>
          <w:p>
            <w:pPr>
              <w:spacing w:before="120" w:beforeLines="50" w:line="360" w:lineRule="auto"/>
              <w:jc w:val="center"/>
              <w:rPr>
                <w:sz w:val="24"/>
                <w:szCs w:val="24"/>
              </w:rPr>
            </w:pPr>
            <w:r>
              <w:rPr>
                <w:sz w:val="24"/>
                <w:szCs w:val="24"/>
              </w:rPr>
              <w:t>图10  110kV送出线路磁感应强度预测结果</w:t>
            </w:r>
          </w:p>
          <w:p>
            <w:pPr>
              <w:spacing w:line="360" w:lineRule="auto"/>
              <w:ind w:firstLine="560" w:firstLineChars="200"/>
              <w:rPr>
                <w:sz w:val="28"/>
                <w:szCs w:val="28"/>
              </w:rPr>
            </w:pPr>
            <w:r>
              <w:rPr>
                <w:sz w:val="28"/>
                <w:szCs w:val="28"/>
              </w:rPr>
              <w:t>根据图10所示预测结果，110kV送出线路下导线离地5m时，单回架设与双回架设两种条件下线下地面上方1.5m处最大磁感应强度分别为12.88μT和8.956μT，能够满足</w:t>
            </w:r>
            <w:r>
              <w:rPr>
                <w:iCs/>
                <w:sz w:val="28"/>
                <w:szCs w:val="28"/>
              </w:rPr>
              <w:t>《电磁环境控制限值》(GB8702-2014)</w:t>
            </w:r>
            <w:r>
              <w:rPr>
                <w:sz w:val="28"/>
                <w:szCs w:val="28"/>
              </w:rPr>
              <w:t>中100μT的限值要求。随着线路对地距离增加，磁感应强度值显著减小，因此，从环境保护的角度，当线路附近存在民房时应适当抬高对地高度。</w:t>
            </w:r>
          </w:p>
          <w:p>
            <w:pPr>
              <w:spacing w:after="120" w:afterLines="50" w:line="360" w:lineRule="auto"/>
              <w:ind w:firstLine="560" w:firstLineChars="200"/>
              <w:jc w:val="left"/>
              <w:rPr>
                <w:sz w:val="28"/>
                <w:szCs w:val="28"/>
              </w:rPr>
            </w:pPr>
            <w:r>
              <w:rPr>
                <w:sz w:val="28"/>
                <w:szCs w:val="28"/>
              </w:rPr>
              <w:t>（4）与类比预测结果的比较</w:t>
            </w:r>
          </w:p>
          <w:p>
            <w:pPr>
              <w:spacing w:line="360" w:lineRule="auto"/>
              <w:ind w:firstLine="560" w:firstLineChars="200"/>
              <w:rPr>
                <w:sz w:val="28"/>
                <w:szCs w:val="28"/>
              </w:rPr>
            </w:pPr>
            <w:r>
              <w:rPr>
                <w:sz w:val="28"/>
                <w:szCs w:val="28"/>
              </w:rPr>
              <w:t>类比线路监测断面对应线路高度为22m。</w:t>
            </w:r>
          </w:p>
          <w:p>
            <w:pPr>
              <w:spacing w:line="360" w:lineRule="auto"/>
              <w:ind w:firstLine="560" w:firstLineChars="200"/>
              <w:rPr>
                <w:sz w:val="28"/>
                <w:szCs w:val="28"/>
              </w:rPr>
            </w:pPr>
            <w:r>
              <w:rPr>
                <w:sz w:val="28"/>
                <w:szCs w:val="28"/>
              </w:rPr>
              <w:t>根据图9所示模式预测结果，单回架设110kV线路导线离地高度为25m、双回架设110kV线路导线离地30m时，地面上方1.5m处最大电场强度分别为135.2V/m、241.6V/m，</w:t>
            </w:r>
            <w:r>
              <w:rPr>
                <w:bCs/>
                <w:sz w:val="28"/>
                <w:szCs w:val="28"/>
              </w:rPr>
              <w:t>1.1.2节中的类比预测结果分别为</w:t>
            </w:r>
            <w:r>
              <w:rPr>
                <w:sz w:val="28"/>
                <w:szCs w:val="28"/>
              </w:rPr>
              <w:t>128.6V/m、203.4V/m</w:t>
            </w:r>
            <w:r>
              <w:rPr>
                <w:bCs/>
                <w:sz w:val="28"/>
                <w:szCs w:val="28"/>
              </w:rPr>
              <w:t>，模式预测与类比预测结果相近，由此可见本报告中的理论预测结论是可信的。</w:t>
            </w:r>
          </w:p>
          <w:p>
            <w:pPr>
              <w:spacing w:line="360" w:lineRule="auto"/>
              <w:ind w:firstLine="560" w:firstLineChars="200"/>
              <w:rPr>
                <w:bCs/>
                <w:sz w:val="28"/>
                <w:szCs w:val="28"/>
              </w:rPr>
            </w:pPr>
            <w:r>
              <w:rPr>
                <w:sz w:val="28"/>
                <w:szCs w:val="28"/>
              </w:rPr>
              <w:t>根据图10所示预测结果，单回架设110kV线路导线离地高度为25m、双回架设110kV线路导线离地30m时，地面上方1.5m处最大磁感应强度折算至相同负荷条件时分别为498.0</w:t>
            </w:r>
            <w:r>
              <w:rPr>
                <w:bCs/>
                <w:sz w:val="28"/>
                <w:szCs w:val="28"/>
              </w:rPr>
              <w:t>×10</w:t>
            </w:r>
            <w:r>
              <w:rPr>
                <w:bCs/>
                <w:sz w:val="28"/>
                <w:szCs w:val="28"/>
                <w:vertAlign w:val="superscript"/>
              </w:rPr>
              <w:t>-3</w:t>
            </w:r>
            <w:r>
              <w:rPr>
                <w:bCs/>
                <w:sz w:val="28"/>
                <w:szCs w:val="28"/>
              </w:rPr>
              <w:t>μT</w:t>
            </w:r>
            <w:r>
              <w:rPr>
                <w:sz w:val="28"/>
                <w:szCs w:val="28"/>
              </w:rPr>
              <w:t>、290.6</w:t>
            </w:r>
            <w:r>
              <w:rPr>
                <w:bCs/>
                <w:sz w:val="28"/>
                <w:szCs w:val="28"/>
              </w:rPr>
              <w:t>×10</w:t>
            </w:r>
            <w:r>
              <w:rPr>
                <w:bCs/>
                <w:sz w:val="28"/>
                <w:szCs w:val="28"/>
                <w:vertAlign w:val="superscript"/>
              </w:rPr>
              <w:t>-3</w:t>
            </w:r>
            <w:r>
              <w:rPr>
                <w:bCs/>
                <w:sz w:val="28"/>
                <w:szCs w:val="28"/>
              </w:rPr>
              <w:t>μT</w:t>
            </w:r>
            <w:r>
              <w:rPr>
                <w:sz w:val="28"/>
                <w:szCs w:val="28"/>
              </w:rPr>
              <w:t>，</w:t>
            </w:r>
            <w:r>
              <w:rPr>
                <w:bCs/>
                <w:sz w:val="28"/>
                <w:szCs w:val="28"/>
              </w:rPr>
              <w:t>1.1.2节中的类比预测结果分别为492.0×10</w:t>
            </w:r>
            <w:r>
              <w:rPr>
                <w:bCs/>
                <w:sz w:val="28"/>
                <w:szCs w:val="28"/>
                <w:vertAlign w:val="superscript"/>
              </w:rPr>
              <w:t>-3</w:t>
            </w:r>
            <w:r>
              <w:rPr>
                <w:bCs/>
                <w:sz w:val="28"/>
                <w:szCs w:val="28"/>
              </w:rPr>
              <w:t>μT</w:t>
            </w:r>
            <w:r>
              <w:rPr>
                <w:sz w:val="28"/>
                <w:szCs w:val="28"/>
              </w:rPr>
              <w:t>、297.0</w:t>
            </w:r>
            <w:r>
              <w:rPr>
                <w:bCs/>
                <w:sz w:val="28"/>
                <w:szCs w:val="28"/>
              </w:rPr>
              <w:t>×10</w:t>
            </w:r>
            <w:r>
              <w:rPr>
                <w:bCs/>
                <w:sz w:val="28"/>
                <w:szCs w:val="28"/>
                <w:vertAlign w:val="superscript"/>
              </w:rPr>
              <w:t>-3</w:t>
            </w:r>
            <w:r>
              <w:rPr>
                <w:bCs/>
                <w:sz w:val="28"/>
                <w:szCs w:val="28"/>
              </w:rPr>
              <w:t>μT，模式预测与类比预测结果相近，由此可见本报告中的理论预测结论是可信的。</w:t>
            </w:r>
          </w:p>
          <w:p>
            <w:pPr>
              <w:spacing w:before="72" w:beforeLines="30"/>
              <w:rPr>
                <w:b/>
                <w:sz w:val="28"/>
              </w:rPr>
            </w:pPr>
            <w:r>
              <w:rPr>
                <w:b/>
                <w:sz w:val="28"/>
              </w:rPr>
              <w:t>2 声环境影响预测与评价</w:t>
            </w:r>
          </w:p>
          <w:p>
            <w:pPr>
              <w:spacing w:before="120" w:beforeLines="50" w:line="360" w:lineRule="auto"/>
              <w:ind w:right="101" w:rightChars="48"/>
              <w:rPr>
                <w:sz w:val="28"/>
                <w:szCs w:val="28"/>
              </w:rPr>
            </w:pPr>
            <w:r>
              <w:rPr>
                <w:sz w:val="28"/>
                <w:szCs w:val="28"/>
              </w:rPr>
              <w:t>2.1 变电站声环境预测与评价</w:t>
            </w:r>
          </w:p>
          <w:p>
            <w:pPr>
              <w:spacing w:before="120" w:beforeLines="50" w:line="360" w:lineRule="auto"/>
              <w:ind w:right="101" w:rightChars="48"/>
              <w:rPr>
                <w:sz w:val="28"/>
                <w:szCs w:val="28"/>
              </w:rPr>
            </w:pPr>
            <w:r>
              <w:rPr>
                <w:sz w:val="28"/>
                <w:szCs w:val="28"/>
              </w:rPr>
              <w:t>2.1.1 户外式变电站</w:t>
            </w:r>
          </w:p>
          <w:p>
            <w:pPr>
              <w:spacing w:line="360" w:lineRule="auto"/>
              <w:ind w:right="101" w:rightChars="48" w:firstLine="560" w:firstLineChars="200"/>
              <w:rPr>
                <w:bCs/>
                <w:sz w:val="28"/>
                <w:szCs w:val="28"/>
              </w:rPr>
            </w:pPr>
            <w:r>
              <w:rPr>
                <w:sz w:val="28"/>
                <w:szCs w:val="28"/>
              </w:rPr>
              <w:t>变电站对周围声环境的影响主要是由变电站中的主变压器、风机运行时所产生的噪声</w:t>
            </w:r>
            <w:r>
              <w:rPr>
                <w:bCs/>
                <w:sz w:val="28"/>
                <w:szCs w:val="28"/>
              </w:rPr>
              <w:t>。全户外式城东、高沙、黄陂桥、大岭、六岭变电站运行期声环境影响采用模式预测的方法进行预测。</w:t>
            </w:r>
          </w:p>
          <w:p>
            <w:pPr>
              <w:spacing w:before="120" w:beforeLines="50" w:line="360" w:lineRule="auto"/>
              <w:ind w:right="101" w:rightChars="48" w:firstLine="560" w:firstLineChars="200"/>
              <w:rPr>
                <w:sz w:val="28"/>
                <w:szCs w:val="28"/>
              </w:rPr>
            </w:pPr>
            <w:r>
              <w:rPr>
                <w:sz w:val="28"/>
                <w:szCs w:val="28"/>
              </w:rPr>
              <w:t>（1）噪声源强</w:t>
            </w:r>
          </w:p>
          <w:p>
            <w:pPr>
              <w:spacing w:line="360" w:lineRule="auto"/>
              <w:ind w:right="101" w:rightChars="48" w:firstLine="560" w:firstLineChars="200"/>
              <w:rPr>
                <w:sz w:val="28"/>
                <w:szCs w:val="28"/>
              </w:rPr>
            </w:pPr>
            <w:r>
              <w:rPr>
                <w:sz w:val="28"/>
                <w:szCs w:val="28"/>
              </w:rPr>
              <w:t>110kV户外变电站的主要噪声源为主变压器，根据典型110kV主变压器运行期间的噪声类比监测数据及相关设计资料，取较高水平按照距离110kV主变压器1m处声压级65d</w:t>
            </w:r>
            <w:bookmarkStart w:id="29" w:name="OLE_LINK11"/>
            <w:bookmarkStart w:id="30" w:name="OLE_LINK13"/>
            <w:r>
              <w:rPr>
                <w:sz w:val="28"/>
                <w:szCs w:val="28"/>
              </w:rPr>
              <w:t>B（A）</w:t>
            </w:r>
            <w:bookmarkEnd w:id="29"/>
            <w:bookmarkEnd w:id="30"/>
            <w:r>
              <w:rPr>
                <w:sz w:val="28"/>
                <w:szCs w:val="28"/>
              </w:rPr>
              <w:t>计算。</w:t>
            </w:r>
          </w:p>
          <w:p>
            <w:pPr>
              <w:spacing w:line="360" w:lineRule="auto"/>
              <w:ind w:right="101" w:rightChars="48" w:firstLine="560" w:firstLineChars="200"/>
              <w:rPr>
                <w:sz w:val="28"/>
                <w:szCs w:val="28"/>
              </w:rPr>
            </w:pPr>
            <w:r>
              <w:rPr>
                <w:sz w:val="28"/>
                <w:szCs w:val="28"/>
              </w:rPr>
              <w:t>（2）计算模式</w:t>
            </w:r>
          </w:p>
          <w:p>
            <w:pPr>
              <w:spacing w:line="360" w:lineRule="auto"/>
              <w:ind w:right="101" w:rightChars="48" w:firstLine="560" w:firstLineChars="200"/>
              <w:rPr>
                <w:sz w:val="28"/>
                <w:szCs w:val="28"/>
              </w:rPr>
            </w:pPr>
            <w:r>
              <w:rPr>
                <w:sz w:val="28"/>
                <w:szCs w:val="28"/>
              </w:rPr>
              <w:t>变电站噪声预测采用《环境影响评价技术导则 声环境》（HJ 2.4-2009）中的室外工业噪声预测计算模式。</w:t>
            </w:r>
          </w:p>
          <w:p>
            <w:pPr>
              <w:spacing w:line="360" w:lineRule="auto"/>
              <w:ind w:right="101" w:rightChars="48" w:firstLine="560" w:firstLineChars="200"/>
              <w:rPr>
                <w:sz w:val="28"/>
                <w:szCs w:val="28"/>
              </w:rPr>
            </w:pPr>
            <w:r>
              <w:rPr>
                <w:sz w:val="28"/>
                <w:szCs w:val="28"/>
              </w:rPr>
              <w:t>a．点声源衰减公式</w:t>
            </w:r>
          </w:p>
          <w:p>
            <w:pPr>
              <w:spacing w:line="360" w:lineRule="auto"/>
              <w:ind w:right="101" w:rightChars="48" w:firstLine="560" w:firstLineChars="200"/>
              <w:rPr>
                <w:sz w:val="28"/>
                <w:szCs w:val="28"/>
              </w:rPr>
            </w:pPr>
            <w:r>
              <w:rPr>
                <w:sz w:val="28"/>
                <w:szCs w:val="28"/>
              </w:rPr>
              <w:object>
                <v:shape id="_x0000_i1062" o:spt="75" type="#_x0000_t75" style="height:34pt;width:147pt;" o:ole="t" filled="f" o:preferrelative="t" stroked="f" coordsize="21600,21600">
                  <v:path/>
                  <v:fill on="f" alignshape="1" focussize="0,0"/>
                  <v:stroke on="f"/>
                  <v:imagedata r:id="rId75" grayscale="f" bilevel="f" o:title=""/>
                  <o:lock v:ext="edit" aspectratio="t"/>
                  <w10:wrap type="none"/>
                  <w10:anchorlock/>
                </v:shape>
                <o:OLEObject Type="Embed" ProgID="Equation.3" ShapeID="_x0000_i1062" DrawAspect="Content" ObjectID="_1468075753" r:id="rId74">
                  <o:LockedField>false</o:LockedField>
                </o:OLEObject>
              </w:object>
            </w:r>
          </w:p>
          <w:p>
            <w:pPr>
              <w:spacing w:line="360" w:lineRule="auto"/>
              <w:ind w:right="101" w:rightChars="48" w:firstLine="560" w:firstLineChars="200"/>
              <w:rPr>
                <w:sz w:val="28"/>
                <w:szCs w:val="28"/>
              </w:rPr>
            </w:pPr>
            <w:r>
              <w:rPr>
                <w:sz w:val="28"/>
                <w:szCs w:val="28"/>
              </w:rPr>
              <w:t>式中：</w:t>
            </w:r>
          </w:p>
          <w:p>
            <w:pPr>
              <w:spacing w:line="360" w:lineRule="auto"/>
              <w:ind w:right="101" w:rightChars="48" w:firstLine="560" w:firstLineChars="200"/>
              <w:rPr>
                <w:sz w:val="28"/>
                <w:szCs w:val="28"/>
              </w:rPr>
            </w:pPr>
            <w:r>
              <w:rPr>
                <w:sz w:val="28"/>
                <w:szCs w:val="28"/>
              </w:rPr>
              <w:object>
                <v:shape id="_x0000_i1063" o:spt="75" type="#_x0000_t75" style="height:17pt;width:31pt;" o:ole="t" filled="f" o:preferrelative="t" stroked="f" coordsize="21600,21600">
                  <v:path/>
                  <v:fill on="f" alignshape="1" focussize="0,0"/>
                  <v:stroke on="f"/>
                  <v:imagedata r:id="rId77" grayscale="f" bilevel="f" o:title=""/>
                  <o:lock v:ext="edit" aspectratio="t"/>
                  <w10:wrap type="none"/>
                  <w10:anchorlock/>
                </v:shape>
                <o:OLEObject Type="Embed" ProgID="Equation.3" ShapeID="_x0000_i1063" DrawAspect="Content" ObjectID="_1468075754" r:id="rId76">
                  <o:LockedField>false</o:LockedField>
                </o:OLEObject>
              </w:object>
            </w:r>
            <w:r>
              <w:rPr>
                <w:sz w:val="28"/>
                <w:szCs w:val="28"/>
              </w:rPr>
              <w:t>——点声源在预测点</w:t>
            </w:r>
            <w:r>
              <w:rPr>
                <w:sz w:val="28"/>
                <w:szCs w:val="28"/>
              </w:rPr>
              <w:object>
                <v:shape id="_x0000_i1064" o:spt="75" type="#_x0000_t75" style="height:10pt;width:9pt;" o:ole="t" filled="f" stroked="f" coordsize="21600,21600">
                  <v:path/>
                  <v:fill on="f" focussize="0,0"/>
                  <v:stroke on="f"/>
                  <v:imagedata r:id="rId79" o:title=""/>
                  <o:lock v:ext="edit" aspectratio="t"/>
                  <w10:wrap type="none"/>
                  <w10:anchorlock/>
                </v:shape>
                <o:OLEObject Type="Embed" ProgID="Equation.3" ShapeID="_x0000_i1064" DrawAspect="Content" ObjectID="_1468075755" r:id="rId78">
                  <o:LockedField>false</o:LockedField>
                </o:OLEObject>
              </w:object>
            </w:r>
            <w:r>
              <w:rPr>
                <w:sz w:val="28"/>
                <w:szCs w:val="28"/>
              </w:rPr>
              <w:t>处的声压级，dB（A）；</w:t>
            </w:r>
          </w:p>
          <w:p>
            <w:pPr>
              <w:spacing w:line="360" w:lineRule="auto"/>
              <w:ind w:right="101" w:rightChars="48" w:firstLine="560" w:firstLineChars="200"/>
              <w:rPr>
                <w:sz w:val="28"/>
                <w:szCs w:val="28"/>
              </w:rPr>
            </w:pPr>
            <w:r>
              <w:rPr>
                <w:sz w:val="28"/>
                <w:szCs w:val="28"/>
              </w:rPr>
              <w:object>
                <v:shape id="_x0000_i1065" o:spt="75" type="#_x0000_t75" style="height:18pt;width:35pt;" o:ole="t" filled="f" o:preferrelative="t" stroked="f" coordsize="21600,21600">
                  <v:path/>
                  <v:fill on="f" alignshape="1" focussize="0,0"/>
                  <v:stroke on="f"/>
                  <v:imagedata r:id="rId81" grayscale="f" bilevel="f" o:title=""/>
                  <o:lock v:ext="edit" aspectratio="t"/>
                  <w10:wrap type="none"/>
                  <w10:anchorlock/>
                </v:shape>
                <o:OLEObject Type="Embed" ProgID="Equation.3" ShapeID="_x0000_i1065" DrawAspect="Content" ObjectID="_1468075756" r:id="rId80">
                  <o:LockedField>false</o:LockedField>
                </o:OLEObject>
              </w:object>
            </w:r>
            <w:r>
              <w:rPr>
                <w:sz w:val="28"/>
                <w:szCs w:val="28"/>
              </w:rPr>
              <w:t>——参考位置</w:t>
            </w:r>
            <w:r>
              <w:rPr>
                <w:sz w:val="28"/>
                <w:szCs w:val="28"/>
              </w:rPr>
              <w:object>
                <v:shape id="_x0000_i1066" o:spt="75" type="#_x0000_t75" style="height:18pt;width:11pt;" o:ole="t" filled="f" stroked="f" coordsize="21600,21600">
                  <v:path/>
                  <v:fill on="f" focussize="0,0"/>
                  <v:stroke on="f"/>
                  <v:imagedata r:id="rId83" o:title=""/>
                  <o:lock v:ext="edit" aspectratio="t"/>
                  <w10:wrap type="none"/>
                  <w10:anchorlock/>
                </v:shape>
                <o:OLEObject Type="Embed" ProgID="Equation.3" ShapeID="_x0000_i1066" DrawAspect="Content" ObjectID="_1468075757" r:id="rId82">
                  <o:LockedField>false</o:LockedField>
                </o:OLEObject>
              </w:object>
            </w:r>
            <w:r>
              <w:rPr>
                <w:sz w:val="28"/>
                <w:szCs w:val="28"/>
              </w:rPr>
              <w:t>处的声压级，dB（A）；</w:t>
            </w:r>
          </w:p>
          <w:p>
            <w:pPr>
              <w:spacing w:line="360" w:lineRule="auto"/>
              <w:ind w:right="101" w:rightChars="48" w:firstLine="560" w:firstLineChars="200"/>
              <w:rPr>
                <w:sz w:val="28"/>
                <w:szCs w:val="28"/>
              </w:rPr>
            </w:pPr>
            <w:r>
              <w:rPr>
                <w:sz w:val="28"/>
                <w:szCs w:val="28"/>
              </w:rPr>
              <w:object>
                <v:shape id="_x0000_i1067" o:spt="75" type="#_x0000_t75" style="height:13pt;width:18pt;" o:ole="t" filled="f" o:preferrelative="t" stroked="f" coordsize="21600,21600">
                  <v:path/>
                  <v:fill on="f" alignshape="1" focussize="0,0"/>
                  <v:stroke on="f"/>
                  <v:imagedata r:id="rId85" grayscale="f" bilevel="f" o:title=""/>
                  <o:lock v:ext="edit" aspectratio="t"/>
                  <w10:wrap type="none"/>
                  <w10:anchorlock/>
                </v:shape>
                <o:OLEObject Type="Embed" ProgID="Equation.3" ShapeID="_x0000_i1067" DrawAspect="Content" ObjectID="_1468075758" r:id="rId84">
                  <o:LockedField>false</o:LockedField>
                </o:OLEObject>
              </w:object>
            </w:r>
            <w:r>
              <w:rPr>
                <w:sz w:val="28"/>
                <w:szCs w:val="28"/>
              </w:rPr>
              <w:t>——各种因素引起的衰减量。</w:t>
            </w:r>
          </w:p>
          <w:p>
            <w:pPr>
              <w:spacing w:line="360" w:lineRule="auto"/>
              <w:ind w:right="101" w:rightChars="48" w:firstLine="560" w:firstLineChars="200"/>
              <w:rPr>
                <w:sz w:val="28"/>
                <w:szCs w:val="28"/>
              </w:rPr>
            </w:pPr>
            <w:r>
              <w:rPr>
                <w:sz w:val="28"/>
                <w:szCs w:val="28"/>
              </w:rPr>
              <w:t>b．预测点的总声压级用下式计算</w:t>
            </w:r>
          </w:p>
          <w:p>
            <w:pPr>
              <w:spacing w:line="360" w:lineRule="auto"/>
              <w:ind w:right="101" w:rightChars="48" w:firstLine="560" w:firstLineChars="200"/>
              <w:rPr>
                <w:sz w:val="28"/>
                <w:szCs w:val="28"/>
              </w:rPr>
            </w:pPr>
            <w:r>
              <w:rPr>
                <w:sz w:val="28"/>
                <w:szCs w:val="28"/>
              </w:rPr>
              <w:t>各噪声源在同一受点上的噪声叠加计算公式</w:t>
            </w:r>
          </w:p>
          <w:p>
            <w:pPr>
              <w:spacing w:line="360" w:lineRule="auto"/>
              <w:ind w:right="101" w:rightChars="48" w:firstLine="560" w:firstLineChars="200"/>
              <w:rPr>
                <w:sz w:val="28"/>
                <w:szCs w:val="28"/>
              </w:rPr>
            </w:pPr>
            <w:r>
              <w:rPr>
                <w:sz w:val="28"/>
                <w:szCs w:val="28"/>
              </w:rPr>
              <w:object>
                <v:shape id="_x0000_i1068" o:spt="75" type="#_x0000_t75" style="height:34pt;width:90pt;" o:ole="t" filled="f" o:preferrelative="t" stroked="f" coordsize="21600,21600">
                  <v:path/>
                  <v:fill on="f" alignshape="1" focussize="0,0"/>
                  <v:stroke on="f"/>
                  <v:imagedata r:id="rId87" grayscale="f" bilevel="f" o:title=""/>
                  <o:lock v:ext="edit" aspectratio="t"/>
                  <w10:wrap type="none"/>
                  <w10:anchorlock/>
                </v:shape>
                <o:OLEObject Type="Embed" ProgID="Equation.3" ShapeID="_x0000_i1068" DrawAspect="Content" ObjectID="_1468075759" r:id="rId86">
                  <o:LockedField>false</o:LockedField>
                </o:OLEObject>
              </w:object>
            </w:r>
          </w:p>
          <w:p>
            <w:pPr>
              <w:spacing w:line="360" w:lineRule="auto"/>
              <w:ind w:right="101" w:rightChars="48" w:firstLine="560" w:firstLineChars="200"/>
              <w:rPr>
                <w:sz w:val="28"/>
                <w:szCs w:val="28"/>
              </w:rPr>
            </w:pPr>
            <w:r>
              <w:rPr>
                <w:sz w:val="28"/>
                <w:szCs w:val="28"/>
              </w:rPr>
              <w:t>式中：</w:t>
            </w:r>
          </w:p>
          <w:p>
            <w:pPr>
              <w:ind w:right="101" w:rightChars="48" w:firstLine="560" w:firstLineChars="200"/>
              <w:rPr>
                <w:sz w:val="28"/>
              </w:rPr>
            </w:pPr>
            <w:r>
              <w:rPr>
                <w:position w:val="-4"/>
                <w:sz w:val="28"/>
              </w:rPr>
              <w:object>
                <v:shape id="_x0000_i1069" o:spt="75" type="#_x0000_t75" style="height:13pt;width:11pt;" o:ole="t" filled="f" o:preferrelative="t" stroked="f" coordsize="21600,21600">
                  <v:path/>
                  <v:fill on="f" alignshape="1" focussize="0,0"/>
                  <v:stroke on="f"/>
                  <v:imagedata r:id="rId89" grayscale="f" bilevel="f" o:title=""/>
                  <o:lock v:ext="edit" aspectratio="t"/>
                  <w10:wrap type="none"/>
                  <w10:anchorlock/>
                </v:shape>
                <o:OLEObject Type="Embed" ProgID="Equation.3" ShapeID="_x0000_i1069" DrawAspect="Content" ObjectID="_1468075760" r:id="rId88">
                  <o:LockedField>false</o:LockedField>
                </o:OLEObject>
              </w:object>
            </w:r>
            <w:r>
              <w:rPr>
                <w:sz w:val="28"/>
              </w:rPr>
              <w:t>——预测点的总声压级，dB（A）；</w:t>
            </w:r>
          </w:p>
          <w:p>
            <w:pPr>
              <w:spacing w:line="360" w:lineRule="auto"/>
              <w:ind w:right="101" w:rightChars="48" w:firstLine="560" w:firstLineChars="200"/>
              <w:rPr>
                <w:sz w:val="28"/>
                <w:szCs w:val="28"/>
              </w:rPr>
            </w:pPr>
            <w:r>
              <w:rPr>
                <w:sz w:val="28"/>
                <w:szCs w:val="28"/>
              </w:rPr>
              <w:object>
                <v:shape id="_x0000_i1070" o:spt="75" type="#_x0000_t75" style="height:18pt;width:13pt;" o:ole="t" filled="f" o:preferrelative="t" stroked="f" coordsize="21600,21600">
                  <v:path/>
                  <v:fill on="f" alignshape="1" focussize="0,0"/>
                  <v:stroke on="f"/>
                  <v:imagedata r:id="rId91" grayscale="f" bilevel="f" o:title=""/>
                  <o:lock v:ext="edit" aspectratio="t"/>
                  <w10:wrap type="none"/>
                  <w10:anchorlock/>
                </v:shape>
                <o:OLEObject Type="Embed" ProgID="Equation.3" ShapeID="_x0000_i1070" DrawAspect="Content" ObjectID="_1468075761" r:id="rId90">
                  <o:LockedField>false</o:LockedField>
                </o:OLEObject>
              </w:object>
            </w:r>
            <w:r>
              <w:rPr>
                <w:sz w:val="28"/>
                <w:szCs w:val="28"/>
              </w:rPr>
              <w:t>——第i个噪声源在计算点产生的声压级，dB（A）。</w:t>
            </w:r>
          </w:p>
          <w:p>
            <w:pPr>
              <w:spacing w:line="360" w:lineRule="auto"/>
              <w:ind w:right="101" w:rightChars="48" w:firstLine="560" w:firstLineChars="200"/>
              <w:rPr>
                <w:sz w:val="28"/>
                <w:szCs w:val="28"/>
              </w:rPr>
            </w:pPr>
            <w:r>
              <w:rPr>
                <w:sz w:val="28"/>
                <w:szCs w:val="28"/>
              </w:rPr>
              <w:t>（3）衰减因素选取</w:t>
            </w:r>
          </w:p>
          <w:p>
            <w:pPr>
              <w:spacing w:line="360" w:lineRule="auto"/>
              <w:ind w:right="101" w:rightChars="48" w:firstLine="560" w:firstLineChars="200"/>
              <w:rPr>
                <w:sz w:val="28"/>
                <w:szCs w:val="28"/>
              </w:rPr>
            </w:pPr>
            <w:r>
              <w:rPr>
                <w:sz w:val="28"/>
                <w:szCs w:val="28"/>
              </w:rPr>
              <w:t>预测计算时，在满足工程所需精度的前提下，采用了较为保守的考虑，在噪声衰减时只考虑了距离衰减，未考虑声源较远的无声源建筑物的屏蔽效应、建筑物之间的衍射和反射衰减、地面反射衰减和树木的声屏障衰减等。地面按光滑反射面考虑。</w:t>
            </w:r>
          </w:p>
          <w:p>
            <w:pPr>
              <w:spacing w:line="360" w:lineRule="auto"/>
              <w:ind w:right="101" w:rightChars="48" w:firstLine="560" w:firstLineChars="200"/>
              <w:rPr>
                <w:sz w:val="28"/>
                <w:szCs w:val="28"/>
              </w:rPr>
            </w:pPr>
            <w:r>
              <w:rPr>
                <w:sz w:val="28"/>
                <w:szCs w:val="28"/>
              </w:rPr>
              <w:t>（4）噪声计算结果及评价</w:t>
            </w:r>
          </w:p>
          <w:p>
            <w:pPr>
              <w:spacing w:line="360" w:lineRule="auto"/>
              <w:ind w:right="101" w:rightChars="48" w:firstLine="560" w:firstLineChars="200"/>
              <w:rPr>
                <w:sz w:val="28"/>
                <w:szCs w:val="28"/>
              </w:rPr>
            </w:pPr>
            <w:r>
              <w:rPr>
                <w:sz w:val="28"/>
                <w:szCs w:val="28"/>
              </w:rPr>
              <w:t>根据以上计算模式及参数，预测计算了新建及改扩建变电站主变对周围环境敏感点噪声的贡献值，同时与现状监测值进行叠加，结果见表24。</w:t>
            </w:r>
          </w:p>
          <w:p>
            <w:pPr>
              <w:spacing w:line="360" w:lineRule="auto"/>
              <w:ind w:right="101" w:rightChars="48" w:firstLine="1827" w:firstLineChars="650"/>
              <w:rPr>
                <w:b/>
                <w:sz w:val="28"/>
                <w:szCs w:val="28"/>
              </w:rPr>
            </w:pPr>
            <w:r>
              <w:rPr>
                <w:b/>
                <w:sz w:val="28"/>
                <w:szCs w:val="28"/>
              </w:rPr>
              <w:t>表24</w:t>
            </w:r>
            <w:r>
              <w:rPr>
                <w:rFonts w:hint="eastAsia"/>
                <w:b/>
                <w:sz w:val="28"/>
                <w:szCs w:val="28"/>
              </w:rPr>
              <w:t xml:space="preserve">  </w:t>
            </w:r>
            <w:r>
              <w:rPr>
                <w:b/>
                <w:sz w:val="28"/>
                <w:szCs w:val="28"/>
              </w:rPr>
              <w:t>各变电站噪声影响预测及评价结果</w:t>
            </w:r>
          </w:p>
          <w:tbl>
            <w:tblPr>
              <w:tblStyle w:val="11"/>
              <w:tblW w:w="8953"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457"/>
              <w:gridCol w:w="1325"/>
              <w:gridCol w:w="850"/>
              <w:gridCol w:w="709"/>
              <w:gridCol w:w="709"/>
              <w:gridCol w:w="850"/>
              <w:gridCol w:w="851"/>
              <w:gridCol w:w="850"/>
              <w:gridCol w:w="709"/>
              <w:gridCol w:w="709"/>
              <w:gridCol w:w="923"/>
              <w:gridCol w:w="1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gridAfter w:val="1"/>
                <w:wAfter w:w="11" w:type="dxa"/>
                <w:trHeight w:val="285" w:hRule="atLeast"/>
              </w:trPr>
              <w:tc>
                <w:tcPr>
                  <w:tcW w:w="1782" w:type="dxa"/>
                  <w:gridSpan w:val="2"/>
                  <w:vMerge w:val="restart"/>
                  <w:vAlign w:val="center"/>
                </w:tcPr>
                <w:p>
                  <w:pPr>
                    <w:jc w:val="center"/>
                    <w:rPr>
                      <w:szCs w:val="21"/>
                    </w:rPr>
                  </w:pPr>
                  <w:r>
                    <w:rPr>
                      <w:szCs w:val="21"/>
                    </w:rPr>
                    <w:t>位置</w:t>
                  </w:r>
                </w:p>
              </w:tc>
              <w:tc>
                <w:tcPr>
                  <w:tcW w:w="850" w:type="dxa"/>
                  <w:vMerge w:val="restart"/>
                  <w:vAlign w:val="center"/>
                </w:tcPr>
                <w:p>
                  <w:pPr>
                    <w:jc w:val="center"/>
                    <w:rPr>
                      <w:szCs w:val="21"/>
                    </w:rPr>
                  </w:pPr>
                  <w:r>
                    <w:rPr>
                      <w:szCs w:val="21"/>
                    </w:rPr>
                    <w:t>最大贡献值</w:t>
                  </w:r>
                </w:p>
              </w:tc>
              <w:tc>
                <w:tcPr>
                  <w:tcW w:w="3119" w:type="dxa"/>
                  <w:gridSpan w:val="4"/>
                  <w:vAlign w:val="center"/>
                </w:tcPr>
                <w:p>
                  <w:pPr>
                    <w:jc w:val="center"/>
                    <w:rPr>
                      <w:szCs w:val="21"/>
                    </w:rPr>
                  </w:pPr>
                  <w:r>
                    <w:rPr>
                      <w:szCs w:val="21"/>
                    </w:rPr>
                    <w:t>昼间 [dB（A）]</w:t>
                  </w:r>
                </w:p>
              </w:tc>
              <w:tc>
                <w:tcPr>
                  <w:tcW w:w="3191" w:type="dxa"/>
                  <w:gridSpan w:val="4"/>
                  <w:vAlign w:val="center"/>
                </w:tcPr>
                <w:p>
                  <w:pPr>
                    <w:jc w:val="center"/>
                    <w:rPr>
                      <w:szCs w:val="21"/>
                    </w:rPr>
                  </w:pPr>
                  <w:r>
                    <w:rPr>
                      <w:szCs w:val="21"/>
                    </w:rPr>
                    <w:t>夜间[dB（A）]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85" w:hRule="atLeast"/>
              </w:trPr>
              <w:tc>
                <w:tcPr>
                  <w:tcW w:w="1782" w:type="dxa"/>
                  <w:gridSpan w:val="2"/>
                  <w:vMerge w:val="continue"/>
                  <w:vAlign w:val="center"/>
                </w:tcPr>
                <w:p>
                  <w:pPr>
                    <w:jc w:val="center"/>
                    <w:rPr>
                      <w:szCs w:val="21"/>
                    </w:rPr>
                  </w:pPr>
                </w:p>
              </w:tc>
              <w:tc>
                <w:tcPr>
                  <w:tcW w:w="850" w:type="dxa"/>
                  <w:vMerge w:val="continue"/>
                  <w:vAlign w:val="center"/>
                </w:tcPr>
                <w:p>
                  <w:pPr>
                    <w:jc w:val="center"/>
                    <w:rPr>
                      <w:szCs w:val="21"/>
                    </w:rPr>
                  </w:pPr>
                </w:p>
              </w:tc>
              <w:tc>
                <w:tcPr>
                  <w:tcW w:w="709" w:type="dxa"/>
                  <w:vAlign w:val="center"/>
                </w:tcPr>
                <w:p>
                  <w:pPr>
                    <w:jc w:val="center"/>
                    <w:rPr>
                      <w:szCs w:val="21"/>
                    </w:rPr>
                  </w:pPr>
                  <w:r>
                    <w:rPr>
                      <w:szCs w:val="21"/>
                    </w:rPr>
                    <w:t>现状</w:t>
                  </w:r>
                </w:p>
              </w:tc>
              <w:tc>
                <w:tcPr>
                  <w:tcW w:w="709" w:type="dxa"/>
                  <w:vAlign w:val="center"/>
                </w:tcPr>
                <w:p>
                  <w:pPr>
                    <w:jc w:val="center"/>
                    <w:rPr>
                      <w:szCs w:val="21"/>
                    </w:rPr>
                  </w:pPr>
                  <w:r>
                    <w:rPr>
                      <w:szCs w:val="21"/>
                    </w:rPr>
                    <w:t>预测</w:t>
                  </w:r>
                </w:p>
              </w:tc>
              <w:tc>
                <w:tcPr>
                  <w:tcW w:w="850" w:type="dxa"/>
                  <w:vAlign w:val="center"/>
                </w:tcPr>
                <w:p>
                  <w:pPr>
                    <w:jc w:val="center"/>
                    <w:rPr>
                      <w:szCs w:val="21"/>
                    </w:rPr>
                  </w:pPr>
                  <w:r>
                    <w:rPr>
                      <w:szCs w:val="21"/>
                    </w:rPr>
                    <w:t>评价标准</w:t>
                  </w:r>
                </w:p>
              </w:tc>
              <w:tc>
                <w:tcPr>
                  <w:tcW w:w="851" w:type="dxa"/>
                  <w:vAlign w:val="center"/>
                </w:tcPr>
                <w:p>
                  <w:pPr>
                    <w:jc w:val="center"/>
                    <w:rPr>
                      <w:szCs w:val="21"/>
                    </w:rPr>
                  </w:pPr>
                  <w:r>
                    <w:rPr>
                      <w:szCs w:val="21"/>
                    </w:rPr>
                    <w:t>达标情况</w:t>
                  </w:r>
                </w:p>
              </w:tc>
              <w:tc>
                <w:tcPr>
                  <w:tcW w:w="850" w:type="dxa"/>
                  <w:vAlign w:val="center"/>
                </w:tcPr>
                <w:p>
                  <w:pPr>
                    <w:jc w:val="center"/>
                    <w:rPr>
                      <w:szCs w:val="21"/>
                    </w:rPr>
                  </w:pPr>
                  <w:r>
                    <w:rPr>
                      <w:szCs w:val="21"/>
                    </w:rPr>
                    <w:t>现状</w:t>
                  </w:r>
                </w:p>
              </w:tc>
              <w:tc>
                <w:tcPr>
                  <w:tcW w:w="709" w:type="dxa"/>
                  <w:vAlign w:val="center"/>
                </w:tcPr>
                <w:p>
                  <w:pPr>
                    <w:jc w:val="center"/>
                    <w:rPr>
                      <w:szCs w:val="21"/>
                    </w:rPr>
                  </w:pPr>
                  <w:r>
                    <w:rPr>
                      <w:szCs w:val="21"/>
                    </w:rPr>
                    <w:t>预测</w:t>
                  </w:r>
                </w:p>
              </w:tc>
              <w:tc>
                <w:tcPr>
                  <w:tcW w:w="709" w:type="dxa"/>
                  <w:vAlign w:val="center"/>
                </w:tcPr>
                <w:p>
                  <w:pPr>
                    <w:jc w:val="center"/>
                    <w:rPr>
                      <w:szCs w:val="21"/>
                    </w:rPr>
                  </w:pPr>
                  <w:r>
                    <w:rPr>
                      <w:szCs w:val="21"/>
                    </w:rPr>
                    <w:t>评价标准</w:t>
                  </w:r>
                </w:p>
              </w:tc>
              <w:tc>
                <w:tcPr>
                  <w:tcW w:w="934" w:type="dxa"/>
                  <w:gridSpan w:val="2"/>
                  <w:vAlign w:val="center"/>
                </w:tcPr>
                <w:p>
                  <w:pPr>
                    <w:jc w:val="center"/>
                    <w:rPr>
                      <w:szCs w:val="21"/>
                    </w:rPr>
                  </w:pPr>
                  <w:r>
                    <w:rPr>
                      <w:szCs w:val="21"/>
                    </w:rPr>
                    <w:t>达标情况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restart"/>
                  <w:vAlign w:val="center"/>
                </w:tcPr>
                <w:p>
                  <w:pPr>
                    <w:jc w:val="center"/>
                    <w:rPr>
                      <w:szCs w:val="21"/>
                    </w:rPr>
                  </w:pPr>
                  <w:r>
                    <w:rPr>
                      <w:szCs w:val="21"/>
                    </w:rPr>
                    <w:t>城东变</w:t>
                  </w:r>
                </w:p>
              </w:tc>
              <w:tc>
                <w:tcPr>
                  <w:tcW w:w="1325" w:type="dxa"/>
                  <w:vAlign w:val="center"/>
                </w:tcPr>
                <w:p>
                  <w:pPr>
                    <w:jc w:val="center"/>
                    <w:rPr>
                      <w:szCs w:val="21"/>
                    </w:rPr>
                  </w:pPr>
                  <w:r>
                    <w:rPr>
                      <w:szCs w:val="21"/>
                    </w:rPr>
                    <w:t>北侧</w:t>
                  </w:r>
                </w:p>
              </w:tc>
              <w:tc>
                <w:tcPr>
                  <w:tcW w:w="850" w:type="dxa"/>
                  <w:vAlign w:val="center"/>
                </w:tcPr>
                <w:p>
                  <w:pPr>
                    <w:jc w:val="center"/>
                    <w:rPr>
                      <w:szCs w:val="21"/>
                    </w:rPr>
                  </w:pPr>
                  <w:r>
                    <w:rPr>
                      <w:szCs w:val="21"/>
                    </w:rPr>
                    <w:t>43.2</w:t>
                  </w:r>
                </w:p>
              </w:tc>
              <w:tc>
                <w:tcPr>
                  <w:tcW w:w="709" w:type="dxa"/>
                  <w:vAlign w:val="center"/>
                </w:tcPr>
                <w:p>
                  <w:pPr>
                    <w:jc w:val="center"/>
                    <w:rPr>
                      <w:szCs w:val="21"/>
                    </w:rPr>
                  </w:pPr>
                  <w:r>
                    <w:rPr>
                      <w:szCs w:val="21"/>
                    </w:rPr>
                    <w:t>39.5</w:t>
                  </w:r>
                </w:p>
              </w:tc>
              <w:tc>
                <w:tcPr>
                  <w:tcW w:w="709" w:type="dxa"/>
                  <w:vAlign w:val="center"/>
                </w:tcPr>
                <w:p>
                  <w:pPr>
                    <w:jc w:val="center"/>
                    <w:rPr>
                      <w:szCs w:val="21"/>
                    </w:rPr>
                  </w:pPr>
                  <w:r>
                    <w:rPr>
                      <w:szCs w:val="21"/>
                    </w:rPr>
                    <w:t>44.7</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37.3</w:t>
                  </w:r>
                </w:p>
              </w:tc>
              <w:tc>
                <w:tcPr>
                  <w:tcW w:w="709" w:type="dxa"/>
                  <w:vAlign w:val="center"/>
                </w:tcPr>
                <w:p>
                  <w:pPr>
                    <w:jc w:val="center"/>
                    <w:rPr>
                      <w:szCs w:val="21"/>
                    </w:rPr>
                  </w:pPr>
                  <w:r>
                    <w:rPr>
                      <w:szCs w:val="21"/>
                    </w:rPr>
                    <w:t>44.2</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center"/>
                </w:tcPr>
                <w:p>
                  <w:pPr>
                    <w:jc w:val="center"/>
                    <w:rPr>
                      <w:szCs w:val="21"/>
                    </w:rPr>
                  </w:pPr>
                </w:p>
              </w:tc>
              <w:tc>
                <w:tcPr>
                  <w:tcW w:w="1325" w:type="dxa"/>
                  <w:vAlign w:val="center"/>
                </w:tcPr>
                <w:p>
                  <w:pPr>
                    <w:jc w:val="center"/>
                    <w:rPr>
                      <w:szCs w:val="21"/>
                    </w:rPr>
                  </w:pPr>
                  <w:r>
                    <w:rPr>
                      <w:szCs w:val="21"/>
                    </w:rPr>
                    <w:t>东侧</w:t>
                  </w:r>
                </w:p>
              </w:tc>
              <w:tc>
                <w:tcPr>
                  <w:tcW w:w="850" w:type="dxa"/>
                  <w:vAlign w:val="center"/>
                </w:tcPr>
                <w:p>
                  <w:pPr>
                    <w:jc w:val="center"/>
                    <w:rPr>
                      <w:szCs w:val="21"/>
                    </w:rPr>
                  </w:pPr>
                  <w:r>
                    <w:rPr>
                      <w:szCs w:val="21"/>
                    </w:rPr>
                    <w:t>39.9</w:t>
                  </w:r>
                </w:p>
              </w:tc>
              <w:tc>
                <w:tcPr>
                  <w:tcW w:w="709" w:type="dxa"/>
                  <w:vAlign w:val="center"/>
                </w:tcPr>
                <w:p>
                  <w:pPr>
                    <w:jc w:val="center"/>
                    <w:rPr>
                      <w:szCs w:val="21"/>
                    </w:rPr>
                  </w:pPr>
                  <w:r>
                    <w:rPr>
                      <w:szCs w:val="21"/>
                    </w:rPr>
                    <w:t>39.6</w:t>
                  </w:r>
                </w:p>
              </w:tc>
              <w:tc>
                <w:tcPr>
                  <w:tcW w:w="709" w:type="dxa"/>
                  <w:vAlign w:val="center"/>
                </w:tcPr>
                <w:p>
                  <w:pPr>
                    <w:jc w:val="center"/>
                    <w:rPr>
                      <w:szCs w:val="21"/>
                    </w:rPr>
                  </w:pPr>
                  <w:r>
                    <w:rPr>
                      <w:szCs w:val="21"/>
                    </w:rPr>
                    <w:t>42.8</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37.3</w:t>
                  </w:r>
                </w:p>
              </w:tc>
              <w:tc>
                <w:tcPr>
                  <w:tcW w:w="709" w:type="dxa"/>
                  <w:vAlign w:val="center"/>
                </w:tcPr>
                <w:p>
                  <w:pPr>
                    <w:jc w:val="center"/>
                    <w:rPr>
                      <w:szCs w:val="21"/>
                    </w:rPr>
                  </w:pPr>
                  <w:r>
                    <w:rPr>
                      <w:szCs w:val="21"/>
                    </w:rPr>
                    <w:t>41.8</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center"/>
                </w:tcPr>
                <w:p>
                  <w:pPr>
                    <w:jc w:val="center"/>
                    <w:rPr>
                      <w:szCs w:val="21"/>
                    </w:rPr>
                  </w:pPr>
                </w:p>
              </w:tc>
              <w:tc>
                <w:tcPr>
                  <w:tcW w:w="1325" w:type="dxa"/>
                  <w:vAlign w:val="center"/>
                </w:tcPr>
                <w:p>
                  <w:pPr>
                    <w:jc w:val="center"/>
                    <w:rPr>
                      <w:szCs w:val="21"/>
                    </w:rPr>
                  </w:pPr>
                  <w:r>
                    <w:rPr>
                      <w:szCs w:val="21"/>
                    </w:rPr>
                    <w:t>南侧（110kV出线）</w:t>
                  </w:r>
                </w:p>
              </w:tc>
              <w:tc>
                <w:tcPr>
                  <w:tcW w:w="850" w:type="dxa"/>
                  <w:vAlign w:val="center"/>
                </w:tcPr>
                <w:p>
                  <w:pPr>
                    <w:jc w:val="center"/>
                    <w:rPr>
                      <w:szCs w:val="21"/>
                    </w:rPr>
                  </w:pPr>
                  <w:r>
                    <w:rPr>
                      <w:szCs w:val="21"/>
                    </w:rPr>
                    <w:t>39.7</w:t>
                  </w:r>
                </w:p>
              </w:tc>
              <w:tc>
                <w:tcPr>
                  <w:tcW w:w="709" w:type="dxa"/>
                  <w:vAlign w:val="center"/>
                </w:tcPr>
                <w:p>
                  <w:pPr>
                    <w:jc w:val="center"/>
                    <w:rPr>
                      <w:szCs w:val="21"/>
                    </w:rPr>
                  </w:pPr>
                  <w:r>
                    <w:rPr>
                      <w:szCs w:val="21"/>
                    </w:rPr>
                    <w:t>40.1</w:t>
                  </w:r>
                </w:p>
              </w:tc>
              <w:tc>
                <w:tcPr>
                  <w:tcW w:w="709" w:type="dxa"/>
                  <w:vAlign w:val="center"/>
                </w:tcPr>
                <w:p>
                  <w:pPr>
                    <w:jc w:val="center"/>
                    <w:rPr>
                      <w:szCs w:val="21"/>
                    </w:rPr>
                  </w:pPr>
                  <w:r>
                    <w:rPr>
                      <w:szCs w:val="21"/>
                    </w:rPr>
                    <w:t>42.9</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38.2</w:t>
                  </w:r>
                </w:p>
              </w:tc>
              <w:tc>
                <w:tcPr>
                  <w:tcW w:w="709" w:type="dxa"/>
                  <w:vAlign w:val="center"/>
                </w:tcPr>
                <w:p>
                  <w:pPr>
                    <w:jc w:val="center"/>
                    <w:rPr>
                      <w:szCs w:val="21"/>
                    </w:rPr>
                  </w:pPr>
                  <w:r>
                    <w:rPr>
                      <w:szCs w:val="21"/>
                    </w:rPr>
                    <w:t>44.0</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center"/>
                </w:tcPr>
                <w:p>
                  <w:pPr>
                    <w:jc w:val="center"/>
                    <w:rPr>
                      <w:szCs w:val="21"/>
                    </w:rPr>
                  </w:pPr>
                </w:p>
              </w:tc>
              <w:tc>
                <w:tcPr>
                  <w:tcW w:w="1325" w:type="dxa"/>
                  <w:vAlign w:val="center"/>
                </w:tcPr>
                <w:p>
                  <w:pPr>
                    <w:jc w:val="center"/>
                    <w:rPr>
                      <w:szCs w:val="21"/>
                    </w:rPr>
                  </w:pPr>
                  <w:r>
                    <w:rPr>
                      <w:szCs w:val="21"/>
                    </w:rPr>
                    <w:t>西侧</w:t>
                  </w:r>
                </w:p>
              </w:tc>
              <w:tc>
                <w:tcPr>
                  <w:tcW w:w="850" w:type="dxa"/>
                  <w:vAlign w:val="center"/>
                </w:tcPr>
                <w:p>
                  <w:pPr>
                    <w:jc w:val="center"/>
                    <w:rPr>
                      <w:szCs w:val="21"/>
                    </w:rPr>
                  </w:pPr>
                  <w:r>
                    <w:rPr>
                      <w:szCs w:val="21"/>
                    </w:rPr>
                    <w:t>42.3</w:t>
                  </w:r>
                </w:p>
              </w:tc>
              <w:tc>
                <w:tcPr>
                  <w:tcW w:w="709" w:type="dxa"/>
                  <w:vAlign w:val="center"/>
                </w:tcPr>
                <w:p>
                  <w:pPr>
                    <w:jc w:val="center"/>
                    <w:rPr>
                      <w:szCs w:val="21"/>
                    </w:rPr>
                  </w:pPr>
                  <w:r>
                    <w:rPr>
                      <w:szCs w:val="21"/>
                    </w:rPr>
                    <w:t>39.9</w:t>
                  </w:r>
                </w:p>
              </w:tc>
              <w:tc>
                <w:tcPr>
                  <w:tcW w:w="709" w:type="dxa"/>
                  <w:vAlign w:val="center"/>
                </w:tcPr>
                <w:p>
                  <w:pPr>
                    <w:jc w:val="center"/>
                    <w:rPr>
                      <w:szCs w:val="21"/>
                    </w:rPr>
                  </w:pPr>
                  <w:r>
                    <w:rPr>
                      <w:szCs w:val="21"/>
                    </w:rPr>
                    <w:t>44.3</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37.6</w:t>
                  </w:r>
                </w:p>
              </w:tc>
              <w:tc>
                <w:tcPr>
                  <w:tcW w:w="709" w:type="dxa"/>
                  <w:vAlign w:val="center"/>
                </w:tcPr>
                <w:p>
                  <w:pPr>
                    <w:jc w:val="center"/>
                    <w:rPr>
                      <w:szCs w:val="21"/>
                    </w:rPr>
                  </w:pPr>
                  <w:r>
                    <w:rPr>
                      <w:szCs w:val="21"/>
                    </w:rPr>
                    <w:t>43.6</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北侧居民楼</w:t>
                  </w:r>
                </w:p>
              </w:tc>
              <w:tc>
                <w:tcPr>
                  <w:tcW w:w="850" w:type="dxa"/>
                  <w:vAlign w:val="center"/>
                </w:tcPr>
                <w:p>
                  <w:pPr>
                    <w:jc w:val="center"/>
                    <w:rPr>
                      <w:szCs w:val="21"/>
                    </w:rPr>
                  </w:pPr>
                  <w:r>
                    <w:rPr>
                      <w:szCs w:val="21"/>
                    </w:rPr>
                    <w:t>35.5</w:t>
                  </w:r>
                </w:p>
              </w:tc>
              <w:tc>
                <w:tcPr>
                  <w:tcW w:w="709" w:type="dxa"/>
                  <w:vAlign w:val="center"/>
                </w:tcPr>
                <w:p>
                  <w:pPr>
                    <w:jc w:val="center"/>
                    <w:rPr>
                      <w:szCs w:val="21"/>
                    </w:rPr>
                  </w:pPr>
                  <w:r>
                    <w:rPr>
                      <w:szCs w:val="21"/>
                    </w:rPr>
                    <w:t>40.3</w:t>
                  </w:r>
                </w:p>
              </w:tc>
              <w:tc>
                <w:tcPr>
                  <w:tcW w:w="709" w:type="dxa"/>
                  <w:vAlign w:val="center"/>
                </w:tcPr>
                <w:p>
                  <w:pPr>
                    <w:jc w:val="center"/>
                    <w:rPr>
                      <w:szCs w:val="21"/>
                    </w:rPr>
                  </w:pPr>
                  <w:r>
                    <w:rPr>
                      <w:szCs w:val="21"/>
                    </w:rPr>
                    <w:t>41.5</w:t>
                  </w:r>
                </w:p>
              </w:tc>
              <w:tc>
                <w:tcPr>
                  <w:tcW w:w="850" w:type="dxa"/>
                  <w:vAlign w:val="center"/>
                </w:tcPr>
                <w:p>
                  <w:pPr>
                    <w:jc w:val="center"/>
                    <w:rPr>
                      <w:szCs w:val="21"/>
                    </w:rPr>
                  </w:pPr>
                  <w:r>
                    <w:rPr>
                      <w:szCs w:val="21"/>
                    </w:rPr>
                    <w:t>55</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38.1</w:t>
                  </w:r>
                </w:p>
              </w:tc>
              <w:tc>
                <w:tcPr>
                  <w:tcW w:w="709" w:type="dxa"/>
                  <w:vAlign w:val="center"/>
                </w:tcPr>
                <w:p>
                  <w:pPr>
                    <w:jc w:val="center"/>
                    <w:rPr>
                      <w:szCs w:val="21"/>
                    </w:rPr>
                  </w:pPr>
                  <w:r>
                    <w:rPr>
                      <w:szCs w:val="21"/>
                    </w:rPr>
                    <w:t>42.5</w:t>
                  </w:r>
                </w:p>
              </w:tc>
              <w:tc>
                <w:tcPr>
                  <w:tcW w:w="709" w:type="dxa"/>
                  <w:vAlign w:val="center"/>
                </w:tcPr>
                <w:p>
                  <w:pPr>
                    <w:jc w:val="center"/>
                    <w:rPr>
                      <w:szCs w:val="21"/>
                    </w:rPr>
                  </w:pPr>
                  <w:r>
                    <w:rPr>
                      <w:szCs w:val="21"/>
                    </w:rPr>
                    <w:t>45</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restart"/>
                  <w:vAlign w:val="top"/>
                </w:tcPr>
                <w:p>
                  <w:pPr>
                    <w:jc w:val="center"/>
                    <w:rPr>
                      <w:szCs w:val="21"/>
                    </w:rPr>
                  </w:pPr>
                  <w:r>
                    <w:rPr>
                      <w:szCs w:val="21"/>
                    </w:rPr>
                    <w:t>高沙变</w:t>
                  </w:r>
                </w:p>
              </w:tc>
              <w:tc>
                <w:tcPr>
                  <w:tcW w:w="1325" w:type="dxa"/>
                  <w:vAlign w:val="center"/>
                </w:tcPr>
                <w:p>
                  <w:pPr>
                    <w:jc w:val="center"/>
                    <w:rPr>
                      <w:szCs w:val="21"/>
                    </w:rPr>
                  </w:pPr>
                  <w:r>
                    <w:rPr>
                      <w:szCs w:val="21"/>
                    </w:rPr>
                    <w:t>北侧</w:t>
                  </w:r>
                </w:p>
              </w:tc>
              <w:tc>
                <w:tcPr>
                  <w:tcW w:w="850" w:type="dxa"/>
                  <w:vAlign w:val="center"/>
                </w:tcPr>
                <w:p>
                  <w:pPr>
                    <w:jc w:val="center"/>
                    <w:rPr>
                      <w:szCs w:val="21"/>
                    </w:rPr>
                  </w:pPr>
                  <w:r>
                    <w:rPr>
                      <w:szCs w:val="21"/>
                    </w:rPr>
                    <w:t>45.0</w:t>
                  </w:r>
                </w:p>
              </w:tc>
              <w:tc>
                <w:tcPr>
                  <w:tcW w:w="709" w:type="dxa"/>
                  <w:vAlign w:val="center"/>
                </w:tcPr>
                <w:p>
                  <w:pPr>
                    <w:jc w:val="center"/>
                    <w:rPr>
                      <w:szCs w:val="21"/>
                    </w:rPr>
                  </w:pPr>
                  <w:r>
                    <w:rPr>
                      <w:szCs w:val="21"/>
                    </w:rPr>
                    <w:t>44.6</w:t>
                  </w:r>
                </w:p>
              </w:tc>
              <w:tc>
                <w:tcPr>
                  <w:tcW w:w="709" w:type="dxa"/>
                  <w:vAlign w:val="center"/>
                </w:tcPr>
                <w:p>
                  <w:pPr>
                    <w:jc w:val="center"/>
                    <w:rPr>
                      <w:szCs w:val="21"/>
                    </w:rPr>
                  </w:pPr>
                  <w:r>
                    <w:rPr>
                      <w:szCs w:val="21"/>
                    </w:rPr>
                    <w:t>47.8</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42.8</w:t>
                  </w:r>
                </w:p>
              </w:tc>
              <w:tc>
                <w:tcPr>
                  <w:tcW w:w="709" w:type="dxa"/>
                  <w:vAlign w:val="center"/>
                </w:tcPr>
                <w:p>
                  <w:pPr>
                    <w:jc w:val="center"/>
                    <w:rPr>
                      <w:szCs w:val="21"/>
                    </w:rPr>
                  </w:pPr>
                  <w:r>
                    <w:rPr>
                      <w:szCs w:val="21"/>
                    </w:rPr>
                    <w:t>47.0</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东侧</w:t>
                  </w:r>
                </w:p>
              </w:tc>
              <w:tc>
                <w:tcPr>
                  <w:tcW w:w="850" w:type="dxa"/>
                  <w:vAlign w:val="center"/>
                </w:tcPr>
                <w:p>
                  <w:pPr>
                    <w:jc w:val="center"/>
                    <w:rPr>
                      <w:szCs w:val="21"/>
                    </w:rPr>
                  </w:pPr>
                  <w:r>
                    <w:rPr>
                      <w:szCs w:val="21"/>
                    </w:rPr>
                    <w:t>42.5</w:t>
                  </w:r>
                </w:p>
              </w:tc>
              <w:tc>
                <w:tcPr>
                  <w:tcW w:w="709" w:type="dxa"/>
                  <w:vAlign w:val="center"/>
                </w:tcPr>
                <w:p>
                  <w:pPr>
                    <w:jc w:val="center"/>
                    <w:rPr>
                      <w:szCs w:val="21"/>
                    </w:rPr>
                  </w:pPr>
                  <w:r>
                    <w:rPr>
                      <w:szCs w:val="21"/>
                    </w:rPr>
                    <w:t>44.3</w:t>
                  </w:r>
                </w:p>
              </w:tc>
              <w:tc>
                <w:tcPr>
                  <w:tcW w:w="709" w:type="dxa"/>
                  <w:vAlign w:val="center"/>
                </w:tcPr>
                <w:p>
                  <w:pPr>
                    <w:jc w:val="center"/>
                    <w:rPr>
                      <w:szCs w:val="21"/>
                    </w:rPr>
                  </w:pPr>
                  <w:r>
                    <w:rPr>
                      <w:szCs w:val="21"/>
                    </w:rPr>
                    <w:t>46.5</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43.0</w:t>
                  </w:r>
                </w:p>
              </w:tc>
              <w:tc>
                <w:tcPr>
                  <w:tcW w:w="709" w:type="dxa"/>
                  <w:vAlign w:val="center"/>
                </w:tcPr>
                <w:p>
                  <w:pPr>
                    <w:jc w:val="center"/>
                    <w:rPr>
                      <w:szCs w:val="21"/>
                    </w:rPr>
                  </w:pPr>
                  <w:r>
                    <w:rPr>
                      <w:szCs w:val="21"/>
                    </w:rPr>
                    <w:t>45.8</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南侧</w:t>
                  </w:r>
                </w:p>
              </w:tc>
              <w:tc>
                <w:tcPr>
                  <w:tcW w:w="850" w:type="dxa"/>
                  <w:vAlign w:val="center"/>
                </w:tcPr>
                <w:p>
                  <w:pPr>
                    <w:jc w:val="center"/>
                    <w:rPr>
                      <w:szCs w:val="21"/>
                    </w:rPr>
                  </w:pPr>
                  <w:r>
                    <w:rPr>
                      <w:szCs w:val="21"/>
                    </w:rPr>
                    <w:t>35.7</w:t>
                  </w:r>
                </w:p>
              </w:tc>
              <w:tc>
                <w:tcPr>
                  <w:tcW w:w="709" w:type="dxa"/>
                  <w:vAlign w:val="center"/>
                </w:tcPr>
                <w:p>
                  <w:pPr>
                    <w:jc w:val="center"/>
                    <w:rPr>
                      <w:szCs w:val="21"/>
                    </w:rPr>
                  </w:pPr>
                  <w:r>
                    <w:rPr>
                      <w:szCs w:val="21"/>
                    </w:rPr>
                    <w:t>41.5</w:t>
                  </w:r>
                </w:p>
              </w:tc>
              <w:tc>
                <w:tcPr>
                  <w:tcW w:w="709" w:type="dxa"/>
                  <w:vAlign w:val="center"/>
                </w:tcPr>
                <w:p>
                  <w:pPr>
                    <w:jc w:val="center"/>
                    <w:rPr>
                      <w:szCs w:val="21"/>
                    </w:rPr>
                  </w:pPr>
                  <w:r>
                    <w:rPr>
                      <w:szCs w:val="21"/>
                    </w:rPr>
                    <w:t>42.5</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38.9</w:t>
                  </w:r>
                </w:p>
              </w:tc>
              <w:tc>
                <w:tcPr>
                  <w:tcW w:w="709" w:type="dxa"/>
                  <w:vAlign w:val="center"/>
                </w:tcPr>
                <w:p>
                  <w:pPr>
                    <w:jc w:val="center"/>
                    <w:rPr>
                      <w:szCs w:val="21"/>
                    </w:rPr>
                  </w:pPr>
                  <w:r>
                    <w:rPr>
                      <w:szCs w:val="21"/>
                    </w:rPr>
                    <w:t>40.6</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西侧（110kV出线）</w:t>
                  </w:r>
                </w:p>
              </w:tc>
              <w:tc>
                <w:tcPr>
                  <w:tcW w:w="850" w:type="dxa"/>
                  <w:vAlign w:val="center"/>
                </w:tcPr>
                <w:p>
                  <w:pPr>
                    <w:jc w:val="center"/>
                    <w:rPr>
                      <w:szCs w:val="21"/>
                    </w:rPr>
                  </w:pPr>
                  <w:r>
                    <w:rPr>
                      <w:szCs w:val="21"/>
                    </w:rPr>
                    <w:t>36.5</w:t>
                  </w:r>
                </w:p>
              </w:tc>
              <w:tc>
                <w:tcPr>
                  <w:tcW w:w="709" w:type="dxa"/>
                  <w:vAlign w:val="center"/>
                </w:tcPr>
                <w:p>
                  <w:pPr>
                    <w:jc w:val="center"/>
                    <w:rPr>
                      <w:szCs w:val="21"/>
                    </w:rPr>
                  </w:pPr>
                  <w:r>
                    <w:rPr>
                      <w:szCs w:val="21"/>
                    </w:rPr>
                    <w:t>41.4</w:t>
                  </w:r>
                </w:p>
              </w:tc>
              <w:tc>
                <w:tcPr>
                  <w:tcW w:w="709" w:type="dxa"/>
                  <w:vAlign w:val="center"/>
                </w:tcPr>
                <w:p>
                  <w:pPr>
                    <w:jc w:val="center"/>
                    <w:rPr>
                      <w:szCs w:val="21"/>
                    </w:rPr>
                  </w:pPr>
                  <w:r>
                    <w:rPr>
                      <w:szCs w:val="21"/>
                    </w:rPr>
                    <w:t>42.6</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39.9</w:t>
                  </w:r>
                </w:p>
              </w:tc>
              <w:tc>
                <w:tcPr>
                  <w:tcW w:w="709" w:type="dxa"/>
                  <w:vAlign w:val="center"/>
                </w:tcPr>
                <w:p>
                  <w:pPr>
                    <w:jc w:val="center"/>
                    <w:rPr>
                      <w:szCs w:val="21"/>
                    </w:rPr>
                  </w:pPr>
                  <w:r>
                    <w:rPr>
                      <w:szCs w:val="21"/>
                    </w:rPr>
                    <w:t>41.5</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东北侧居民楼</w:t>
                  </w:r>
                </w:p>
              </w:tc>
              <w:tc>
                <w:tcPr>
                  <w:tcW w:w="850" w:type="dxa"/>
                  <w:vAlign w:val="center"/>
                </w:tcPr>
                <w:p>
                  <w:pPr>
                    <w:jc w:val="center"/>
                    <w:rPr>
                      <w:szCs w:val="21"/>
                    </w:rPr>
                  </w:pPr>
                  <w:r>
                    <w:rPr>
                      <w:szCs w:val="21"/>
                    </w:rPr>
                    <w:t>39.5</w:t>
                  </w:r>
                </w:p>
              </w:tc>
              <w:tc>
                <w:tcPr>
                  <w:tcW w:w="709" w:type="dxa"/>
                  <w:vAlign w:val="center"/>
                </w:tcPr>
                <w:p>
                  <w:pPr>
                    <w:jc w:val="center"/>
                    <w:rPr>
                      <w:szCs w:val="21"/>
                    </w:rPr>
                  </w:pPr>
                  <w:r>
                    <w:rPr>
                      <w:szCs w:val="21"/>
                    </w:rPr>
                    <w:t>41.9</w:t>
                  </w:r>
                </w:p>
              </w:tc>
              <w:tc>
                <w:tcPr>
                  <w:tcW w:w="709" w:type="dxa"/>
                  <w:vAlign w:val="center"/>
                </w:tcPr>
                <w:p>
                  <w:pPr>
                    <w:jc w:val="center"/>
                    <w:rPr>
                      <w:szCs w:val="21"/>
                    </w:rPr>
                  </w:pPr>
                  <w:r>
                    <w:rPr>
                      <w:szCs w:val="21"/>
                    </w:rPr>
                    <w:t>43.9</w:t>
                  </w:r>
                </w:p>
              </w:tc>
              <w:tc>
                <w:tcPr>
                  <w:tcW w:w="850" w:type="dxa"/>
                  <w:vAlign w:val="center"/>
                </w:tcPr>
                <w:p>
                  <w:pPr>
                    <w:jc w:val="center"/>
                    <w:rPr>
                      <w:szCs w:val="21"/>
                    </w:rPr>
                  </w:pPr>
                  <w:r>
                    <w:rPr>
                      <w:szCs w:val="21"/>
                    </w:rPr>
                    <w:t>55</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40.5</w:t>
                  </w:r>
                </w:p>
              </w:tc>
              <w:tc>
                <w:tcPr>
                  <w:tcW w:w="709" w:type="dxa"/>
                  <w:vAlign w:val="center"/>
                </w:tcPr>
                <w:p>
                  <w:pPr>
                    <w:jc w:val="center"/>
                    <w:rPr>
                      <w:szCs w:val="21"/>
                    </w:rPr>
                  </w:pPr>
                  <w:r>
                    <w:rPr>
                      <w:szCs w:val="21"/>
                    </w:rPr>
                    <w:t>43.0</w:t>
                  </w:r>
                </w:p>
              </w:tc>
              <w:tc>
                <w:tcPr>
                  <w:tcW w:w="709" w:type="dxa"/>
                  <w:vAlign w:val="center"/>
                </w:tcPr>
                <w:p>
                  <w:pPr>
                    <w:jc w:val="center"/>
                    <w:rPr>
                      <w:szCs w:val="21"/>
                    </w:rPr>
                  </w:pPr>
                  <w:r>
                    <w:rPr>
                      <w:szCs w:val="21"/>
                    </w:rPr>
                    <w:t>45</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西北侧居民楼</w:t>
                  </w:r>
                </w:p>
              </w:tc>
              <w:tc>
                <w:tcPr>
                  <w:tcW w:w="850" w:type="dxa"/>
                  <w:vAlign w:val="center"/>
                </w:tcPr>
                <w:p>
                  <w:pPr>
                    <w:jc w:val="center"/>
                    <w:rPr>
                      <w:szCs w:val="21"/>
                    </w:rPr>
                  </w:pPr>
                  <w:r>
                    <w:rPr>
                      <w:szCs w:val="21"/>
                    </w:rPr>
                    <w:t>33.9</w:t>
                  </w:r>
                </w:p>
              </w:tc>
              <w:tc>
                <w:tcPr>
                  <w:tcW w:w="709" w:type="dxa"/>
                  <w:vAlign w:val="center"/>
                </w:tcPr>
                <w:p>
                  <w:pPr>
                    <w:jc w:val="center"/>
                    <w:rPr>
                      <w:szCs w:val="21"/>
                    </w:rPr>
                  </w:pPr>
                  <w:r>
                    <w:rPr>
                      <w:szCs w:val="21"/>
                    </w:rPr>
                    <w:t>42.1</w:t>
                  </w:r>
                </w:p>
              </w:tc>
              <w:tc>
                <w:tcPr>
                  <w:tcW w:w="709" w:type="dxa"/>
                  <w:vAlign w:val="center"/>
                </w:tcPr>
                <w:p>
                  <w:pPr>
                    <w:jc w:val="center"/>
                    <w:rPr>
                      <w:szCs w:val="21"/>
                    </w:rPr>
                  </w:pPr>
                  <w:r>
                    <w:rPr>
                      <w:szCs w:val="21"/>
                    </w:rPr>
                    <w:t>42.7</w:t>
                  </w:r>
                </w:p>
              </w:tc>
              <w:tc>
                <w:tcPr>
                  <w:tcW w:w="850" w:type="dxa"/>
                  <w:vAlign w:val="center"/>
                </w:tcPr>
                <w:p>
                  <w:pPr>
                    <w:jc w:val="center"/>
                    <w:rPr>
                      <w:szCs w:val="21"/>
                    </w:rPr>
                  </w:pPr>
                  <w:r>
                    <w:rPr>
                      <w:szCs w:val="21"/>
                    </w:rPr>
                    <w:t>55</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39.9</w:t>
                  </w:r>
                </w:p>
              </w:tc>
              <w:tc>
                <w:tcPr>
                  <w:tcW w:w="709" w:type="dxa"/>
                  <w:vAlign w:val="center"/>
                </w:tcPr>
                <w:p>
                  <w:pPr>
                    <w:jc w:val="center"/>
                    <w:rPr>
                      <w:szCs w:val="21"/>
                    </w:rPr>
                  </w:pPr>
                  <w:r>
                    <w:rPr>
                      <w:szCs w:val="21"/>
                    </w:rPr>
                    <w:t>40.9</w:t>
                  </w:r>
                </w:p>
              </w:tc>
              <w:tc>
                <w:tcPr>
                  <w:tcW w:w="709" w:type="dxa"/>
                  <w:vAlign w:val="center"/>
                </w:tcPr>
                <w:p>
                  <w:pPr>
                    <w:jc w:val="center"/>
                    <w:rPr>
                      <w:szCs w:val="21"/>
                    </w:rPr>
                  </w:pPr>
                  <w:r>
                    <w:rPr>
                      <w:szCs w:val="21"/>
                    </w:rPr>
                    <w:t>45</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restart"/>
                  <w:vAlign w:val="top"/>
                </w:tcPr>
                <w:p>
                  <w:pPr>
                    <w:jc w:val="center"/>
                    <w:rPr>
                      <w:szCs w:val="21"/>
                    </w:rPr>
                  </w:pPr>
                  <w:r>
                    <w:rPr>
                      <w:szCs w:val="21"/>
                    </w:rPr>
                    <w:t>黄陂桥变</w:t>
                  </w:r>
                </w:p>
              </w:tc>
              <w:tc>
                <w:tcPr>
                  <w:tcW w:w="1325" w:type="dxa"/>
                  <w:vAlign w:val="center"/>
                </w:tcPr>
                <w:p>
                  <w:pPr>
                    <w:jc w:val="center"/>
                    <w:rPr>
                      <w:szCs w:val="21"/>
                    </w:rPr>
                  </w:pPr>
                  <w:r>
                    <w:rPr>
                      <w:szCs w:val="21"/>
                    </w:rPr>
                    <w:t>北侧</w:t>
                  </w:r>
                </w:p>
              </w:tc>
              <w:tc>
                <w:tcPr>
                  <w:tcW w:w="850" w:type="dxa"/>
                  <w:vAlign w:val="center"/>
                </w:tcPr>
                <w:p>
                  <w:pPr>
                    <w:jc w:val="center"/>
                    <w:rPr>
                      <w:szCs w:val="21"/>
                    </w:rPr>
                  </w:pPr>
                  <w:r>
                    <w:rPr>
                      <w:szCs w:val="21"/>
                    </w:rPr>
                    <w:t>36.8</w:t>
                  </w:r>
                </w:p>
              </w:tc>
              <w:tc>
                <w:tcPr>
                  <w:tcW w:w="709" w:type="dxa"/>
                  <w:vAlign w:val="center"/>
                </w:tcPr>
                <w:p>
                  <w:pPr>
                    <w:jc w:val="center"/>
                    <w:rPr>
                      <w:szCs w:val="21"/>
                    </w:rPr>
                  </w:pPr>
                  <w:r>
                    <w:rPr>
                      <w:szCs w:val="21"/>
                    </w:rPr>
                    <w:t>50.8</w:t>
                  </w:r>
                </w:p>
              </w:tc>
              <w:tc>
                <w:tcPr>
                  <w:tcW w:w="709" w:type="dxa"/>
                  <w:vAlign w:val="center"/>
                </w:tcPr>
                <w:p>
                  <w:pPr>
                    <w:jc w:val="center"/>
                    <w:rPr>
                      <w:szCs w:val="21"/>
                    </w:rPr>
                  </w:pPr>
                  <w:r>
                    <w:rPr>
                      <w:szCs w:val="21"/>
                    </w:rPr>
                    <w:t>51.0</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47.7</w:t>
                  </w:r>
                </w:p>
              </w:tc>
              <w:tc>
                <w:tcPr>
                  <w:tcW w:w="709" w:type="dxa"/>
                  <w:vAlign w:val="center"/>
                </w:tcPr>
                <w:p>
                  <w:pPr>
                    <w:jc w:val="center"/>
                    <w:rPr>
                      <w:szCs w:val="21"/>
                    </w:rPr>
                  </w:pPr>
                  <w:r>
                    <w:rPr>
                      <w:szCs w:val="21"/>
                    </w:rPr>
                    <w:t>48.0</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东侧（110kV出线）</w:t>
                  </w:r>
                </w:p>
              </w:tc>
              <w:tc>
                <w:tcPr>
                  <w:tcW w:w="850" w:type="dxa"/>
                  <w:vAlign w:val="center"/>
                </w:tcPr>
                <w:p>
                  <w:pPr>
                    <w:jc w:val="center"/>
                    <w:rPr>
                      <w:szCs w:val="21"/>
                    </w:rPr>
                  </w:pPr>
                  <w:r>
                    <w:rPr>
                      <w:szCs w:val="21"/>
                    </w:rPr>
                    <w:t>41.7</w:t>
                  </w:r>
                </w:p>
              </w:tc>
              <w:tc>
                <w:tcPr>
                  <w:tcW w:w="709" w:type="dxa"/>
                  <w:vAlign w:val="center"/>
                </w:tcPr>
                <w:p>
                  <w:pPr>
                    <w:jc w:val="center"/>
                    <w:rPr>
                      <w:szCs w:val="21"/>
                    </w:rPr>
                  </w:pPr>
                  <w:r>
                    <w:rPr>
                      <w:szCs w:val="21"/>
                    </w:rPr>
                    <w:t>52.4</w:t>
                  </w:r>
                </w:p>
              </w:tc>
              <w:tc>
                <w:tcPr>
                  <w:tcW w:w="709" w:type="dxa"/>
                  <w:vAlign w:val="center"/>
                </w:tcPr>
                <w:p>
                  <w:pPr>
                    <w:jc w:val="center"/>
                    <w:rPr>
                      <w:szCs w:val="21"/>
                    </w:rPr>
                  </w:pPr>
                  <w:r>
                    <w:rPr>
                      <w:szCs w:val="21"/>
                    </w:rPr>
                    <w:t>52.8</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48.9</w:t>
                  </w:r>
                </w:p>
              </w:tc>
              <w:tc>
                <w:tcPr>
                  <w:tcW w:w="709" w:type="dxa"/>
                  <w:vAlign w:val="center"/>
                </w:tcPr>
                <w:p>
                  <w:pPr>
                    <w:jc w:val="center"/>
                    <w:rPr>
                      <w:szCs w:val="21"/>
                    </w:rPr>
                  </w:pPr>
                  <w:r>
                    <w:rPr>
                      <w:szCs w:val="21"/>
                    </w:rPr>
                    <w:t>52.1</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西侧</w:t>
                  </w:r>
                </w:p>
              </w:tc>
              <w:tc>
                <w:tcPr>
                  <w:tcW w:w="850" w:type="dxa"/>
                  <w:vAlign w:val="center"/>
                </w:tcPr>
                <w:p>
                  <w:pPr>
                    <w:jc w:val="center"/>
                    <w:rPr>
                      <w:szCs w:val="21"/>
                    </w:rPr>
                  </w:pPr>
                  <w:r>
                    <w:rPr>
                      <w:szCs w:val="21"/>
                    </w:rPr>
                    <w:t>35.2</w:t>
                  </w:r>
                </w:p>
              </w:tc>
              <w:tc>
                <w:tcPr>
                  <w:tcW w:w="709" w:type="dxa"/>
                  <w:vAlign w:val="center"/>
                </w:tcPr>
                <w:p>
                  <w:pPr>
                    <w:jc w:val="center"/>
                    <w:rPr>
                      <w:szCs w:val="21"/>
                    </w:rPr>
                  </w:pPr>
                  <w:r>
                    <w:rPr>
                      <w:szCs w:val="21"/>
                    </w:rPr>
                    <w:t>53.1</w:t>
                  </w:r>
                </w:p>
              </w:tc>
              <w:tc>
                <w:tcPr>
                  <w:tcW w:w="709" w:type="dxa"/>
                  <w:vAlign w:val="center"/>
                </w:tcPr>
                <w:p>
                  <w:pPr>
                    <w:jc w:val="center"/>
                    <w:rPr>
                      <w:szCs w:val="21"/>
                    </w:rPr>
                  </w:pPr>
                  <w:r>
                    <w:rPr>
                      <w:szCs w:val="21"/>
                    </w:rPr>
                    <w:t>53.2</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48.8</w:t>
                  </w:r>
                </w:p>
              </w:tc>
              <w:tc>
                <w:tcPr>
                  <w:tcW w:w="709" w:type="dxa"/>
                  <w:vAlign w:val="center"/>
                </w:tcPr>
                <w:p>
                  <w:pPr>
                    <w:jc w:val="center"/>
                    <w:rPr>
                      <w:szCs w:val="21"/>
                    </w:rPr>
                  </w:pPr>
                  <w:r>
                    <w:rPr>
                      <w:szCs w:val="21"/>
                    </w:rPr>
                    <w:t>51.9</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南侧</w:t>
                  </w:r>
                </w:p>
              </w:tc>
              <w:tc>
                <w:tcPr>
                  <w:tcW w:w="850" w:type="dxa"/>
                  <w:vAlign w:val="center"/>
                </w:tcPr>
                <w:p>
                  <w:pPr>
                    <w:jc w:val="center"/>
                    <w:rPr>
                      <w:szCs w:val="21"/>
                    </w:rPr>
                  </w:pPr>
                  <w:r>
                    <w:rPr>
                      <w:szCs w:val="21"/>
                    </w:rPr>
                    <w:t>43.6</w:t>
                  </w:r>
                </w:p>
              </w:tc>
              <w:tc>
                <w:tcPr>
                  <w:tcW w:w="709" w:type="dxa"/>
                  <w:vAlign w:val="center"/>
                </w:tcPr>
                <w:p>
                  <w:pPr>
                    <w:jc w:val="center"/>
                    <w:rPr>
                      <w:szCs w:val="21"/>
                    </w:rPr>
                  </w:pPr>
                  <w:r>
                    <w:rPr>
                      <w:szCs w:val="21"/>
                    </w:rPr>
                    <w:t>53.9</w:t>
                  </w:r>
                </w:p>
              </w:tc>
              <w:tc>
                <w:tcPr>
                  <w:tcW w:w="709" w:type="dxa"/>
                  <w:vAlign w:val="center"/>
                </w:tcPr>
                <w:p>
                  <w:pPr>
                    <w:jc w:val="center"/>
                    <w:rPr>
                      <w:szCs w:val="21"/>
                    </w:rPr>
                  </w:pPr>
                  <w:r>
                    <w:rPr>
                      <w:szCs w:val="21"/>
                    </w:rPr>
                    <w:t>54.3</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48.2</w:t>
                  </w:r>
                </w:p>
              </w:tc>
              <w:tc>
                <w:tcPr>
                  <w:tcW w:w="709" w:type="dxa"/>
                  <w:vAlign w:val="center"/>
                </w:tcPr>
                <w:p>
                  <w:pPr>
                    <w:jc w:val="center"/>
                    <w:rPr>
                      <w:szCs w:val="21"/>
                    </w:rPr>
                  </w:pPr>
                  <w:r>
                    <w:rPr>
                      <w:szCs w:val="21"/>
                    </w:rPr>
                    <w:t>51.9</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restart"/>
                  <w:vAlign w:val="center"/>
                </w:tcPr>
                <w:p>
                  <w:pPr>
                    <w:jc w:val="center"/>
                    <w:rPr>
                      <w:szCs w:val="21"/>
                    </w:rPr>
                  </w:pPr>
                  <w:r>
                    <w:rPr>
                      <w:szCs w:val="21"/>
                    </w:rPr>
                    <w:t>大岭变</w:t>
                  </w:r>
                </w:p>
              </w:tc>
              <w:tc>
                <w:tcPr>
                  <w:tcW w:w="1325" w:type="dxa"/>
                  <w:vAlign w:val="center"/>
                </w:tcPr>
                <w:p>
                  <w:pPr>
                    <w:jc w:val="center"/>
                    <w:rPr>
                      <w:szCs w:val="21"/>
                    </w:rPr>
                  </w:pPr>
                  <w:r>
                    <w:rPr>
                      <w:szCs w:val="21"/>
                    </w:rPr>
                    <w:t>北侧</w:t>
                  </w:r>
                </w:p>
              </w:tc>
              <w:tc>
                <w:tcPr>
                  <w:tcW w:w="850" w:type="dxa"/>
                  <w:vAlign w:val="center"/>
                </w:tcPr>
                <w:p>
                  <w:pPr>
                    <w:jc w:val="center"/>
                    <w:rPr>
                      <w:szCs w:val="21"/>
                    </w:rPr>
                  </w:pPr>
                  <w:r>
                    <w:rPr>
                      <w:szCs w:val="21"/>
                    </w:rPr>
                    <w:t>39.6</w:t>
                  </w:r>
                </w:p>
              </w:tc>
              <w:tc>
                <w:tcPr>
                  <w:tcW w:w="709" w:type="dxa"/>
                  <w:vAlign w:val="center"/>
                </w:tcPr>
                <w:p>
                  <w:pPr>
                    <w:jc w:val="center"/>
                    <w:rPr>
                      <w:szCs w:val="21"/>
                    </w:rPr>
                  </w:pPr>
                  <w:r>
                    <w:rPr>
                      <w:szCs w:val="21"/>
                    </w:rPr>
                    <w:t>43.7</w:t>
                  </w:r>
                </w:p>
              </w:tc>
              <w:tc>
                <w:tcPr>
                  <w:tcW w:w="709" w:type="dxa"/>
                  <w:vAlign w:val="center"/>
                </w:tcPr>
                <w:p>
                  <w:pPr>
                    <w:jc w:val="center"/>
                    <w:rPr>
                      <w:szCs w:val="21"/>
                    </w:rPr>
                  </w:pPr>
                  <w:r>
                    <w:rPr>
                      <w:szCs w:val="21"/>
                    </w:rPr>
                    <w:t>45.1</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41.5</w:t>
                  </w:r>
                </w:p>
              </w:tc>
              <w:tc>
                <w:tcPr>
                  <w:tcW w:w="709" w:type="dxa"/>
                  <w:vAlign w:val="center"/>
                </w:tcPr>
                <w:p>
                  <w:pPr>
                    <w:jc w:val="center"/>
                    <w:rPr>
                      <w:szCs w:val="21"/>
                    </w:rPr>
                  </w:pPr>
                  <w:r>
                    <w:rPr>
                      <w:szCs w:val="21"/>
                    </w:rPr>
                    <w:t>43.7</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东侧</w:t>
                  </w:r>
                </w:p>
              </w:tc>
              <w:tc>
                <w:tcPr>
                  <w:tcW w:w="850" w:type="dxa"/>
                  <w:vAlign w:val="center"/>
                </w:tcPr>
                <w:p>
                  <w:pPr>
                    <w:jc w:val="center"/>
                    <w:rPr>
                      <w:szCs w:val="21"/>
                    </w:rPr>
                  </w:pPr>
                  <w:r>
                    <w:rPr>
                      <w:szCs w:val="21"/>
                    </w:rPr>
                    <w:t>32.1</w:t>
                  </w:r>
                </w:p>
              </w:tc>
              <w:tc>
                <w:tcPr>
                  <w:tcW w:w="709" w:type="dxa"/>
                  <w:vAlign w:val="center"/>
                </w:tcPr>
                <w:p>
                  <w:pPr>
                    <w:jc w:val="center"/>
                    <w:rPr>
                      <w:szCs w:val="21"/>
                    </w:rPr>
                  </w:pPr>
                  <w:r>
                    <w:rPr>
                      <w:szCs w:val="21"/>
                    </w:rPr>
                    <w:t>49.6</w:t>
                  </w:r>
                </w:p>
              </w:tc>
              <w:tc>
                <w:tcPr>
                  <w:tcW w:w="709" w:type="dxa"/>
                  <w:vAlign w:val="center"/>
                </w:tcPr>
                <w:p>
                  <w:pPr>
                    <w:jc w:val="center"/>
                    <w:rPr>
                      <w:szCs w:val="21"/>
                    </w:rPr>
                  </w:pPr>
                  <w:r>
                    <w:rPr>
                      <w:szCs w:val="21"/>
                    </w:rPr>
                    <w:t>49.7</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46.9</w:t>
                  </w:r>
                </w:p>
              </w:tc>
              <w:tc>
                <w:tcPr>
                  <w:tcW w:w="709" w:type="dxa"/>
                  <w:vAlign w:val="center"/>
                </w:tcPr>
                <w:p>
                  <w:pPr>
                    <w:jc w:val="center"/>
                    <w:rPr>
                      <w:szCs w:val="21"/>
                    </w:rPr>
                  </w:pPr>
                  <w:r>
                    <w:rPr>
                      <w:szCs w:val="21"/>
                    </w:rPr>
                    <w:t>47.0</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西侧</w:t>
                  </w:r>
                </w:p>
              </w:tc>
              <w:tc>
                <w:tcPr>
                  <w:tcW w:w="850" w:type="dxa"/>
                  <w:vAlign w:val="center"/>
                </w:tcPr>
                <w:p>
                  <w:pPr>
                    <w:jc w:val="center"/>
                    <w:rPr>
                      <w:szCs w:val="21"/>
                    </w:rPr>
                  </w:pPr>
                  <w:r>
                    <w:rPr>
                      <w:szCs w:val="21"/>
                    </w:rPr>
                    <w:t>34.0</w:t>
                  </w:r>
                </w:p>
              </w:tc>
              <w:tc>
                <w:tcPr>
                  <w:tcW w:w="709" w:type="dxa"/>
                  <w:vAlign w:val="center"/>
                </w:tcPr>
                <w:p>
                  <w:pPr>
                    <w:jc w:val="center"/>
                    <w:rPr>
                      <w:szCs w:val="21"/>
                    </w:rPr>
                  </w:pPr>
                  <w:r>
                    <w:rPr>
                      <w:szCs w:val="21"/>
                    </w:rPr>
                    <w:t>44.7</w:t>
                  </w:r>
                </w:p>
              </w:tc>
              <w:tc>
                <w:tcPr>
                  <w:tcW w:w="709" w:type="dxa"/>
                  <w:vAlign w:val="center"/>
                </w:tcPr>
                <w:p>
                  <w:pPr>
                    <w:jc w:val="center"/>
                    <w:rPr>
                      <w:szCs w:val="21"/>
                    </w:rPr>
                  </w:pPr>
                  <w:r>
                    <w:rPr>
                      <w:szCs w:val="21"/>
                    </w:rPr>
                    <w:t>45.1</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42.7</w:t>
                  </w:r>
                </w:p>
              </w:tc>
              <w:tc>
                <w:tcPr>
                  <w:tcW w:w="709" w:type="dxa"/>
                  <w:vAlign w:val="center"/>
                </w:tcPr>
                <w:p>
                  <w:pPr>
                    <w:jc w:val="center"/>
                    <w:rPr>
                      <w:szCs w:val="21"/>
                    </w:rPr>
                  </w:pPr>
                  <w:r>
                    <w:rPr>
                      <w:szCs w:val="21"/>
                    </w:rPr>
                    <w:t>43.2</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南侧（110kV出线）</w:t>
                  </w:r>
                </w:p>
              </w:tc>
              <w:tc>
                <w:tcPr>
                  <w:tcW w:w="850" w:type="dxa"/>
                  <w:vAlign w:val="center"/>
                </w:tcPr>
                <w:p>
                  <w:pPr>
                    <w:jc w:val="center"/>
                    <w:rPr>
                      <w:szCs w:val="21"/>
                    </w:rPr>
                  </w:pPr>
                  <w:r>
                    <w:rPr>
                      <w:szCs w:val="21"/>
                    </w:rPr>
                    <w:t>35.5</w:t>
                  </w:r>
                </w:p>
              </w:tc>
              <w:tc>
                <w:tcPr>
                  <w:tcW w:w="709" w:type="dxa"/>
                  <w:vAlign w:val="center"/>
                </w:tcPr>
                <w:p>
                  <w:pPr>
                    <w:jc w:val="center"/>
                    <w:rPr>
                      <w:szCs w:val="21"/>
                    </w:rPr>
                  </w:pPr>
                  <w:r>
                    <w:rPr>
                      <w:szCs w:val="21"/>
                    </w:rPr>
                    <w:t>48.7</w:t>
                  </w:r>
                </w:p>
              </w:tc>
              <w:tc>
                <w:tcPr>
                  <w:tcW w:w="709" w:type="dxa"/>
                  <w:vAlign w:val="center"/>
                </w:tcPr>
                <w:p>
                  <w:pPr>
                    <w:jc w:val="center"/>
                    <w:rPr>
                      <w:szCs w:val="21"/>
                    </w:rPr>
                  </w:pPr>
                  <w:r>
                    <w:rPr>
                      <w:szCs w:val="21"/>
                    </w:rPr>
                    <w:t>48.9</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46.2</w:t>
                  </w:r>
                </w:p>
              </w:tc>
              <w:tc>
                <w:tcPr>
                  <w:tcW w:w="709" w:type="dxa"/>
                  <w:vAlign w:val="center"/>
                </w:tcPr>
                <w:p>
                  <w:pPr>
                    <w:jc w:val="center"/>
                    <w:rPr>
                      <w:szCs w:val="21"/>
                    </w:rPr>
                  </w:pPr>
                  <w:r>
                    <w:rPr>
                      <w:szCs w:val="21"/>
                    </w:rPr>
                    <w:t>46.6</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东侧居民楼Ⅰ</w:t>
                  </w:r>
                </w:p>
              </w:tc>
              <w:tc>
                <w:tcPr>
                  <w:tcW w:w="850" w:type="dxa"/>
                  <w:vAlign w:val="center"/>
                </w:tcPr>
                <w:p>
                  <w:pPr>
                    <w:jc w:val="center"/>
                    <w:rPr>
                      <w:szCs w:val="21"/>
                    </w:rPr>
                  </w:pPr>
                  <w:r>
                    <w:rPr>
                      <w:szCs w:val="21"/>
                    </w:rPr>
                    <w:t>31.7</w:t>
                  </w:r>
                </w:p>
              </w:tc>
              <w:tc>
                <w:tcPr>
                  <w:tcW w:w="709" w:type="dxa"/>
                  <w:vAlign w:val="center"/>
                </w:tcPr>
                <w:p>
                  <w:pPr>
                    <w:jc w:val="center"/>
                    <w:rPr>
                      <w:szCs w:val="21"/>
                    </w:rPr>
                  </w:pPr>
                  <w:r>
                    <w:rPr>
                      <w:szCs w:val="21"/>
                    </w:rPr>
                    <w:t>49.6</w:t>
                  </w:r>
                </w:p>
              </w:tc>
              <w:tc>
                <w:tcPr>
                  <w:tcW w:w="709" w:type="dxa"/>
                  <w:vAlign w:val="center"/>
                </w:tcPr>
                <w:p>
                  <w:pPr>
                    <w:jc w:val="center"/>
                    <w:rPr>
                      <w:szCs w:val="21"/>
                    </w:rPr>
                  </w:pPr>
                  <w:r>
                    <w:rPr>
                      <w:szCs w:val="21"/>
                    </w:rPr>
                    <w:t>49.7</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47.8</w:t>
                  </w:r>
                </w:p>
              </w:tc>
              <w:tc>
                <w:tcPr>
                  <w:tcW w:w="709" w:type="dxa"/>
                  <w:vAlign w:val="center"/>
                </w:tcPr>
                <w:p>
                  <w:pPr>
                    <w:jc w:val="center"/>
                    <w:rPr>
                      <w:szCs w:val="21"/>
                    </w:rPr>
                  </w:pPr>
                  <w:r>
                    <w:rPr>
                      <w:szCs w:val="21"/>
                    </w:rPr>
                    <w:t>47.9</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东侧居民楼Ⅱ</w:t>
                  </w:r>
                </w:p>
              </w:tc>
              <w:tc>
                <w:tcPr>
                  <w:tcW w:w="850" w:type="dxa"/>
                  <w:vAlign w:val="center"/>
                </w:tcPr>
                <w:p>
                  <w:pPr>
                    <w:jc w:val="center"/>
                    <w:rPr>
                      <w:szCs w:val="21"/>
                    </w:rPr>
                  </w:pPr>
                  <w:r>
                    <w:rPr>
                      <w:szCs w:val="21"/>
                    </w:rPr>
                    <w:t>31.5</w:t>
                  </w:r>
                </w:p>
              </w:tc>
              <w:tc>
                <w:tcPr>
                  <w:tcW w:w="709" w:type="dxa"/>
                  <w:vAlign w:val="center"/>
                </w:tcPr>
                <w:p>
                  <w:pPr>
                    <w:jc w:val="center"/>
                    <w:rPr>
                      <w:szCs w:val="21"/>
                    </w:rPr>
                  </w:pPr>
                  <w:r>
                    <w:rPr>
                      <w:szCs w:val="21"/>
                    </w:rPr>
                    <w:t>49.1</w:t>
                  </w:r>
                </w:p>
              </w:tc>
              <w:tc>
                <w:tcPr>
                  <w:tcW w:w="709" w:type="dxa"/>
                  <w:vAlign w:val="center"/>
                </w:tcPr>
                <w:p>
                  <w:pPr>
                    <w:jc w:val="center"/>
                    <w:rPr>
                      <w:szCs w:val="21"/>
                    </w:rPr>
                  </w:pPr>
                  <w:r>
                    <w:rPr>
                      <w:szCs w:val="21"/>
                    </w:rPr>
                    <w:t>49.2</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47.5</w:t>
                  </w:r>
                </w:p>
              </w:tc>
              <w:tc>
                <w:tcPr>
                  <w:tcW w:w="709" w:type="dxa"/>
                  <w:vAlign w:val="center"/>
                </w:tcPr>
                <w:p>
                  <w:pPr>
                    <w:jc w:val="center"/>
                    <w:rPr>
                      <w:szCs w:val="21"/>
                    </w:rPr>
                  </w:pPr>
                  <w:r>
                    <w:rPr>
                      <w:szCs w:val="21"/>
                    </w:rPr>
                    <w:t>47.6</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南侧居民楼Ⅰ</w:t>
                  </w:r>
                </w:p>
              </w:tc>
              <w:tc>
                <w:tcPr>
                  <w:tcW w:w="850" w:type="dxa"/>
                  <w:vAlign w:val="center"/>
                </w:tcPr>
                <w:p>
                  <w:pPr>
                    <w:jc w:val="center"/>
                    <w:rPr>
                      <w:szCs w:val="21"/>
                    </w:rPr>
                  </w:pPr>
                  <w:r>
                    <w:rPr>
                      <w:szCs w:val="21"/>
                    </w:rPr>
                    <w:t>34.9</w:t>
                  </w:r>
                </w:p>
              </w:tc>
              <w:tc>
                <w:tcPr>
                  <w:tcW w:w="709" w:type="dxa"/>
                  <w:vAlign w:val="center"/>
                </w:tcPr>
                <w:p>
                  <w:pPr>
                    <w:jc w:val="center"/>
                    <w:rPr>
                      <w:szCs w:val="21"/>
                    </w:rPr>
                  </w:pPr>
                  <w:r>
                    <w:rPr>
                      <w:szCs w:val="21"/>
                    </w:rPr>
                    <w:t>48.4</w:t>
                  </w:r>
                </w:p>
              </w:tc>
              <w:tc>
                <w:tcPr>
                  <w:tcW w:w="709" w:type="dxa"/>
                  <w:vAlign w:val="center"/>
                </w:tcPr>
                <w:p>
                  <w:pPr>
                    <w:jc w:val="center"/>
                    <w:rPr>
                      <w:szCs w:val="21"/>
                    </w:rPr>
                  </w:pPr>
                  <w:r>
                    <w:rPr>
                      <w:szCs w:val="21"/>
                    </w:rPr>
                    <w:t>48.6</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45.9</w:t>
                  </w:r>
                </w:p>
              </w:tc>
              <w:tc>
                <w:tcPr>
                  <w:tcW w:w="709" w:type="dxa"/>
                  <w:vAlign w:val="center"/>
                </w:tcPr>
                <w:p>
                  <w:pPr>
                    <w:jc w:val="center"/>
                    <w:rPr>
                      <w:szCs w:val="21"/>
                    </w:rPr>
                  </w:pPr>
                  <w:r>
                    <w:rPr>
                      <w:szCs w:val="21"/>
                    </w:rPr>
                    <w:t>46.2</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南侧居民楼Ⅱ</w:t>
                  </w:r>
                </w:p>
              </w:tc>
              <w:tc>
                <w:tcPr>
                  <w:tcW w:w="850" w:type="dxa"/>
                  <w:vAlign w:val="center"/>
                </w:tcPr>
                <w:p>
                  <w:pPr>
                    <w:jc w:val="center"/>
                    <w:rPr>
                      <w:szCs w:val="21"/>
                    </w:rPr>
                  </w:pPr>
                  <w:r>
                    <w:rPr>
                      <w:szCs w:val="21"/>
                    </w:rPr>
                    <w:t>30.4</w:t>
                  </w:r>
                </w:p>
              </w:tc>
              <w:tc>
                <w:tcPr>
                  <w:tcW w:w="709" w:type="dxa"/>
                  <w:vAlign w:val="center"/>
                </w:tcPr>
                <w:p>
                  <w:pPr>
                    <w:jc w:val="center"/>
                    <w:rPr>
                      <w:szCs w:val="21"/>
                    </w:rPr>
                  </w:pPr>
                  <w:r>
                    <w:rPr>
                      <w:szCs w:val="21"/>
                    </w:rPr>
                    <w:t>43.4</w:t>
                  </w:r>
                </w:p>
              </w:tc>
              <w:tc>
                <w:tcPr>
                  <w:tcW w:w="709" w:type="dxa"/>
                  <w:vAlign w:val="center"/>
                </w:tcPr>
                <w:p>
                  <w:pPr>
                    <w:jc w:val="center"/>
                    <w:rPr>
                      <w:szCs w:val="21"/>
                    </w:rPr>
                  </w:pPr>
                  <w:r>
                    <w:rPr>
                      <w:szCs w:val="21"/>
                    </w:rPr>
                    <w:t>43.6</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41.2</w:t>
                  </w:r>
                </w:p>
              </w:tc>
              <w:tc>
                <w:tcPr>
                  <w:tcW w:w="709" w:type="dxa"/>
                  <w:vAlign w:val="center"/>
                </w:tcPr>
                <w:p>
                  <w:pPr>
                    <w:jc w:val="center"/>
                    <w:rPr>
                      <w:szCs w:val="21"/>
                    </w:rPr>
                  </w:pPr>
                  <w:r>
                    <w:rPr>
                      <w:szCs w:val="21"/>
                    </w:rPr>
                    <w:t>41.5</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西侧居民楼Ⅰ</w:t>
                  </w:r>
                </w:p>
              </w:tc>
              <w:tc>
                <w:tcPr>
                  <w:tcW w:w="850" w:type="dxa"/>
                  <w:vAlign w:val="center"/>
                </w:tcPr>
                <w:p>
                  <w:pPr>
                    <w:jc w:val="center"/>
                    <w:rPr>
                      <w:szCs w:val="21"/>
                    </w:rPr>
                  </w:pPr>
                  <w:r>
                    <w:rPr>
                      <w:szCs w:val="21"/>
                    </w:rPr>
                    <w:t>34.0</w:t>
                  </w:r>
                </w:p>
              </w:tc>
              <w:tc>
                <w:tcPr>
                  <w:tcW w:w="709" w:type="dxa"/>
                  <w:vAlign w:val="center"/>
                </w:tcPr>
                <w:p>
                  <w:pPr>
                    <w:jc w:val="center"/>
                    <w:rPr>
                      <w:szCs w:val="21"/>
                    </w:rPr>
                  </w:pPr>
                  <w:r>
                    <w:rPr>
                      <w:szCs w:val="21"/>
                    </w:rPr>
                    <w:t>44.3</w:t>
                  </w:r>
                </w:p>
              </w:tc>
              <w:tc>
                <w:tcPr>
                  <w:tcW w:w="709" w:type="dxa"/>
                  <w:vAlign w:val="center"/>
                </w:tcPr>
                <w:p>
                  <w:pPr>
                    <w:jc w:val="center"/>
                    <w:rPr>
                      <w:szCs w:val="21"/>
                    </w:rPr>
                  </w:pPr>
                  <w:r>
                    <w:rPr>
                      <w:szCs w:val="21"/>
                    </w:rPr>
                    <w:t>44.7</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42.6</w:t>
                  </w:r>
                </w:p>
              </w:tc>
              <w:tc>
                <w:tcPr>
                  <w:tcW w:w="709" w:type="dxa"/>
                  <w:vAlign w:val="center"/>
                </w:tcPr>
                <w:p>
                  <w:pPr>
                    <w:jc w:val="center"/>
                    <w:rPr>
                      <w:szCs w:val="21"/>
                    </w:rPr>
                  </w:pPr>
                  <w:r>
                    <w:rPr>
                      <w:szCs w:val="21"/>
                    </w:rPr>
                    <w:t>43.2</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0" w:hRule="atLeast"/>
              </w:trPr>
              <w:tc>
                <w:tcPr>
                  <w:tcW w:w="457" w:type="dxa"/>
                  <w:vMerge w:val="continue"/>
                  <w:vAlign w:val="top"/>
                </w:tcPr>
                <w:p>
                  <w:pPr>
                    <w:jc w:val="center"/>
                    <w:rPr>
                      <w:szCs w:val="21"/>
                    </w:rPr>
                  </w:pPr>
                </w:p>
              </w:tc>
              <w:tc>
                <w:tcPr>
                  <w:tcW w:w="1325" w:type="dxa"/>
                  <w:vAlign w:val="center"/>
                </w:tcPr>
                <w:p>
                  <w:pPr>
                    <w:jc w:val="center"/>
                    <w:rPr>
                      <w:szCs w:val="21"/>
                    </w:rPr>
                  </w:pPr>
                  <w:r>
                    <w:rPr>
                      <w:szCs w:val="21"/>
                    </w:rPr>
                    <w:t>西侧居民楼Ⅱ</w:t>
                  </w:r>
                </w:p>
              </w:tc>
              <w:tc>
                <w:tcPr>
                  <w:tcW w:w="850" w:type="dxa"/>
                  <w:vAlign w:val="center"/>
                </w:tcPr>
                <w:p>
                  <w:pPr>
                    <w:jc w:val="center"/>
                    <w:rPr>
                      <w:szCs w:val="21"/>
                    </w:rPr>
                  </w:pPr>
                  <w:r>
                    <w:rPr>
                      <w:szCs w:val="21"/>
                    </w:rPr>
                    <w:t>33.3</w:t>
                  </w:r>
                </w:p>
              </w:tc>
              <w:tc>
                <w:tcPr>
                  <w:tcW w:w="709" w:type="dxa"/>
                  <w:vAlign w:val="center"/>
                </w:tcPr>
                <w:p>
                  <w:pPr>
                    <w:jc w:val="center"/>
                    <w:rPr>
                      <w:szCs w:val="21"/>
                    </w:rPr>
                  </w:pPr>
                  <w:r>
                    <w:rPr>
                      <w:szCs w:val="21"/>
                    </w:rPr>
                    <w:t>44.2</w:t>
                  </w:r>
                </w:p>
              </w:tc>
              <w:tc>
                <w:tcPr>
                  <w:tcW w:w="709" w:type="dxa"/>
                  <w:vAlign w:val="center"/>
                </w:tcPr>
                <w:p>
                  <w:pPr>
                    <w:jc w:val="center"/>
                    <w:rPr>
                      <w:szCs w:val="21"/>
                    </w:rPr>
                  </w:pPr>
                  <w:r>
                    <w:rPr>
                      <w:szCs w:val="21"/>
                    </w:rPr>
                    <w:t>44.5</w:t>
                  </w:r>
                </w:p>
              </w:tc>
              <w:tc>
                <w:tcPr>
                  <w:tcW w:w="850" w:type="dxa"/>
                  <w:vAlign w:val="center"/>
                </w:tcPr>
                <w:p>
                  <w:pPr>
                    <w:jc w:val="center"/>
                    <w:rPr>
                      <w:szCs w:val="21"/>
                    </w:rPr>
                  </w:pPr>
                  <w:r>
                    <w:rPr>
                      <w:szCs w:val="21"/>
                    </w:rPr>
                    <w:t>60</w:t>
                  </w:r>
                </w:p>
              </w:tc>
              <w:tc>
                <w:tcPr>
                  <w:tcW w:w="851" w:type="dxa"/>
                  <w:vAlign w:val="center"/>
                </w:tcPr>
                <w:p>
                  <w:pPr>
                    <w:jc w:val="center"/>
                    <w:rPr>
                      <w:szCs w:val="21"/>
                    </w:rPr>
                  </w:pPr>
                  <w:r>
                    <w:rPr>
                      <w:szCs w:val="21"/>
                    </w:rPr>
                    <w:t>达标</w:t>
                  </w:r>
                </w:p>
              </w:tc>
              <w:tc>
                <w:tcPr>
                  <w:tcW w:w="850" w:type="dxa"/>
                  <w:vAlign w:val="center"/>
                </w:tcPr>
                <w:p>
                  <w:pPr>
                    <w:jc w:val="center"/>
                    <w:rPr>
                      <w:szCs w:val="21"/>
                    </w:rPr>
                  </w:pPr>
                  <w:r>
                    <w:rPr>
                      <w:szCs w:val="21"/>
                    </w:rPr>
                    <w:t>42.1</w:t>
                  </w:r>
                </w:p>
              </w:tc>
              <w:tc>
                <w:tcPr>
                  <w:tcW w:w="709" w:type="dxa"/>
                  <w:vAlign w:val="center"/>
                </w:tcPr>
                <w:p>
                  <w:pPr>
                    <w:jc w:val="center"/>
                    <w:rPr>
                      <w:szCs w:val="21"/>
                    </w:rPr>
                  </w:pPr>
                  <w:r>
                    <w:rPr>
                      <w:szCs w:val="21"/>
                    </w:rPr>
                    <w:t>42.6</w:t>
                  </w:r>
                </w:p>
              </w:tc>
              <w:tc>
                <w:tcPr>
                  <w:tcW w:w="709" w:type="dxa"/>
                  <w:vAlign w:val="center"/>
                </w:tcPr>
                <w:p>
                  <w:pPr>
                    <w:jc w:val="center"/>
                    <w:rPr>
                      <w:szCs w:val="21"/>
                    </w:rPr>
                  </w:pPr>
                  <w:r>
                    <w:rPr>
                      <w:szCs w:val="21"/>
                    </w:rPr>
                    <w:t>50</w:t>
                  </w:r>
                </w:p>
              </w:tc>
              <w:tc>
                <w:tcPr>
                  <w:tcW w:w="934" w:type="dxa"/>
                  <w:gridSpan w:val="2"/>
                  <w:vAlign w:val="center"/>
                </w:tcPr>
                <w:p>
                  <w:pPr>
                    <w:jc w:val="center"/>
                    <w:rPr>
                      <w:szCs w:val="21"/>
                    </w:rPr>
                  </w:pPr>
                  <w:r>
                    <w:rPr>
                      <w:szCs w:val="21"/>
                    </w:rPr>
                    <w:t>达标</w:t>
                  </w:r>
                </w:p>
              </w:tc>
            </w:tr>
          </w:tbl>
          <w:p>
            <w:pPr>
              <w:spacing w:line="360" w:lineRule="auto"/>
              <w:ind w:right="101" w:rightChars="48" w:firstLine="562" w:firstLineChars="200"/>
              <w:rPr>
                <w:b/>
                <w:sz w:val="28"/>
                <w:szCs w:val="28"/>
              </w:rPr>
            </w:pPr>
          </w:p>
          <w:p>
            <w:pPr>
              <w:spacing w:line="360" w:lineRule="auto"/>
              <w:ind w:right="101" w:rightChars="48" w:firstLine="560" w:firstLineChars="200"/>
              <w:rPr>
                <w:sz w:val="28"/>
                <w:szCs w:val="28"/>
              </w:rPr>
            </w:pPr>
            <w:r>
              <w:rPr>
                <w:sz w:val="28"/>
                <w:szCs w:val="28"/>
              </w:rPr>
              <w:t>表24计算结果表明新建城东、扩建高沙、黄陂桥110kV变电站投入运行后，变电站厂界噪声昼、夜间最大值分别为54.3dB（A）、52.1dB（A），厂界噪声能够满足《</w:t>
            </w:r>
            <w:r>
              <w:rPr>
                <w:sz w:val="28"/>
                <w:szCs w:val="28"/>
              </w:rPr>
              <w:fldChar w:fldCharType="begin"/>
            </w:r>
            <w:r>
              <w:rPr>
                <w:sz w:val="28"/>
                <w:szCs w:val="28"/>
              </w:rPr>
              <w:instrText xml:space="preserve"> HYPERLINK "电网组标准/16%20GB%2012348-2008%20工业企业厂界环境噪声排放标准%20.pdf" </w:instrText>
            </w:r>
            <w:r>
              <w:rPr>
                <w:sz w:val="28"/>
                <w:szCs w:val="28"/>
              </w:rPr>
              <w:fldChar w:fldCharType="separate"/>
            </w:r>
            <w:r>
              <w:rPr>
                <w:sz w:val="28"/>
                <w:szCs w:val="28"/>
              </w:rPr>
              <w:t>工业企业厂界环境噪声排放标准</w:t>
            </w:r>
            <w:r>
              <w:rPr>
                <w:sz w:val="28"/>
                <w:szCs w:val="28"/>
              </w:rPr>
              <w:fldChar w:fldCharType="end"/>
            </w:r>
            <w:r>
              <w:rPr>
                <w:sz w:val="28"/>
                <w:szCs w:val="28"/>
              </w:rPr>
              <w:t>》（GB1234-2008）2类标准要求。</w:t>
            </w:r>
          </w:p>
          <w:p>
            <w:pPr>
              <w:spacing w:line="360" w:lineRule="auto"/>
              <w:ind w:right="101" w:rightChars="48" w:firstLine="560" w:firstLineChars="200"/>
              <w:rPr>
                <w:sz w:val="28"/>
                <w:szCs w:val="28"/>
              </w:rPr>
            </w:pPr>
            <w:r>
              <w:rPr>
                <w:sz w:val="28"/>
                <w:szCs w:val="28"/>
              </w:rPr>
              <w:t>上述噪声计算结果仅考虑了噪声随距离的衰减，没有考虑反射、障碍物阻挡、大气吸声等的衰减，故变电站投运后实际值应小于预测值。</w:t>
            </w:r>
          </w:p>
          <w:p>
            <w:pPr>
              <w:spacing w:line="360" w:lineRule="auto"/>
              <w:ind w:right="101" w:rightChars="48" w:firstLine="560" w:firstLineChars="200"/>
              <w:rPr>
                <w:sz w:val="28"/>
                <w:szCs w:val="28"/>
              </w:rPr>
            </w:pPr>
            <w:r>
              <w:rPr>
                <w:sz w:val="28"/>
                <w:szCs w:val="28"/>
              </w:rPr>
              <w:t>大岭110kV变电站改扩建工程本期仅将2#主变进行更换，现有2#主变为1996年湖南衡阳变压器厂出厂，噪声较大（经现场测量离主变1m处的平均值达69.4dB（A）），新更换的主变噪声值一般在65 dB（A）左右，新更换的主变噪声值小于原主变，因此本期扩建不会对变电站周围声环境增加影响，根据大岭110kV变电站噪声现状测量结果达标的情况，大岭110kV变电站更换主变后，厂界噪声能够满足《</w:t>
            </w:r>
            <w:r>
              <w:rPr>
                <w:sz w:val="28"/>
                <w:szCs w:val="28"/>
              </w:rPr>
              <w:fldChar w:fldCharType="begin"/>
            </w:r>
            <w:r>
              <w:rPr>
                <w:sz w:val="28"/>
                <w:szCs w:val="28"/>
              </w:rPr>
              <w:instrText xml:space="preserve"> HYPERLINK "电网组标准/16%20GB%2012348-2008%20工业企业厂界环境噪声排放标准%20.pdf" </w:instrText>
            </w:r>
            <w:r>
              <w:rPr>
                <w:sz w:val="28"/>
                <w:szCs w:val="28"/>
              </w:rPr>
              <w:fldChar w:fldCharType="separate"/>
            </w:r>
            <w:r>
              <w:rPr>
                <w:sz w:val="28"/>
                <w:szCs w:val="28"/>
              </w:rPr>
              <w:t>工业企业厂界环境噪声排放标准</w:t>
            </w:r>
            <w:r>
              <w:rPr>
                <w:sz w:val="28"/>
                <w:szCs w:val="28"/>
              </w:rPr>
              <w:fldChar w:fldCharType="end"/>
            </w:r>
            <w:r>
              <w:rPr>
                <w:sz w:val="28"/>
                <w:szCs w:val="28"/>
              </w:rPr>
              <w:t>》（GB1234-2008）2类标准要求；周围民房噪声能满足《声环境质量标准》（GB3096-2008）2类标准要求。</w:t>
            </w:r>
          </w:p>
          <w:p>
            <w:pPr>
              <w:spacing w:line="360" w:lineRule="auto"/>
              <w:ind w:right="101" w:rightChars="48" w:firstLine="560" w:firstLineChars="200"/>
              <w:rPr>
                <w:sz w:val="28"/>
                <w:szCs w:val="28"/>
              </w:rPr>
            </w:pPr>
            <w:r>
              <w:rPr>
                <w:sz w:val="28"/>
                <w:szCs w:val="28"/>
              </w:rPr>
              <w:t>上述噪声计算结果仅考虑了噪声随距离的衰减，没有考虑反射、障碍物阻挡、大气吸声等的衰减，故变电站投运后实际值应小于预测值。</w:t>
            </w:r>
          </w:p>
          <w:p>
            <w:pPr>
              <w:spacing w:line="360" w:lineRule="auto"/>
              <w:ind w:right="101" w:rightChars="48"/>
              <w:rPr>
                <w:sz w:val="28"/>
              </w:rPr>
            </w:pPr>
            <w:r>
              <w:rPr>
                <w:sz w:val="28"/>
              </w:rPr>
              <w:t>2.1.2户内式变电站</w:t>
            </w:r>
          </w:p>
          <w:p>
            <w:pPr>
              <w:spacing w:line="360" w:lineRule="auto"/>
              <w:ind w:right="101" w:rightChars="48" w:firstLine="560" w:firstLineChars="200"/>
              <w:rPr>
                <w:sz w:val="28"/>
              </w:rPr>
            </w:pPr>
            <w:r>
              <w:rPr>
                <w:sz w:val="28"/>
              </w:rPr>
              <w:t>全户内式变电站声环境影响主要为主变压器、电抗器等电气设备和风机运行产生的设备噪声，主变压器、电抗器器等主要噪声源均布置于综合楼内，通过门、窗以及通风百叶向户外透射，通风风机一般布置在屋顶。根据110kV户内式变电站的噪声影响规律及周围环境敏感目标的分布情况，确定六岭变电站声环境影响评价的范围为30m。考虑到六岭变电站周围环境具有学校、高层住宅等情况，本报告中采用soundplan专业噪声计算软件分别计算采取未采取降噪措施和采取降噪措施的噪声影响。</w:t>
            </w:r>
          </w:p>
          <w:p>
            <w:pPr>
              <w:spacing w:line="360" w:lineRule="auto"/>
              <w:ind w:right="101" w:rightChars="48" w:firstLine="560" w:firstLineChars="200"/>
              <w:rPr>
                <w:sz w:val="28"/>
              </w:rPr>
            </w:pPr>
            <w:r>
              <w:rPr>
                <w:sz w:val="28"/>
              </w:rPr>
              <w:t>（1）噪声源强及相关降噪参数</w:t>
            </w:r>
          </w:p>
          <w:p>
            <w:pPr>
              <w:spacing w:line="360" w:lineRule="auto"/>
              <w:ind w:right="101" w:rightChars="48" w:firstLine="560" w:firstLineChars="200"/>
              <w:rPr>
                <w:sz w:val="28"/>
              </w:rPr>
            </w:pPr>
            <w:r>
              <w:rPr>
                <w:sz w:val="28"/>
              </w:rPr>
              <w:t>根据典型110kV主变压器运行期间的噪声类比监测数据及相关设计资料，取较高水平按照距离</w:t>
            </w:r>
            <w:r>
              <w:rPr>
                <w:bCs/>
                <w:sz w:val="28"/>
              </w:rPr>
              <w:t>110</w:t>
            </w:r>
            <w:r>
              <w:rPr>
                <w:sz w:val="28"/>
              </w:rPr>
              <w:t>kV主变压器1m处声压级65dB（A）计算。主要通风风机噪声源参数见表25。进气消声百叶降噪量取5 dB（A），隔声窗隔声量取10 dB（A），主变室隔声门隔声量取15 dB（A）。</w:t>
            </w:r>
          </w:p>
          <w:p>
            <w:pPr>
              <w:spacing w:line="360" w:lineRule="auto"/>
              <w:ind w:right="101" w:rightChars="48"/>
              <w:jc w:val="center"/>
              <w:rPr>
                <w:rFonts w:hint="eastAsia"/>
                <w:b/>
                <w:sz w:val="28"/>
              </w:rPr>
            </w:pPr>
            <w:r>
              <w:rPr>
                <w:b/>
                <w:sz w:val="28"/>
              </w:rPr>
              <w:t xml:space="preserve">表25 </w:t>
            </w:r>
            <w:r>
              <w:rPr>
                <w:rFonts w:hint="eastAsia"/>
                <w:b/>
                <w:sz w:val="28"/>
              </w:rPr>
              <w:t xml:space="preserve"> </w:t>
            </w:r>
            <w:r>
              <w:rPr>
                <w:b/>
                <w:sz w:val="28"/>
              </w:rPr>
              <w:t>设备选型表</w:t>
            </w:r>
          </w:p>
          <w:tbl>
            <w:tblPr>
              <w:tblStyle w:val="11"/>
              <w:tblW w:w="8929"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8"/>
              <w:gridCol w:w="968"/>
              <w:gridCol w:w="3604"/>
              <w:gridCol w:w="582"/>
              <w:gridCol w:w="657"/>
              <w:gridCol w:w="247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32" w:hRule="atLeast"/>
              </w:trPr>
              <w:tc>
                <w:tcPr>
                  <w:tcW w:w="648" w:type="dxa"/>
                  <w:vAlign w:val="center"/>
                </w:tcPr>
                <w:p>
                  <w:pPr>
                    <w:spacing w:line="360" w:lineRule="exact"/>
                    <w:jc w:val="center"/>
                    <w:rPr>
                      <w:b/>
                      <w:szCs w:val="21"/>
                    </w:rPr>
                  </w:pPr>
                  <w:r>
                    <w:rPr>
                      <w:b/>
                      <w:szCs w:val="21"/>
                    </w:rPr>
                    <w:t>序号</w:t>
                  </w:r>
                </w:p>
              </w:tc>
              <w:tc>
                <w:tcPr>
                  <w:tcW w:w="968" w:type="dxa"/>
                  <w:vAlign w:val="center"/>
                </w:tcPr>
                <w:p>
                  <w:pPr>
                    <w:spacing w:line="360" w:lineRule="exact"/>
                    <w:jc w:val="center"/>
                    <w:rPr>
                      <w:b/>
                      <w:szCs w:val="21"/>
                    </w:rPr>
                  </w:pPr>
                  <w:r>
                    <w:rPr>
                      <w:b/>
                      <w:szCs w:val="21"/>
                    </w:rPr>
                    <w:t>名    称</w:t>
                  </w:r>
                </w:p>
              </w:tc>
              <w:tc>
                <w:tcPr>
                  <w:tcW w:w="3604" w:type="dxa"/>
                  <w:vAlign w:val="center"/>
                </w:tcPr>
                <w:p>
                  <w:pPr>
                    <w:spacing w:line="360" w:lineRule="exact"/>
                    <w:jc w:val="center"/>
                    <w:rPr>
                      <w:b/>
                      <w:szCs w:val="21"/>
                    </w:rPr>
                  </w:pPr>
                  <w:r>
                    <w:rPr>
                      <w:b/>
                      <w:szCs w:val="21"/>
                    </w:rPr>
                    <w:t>型  号  及  规  范</w:t>
                  </w:r>
                </w:p>
              </w:tc>
              <w:tc>
                <w:tcPr>
                  <w:tcW w:w="582" w:type="dxa"/>
                  <w:vAlign w:val="center"/>
                </w:tcPr>
                <w:p>
                  <w:pPr>
                    <w:spacing w:line="360" w:lineRule="exact"/>
                    <w:jc w:val="center"/>
                    <w:rPr>
                      <w:b/>
                      <w:szCs w:val="21"/>
                    </w:rPr>
                  </w:pPr>
                  <w:r>
                    <w:rPr>
                      <w:b/>
                      <w:szCs w:val="21"/>
                    </w:rPr>
                    <w:t>单位</w:t>
                  </w:r>
                </w:p>
              </w:tc>
              <w:tc>
                <w:tcPr>
                  <w:tcW w:w="657" w:type="dxa"/>
                  <w:vAlign w:val="center"/>
                </w:tcPr>
                <w:p>
                  <w:pPr>
                    <w:spacing w:line="360" w:lineRule="exact"/>
                    <w:jc w:val="center"/>
                    <w:rPr>
                      <w:b/>
                      <w:szCs w:val="21"/>
                    </w:rPr>
                  </w:pPr>
                  <w:r>
                    <w:rPr>
                      <w:b/>
                      <w:szCs w:val="21"/>
                    </w:rPr>
                    <w:t>数量</w:t>
                  </w:r>
                </w:p>
              </w:tc>
              <w:tc>
                <w:tcPr>
                  <w:tcW w:w="2470" w:type="dxa"/>
                  <w:vAlign w:val="center"/>
                </w:tcPr>
                <w:p>
                  <w:pPr>
                    <w:spacing w:line="360" w:lineRule="exact"/>
                    <w:jc w:val="center"/>
                    <w:rPr>
                      <w:b/>
                      <w:szCs w:val="21"/>
                    </w:rPr>
                  </w:pPr>
                  <w:r>
                    <w:rPr>
                      <w:b/>
                      <w:szCs w:val="21"/>
                    </w:rPr>
                    <w:t>备   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99" w:hRule="atLeast"/>
              </w:trPr>
              <w:tc>
                <w:tcPr>
                  <w:tcW w:w="648" w:type="dxa"/>
                  <w:vAlign w:val="center"/>
                </w:tcPr>
                <w:p>
                  <w:pPr>
                    <w:spacing w:line="400" w:lineRule="exact"/>
                    <w:jc w:val="center"/>
                    <w:rPr>
                      <w:szCs w:val="21"/>
                    </w:rPr>
                  </w:pPr>
                  <w:r>
                    <w:rPr>
                      <w:szCs w:val="21"/>
                    </w:rPr>
                    <w:t>1</w:t>
                  </w:r>
                </w:p>
              </w:tc>
              <w:tc>
                <w:tcPr>
                  <w:tcW w:w="968" w:type="dxa"/>
                  <w:vAlign w:val="center"/>
                </w:tcPr>
                <w:p>
                  <w:pPr>
                    <w:jc w:val="center"/>
                    <w:rPr>
                      <w:szCs w:val="21"/>
                    </w:rPr>
                  </w:pPr>
                  <w:r>
                    <w:rPr>
                      <w:szCs w:val="21"/>
                    </w:rPr>
                    <w:t>玻璃钢轴流风机</w:t>
                  </w:r>
                </w:p>
              </w:tc>
              <w:tc>
                <w:tcPr>
                  <w:tcW w:w="3604" w:type="dxa"/>
                  <w:vAlign w:val="center"/>
                </w:tcPr>
                <w:p>
                  <w:pPr>
                    <w:jc w:val="center"/>
                    <w:rPr>
                      <w:szCs w:val="21"/>
                    </w:rPr>
                  </w:pPr>
                  <w:r>
                    <w:rPr>
                      <w:szCs w:val="21"/>
                    </w:rPr>
                    <w:t>风量6070m³/h，功率0.37KW，全压123Pa，转速1450r/min，噪音55dB(A)</w:t>
                  </w:r>
                </w:p>
              </w:tc>
              <w:tc>
                <w:tcPr>
                  <w:tcW w:w="582" w:type="dxa"/>
                  <w:vAlign w:val="center"/>
                </w:tcPr>
                <w:p>
                  <w:pPr>
                    <w:jc w:val="center"/>
                    <w:rPr>
                      <w:szCs w:val="21"/>
                    </w:rPr>
                  </w:pPr>
                  <w:r>
                    <w:rPr>
                      <w:szCs w:val="21"/>
                    </w:rPr>
                    <w:t>台</w:t>
                  </w:r>
                </w:p>
              </w:tc>
              <w:tc>
                <w:tcPr>
                  <w:tcW w:w="657" w:type="dxa"/>
                  <w:vAlign w:val="center"/>
                </w:tcPr>
                <w:p>
                  <w:pPr>
                    <w:jc w:val="center"/>
                    <w:rPr>
                      <w:szCs w:val="21"/>
                    </w:rPr>
                  </w:pPr>
                  <w:r>
                    <w:rPr>
                      <w:szCs w:val="21"/>
                    </w:rPr>
                    <w:t>2</w:t>
                  </w:r>
                </w:p>
              </w:tc>
              <w:tc>
                <w:tcPr>
                  <w:tcW w:w="2470" w:type="dxa"/>
                  <w:vAlign w:val="center"/>
                </w:tcPr>
                <w:p>
                  <w:pPr>
                    <w:jc w:val="center"/>
                    <w:rPr>
                      <w:szCs w:val="21"/>
                    </w:rPr>
                  </w:pPr>
                  <w:r>
                    <w:rPr>
                      <w:szCs w:val="21"/>
                    </w:rPr>
                    <w:t>10kV配电装置室</w:t>
                  </w:r>
                </w:p>
                <w:p>
                  <w:pPr>
                    <w:jc w:val="center"/>
                    <w:rPr>
                      <w:szCs w:val="21"/>
                    </w:rPr>
                  </w:pPr>
                  <w:r>
                    <w:rPr>
                      <w:szCs w:val="21"/>
                    </w:rPr>
                    <w:t>加消声弯头，降噪6-8 dB(A)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99" w:hRule="atLeast"/>
              </w:trPr>
              <w:tc>
                <w:tcPr>
                  <w:tcW w:w="648" w:type="dxa"/>
                  <w:vAlign w:val="center"/>
                </w:tcPr>
                <w:p>
                  <w:pPr>
                    <w:spacing w:line="400" w:lineRule="exact"/>
                    <w:jc w:val="center"/>
                    <w:rPr>
                      <w:szCs w:val="21"/>
                    </w:rPr>
                  </w:pPr>
                  <w:r>
                    <w:rPr>
                      <w:szCs w:val="21"/>
                    </w:rPr>
                    <w:t>2</w:t>
                  </w:r>
                </w:p>
              </w:tc>
              <w:tc>
                <w:tcPr>
                  <w:tcW w:w="968" w:type="dxa"/>
                  <w:vAlign w:val="center"/>
                </w:tcPr>
                <w:p>
                  <w:pPr>
                    <w:jc w:val="center"/>
                    <w:rPr>
                      <w:szCs w:val="21"/>
                    </w:rPr>
                  </w:pPr>
                  <w:r>
                    <w:rPr>
                      <w:szCs w:val="21"/>
                    </w:rPr>
                    <w:t>玻璃钢轴流风机</w:t>
                  </w:r>
                </w:p>
              </w:tc>
              <w:tc>
                <w:tcPr>
                  <w:tcW w:w="3604" w:type="dxa"/>
                  <w:vAlign w:val="center"/>
                </w:tcPr>
                <w:p>
                  <w:pPr>
                    <w:jc w:val="center"/>
                    <w:rPr>
                      <w:szCs w:val="21"/>
                    </w:rPr>
                  </w:pPr>
                  <w:r>
                    <w:rPr>
                      <w:szCs w:val="21"/>
                    </w:rPr>
                    <w:t>风量6870m</w:t>
                  </w:r>
                  <w:r>
                    <w:rPr>
                      <w:szCs w:val="21"/>
                      <w:vertAlign w:val="superscript"/>
                    </w:rPr>
                    <w:t>3</w:t>
                  </w:r>
                  <w:r>
                    <w:rPr>
                      <w:szCs w:val="21"/>
                    </w:rPr>
                    <w:t>/h，功率0.55kW，转速1450r/min，噪音58dB(A)</w:t>
                  </w:r>
                </w:p>
              </w:tc>
              <w:tc>
                <w:tcPr>
                  <w:tcW w:w="582" w:type="dxa"/>
                  <w:vAlign w:val="center"/>
                </w:tcPr>
                <w:p>
                  <w:pPr>
                    <w:jc w:val="center"/>
                    <w:rPr>
                      <w:szCs w:val="21"/>
                    </w:rPr>
                  </w:pPr>
                  <w:r>
                    <w:rPr>
                      <w:szCs w:val="21"/>
                    </w:rPr>
                    <w:t>台</w:t>
                  </w:r>
                </w:p>
              </w:tc>
              <w:tc>
                <w:tcPr>
                  <w:tcW w:w="657" w:type="dxa"/>
                  <w:vAlign w:val="center"/>
                </w:tcPr>
                <w:p>
                  <w:pPr>
                    <w:jc w:val="center"/>
                    <w:rPr>
                      <w:szCs w:val="21"/>
                    </w:rPr>
                  </w:pPr>
                  <w:r>
                    <w:rPr>
                      <w:szCs w:val="21"/>
                    </w:rPr>
                    <w:t>2</w:t>
                  </w:r>
                </w:p>
              </w:tc>
              <w:tc>
                <w:tcPr>
                  <w:tcW w:w="2470" w:type="dxa"/>
                  <w:vMerge w:val="restart"/>
                  <w:vAlign w:val="center"/>
                </w:tcPr>
                <w:p>
                  <w:pPr>
                    <w:jc w:val="center"/>
                    <w:rPr>
                      <w:szCs w:val="21"/>
                    </w:rPr>
                  </w:pPr>
                  <w:r>
                    <w:rPr>
                      <w:szCs w:val="21"/>
                    </w:rPr>
                    <w:t>110kV GIS室</w:t>
                  </w:r>
                </w:p>
                <w:p>
                  <w:pPr>
                    <w:jc w:val="center"/>
                    <w:rPr>
                      <w:szCs w:val="21"/>
                    </w:rPr>
                  </w:pPr>
                  <w:r>
                    <w:rPr>
                      <w:szCs w:val="21"/>
                    </w:rPr>
                    <w:t>加消声弯头，降噪6-8 dB(A)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99" w:hRule="atLeast"/>
              </w:trPr>
              <w:tc>
                <w:tcPr>
                  <w:tcW w:w="648" w:type="dxa"/>
                  <w:vAlign w:val="center"/>
                </w:tcPr>
                <w:p>
                  <w:pPr>
                    <w:spacing w:line="400" w:lineRule="exact"/>
                    <w:jc w:val="center"/>
                    <w:rPr>
                      <w:szCs w:val="21"/>
                    </w:rPr>
                  </w:pPr>
                  <w:r>
                    <w:rPr>
                      <w:szCs w:val="21"/>
                    </w:rPr>
                    <w:t>3</w:t>
                  </w:r>
                </w:p>
              </w:tc>
              <w:tc>
                <w:tcPr>
                  <w:tcW w:w="968" w:type="dxa"/>
                  <w:vAlign w:val="center"/>
                </w:tcPr>
                <w:p>
                  <w:pPr>
                    <w:jc w:val="center"/>
                    <w:rPr>
                      <w:szCs w:val="21"/>
                    </w:rPr>
                  </w:pPr>
                  <w:r>
                    <w:rPr>
                      <w:szCs w:val="21"/>
                    </w:rPr>
                    <w:t>玻璃钢轴流风机</w:t>
                  </w:r>
                </w:p>
              </w:tc>
              <w:tc>
                <w:tcPr>
                  <w:tcW w:w="3604" w:type="dxa"/>
                  <w:vAlign w:val="center"/>
                </w:tcPr>
                <w:p>
                  <w:pPr>
                    <w:jc w:val="center"/>
                    <w:rPr>
                      <w:szCs w:val="21"/>
                    </w:rPr>
                  </w:pPr>
                  <w:r>
                    <w:rPr>
                      <w:szCs w:val="21"/>
                    </w:rPr>
                    <w:t>风量2737m</w:t>
                  </w:r>
                  <w:r>
                    <w:rPr>
                      <w:szCs w:val="21"/>
                      <w:vertAlign w:val="superscript"/>
                    </w:rPr>
                    <w:t>3</w:t>
                  </w:r>
                  <w:r>
                    <w:rPr>
                      <w:szCs w:val="21"/>
                    </w:rPr>
                    <w:t>/h，功率0.09kW，转速1450r/min，噪音53dB(A)</w:t>
                  </w:r>
                </w:p>
              </w:tc>
              <w:tc>
                <w:tcPr>
                  <w:tcW w:w="582" w:type="dxa"/>
                  <w:vAlign w:val="center"/>
                </w:tcPr>
                <w:p>
                  <w:pPr>
                    <w:jc w:val="center"/>
                    <w:rPr>
                      <w:szCs w:val="21"/>
                    </w:rPr>
                  </w:pPr>
                  <w:r>
                    <w:rPr>
                      <w:szCs w:val="21"/>
                    </w:rPr>
                    <w:t>台</w:t>
                  </w:r>
                </w:p>
              </w:tc>
              <w:tc>
                <w:tcPr>
                  <w:tcW w:w="657" w:type="dxa"/>
                  <w:vAlign w:val="center"/>
                </w:tcPr>
                <w:p>
                  <w:pPr>
                    <w:jc w:val="center"/>
                    <w:rPr>
                      <w:szCs w:val="21"/>
                    </w:rPr>
                  </w:pPr>
                  <w:r>
                    <w:rPr>
                      <w:szCs w:val="21"/>
                    </w:rPr>
                    <w:t>2</w:t>
                  </w:r>
                </w:p>
              </w:tc>
              <w:tc>
                <w:tcPr>
                  <w:tcW w:w="2470"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99" w:hRule="atLeast"/>
              </w:trPr>
              <w:tc>
                <w:tcPr>
                  <w:tcW w:w="648" w:type="dxa"/>
                  <w:vAlign w:val="center"/>
                </w:tcPr>
                <w:p>
                  <w:pPr>
                    <w:spacing w:line="400" w:lineRule="exact"/>
                    <w:jc w:val="center"/>
                    <w:rPr>
                      <w:szCs w:val="21"/>
                    </w:rPr>
                  </w:pPr>
                  <w:r>
                    <w:rPr>
                      <w:szCs w:val="21"/>
                    </w:rPr>
                    <w:t>4</w:t>
                  </w:r>
                </w:p>
              </w:tc>
              <w:tc>
                <w:tcPr>
                  <w:tcW w:w="968" w:type="dxa"/>
                  <w:vAlign w:val="center"/>
                </w:tcPr>
                <w:p>
                  <w:pPr>
                    <w:jc w:val="center"/>
                    <w:rPr>
                      <w:szCs w:val="21"/>
                    </w:rPr>
                  </w:pPr>
                  <w:r>
                    <w:rPr>
                      <w:szCs w:val="21"/>
                    </w:rPr>
                    <w:t>玻璃钢轴流风机</w:t>
                  </w:r>
                </w:p>
              </w:tc>
              <w:tc>
                <w:tcPr>
                  <w:tcW w:w="3604" w:type="dxa"/>
                  <w:vAlign w:val="center"/>
                </w:tcPr>
                <w:p>
                  <w:pPr>
                    <w:jc w:val="center"/>
                    <w:rPr>
                      <w:szCs w:val="21"/>
                    </w:rPr>
                  </w:pPr>
                  <w:r>
                    <w:rPr>
                      <w:szCs w:val="21"/>
                    </w:rPr>
                    <w:t>风量6635m³/h，功率0.37KW，全压73.7Pa，转速960r/min，噪音57dB(A)</w:t>
                  </w:r>
                </w:p>
              </w:tc>
              <w:tc>
                <w:tcPr>
                  <w:tcW w:w="582" w:type="dxa"/>
                  <w:vAlign w:val="center"/>
                </w:tcPr>
                <w:p>
                  <w:pPr>
                    <w:jc w:val="center"/>
                    <w:rPr>
                      <w:szCs w:val="21"/>
                    </w:rPr>
                  </w:pPr>
                  <w:r>
                    <w:rPr>
                      <w:szCs w:val="21"/>
                    </w:rPr>
                    <w:t>台</w:t>
                  </w:r>
                </w:p>
              </w:tc>
              <w:tc>
                <w:tcPr>
                  <w:tcW w:w="657" w:type="dxa"/>
                  <w:vAlign w:val="center"/>
                </w:tcPr>
                <w:p>
                  <w:pPr>
                    <w:jc w:val="center"/>
                    <w:rPr>
                      <w:szCs w:val="21"/>
                    </w:rPr>
                  </w:pPr>
                  <w:r>
                    <w:rPr>
                      <w:szCs w:val="21"/>
                    </w:rPr>
                    <w:t>1</w:t>
                  </w:r>
                </w:p>
              </w:tc>
              <w:tc>
                <w:tcPr>
                  <w:tcW w:w="2470" w:type="dxa"/>
                  <w:vAlign w:val="center"/>
                </w:tcPr>
                <w:p>
                  <w:pPr>
                    <w:jc w:val="center"/>
                    <w:rPr>
                      <w:szCs w:val="21"/>
                    </w:rPr>
                  </w:pPr>
                  <w:r>
                    <w:rPr>
                      <w:szCs w:val="21"/>
                    </w:rPr>
                    <w:t>接地变压器室</w:t>
                  </w:r>
                </w:p>
                <w:p>
                  <w:pPr>
                    <w:jc w:val="center"/>
                    <w:rPr>
                      <w:szCs w:val="21"/>
                    </w:rPr>
                  </w:pPr>
                  <w:r>
                    <w:rPr>
                      <w:szCs w:val="21"/>
                    </w:rPr>
                    <w:t>加消声弯头，降噪6-8 dB(A)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99" w:hRule="atLeast"/>
              </w:trPr>
              <w:tc>
                <w:tcPr>
                  <w:tcW w:w="648" w:type="dxa"/>
                  <w:vAlign w:val="center"/>
                </w:tcPr>
                <w:p>
                  <w:pPr>
                    <w:spacing w:line="400" w:lineRule="exact"/>
                    <w:jc w:val="center"/>
                    <w:rPr>
                      <w:szCs w:val="21"/>
                    </w:rPr>
                  </w:pPr>
                  <w:r>
                    <w:rPr>
                      <w:szCs w:val="21"/>
                    </w:rPr>
                    <w:t>5</w:t>
                  </w:r>
                </w:p>
              </w:tc>
              <w:tc>
                <w:tcPr>
                  <w:tcW w:w="968" w:type="dxa"/>
                  <w:vAlign w:val="center"/>
                </w:tcPr>
                <w:p>
                  <w:pPr>
                    <w:jc w:val="center"/>
                    <w:rPr>
                      <w:szCs w:val="21"/>
                    </w:rPr>
                  </w:pPr>
                  <w:r>
                    <w:rPr>
                      <w:szCs w:val="21"/>
                    </w:rPr>
                    <w:t>玻璃钢屋顶轴流风机</w:t>
                  </w:r>
                </w:p>
              </w:tc>
              <w:tc>
                <w:tcPr>
                  <w:tcW w:w="3604" w:type="dxa"/>
                  <w:vAlign w:val="center"/>
                </w:tcPr>
                <w:p>
                  <w:pPr>
                    <w:jc w:val="center"/>
                    <w:rPr>
                      <w:szCs w:val="21"/>
                    </w:rPr>
                  </w:pPr>
                  <w:r>
                    <w:rPr>
                      <w:szCs w:val="21"/>
                    </w:rPr>
                    <w:t>风量</w:t>
                  </w:r>
                  <w:r>
                    <w:rPr>
                      <w:rFonts w:hint="eastAsia"/>
                      <w:szCs w:val="21"/>
                    </w:rPr>
                    <w:t>34300</w:t>
                  </w:r>
                  <w:r>
                    <w:rPr>
                      <w:szCs w:val="21"/>
                    </w:rPr>
                    <w:t>m³/h，功率</w:t>
                  </w:r>
                  <w:r>
                    <w:rPr>
                      <w:rFonts w:hint="eastAsia"/>
                      <w:szCs w:val="21"/>
                    </w:rPr>
                    <w:t>2.2</w:t>
                  </w:r>
                  <w:r>
                    <w:rPr>
                      <w:szCs w:val="21"/>
                    </w:rPr>
                    <w:t>KW，全压100Pa，转速1450r/min，噪音</w:t>
                  </w:r>
                  <w:r>
                    <w:rPr>
                      <w:rFonts w:hint="eastAsia"/>
                      <w:szCs w:val="21"/>
                    </w:rPr>
                    <w:t>65</w:t>
                  </w:r>
                  <w:r>
                    <w:rPr>
                      <w:szCs w:val="21"/>
                    </w:rPr>
                    <w:t>dB(A)</w:t>
                  </w:r>
                </w:p>
              </w:tc>
              <w:tc>
                <w:tcPr>
                  <w:tcW w:w="582" w:type="dxa"/>
                  <w:vAlign w:val="center"/>
                </w:tcPr>
                <w:p>
                  <w:pPr>
                    <w:jc w:val="center"/>
                    <w:rPr>
                      <w:szCs w:val="21"/>
                    </w:rPr>
                  </w:pPr>
                  <w:r>
                    <w:rPr>
                      <w:szCs w:val="21"/>
                    </w:rPr>
                    <w:t>台</w:t>
                  </w:r>
                </w:p>
              </w:tc>
              <w:tc>
                <w:tcPr>
                  <w:tcW w:w="657" w:type="dxa"/>
                  <w:vAlign w:val="center"/>
                </w:tcPr>
                <w:p>
                  <w:pPr>
                    <w:jc w:val="center"/>
                    <w:rPr>
                      <w:rFonts w:hint="eastAsia"/>
                      <w:szCs w:val="21"/>
                    </w:rPr>
                  </w:pPr>
                  <w:r>
                    <w:rPr>
                      <w:rFonts w:hint="eastAsia"/>
                      <w:szCs w:val="21"/>
                    </w:rPr>
                    <w:t>6</w:t>
                  </w:r>
                </w:p>
              </w:tc>
              <w:tc>
                <w:tcPr>
                  <w:tcW w:w="2470" w:type="dxa"/>
                  <w:vAlign w:val="center"/>
                </w:tcPr>
                <w:p>
                  <w:pPr>
                    <w:jc w:val="center"/>
                    <w:rPr>
                      <w:szCs w:val="21"/>
                    </w:rPr>
                  </w:pPr>
                  <w:r>
                    <w:rPr>
                      <w:szCs w:val="21"/>
                    </w:rPr>
                    <w:t>主变压器室</w:t>
                  </w:r>
                </w:p>
                <w:p>
                  <w:pPr>
                    <w:jc w:val="center"/>
                    <w:rPr>
                      <w:szCs w:val="21"/>
                    </w:rPr>
                  </w:pPr>
                  <w:r>
                    <w:rPr>
                      <w:szCs w:val="21"/>
                    </w:rPr>
                    <w:t>加消声罩，降噪5-10 dB(A)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99" w:hRule="atLeast"/>
              </w:trPr>
              <w:tc>
                <w:tcPr>
                  <w:tcW w:w="648" w:type="dxa"/>
                  <w:vAlign w:val="center"/>
                </w:tcPr>
                <w:p>
                  <w:pPr>
                    <w:spacing w:line="400" w:lineRule="exact"/>
                    <w:jc w:val="center"/>
                    <w:rPr>
                      <w:szCs w:val="21"/>
                    </w:rPr>
                  </w:pPr>
                  <w:r>
                    <w:rPr>
                      <w:szCs w:val="21"/>
                    </w:rPr>
                    <w:t>6</w:t>
                  </w:r>
                </w:p>
              </w:tc>
              <w:tc>
                <w:tcPr>
                  <w:tcW w:w="968" w:type="dxa"/>
                  <w:vAlign w:val="center"/>
                </w:tcPr>
                <w:p>
                  <w:pPr>
                    <w:jc w:val="center"/>
                    <w:rPr>
                      <w:szCs w:val="21"/>
                    </w:rPr>
                  </w:pPr>
                  <w:r>
                    <w:rPr>
                      <w:szCs w:val="21"/>
                    </w:rPr>
                    <w:t>玻璃钢轴流风机</w:t>
                  </w:r>
                </w:p>
              </w:tc>
              <w:tc>
                <w:tcPr>
                  <w:tcW w:w="3604" w:type="dxa"/>
                  <w:vAlign w:val="center"/>
                </w:tcPr>
                <w:p>
                  <w:pPr>
                    <w:jc w:val="center"/>
                    <w:rPr>
                      <w:szCs w:val="21"/>
                    </w:rPr>
                  </w:pPr>
                  <w:r>
                    <w:rPr>
                      <w:szCs w:val="21"/>
                    </w:rPr>
                    <w:t>风量6635m³/h，功率0.37KW，全压73.7Pa，转速960r/min，噪音57dB(A)</w:t>
                  </w:r>
                </w:p>
              </w:tc>
              <w:tc>
                <w:tcPr>
                  <w:tcW w:w="582" w:type="dxa"/>
                  <w:vAlign w:val="center"/>
                </w:tcPr>
                <w:p>
                  <w:pPr>
                    <w:jc w:val="center"/>
                    <w:rPr>
                      <w:szCs w:val="21"/>
                    </w:rPr>
                  </w:pPr>
                  <w:r>
                    <w:rPr>
                      <w:szCs w:val="21"/>
                    </w:rPr>
                    <w:t>台</w:t>
                  </w:r>
                </w:p>
              </w:tc>
              <w:tc>
                <w:tcPr>
                  <w:tcW w:w="657" w:type="dxa"/>
                  <w:vAlign w:val="center"/>
                </w:tcPr>
                <w:p>
                  <w:pPr>
                    <w:jc w:val="center"/>
                    <w:rPr>
                      <w:szCs w:val="21"/>
                    </w:rPr>
                  </w:pPr>
                  <w:r>
                    <w:rPr>
                      <w:szCs w:val="21"/>
                    </w:rPr>
                    <w:t>2</w:t>
                  </w:r>
                </w:p>
              </w:tc>
              <w:tc>
                <w:tcPr>
                  <w:tcW w:w="2470" w:type="dxa"/>
                  <w:vAlign w:val="center"/>
                </w:tcPr>
                <w:p>
                  <w:pPr>
                    <w:jc w:val="center"/>
                    <w:rPr>
                      <w:szCs w:val="21"/>
                    </w:rPr>
                  </w:pPr>
                  <w:r>
                    <w:rPr>
                      <w:szCs w:val="21"/>
                    </w:rPr>
                    <w:t>电容器室</w:t>
                  </w:r>
                </w:p>
                <w:p>
                  <w:pPr>
                    <w:jc w:val="center"/>
                    <w:rPr>
                      <w:szCs w:val="21"/>
                    </w:rPr>
                  </w:pPr>
                  <w:r>
                    <w:rPr>
                      <w:szCs w:val="21"/>
                    </w:rPr>
                    <w:t>加消声弯头，降噪6-8 dB(A)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99" w:hRule="atLeast"/>
              </w:trPr>
              <w:tc>
                <w:tcPr>
                  <w:tcW w:w="648" w:type="dxa"/>
                  <w:vAlign w:val="center"/>
                </w:tcPr>
                <w:p>
                  <w:pPr>
                    <w:spacing w:line="400" w:lineRule="exact"/>
                    <w:jc w:val="center"/>
                    <w:rPr>
                      <w:szCs w:val="21"/>
                    </w:rPr>
                  </w:pPr>
                  <w:r>
                    <w:rPr>
                      <w:szCs w:val="21"/>
                    </w:rPr>
                    <w:t>7</w:t>
                  </w:r>
                </w:p>
              </w:tc>
              <w:tc>
                <w:tcPr>
                  <w:tcW w:w="968" w:type="dxa"/>
                  <w:vAlign w:val="center"/>
                </w:tcPr>
                <w:p>
                  <w:pPr>
                    <w:jc w:val="center"/>
                    <w:rPr>
                      <w:szCs w:val="21"/>
                    </w:rPr>
                  </w:pPr>
                  <w:r>
                    <w:rPr>
                      <w:szCs w:val="21"/>
                    </w:rPr>
                    <w:t>玻璃钢轴流风机</w:t>
                  </w:r>
                </w:p>
              </w:tc>
              <w:tc>
                <w:tcPr>
                  <w:tcW w:w="3604" w:type="dxa"/>
                  <w:vAlign w:val="center"/>
                </w:tcPr>
                <w:p>
                  <w:pPr>
                    <w:jc w:val="center"/>
                    <w:rPr>
                      <w:szCs w:val="21"/>
                    </w:rPr>
                  </w:pPr>
                  <w:r>
                    <w:rPr>
                      <w:szCs w:val="21"/>
                    </w:rPr>
                    <w:t>风量7101m³/h，功率0.37KW，全压77Pa，转速960r/min，噪音55dB(A)</w:t>
                  </w:r>
                </w:p>
              </w:tc>
              <w:tc>
                <w:tcPr>
                  <w:tcW w:w="582" w:type="dxa"/>
                  <w:vAlign w:val="center"/>
                </w:tcPr>
                <w:p>
                  <w:pPr>
                    <w:jc w:val="center"/>
                    <w:rPr>
                      <w:szCs w:val="21"/>
                    </w:rPr>
                  </w:pPr>
                  <w:r>
                    <w:rPr>
                      <w:szCs w:val="21"/>
                    </w:rPr>
                    <w:t>台</w:t>
                  </w:r>
                </w:p>
              </w:tc>
              <w:tc>
                <w:tcPr>
                  <w:tcW w:w="657" w:type="dxa"/>
                  <w:vAlign w:val="center"/>
                </w:tcPr>
                <w:p>
                  <w:pPr>
                    <w:jc w:val="center"/>
                    <w:rPr>
                      <w:szCs w:val="21"/>
                    </w:rPr>
                  </w:pPr>
                  <w:r>
                    <w:rPr>
                      <w:szCs w:val="21"/>
                    </w:rPr>
                    <w:t>1</w:t>
                  </w:r>
                </w:p>
              </w:tc>
              <w:tc>
                <w:tcPr>
                  <w:tcW w:w="2470" w:type="dxa"/>
                  <w:vAlign w:val="center"/>
                </w:tcPr>
                <w:p>
                  <w:pPr>
                    <w:jc w:val="center"/>
                    <w:rPr>
                      <w:szCs w:val="21"/>
                    </w:rPr>
                  </w:pPr>
                  <w:r>
                    <w:rPr>
                      <w:szCs w:val="21"/>
                    </w:rPr>
                    <w:t>电缆层</w:t>
                  </w:r>
                </w:p>
                <w:p>
                  <w:pPr>
                    <w:jc w:val="center"/>
                    <w:rPr>
                      <w:szCs w:val="21"/>
                    </w:rPr>
                  </w:pPr>
                  <w:r>
                    <w:rPr>
                      <w:szCs w:val="21"/>
                    </w:rPr>
                    <w:t>加消声弯头，降噪6-8 dB(A)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99" w:hRule="atLeast"/>
              </w:trPr>
              <w:tc>
                <w:tcPr>
                  <w:tcW w:w="648" w:type="dxa"/>
                  <w:vAlign w:val="center"/>
                </w:tcPr>
                <w:p>
                  <w:pPr>
                    <w:spacing w:line="400" w:lineRule="exact"/>
                    <w:jc w:val="center"/>
                    <w:rPr>
                      <w:szCs w:val="21"/>
                    </w:rPr>
                  </w:pPr>
                  <w:r>
                    <w:rPr>
                      <w:szCs w:val="21"/>
                    </w:rPr>
                    <w:t>8</w:t>
                  </w:r>
                </w:p>
              </w:tc>
              <w:tc>
                <w:tcPr>
                  <w:tcW w:w="968" w:type="dxa"/>
                  <w:vAlign w:val="center"/>
                </w:tcPr>
                <w:p>
                  <w:pPr>
                    <w:jc w:val="center"/>
                    <w:rPr>
                      <w:szCs w:val="21"/>
                    </w:rPr>
                  </w:pPr>
                  <w:r>
                    <w:rPr>
                      <w:szCs w:val="21"/>
                    </w:rPr>
                    <w:t>低噪声防爆轴流风机</w:t>
                  </w:r>
                </w:p>
              </w:tc>
              <w:tc>
                <w:tcPr>
                  <w:tcW w:w="3604" w:type="dxa"/>
                  <w:vAlign w:val="center"/>
                </w:tcPr>
                <w:p>
                  <w:pPr>
                    <w:jc w:val="center"/>
                    <w:rPr>
                      <w:szCs w:val="21"/>
                    </w:rPr>
                  </w:pPr>
                  <w:r>
                    <w:rPr>
                      <w:szCs w:val="21"/>
                    </w:rPr>
                    <w:t>风量1450m</w:t>
                  </w:r>
                  <w:r>
                    <w:rPr>
                      <w:szCs w:val="21"/>
                      <w:vertAlign w:val="superscript"/>
                    </w:rPr>
                    <w:t>3</w:t>
                  </w:r>
                  <w:r>
                    <w:rPr>
                      <w:szCs w:val="21"/>
                    </w:rPr>
                    <w:t>/h，功率0.06 kW，转速1450r/min，噪音52dB(A)</w:t>
                  </w:r>
                </w:p>
              </w:tc>
              <w:tc>
                <w:tcPr>
                  <w:tcW w:w="582" w:type="dxa"/>
                  <w:vAlign w:val="center"/>
                </w:tcPr>
                <w:p>
                  <w:pPr>
                    <w:jc w:val="center"/>
                    <w:rPr>
                      <w:szCs w:val="21"/>
                    </w:rPr>
                  </w:pPr>
                  <w:r>
                    <w:rPr>
                      <w:szCs w:val="21"/>
                    </w:rPr>
                    <w:t>台</w:t>
                  </w:r>
                </w:p>
              </w:tc>
              <w:tc>
                <w:tcPr>
                  <w:tcW w:w="657" w:type="dxa"/>
                  <w:vAlign w:val="center"/>
                </w:tcPr>
                <w:p>
                  <w:pPr>
                    <w:jc w:val="center"/>
                    <w:rPr>
                      <w:szCs w:val="21"/>
                    </w:rPr>
                  </w:pPr>
                  <w:r>
                    <w:rPr>
                      <w:szCs w:val="21"/>
                    </w:rPr>
                    <w:t>1</w:t>
                  </w:r>
                </w:p>
              </w:tc>
              <w:tc>
                <w:tcPr>
                  <w:tcW w:w="2470" w:type="dxa"/>
                  <w:vAlign w:val="center"/>
                </w:tcPr>
                <w:p>
                  <w:pPr>
                    <w:jc w:val="center"/>
                    <w:rPr>
                      <w:szCs w:val="21"/>
                    </w:rPr>
                  </w:pPr>
                  <w:r>
                    <w:rPr>
                      <w:szCs w:val="21"/>
                    </w:rPr>
                    <w:t>蓄电池室</w:t>
                  </w:r>
                </w:p>
                <w:p>
                  <w:pPr>
                    <w:jc w:val="center"/>
                    <w:rPr>
                      <w:szCs w:val="21"/>
                    </w:rPr>
                  </w:pPr>
                  <w:r>
                    <w:rPr>
                      <w:szCs w:val="21"/>
                    </w:rPr>
                    <w:t>加消声弯头，降噪6-8 dB(A)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99" w:hRule="atLeast"/>
              </w:trPr>
              <w:tc>
                <w:tcPr>
                  <w:tcW w:w="648" w:type="dxa"/>
                  <w:vAlign w:val="center"/>
                </w:tcPr>
                <w:p>
                  <w:pPr>
                    <w:spacing w:line="400" w:lineRule="exact"/>
                    <w:jc w:val="center"/>
                    <w:rPr>
                      <w:szCs w:val="21"/>
                    </w:rPr>
                  </w:pPr>
                  <w:r>
                    <w:rPr>
                      <w:szCs w:val="21"/>
                    </w:rPr>
                    <w:t>9</w:t>
                  </w:r>
                </w:p>
              </w:tc>
              <w:tc>
                <w:tcPr>
                  <w:tcW w:w="968" w:type="dxa"/>
                  <w:vAlign w:val="center"/>
                </w:tcPr>
                <w:p>
                  <w:pPr>
                    <w:jc w:val="center"/>
                    <w:rPr>
                      <w:szCs w:val="21"/>
                    </w:rPr>
                  </w:pPr>
                  <w:r>
                    <w:rPr>
                      <w:szCs w:val="21"/>
                    </w:rPr>
                    <w:t>排风扇</w:t>
                  </w:r>
                </w:p>
              </w:tc>
              <w:tc>
                <w:tcPr>
                  <w:tcW w:w="3604" w:type="dxa"/>
                  <w:vAlign w:val="center"/>
                </w:tcPr>
                <w:p>
                  <w:pPr>
                    <w:jc w:val="center"/>
                    <w:rPr>
                      <w:szCs w:val="21"/>
                    </w:rPr>
                  </w:pPr>
                  <w:r>
                    <w:rPr>
                      <w:szCs w:val="21"/>
                    </w:rPr>
                    <w:t>APB15-A，L=258m</w:t>
                  </w:r>
                  <w:r>
                    <w:rPr>
                      <w:szCs w:val="21"/>
                      <w:vertAlign w:val="superscript"/>
                    </w:rPr>
                    <w:t>3</w:t>
                  </w:r>
                  <w:r>
                    <w:rPr>
                      <w:szCs w:val="21"/>
                    </w:rPr>
                    <w:t>/h, N=23W</w:t>
                  </w:r>
                </w:p>
              </w:tc>
              <w:tc>
                <w:tcPr>
                  <w:tcW w:w="582" w:type="dxa"/>
                  <w:vAlign w:val="center"/>
                </w:tcPr>
                <w:p>
                  <w:pPr>
                    <w:jc w:val="center"/>
                    <w:rPr>
                      <w:szCs w:val="21"/>
                    </w:rPr>
                  </w:pPr>
                  <w:r>
                    <w:rPr>
                      <w:szCs w:val="21"/>
                    </w:rPr>
                    <w:t>台</w:t>
                  </w:r>
                </w:p>
              </w:tc>
              <w:tc>
                <w:tcPr>
                  <w:tcW w:w="657" w:type="dxa"/>
                  <w:vAlign w:val="center"/>
                </w:tcPr>
                <w:p>
                  <w:pPr>
                    <w:jc w:val="center"/>
                    <w:rPr>
                      <w:szCs w:val="21"/>
                    </w:rPr>
                  </w:pPr>
                  <w:r>
                    <w:rPr>
                      <w:szCs w:val="21"/>
                    </w:rPr>
                    <w:t>2</w:t>
                  </w:r>
                </w:p>
              </w:tc>
              <w:tc>
                <w:tcPr>
                  <w:tcW w:w="2470" w:type="dxa"/>
                  <w:vAlign w:val="center"/>
                </w:tcPr>
                <w:p>
                  <w:pPr>
                    <w:jc w:val="center"/>
                    <w:rPr>
                      <w:szCs w:val="21"/>
                    </w:rPr>
                  </w:pPr>
                  <w:r>
                    <w:rPr>
                      <w:szCs w:val="21"/>
                    </w:rPr>
                    <w:t>消防泵房、卫生间</w:t>
                  </w:r>
                </w:p>
              </w:tc>
            </w:tr>
          </w:tbl>
          <w:p>
            <w:pPr>
              <w:spacing w:line="360" w:lineRule="auto"/>
              <w:ind w:right="101" w:rightChars="48" w:firstLine="562" w:firstLineChars="200"/>
              <w:rPr>
                <w:b/>
                <w:sz w:val="28"/>
              </w:rPr>
            </w:pPr>
          </w:p>
          <w:p>
            <w:pPr>
              <w:spacing w:line="360" w:lineRule="auto"/>
              <w:ind w:right="101" w:rightChars="48" w:firstLine="560" w:firstLineChars="200"/>
              <w:rPr>
                <w:sz w:val="28"/>
              </w:rPr>
            </w:pPr>
            <w:r>
              <w:rPr>
                <w:sz w:val="28"/>
              </w:rPr>
              <w:t>（2）计算结果</w:t>
            </w:r>
          </w:p>
          <w:p>
            <w:pPr>
              <w:spacing w:line="360" w:lineRule="auto"/>
              <w:ind w:right="101" w:rightChars="48" w:firstLine="560" w:firstLineChars="200"/>
              <w:rPr>
                <w:sz w:val="28"/>
              </w:rPr>
            </w:pPr>
            <w:r>
              <w:rPr>
                <w:sz w:val="28"/>
              </w:rPr>
              <w:t>根据上述计算参数，计算六岭110kV变电站采取相应降噪措施后的噪声贡献值分布图（见图11）</w:t>
            </w:r>
            <w:r>
              <w:rPr>
                <w:rFonts w:hint="eastAsia"/>
                <w:sz w:val="28"/>
              </w:rPr>
              <w:t>，</w:t>
            </w:r>
            <w:r>
              <w:rPr>
                <w:sz w:val="28"/>
              </w:rPr>
              <w:t>并分别计算变电站厂界及东面六岭小学处的噪声贡献值，同时与现状监测值进行叠加，结果见表26。</w:t>
            </w:r>
          </w:p>
          <w:p>
            <w:pPr>
              <w:spacing w:line="360" w:lineRule="auto"/>
              <w:ind w:right="101" w:rightChars="48"/>
              <w:rPr>
                <w:sz w:val="28"/>
              </w:rPr>
            </w:pPr>
            <w:r>
              <w:rPr>
                <w:sz w:val="28"/>
              </w:rPr>
              <mc:AlternateContent>
                <mc:Choice Requires="wps">
                  <w:drawing>
                    <wp:anchor distT="0" distB="0" distL="114300" distR="114300" simplePos="0" relativeHeight="251751424" behindDoc="0" locked="0" layoutInCell="1" allowOverlap="1">
                      <wp:simplePos x="0" y="0"/>
                      <wp:positionH relativeFrom="column">
                        <wp:posOffset>4667250</wp:posOffset>
                      </wp:positionH>
                      <wp:positionV relativeFrom="paragraph">
                        <wp:posOffset>179070</wp:posOffset>
                      </wp:positionV>
                      <wp:extent cx="462280" cy="297815"/>
                      <wp:effectExtent l="0" t="0" r="0" b="0"/>
                      <wp:wrapNone/>
                      <wp:docPr id="11" name="文本框 3"/>
                      <wp:cNvGraphicFramePr/>
                      <a:graphic xmlns:a="http://schemas.openxmlformats.org/drawingml/2006/main">
                        <a:graphicData uri="http://schemas.microsoft.com/office/word/2010/wordprocessingShape">
                          <wps:wsp>
                            <wps:cNvSpPr txBox="1"/>
                            <wps:spPr>
                              <a:xfrm>
                                <a:off x="0" y="0"/>
                                <a:ext cx="462280" cy="297815"/>
                              </a:xfrm>
                              <a:prstGeom prst="rect">
                                <a:avLst/>
                              </a:prstGeom>
                              <a:noFill/>
                              <a:ln w="19050">
                                <a:noFill/>
                              </a:ln>
                            </wps:spPr>
                            <wps:txbx>
                              <w:txbxContent>
                                <w:p>
                                  <w:pPr>
                                    <w:rPr>
                                      <w:rFonts w:hint="eastAsia"/>
                                    </w:rPr>
                                  </w:pPr>
                                  <w:r>
                                    <w:rPr>
                                      <w:rFonts w:hint="eastAsia"/>
                                    </w:rPr>
                                    <w:t>北</w:t>
                                  </w:r>
                                </w:p>
                              </w:txbxContent>
                            </wps:txbx>
                            <wps:bodyPr upright="1"/>
                          </wps:wsp>
                        </a:graphicData>
                      </a:graphic>
                    </wp:anchor>
                  </w:drawing>
                </mc:Choice>
                <mc:Fallback>
                  <w:pict>
                    <v:shape id="文本框 3" o:spid="_x0000_s1026" o:spt="202" type="#_x0000_t202" style="position:absolute;left:0pt;margin-left:367.5pt;margin-top:14.1pt;height:23.45pt;width:36.4pt;z-index:251751424;mso-width-relative:page;mso-height-relative:page;" filled="f" stroked="f" coordsize="21600,21600" o:gfxdata="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mv6Ld9YAAAAJAQAADwAAAAAAAAABACAAAAAi&#10;AAAAZHJzL2Rvd25yZXYueG1sUEsBAhQAFAAAAAgAh07iQHy84diaAQAACgMAAA4AAAAAAAAAAQAg&#10;AAAAJQEAAGRycy9lMm9Eb2MueG1sUEsFBgAAAAAGAAYAWQEAADEFAAAAAA==&#10;">
                      <v:fill on="f" focussize="0,0"/>
                      <v:stroke on="f" weight="1.5pt"/>
                      <v:imagedata o:title=""/>
                      <o:lock v:ext="edit" aspectratio="f"/>
                      <v:textbox>
                        <w:txbxContent>
                          <w:p>
                            <w:pPr>
                              <w:rPr>
                                <w:rFonts w:hint="eastAsia"/>
                              </w:rPr>
                            </w:pPr>
                            <w:r>
                              <w:rPr>
                                <w:rFonts w:hint="eastAsia"/>
                              </w:rPr>
                              <w:t>北</w:t>
                            </w:r>
                          </w:p>
                        </w:txbxContent>
                      </v:textbox>
                    </v:shape>
                  </w:pict>
                </mc:Fallback>
              </mc:AlternateContent>
            </w:r>
            <w:r>
              <w:rPr>
                <w:sz w:val="28"/>
              </w:rPr>
              <mc:AlternateContent>
                <mc:Choice Requires="wps">
                  <w:drawing>
                    <wp:anchor distT="0" distB="0" distL="114300" distR="114300" simplePos="0" relativeHeight="251750400" behindDoc="0" locked="0" layoutInCell="1" allowOverlap="1">
                      <wp:simplePos x="0" y="0"/>
                      <wp:positionH relativeFrom="column">
                        <wp:posOffset>4204970</wp:posOffset>
                      </wp:positionH>
                      <wp:positionV relativeFrom="paragraph">
                        <wp:posOffset>376555</wp:posOffset>
                      </wp:positionV>
                      <wp:extent cx="528955" cy="635"/>
                      <wp:effectExtent l="0" t="37465" r="4445" b="38100"/>
                      <wp:wrapNone/>
                      <wp:docPr id="12" name="直线 4"/>
                      <wp:cNvGraphicFramePr/>
                      <a:graphic xmlns:a="http://schemas.openxmlformats.org/drawingml/2006/main">
                        <a:graphicData uri="http://schemas.microsoft.com/office/word/2010/wordprocessingShape">
                          <wps:wsp>
                            <wps:cNvSpPr/>
                            <wps:spPr>
                              <a:xfrm>
                                <a:off x="0" y="0"/>
                                <a:ext cx="528955" cy="635"/>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4" o:spid="_x0000_s1026" o:spt="20" style="position:absolute;left:0pt;margin-left:331.1pt;margin-top:29.65pt;height:0.05pt;width:41.65pt;z-index:251750400;mso-width-relative:page;mso-height-relative:page;" filled="f" stroked="t" coordsize="21600,21600" o:gfxdata="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lpNNzWAAAACQEAAA8AAAAAAAAAAQAgAAAA&#10;IgAAAGRycy9kb3ducmV2LnhtbFBLAQIUABQAAAAIAIdO4kALihqZ1AEAAJQDAAAOAAAAAAAAAAEA&#10;IAAAACUBAABkcnMvZTJvRG9jLnhtbFBLBQYAAAAABgAGAFkBAABrBQAAAAA=&#10;">
                      <v:fill on="f" focussize="0,0"/>
                      <v:stroke weight="1.5pt" color="#000000" joinstyle="round" endarrow="block"/>
                      <v:imagedata o:title=""/>
                      <o:lock v:ext="edit" aspectratio="f"/>
                    </v:line>
                  </w:pict>
                </mc:Fallback>
              </mc:AlternateContent>
            </w:r>
            <w:r>
              <w:rPr>
                <w:sz w:val="28"/>
              </w:rPr>
              <w:drawing>
                <wp:inline distT="0" distB="0" distL="114300" distR="114300">
                  <wp:extent cx="5753735" cy="4068445"/>
                  <wp:effectExtent l="0" t="0" r="18415" b="8255"/>
                  <wp:docPr id="13" name="图片 47" descr="六岭变-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7" descr="六岭变-h=2"/>
                          <pic:cNvPicPr>
                            <a:picLocks noChangeAspect="1"/>
                          </pic:cNvPicPr>
                        </pic:nvPicPr>
                        <pic:blipFill>
                          <a:blip r:embed="rId92"/>
                          <a:stretch>
                            <a:fillRect/>
                          </a:stretch>
                        </pic:blipFill>
                        <pic:spPr>
                          <a:xfrm>
                            <a:off x="0" y="0"/>
                            <a:ext cx="5753735" cy="4068445"/>
                          </a:xfrm>
                          <a:prstGeom prst="rect">
                            <a:avLst/>
                          </a:prstGeom>
                          <a:noFill/>
                          <a:ln w="9525">
                            <a:noFill/>
                          </a:ln>
                        </pic:spPr>
                      </pic:pic>
                    </a:graphicData>
                  </a:graphic>
                </wp:inline>
              </w:drawing>
            </w:r>
          </w:p>
          <w:p>
            <w:pPr>
              <w:spacing w:line="360" w:lineRule="auto"/>
              <w:ind w:right="101" w:rightChars="48" w:firstLine="560" w:firstLineChars="200"/>
              <w:jc w:val="center"/>
              <w:rPr>
                <w:sz w:val="28"/>
              </w:rPr>
            </w:pPr>
            <w:r>
              <w:rPr>
                <w:sz w:val="28"/>
              </w:rPr>
              <w:t>图11 六岭变噪声网格截面预测结果</w:t>
            </w:r>
          </w:p>
          <w:p>
            <w:pPr>
              <w:spacing w:line="360" w:lineRule="auto"/>
              <w:ind w:right="101" w:rightChars="48" w:firstLine="562" w:firstLineChars="200"/>
              <w:jc w:val="center"/>
              <w:rPr>
                <w:b/>
                <w:sz w:val="28"/>
              </w:rPr>
            </w:pPr>
          </w:p>
          <w:p>
            <w:pPr>
              <w:spacing w:line="360" w:lineRule="auto"/>
              <w:ind w:right="101" w:rightChars="48" w:firstLine="562" w:firstLineChars="200"/>
              <w:jc w:val="center"/>
              <w:rPr>
                <w:rFonts w:hint="eastAsia"/>
                <w:b/>
                <w:sz w:val="28"/>
              </w:rPr>
            </w:pPr>
          </w:p>
          <w:p>
            <w:pPr>
              <w:spacing w:line="360" w:lineRule="auto"/>
              <w:ind w:right="101" w:rightChars="48" w:firstLine="562" w:firstLineChars="200"/>
              <w:jc w:val="center"/>
              <w:rPr>
                <w:rFonts w:hint="eastAsia"/>
                <w:b/>
                <w:sz w:val="28"/>
              </w:rPr>
            </w:pPr>
          </w:p>
          <w:p>
            <w:pPr>
              <w:spacing w:line="360" w:lineRule="auto"/>
              <w:ind w:right="101" w:rightChars="48" w:firstLine="562" w:firstLineChars="200"/>
              <w:jc w:val="center"/>
              <w:rPr>
                <w:b/>
                <w:sz w:val="28"/>
              </w:rPr>
            </w:pPr>
            <w:r>
              <w:rPr>
                <w:b/>
                <w:sz w:val="28"/>
              </w:rPr>
              <w:t>表26</w:t>
            </w:r>
            <w:r>
              <w:rPr>
                <w:rFonts w:hint="eastAsia"/>
                <w:b/>
                <w:sz w:val="28"/>
              </w:rPr>
              <w:t xml:space="preserve">  </w:t>
            </w:r>
            <w:r>
              <w:rPr>
                <w:b/>
                <w:sz w:val="28"/>
              </w:rPr>
              <w:t>变电站噪声影响预测及评价结果</w:t>
            </w:r>
          </w:p>
          <w:tbl>
            <w:tblPr>
              <w:tblStyle w:val="11"/>
              <w:tblW w:w="8507"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68"/>
              <w:gridCol w:w="1275"/>
              <w:gridCol w:w="851"/>
              <w:gridCol w:w="722"/>
              <w:gridCol w:w="735"/>
              <w:gridCol w:w="735"/>
              <w:gridCol w:w="735"/>
              <w:gridCol w:w="646"/>
              <w:gridCol w:w="680"/>
              <w:gridCol w:w="797"/>
              <w:gridCol w:w="76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85" w:hRule="atLeast"/>
                <w:jc w:val="center"/>
              </w:trPr>
              <w:tc>
                <w:tcPr>
                  <w:tcW w:w="1843" w:type="dxa"/>
                  <w:gridSpan w:val="2"/>
                  <w:vMerge w:val="restart"/>
                  <w:tcBorders>
                    <w:right w:val="single" w:color="auto" w:sz="4" w:space="0"/>
                  </w:tcBorders>
                  <w:vAlign w:val="center"/>
                </w:tcPr>
                <w:p>
                  <w:pPr>
                    <w:jc w:val="center"/>
                    <w:rPr>
                      <w:szCs w:val="21"/>
                    </w:rPr>
                  </w:pPr>
                  <w:r>
                    <w:rPr>
                      <w:szCs w:val="21"/>
                    </w:rPr>
                    <w:t>位置</w:t>
                  </w:r>
                </w:p>
              </w:tc>
              <w:tc>
                <w:tcPr>
                  <w:tcW w:w="851" w:type="dxa"/>
                  <w:vMerge w:val="restart"/>
                  <w:vAlign w:val="center"/>
                </w:tcPr>
                <w:p>
                  <w:pPr>
                    <w:jc w:val="center"/>
                    <w:rPr>
                      <w:szCs w:val="21"/>
                    </w:rPr>
                  </w:pPr>
                  <w:r>
                    <w:rPr>
                      <w:szCs w:val="21"/>
                    </w:rPr>
                    <w:t>最大贡献值</w:t>
                  </w:r>
                </w:p>
              </w:tc>
              <w:tc>
                <w:tcPr>
                  <w:tcW w:w="2927" w:type="dxa"/>
                  <w:gridSpan w:val="4"/>
                  <w:vAlign w:val="center"/>
                </w:tcPr>
                <w:p>
                  <w:pPr>
                    <w:jc w:val="center"/>
                    <w:rPr>
                      <w:szCs w:val="21"/>
                    </w:rPr>
                  </w:pPr>
                  <w:r>
                    <w:rPr>
                      <w:szCs w:val="21"/>
                    </w:rPr>
                    <w:t>昼间 [dB（A）]</w:t>
                  </w:r>
                </w:p>
              </w:tc>
              <w:tc>
                <w:tcPr>
                  <w:tcW w:w="2886" w:type="dxa"/>
                  <w:gridSpan w:val="4"/>
                  <w:vAlign w:val="center"/>
                </w:tcPr>
                <w:p>
                  <w:pPr>
                    <w:jc w:val="center"/>
                    <w:rPr>
                      <w:szCs w:val="21"/>
                    </w:rPr>
                  </w:pPr>
                  <w:r>
                    <w:rPr>
                      <w:szCs w:val="21"/>
                    </w:rPr>
                    <w:t>夜间[dB（A）]</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85" w:hRule="atLeast"/>
                <w:jc w:val="center"/>
              </w:trPr>
              <w:tc>
                <w:tcPr>
                  <w:tcW w:w="1843" w:type="dxa"/>
                  <w:gridSpan w:val="2"/>
                  <w:vMerge w:val="continue"/>
                  <w:tcBorders>
                    <w:right w:val="single" w:color="auto" w:sz="4" w:space="0"/>
                  </w:tcBorders>
                  <w:vAlign w:val="center"/>
                </w:tcPr>
                <w:p>
                  <w:pPr>
                    <w:jc w:val="center"/>
                    <w:rPr>
                      <w:szCs w:val="21"/>
                    </w:rPr>
                  </w:pPr>
                </w:p>
              </w:tc>
              <w:tc>
                <w:tcPr>
                  <w:tcW w:w="851" w:type="dxa"/>
                  <w:vMerge w:val="continue"/>
                  <w:vAlign w:val="center"/>
                </w:tcPr>
                <w:p>
                  <w:pPr>
                    <w:jc w:val="center"/>
                    <w:rPr>
                      <w:szCs w:val="21"/>
                    </w:rPr>
                  </w:pPr>
                </w:p>
              </w:tc>
              <w:tc>
                <w:tcPr>
                  <w:tcW w:w="722" w:type="dxa"/>
                  <w:vAlign w:val="center"/>
                </w:tcPr>
                <w:p>
                  <w:pPr>
                    <w:jc w:val="center"/>
                    <w:rPr>
                      <w:szCs w:val="21"/>
                    </w:rPr>
                  </w:pPr>
                  <w:r>
                    <w:rPr>
                      <w:szCs w:val="21"/>
                    </w:rPr>
                    <w:t>现状</w:t>
                  </w:r>
                </w:p>
              </w:tc>
              <w:tc>
                <w:tcPr>
                  <w:tcW w:w="735" w:type="dxa"/>
                  <w:vAlign w:val="center"/>
                </w:tcPr>
                <w:p>
                  <w:pPr>
                    <w:jc w:val="center"/>
                    <w:rPr>
                      <w:szCs w:val="21"/>
                    </w:rPr>
                  </w:pPr>
                  <w:r>
                    <w:rPr>
                      <w:szCs w:val="21"/>
                    </w:rPr>
                    <w:t>预测</w:t>
                  </w:r>
                </w:p>
              </w:tc>
              <w:tc>
                <w:tcPr>
                  <w:tcW w:w="735" w:type="dxa"/>
                  <w:vAlign w:val="center"/>
                </w:tcPr>
                <w:p>
                  <w:pPr>
                    <w:jc w:val="center"/>
                    <w:rPr>
                      <w:szCs w:val="21"/>
                    </w:rPr>
                  </w:pPr>
                  <w:r>
                    <w:rPr>
                      <w:szCs w:val="21"/>
                    </w:rPr>
                    <w:t>评价标准</w:t>
                  </w:r>
                </w:p>
              </w:tc>
              <w:tc>
                <w:tcPr>
                  <w:tcW w:w="735" w:type="dxa"/>
                  <w:vAlign w:val="center"/>
                </w:tcPr>
                <w:p>
                  <w:pPr>
                    <w:jc w:val="center"/>
                    <w:rPr>
                      <w:szCs w:val="21"/>
                    </w:rPr>
                  </w:pPr>
                  <w:r>
                    <w:rPr>
                      <w:szCs w:val="21"/>
                    </w:rPr>
                    <w:t>达标情况</w:t>
                  </w:r>
                </w:p>
              </w:tc>
              <w:tc>
                <w:tcPr>
                  <w:tcW w:w="646" w:type="dxa"/>
                  <w:vAlign w:val="center"/>
                </w:tcPr>
                <w:p>
                  <w:pPr>
                    <w:jc w:val="center"/>
                    <w:rPr>
                      <w:szCs w:val="21"/>
                    </w:rPr>
                  </w:pPr>
                  <w:r>
                    <w:rPr>
                      <w:szCs w:val="21"/>
                    </w:rPr>
                    <w:t>现状</w:t>
                  </w:r>
                </w:p>
              </w:tc>
              <w:tc>
                <w:tcPr>
                  <w:tcW w:w="680" w:type="dxa"/>
                  <w:vAlign w:val="center"/>
                </w:tcPr>
                <w:p>
                  <w:pPr>
                    <w:jc w:val="center"/>
                    <w:rPr>
                      <w:szCs w:val="21"/>
                    </w:rPr>
                  </w:pPr>
                  <w:r>
                    <w:rPr>
                      <w:szCs w:val="21"/>
                    </w:rPr>
                    <w:t>预测</w:t>
                  </w:r>
                </w:p>
              </w:tc>
              <w:tc>
                <w:tcPr>
                  <w:tcW w:w="797" w:type="dxa"/>
                  <w:vAlign w:val="center"/>
                </w:tcPr>
                <w:p>
                  <w:pPr>
                    <w:jc w:val="center"/>
                    <w:rPr>
                      <w:szCs w:val="21"/>
                    </w:rPr>
                  </w:pPr>
                  <w:r>
                    <w:rPr>
                      <w:szCs w:val="21"/>
                    </w:rPr>
                    <w:t>评价标准</w:t>
                  </w:r>
                </w:p>
              </w:tc>
              <w:tc>
                <w:tcPr>
                  <w:tcW w:w="763" w:type="dxa"/>
                  <w:vAlign w:val="center"/>
                </w:tcPr>
                <w:p>
                  <w:pPr>
                    <w:jc w:val="center"/>
                    <w:rPr>
                      <w:szCs w:val="21"/>
                    </w:rPr>
                  </w:pPr>
                  <w:r>
                    <w:rPr>
                      <w:szCs w:val="21"/>
                    </w:rPr>
                    <w:t>达标情况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70" w:hRule="atLeast"/>
                <w:jc w:val="center"/>
              </w:trPr>
              <w:tc>
                <w:tcPr>
                  <w:tcW w:w="568" w:type="dxa"/>
                  <w:vMerge w:val="restart"/>
                  <w:vAlign w:val="center"/>
                </w:tcPr>
                <w:p>
                  <w:pPr>
                    <w:jc w:val="center"/>
                    <w:rPr>
                      <w:szCs w:val="21"/>
                    </w:rPr>
                  </w:pPr>
                  <w:bookmarkStart w:id="31" w:name="OLE_LINK3" w:colFirst="2" w:colLast="3"/>
                  <w:bookmarkStart w:id="32" w:name="OLE_LINK4" w:colFirst="2" w:colLast="3"/>
                  <w:bookmarkStart w:id="33" w:name="_Hlk424047610"/>
                  <w:r>
                    <w:rPr>
                      <w:szCs w:val="21"/>
                    </w:rPr>
                    <w:t>六岭110kV变电站</w:t>
                  </w:r>
                </w:p>
              </w:tc>
              <w:tc>
                <w:tcPr>
                  <w:tcW w:w="1275" w:type="dxa"/>
                  <w:tcBorders>
                    <w:right w:val="single" w:color="auto" w:sz="4" w:space="0"/>
                  </w:tcBorders>
                  <w:vAlign w:val="center"/>
                </w:tcPr>
                <w:p>
                  <w:pPr>
                    <w:jc w:val="center"/>
                    <w:rPr>
                      <w:szCs w:val="21"/>
                    </w:rPr>
                  </w:pPr>
                  <w:r>
                    <w:rPr>
                      <w:szCs w:val="21"/>
                    </w:rPr>
                    <w:t>站址东面</w:t>
                  </w:r>
                </w:p>
              </w:tc>
              <w:tc>
                <w:tcPr>
                  <w:tcW w:w="851" w:type="dxa"/>
                  <w:vAlign w:val="center"/>
                </w:tcPr>
                <w:p>
                  <w:pPr>
                    <w:jc w:val="center"/>
                    <w:rPr>
                      <w:szCs w:val="21"/>
                    </w:rPr>
                  </w:pPr>
                  <w:r>
                    <w:rPr>
                      <w:szCs w:val="21"/>
                    </w:rPr>
                    <w:t>46.6</w:t>
                  </w:r>
                </w:p>
              </w:tc>
              <w:tc>
                <w:tcPr>
                  <w:tcW w:w="722" w:type="dxa"/>
                  <w:vAlign w:val="center"/>
                </w:tcPr>
                <w:p>
                  <w:pPr>
                    <w:jc w:val="center"/>
                    <w:rPr>
                      <w:szCs w:val="21"/>
                    </w:rPr>
                  </w:pPr>
                  <w:r>
                    <w:rPr>
                      <w:szCs w:val="21"/>
                    </w:rPr>
                    <w:t>43.2</w:t>
                  </w:r>
                </w:p>
              </w:tc>
              <w:tc>
                <w:tcPr>
                  <w:tcW w:w="735" w:type="dxa"/>
                  <w:vAlign w:val="center"/>
                </w:tcPr>
                <w:p>
                  <w:pPr>
                    <w:jc w:val="center"/>
                    <w:rPr>
                      <w:szCs w:val="21"/>
                    </w:rPr>
                  </w:pPr>
                  <w:r>
                    <w:rPr>
                      <w:szCs w:val="21"/>
                    </w:rPr>
                    <w:t>48.2</w:t>
                  </w:r>
                </w:p>
              </w:tc>
              <w:tc>
                <w:tcPr>
                  <w:tcW w:w="735" w:type="dxa"/>
                  <w:vAlign w:val="center"/>
                </w:tcPr>
                <w:p>
                  <w:pPr>
                    <w:jc w:val="center"/>
                    <w:rPr>
                      <w:szCs w:val="21"/>
                    </w:rPr>
                  </w:pPr>
                  <w:r>
                    <w:rPr>
                      <w:szCs w:val="21"/>
                    </w:rPr>
                    <w:t>60</w:t>
                  </w:r>
                </w:p>
              </w:tc>
              <w:tc>
                <w:tcPr>
                  <w:tcW w:w="735" w:type="dxa"/>
                  <w:vAlign w:val="center"/>
                </w:tcPr>
                <w:p>
                  <w:pPr>
                    <w:jc w:val="center"/>
                    <w:rPr>
                      <w:szCs w:val="21"/>
                    </w:rPr>
                  </w:pPr>
                  <w:r>
                    <w:rPr>
                      <w:szCs w:val="21"/>
                    </w:rPr>
                    <w:t>达标</w:t>
                  </w:r>
                </w:p>
              </w:tc>
              <w:tc>
                <w:tcPr>
                  <w:tcW w:w="646" w:type="dxa"/>
                  <w:vAlign w:val="center"/>
                </w:tcPr>
                <w:p>
                  <w:pPr>
                    <w:jc w:val="center"/>
                    <w:rPr>
                      <w:szCs w:val="21"/>
                    </w:rPr>
                  </w:pPr>
                  <w:r>
                    <w:rPr>
                      <w:szCs w:val="21"/>
                    </w:rPr>
                    <w:t>39.1</w:t>
                  </w:r>
                </w:p>
              </w:tc>
              <w:tc>
                <w:tcPr>
                  <w:tcW w:w="680" w:type="dxa"/>
                  <w:vAlign w:val="center"/>
                </w:tcPr>
                <w:p>
                  <w:pPr>
                    <w:jc w:val="center"/>
                    <w:rPr>
                      <w:szCs w:val="21"/>
                    </w:rPr>
                  </w:pPr>
                  <w:r>
                    <w:rPr>
                      <w:szCs w:val="21"/>
                    </w:rPr>
                    <w:t>47.3</w:t>
                  </w:r>
                </w:p>
              </w:tc>
              <w:tc>
                <w:tcPr>
                  <w:tcW w:w="797" w:type="dxa"/>
                  <w:vAlign w:val="center"/>
                </w:tcPr>
                <w:p>
                  <w:pPr>
                    <w:jc w:val="center"/>
                    <w:rPr>
                      <w:szCs w:val="21"/>
                    </w:rPr>
                  </w:pPr>
                  <w:r>
                    <w:rPr>
                      <w:szCs w:val="21"/>
                    </w:rPr>
                    <w:t>50</w:t>
                  </w:r>
                </w:p>
              </w:tc>
              <w:tc>
                <w:tcPr>
                  <w:tcW w:w="763"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1" w:hRule="atLeast"/>
                <w:jc w:val="center"/>
              </w:trPr>
              <w:tc>
                <w:tcPr>
                  <w:tcW w:w="568" w:type="dxa"/>
                  <w:vMerge w:val="continue"/>
                  <w:vAlign w:val="center"/>
                </w:tcPr>
                <w:p>
                  <w:pPr>
                    <w:jc w:val="center"/>
                    <w:rPr>
                      <w:szCs w:val="21"/>
                    </w:rPr>
                  </w:pPr>
                </w:p>
              </w:tc>
              <w:tc>
                <w:tcPr>
                  <w:tcW w:w="1275" w:type="dxa"/>
                  <w:tcBorders>
                    <w:right w:val="single" w:color="auto" w:sz="4" w:space="0"/>
                  </w:tcBorders>
                  <w:vAlign w:val="center"/>
                </w:tcPr>
                <w:p>
                  <w:pPr>
                    <w:jc w:val="center"/>
                    <w:rPr>
                      <w:szCs w:val="21"/>
                    </w:rPr>
                  </w:pPr>
                  <w:r>
                    <w:rPr>
                      <w:szCs w:val="21"/>
                    </w:rPr>
                    <w:t>站址南面</w:t>
                  </w:r>
                </w:p>
              </w:tc>
              <w:tc>
                <w:tcPr>
                  <w:tcW w:w="851" w:type="dxa"/>
                  <w:vAlign w:val="center"/>
                </w:tcPr>
                <w:p>
                  <w:pPr>
                    <w:jc w:val="center"/>
                    <w:rPr>
                      <w:szCs w:val="21"/>
                    </w:rPr>
                  </w:pPr>
                  <w:r>
                    <w:rPr>
                      <w:szCs w:val="21"/>
                    </w:rPr>
                    <w:t>35.8</w:t>
                  </w:r>
                </w:p>
              </w:tc>
              <w:tc>
                <w:tcPr>
                  <w:tcW w:w="722" w:type="dxa"/>
                  <w:vAlign w:val="center"/>
                </w:tcPr>
                <w:p>
                  <w:pPr>
                    <w:jc w:val="center"/>
                    <w:rPr>
                      <w:szCs w:val="21"/>
                    </w:rPr>
                  </w:pPr>
                  <w:r>
                    <w:rPr>
                      <w:szCs w:val="21"/>
                    </w:rPr>
                    <w:t>42.7</w:t>
                  </w:r>
                </w:p>
              </w:tc>
              <w:tc>
                <w:tcPr>
                  <w:tcW w:w="735" w:type="dxa"/>
                  <w:vAlign w:val="center"/>
                </w:tcPr>
                <w:p>
                  <w:pPr>
                    <w:jc w:val="center"/>
                    <w:rPr>
                      <w:szCs w:val="21"/>
                    </w:rPr>
                  </w:pPr>
                  <w:r>
                    <w:rPr>
                      <w:szCs w:val="21"/>
                    </w:rPr>
                    <w:t>43.5</w:t>
                  </w:r>
                </w:p>
              </w:tc>
              <w:tc>
                <w:tcPr>
                  <w:tcW w:w="735" w:type="dxa"/>
                  <w:vAlign w:val="center"/>
                </w:tcPr>
                <w:p>
                  <w:pPr>
                    <w:jc w:val="center"/>
                    <w:rPr>
                      <w:szCs w:val="21"/>
                    </w:rPr>
                  </w:pPr>
                  <w:r>
                    <w:rPr>
                      <w:szCs w:val="21"/>
                    </w:rPr>
                    <w:t>60</w:t>
                  </w:r>
                </w:p>
              </w:tc>
              <w:tc>
                <w:tcPr>
                  <w:tcW w:w="735" w:type="dxa"/>
                  <w:vAlign w:val="center"/>
                </w:tcPr>
                <w:p>
                  <w:pPr>
                    <w:jc w:val="center"/>
                    <w:rPr>
                      <w:szCs w:val="21"/>
                    </w:rPr>
                  </w:pPr>
                  <w:r>
                    <w:rPr>
                      <w:szCs w:val="21"/>
                    </w:rPr>
                    <w:t>达标</w:t>
                  </w:r>
                </w:p>
              </w:tc>
              <w:tc>
                <w:tcPr>
                  <w:tcW w:w="646" w:type="dxa"/>
                  <w:vAlign w:val="center"/>
                </w:tcPr>
                <w:p>
                  <w:pPr>
                    <w:jc w:val="center"/>
                    <w:rPr>
                      <w:szCs w:val="21"/>
                    </w:rPr>
                  </w:pPr>
                  <w:r>
                    <w:rPr>
                      <w:szCs w:val="21"/>
                    </w:rPr>
                    <w:t>39.7</w:t>
                  </w:r>
                </w:p>
              </w:tc>
              <w:tc>
                <w:tcPr>
                  <w:tcW w:w="680" w:type="dxa"/>
                  <w:vAlign w:val="center"/>
                </w:tcPr>
                <w:p>
                  <w:pPr>
                    <w:jc w:val="center"/>
                    <w:rPr>
                      <w:szCs w:val="21"/>
                    </w:rPr>
                  </w:pPr>
                  <w:r>
                    <w:rPr>
                      <w:szCs w:val="21"/>
                    </w:rPr>
                    <w:t>41.2</w:t>
                  </w:r>
                </w:p>
              </w:tc>
              <w:tc>
                <w:tcPr>
                  <w:tcW w:w="797" w:type="dxa"/>
                  <w:vAlign w:val="center"/>
                </w:tcPr>
                <w:p>
                  <w:pPr>
                    <w:jc w:val="center"/>
                    <w:rPr>
                      <w:szCs w:val="21"/>
                    </w:rPr>
                  </w:pPr>
                  <w:r>
                    <w:rPr>
                      <w:szCs w:val="21"/>
                    </w:rPr>
                    <w:t>50</w:t>
                  </w:r>
                </w:p>
              </w:tc>
              <w:tc>
                <w:tcPr>
                  <w:tcW w:w="763"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67" w:hRule="atLeast"/>
                <w:jc w:val="center"/>
              </w:trPr>
              <w:tc>
                <w:tcPr>
                  <w:tcW w:w="568" w:type="dxa"/>
                  <w:vMerge w:val="continue"/>
                  <w:vAlign w:val="center"/>
                </w:tcPr>
                <w:p>
                  <w:pPr>
                    <w:jc w:val="center"/>
                    <w:rPr>
                      <w:szCs w:val="21"/>
                    </w:rPr>
                  </w:pPr>
                </w:p>
              </w:tc>
              <w:tc>
                <w:tcPr>
                  <w:tcW w:w="1275" w:type="dxa"/>
                  <w:tcBorders>
                    <w:right w:val="single" w:color="auto" w:sz="4" w:space="0"/>
                  </w:tcBorders>
                  <w:vAlign w:val="center"/>
                </w:tcPr>
                <w:p>
                  <w:pPr>
                    <w:jc w:val="center"/>
                    <w:rPr>
                      <w:szCs w:val="21"/>
                    </w:rPr>
                  </w:pPr>
                  <w:r>
                    <w:rPr>
                      <w:szCs w:val="21"/>
                    </w:rPr>
                    <w:t>站址西面</w:t>
                  </w:r>
                </w:p>
              </w:tc>
              <w:tc>
                <w:tcPr>
                  <w:tcW w:w="851" w:type="dxa"/>
                  <w:vAlign w:val="center"/>
                </w:tcPr>
                <w:p>
                  <w:pPr>
                    <w:jc w:val="center"/>
                    <w:rPr>
                      <w:szCs w:val="21"/>
                    </w:rPr>
                  </w:pPr>
                  <w:r>
                    <w:rPr>
                      <w:szCs w:val="21"/>
                    </w:rPr>
                    <w:t>43.8</w:t>
                  </w:r>
                </w:p>
              </w:tc>
              <w:tc>
                <w:tcPr>
                  <w:tcW w:w="722" w:type="dxa"/>
                  <w:vAlign w:val="center"/>
                </w:tcPr>
                <w:p>
                  <w:pPr>
                    <w:jc w:val="center"/>
                    <w:rPr>
                      <w:szCs w:val="21"/>
                    </w:rPr>
                  </w:pPr>
                  <w:r>
                    <w:rPr>
                      <w:szCs w:val="21"/>
                    </w:rPr>
                    <w:t>42.5</w:t>
                  </w:r>
                </w:p>
              </w:tc>
              <w:tc>
                <w:tcPr>
                  <w:tcW w:w="735" w:type="dxa"/>
                  <w:vAlign w:val="center"/>
                </w:tcPr>
                <w:p>
                  <w:pPr>
                    <w:jc w:val="center"/>
                    <w:rPr>
                      <w:szCs w:val="21"/>
                    </w:rPr>
                  </w:pPr>
                  <w:r>
                    <w:rPr>
                      <w:szCs w:val="21"/>
                    </w:rPr>
                    <w:t>46.2</w:t>
                  </w:r>
                </w:p>
              </w:tc>
              <w:tc>
                <w:tcPr>
                  <w:tcW w:w="735" w:type="dxa"/>
                  <w:vAlign w:val="center"/>
                </w:tcPr>
                <w:p>
                  <w:pPr>
                    <w:jc w:val="center"/>
                    <w:rPr>
                      <w:szCs w:val="21"/>
                    </w:rPr>
                  </w:pPr>
                  <w:r>
                    <w:rPr>
                      <w:szCs w:val="21"/>
                    </w:rPr>
                    <w:t>60</w:t>
                  </w:r>
                </w:p>
              </w:tc>
              <w:tc>
                <w:tcPr>
                  <w:tcW w:w="735" w:type="dxa"/>
                  <w:vAlign w:val="center"/>
                </w:tcPr>
                <w:p>
                  <w:pPr>
                    <w:jc w:val="center"/>
                    <w:rPr>
                      <w:szCs w:val="21"/>
                    </w:rPr>
                  </w:pPr>
                  <w:r>
                    <w:rPr>
                      <w:szCs w:val="21"/>
                    </w:rPr>
                    <w:t>达标</w:t>
                  </w:r>
                </w:p>
              </w:tc>
              <w:tc>
                <w:tcPr>
                  <w:tcW w:w="646" w:type="dxa"/>
                  <w:vAlign w:val="center"/>
                </w:tcPr>
                <w:p>
                  <w:pPr>
                    <w:jc w:val="center"/>
                    <w:rPr>
                      <w:szCs w:val="21"/>
                    </w:rPr>
                  </w:pPr>
                  <w:r>
                    <w:rPr>
                      <w:szCs w:val="21"/>
                    </w:rPr>
                    <w:t>40.1</w:t>
                  </w:r>
                </w:p>
              </w:tc>
              <w:tc>
                <w:tcPr>
                  <w:tcW w:w="680" w:type="dxa"/>
                  <w:vAlign w:val="center"/>
                </w:tcPr>
                <w:p>
                  <w:pPr>
                    <w:jc w:val="center"/>
                    <w:rPr>
                      <w:szCs w:val="21"/>
                    </w:rPr>
                  </w:pPr>
                  <w:r>
                    <w:rPr>
                      <w:szCs w:val="21"/>
                    </w:rPr>
                    <w:t>45.3</w:t>
                  </w:r>
                </w:p>
              </w:tc>
              <w:tc>
                <w:tcPr>
                  <w:tcW w:w="797" w:type="dxa"/>
                  <w:vAlign w:val="center"/>
                </w:tcPr>
                <w:p>
                  <w:pPr>
                    <w:jc w:val="center"/>
                    <w:rPr>
                      <w:szCs w:val="21"/>
                    </w:rPr>
                  </w:pPr>
                  <w:r>
                    <w:rPr>
                      <w:szCs w:val="21"/>
                    </w:rPr>
                    <w:t>50</w:t>
                  </w:r>
                </w:p>
              </w:tc>
              <w:tc>
                <w:tcPr>
                  <w:tcW w:w="763"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11" w:hRule="atLeast"/>
                <w:jc w:val="center"/>
              </w:trPr>
              <w:tc>
                <w:tcPr>
                  <w:tcW w:w="568" w:type="dxa"/>
                  <w:vMerge w:val="continue"/>
                  <w:vAlign w:val="center"/>
                </w:tcPr>
                <w:p>
                  <w:pPr>
                    <w:jc w:val="center"/>
                    <w:rPr>
                      <w:szCs w:val="21"/>
                    </w:rPr>
                  </w:pPr>
                </w:p>
              </w:tc>
              <w:tc>
                <w:tcPr>
                  <w:tcW w:w="1275" w:type="dxa"/>
                  <w:tcBorders>
                    <w:right w:val="single" w:color="auto" w:sz="4" w:space="0"/>
                  </w:tcBorders>
                  <w:vAlign w:val="center"/>
                </w:tcPr>
                <w:p>
                  <w:pPr>
                    <w:jc w:val="center"/>
                    <w:rPr>
                      <w:szCs w:val="21"/>
                    </w:rPr>
                  </w:pPr>
                  <w:r>
                    <w:rPr>
                      <w:szCs w:val="21"/>
                    </w:rPr>
                    <w:t>站址北面</w:t>
                  </w:r>
                </w:p>
              </w:tc>
              <w:tc>
                <w:tcPr>
                  <w:tcW w:w="851" w:type="dxa"/>
                  <w:vAlign w:val="center"/>
                </w:tcPr>
                <w:p>
                  <w:pPr>
                    <w:jc w:val="center"/>
                    <w:rPr>
                      <w:szCs w:val="21"/>
                    </w:rPr>
                  </w:pPr>
                  <w:r>
                    <w:rPr>
                      <w:szCs w:val="21"/>
                    </w:rPr>
                    <w:t>37.4</w:t>
                  </w:r>
                </w:p>
              </w:tc>
              <w:tc>
                <w:tcPr>
                  <w:tcW w:w="722" w:type="dxa"/>
                  <w:vAlign w:val="center"/>
                </w:tcPr>
                <w:p>
                  <w:pPr>
                    <w:jc w:val="center"/>
                    <w:rPr>
                      <w:szCs w:val="21"/>
                    </w:rPr>
                  </w:pPr>
                  <w:r>
                    <w:rPr>
                      <w:szCs w:val="21"/>
                    </w:rPr>
                    <w:t>41.3</w:t>
                  </w:r>
                </w:p>
              </w:tc>
              <w:tc>
                <w:tcPr>
                  <w:tcW w:w="735" w:type="dxa"/>
                  <w:vAlign w:val="center"/>
                </w:tcPr>
                <w:p>
                  <w:pPr>
                    <w:jc w:val="center"/>
                    <w:rPr>
                      <w:szCs w:val="21"/>
                    </w:rPr>
                  </w:pPr>
                  <w:r>
                    <w:rPr>
                      <w:szCs w:val="21"/>
                    </w:rPr>
                    <w:t>42.8</w:t>
                  </w:r>
                </w:p>
              </w:tc>
              <w:tc>
                <w:tcPr>
                  <w:tcW w:w="735" w:type="dxa"/>
                  <w:vAlign w:val="center"/>
                </w:tcPr>
                <w:p>
                  <w:pPr>
                    <w:jc w:val="center"/>
                    <w:rPr>
                      <w:szCs w:val="21"/>
                    </w:rPr>
                  </w:pPr>
                  <w:r>
                    <w:rPr>
                      <w:szCs w:val="21"/>
                    </w:rPr>
                    <w:t>60</w:t>
                  </w:r>
                </w:p>
              </w:tc>
              <w:tc>
                <w:tcPr>
                  <w:tcW w:w="735" w:type="dxa"/>
                  <w:vAlign w:val="center"/>
                </w:tcPr>
                <w:p>
                  <w:pPr>
                    <w:jc w:val="center"/>
                    <w:rPr>
                      <w:szCs w:val="21"/>
                    </w:rPr>
                  </w:pPr>
                  <w:r>
                    <w:rPr>
                      <w:szCs w:val="21"/>
                    </w:rPr>
                    <w:t>达标</w:t>
                  </w:r>
                </w:p>
              </w:tc>
              <w:tc>
                <w:tcPr>
                  <w:tcW w:w="646" w:type="dxa"/>
                  <w:vAlign w:val="center"/>
                </w:tcPr>
                <w:p>
                  <w:pPr>
                    <w:jc w:val="center"/>
                    <w:rPr>
                      <w:szCs w:val="21"/>
                    </w:rPr>
                  </w:pPr>
                  <w:r>
                    <w:rPr>
                      <w:szCs w:val="21"/>
                    </w:rPr>
                    <w:t>40.3</w:t>
                  </w:r>
                </w:p>
              </w:tc>
              <w:tc>
                <w:tcPr>
                  <w:tcW w:w="680" w:type="dxa"/>
                  <w:vAlign w:val="center"/>
                </w:tcPr>
                <w:p>
                  <w:pPr>
                    <w:jc w:val="center"/>
                    <w:rPr>
                      <w:szCs w:val="21"/>
                    </w:rPr>
                  </w:pPr>
                  <w:r>
                    <w:rPr>
                      <w:szCs w:val="21"/>
                    </w:rPr>
                    <w:t>42.1</w:t>
                  </w:r>
                </w:p>
              </w:tc>
              <w:tc>
                <w:tcPr>
                  <w:tcW w:w="797" w:type="dxa"/>
                  <w:vAlign w:val="center"/>
                </w:tcPr>
                <w:p>
                  <w:pPr>
                    <w:jc w:val="center"/>
                    <w:rPr>
                      <w:szCs w:val="21"/>
                    </w:rPr>
                  </w:pPr>
                  <w:r>
                    <w:rPr>
                      <w:szCs w:val="21"/>
                    </w:rPr>
                    <w:t>50</w:t>
                  </w:r>
                </w:p>
              </w:tc>
              <w:tc>
                <w:tcPr>
                  <w:tcW w:w="763"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60" w:hRule="atLeast"/>
                <w:jc w:val="center"/>
              </w:trPr>
              <w:tc>
                <w:tcPr>
                  <w:tcW w:w="568" w:type="dxa"/>
                  <w:vMerge w:val="continue"/>
                  <w:vAlign w:val="center"/>
                </w:tcPr>
                <w:p>
                  <w:pPr>
                    <w:jc w:val="center"/>
                    <w:rPr>
                      <w:szCs w:val="21"/>
                    </w:rPr>
                  </w:pPr>
                </w:p>
              </w:tc>
              <w:tc>
                <w:tcPr>
                  <w:tcW w:w="1275" w:type="dxa"/>
                  <w:tcBorders>
                    <w:right w:val="single" w:color="auto" w:sz="4" w:space="0"/>
                  </w:tcBorders>
                  <w:vAlign w:val="center"/>
                </w:tcPr>
                <w:p>
                  <w:pPr>
                    <w:jc w:val="center"/>
                    <w:rPr>
                      <w:szCs w:val="21"/>
                    </w:rPr>
                  </w:pPr>
                  <w:r>
                    <w:rPr>
                      <w:szCs w:val="21"/>
                    </w:rPr>
                    <w:t>六岭小学</w:t>
                  </w:r>
                </w:p>
              </w:tc>
              <w:tc>
                <w:tcPr>
                  <w:tcW w:w="851" w:type="dxa"/>
                  <w:vAlign w:val="center"/>
                </w:tcPr>
                <w:p>
                  <w:pPr>
                    <w:jc w:val="center"/>
                    <w:rPr>
                      <w:szCs w:val="21"/>
                    </w:rPr>
                  </w:pPr>
                  <w:r>
                    <w:rPr>
                      <w:szCs w:val="21"/>
                    </w:rPr>
                    <w:t>34.1</w:t>
                  </w:r>
                </w:p>
              </w:tc>
              <w:tc>
                <w:tcPr>
                  <w:tcW w:w="722" w:type="dxa"/>
                  <w:vAlign w:val="center"/>
                </w:tcPr>
                <w:p>
                  <w:pPr>
                    <w:jc w:val="center"/>
                    <w:rPr>
                      <w:szCs w:val="21"/>
                    </w:rPr>
                  </w:pPr>
                  <w:r>
                    <w:rPr>
                      <w:szCs w:val="21"/>
                    </w:rPr>
                    <w:t>43.9</w:t>
                  </w:r>
                </w:p>
              </w:tc>
              <w:tc>
                <w:tcPr>
                  <w:tcW w:w="735" w:type="dxa"/>
                  <w:vAlign w:val="center"/>
                </w:tcPr>
                <w:p>
                  <w:pPr>
                    <w:jc w:val="center"/>
                    <w:rPr>
                      <w:szCs w:val="21"/>
                    </w:rPr>
                  </w:pPr>
                  <w:r>
                    <w:rPr>
                      <w:szCs w:val="21"/>
                    </w:rPr>
                    <w:t>44.3</w:t>
                  </w:r>
                </w:p>
              </w:tc>
              <w:tc>
                <w:tcPr>
                  <w:tcW w:w="735" w:type="dxa"/>
                  <w:vAlign w:val="center"/>
                </w:tcPr>
                <w:p>
                  <w:pPr>
                    <w:jc w:val="center"/>
                    <w:rPr>
                      <w:szCs w:val="21"/>
                    </w:rPr>
                  </w:pPr>
                  <w:r>
                    <w:rPr>
                      <w:szCs w:val="21"/>
                    </w:rPr>
                    <w:t>55</w:t>
                  </w:r>
                </w:p>
              </w:tc>
              <w:tc>
                <w:tcPr>
                  <w:tcW w:w="735" w:type="dxa"/>
                  <w:vAlign w:val="center"/>
                </w:tcPr>
                <w:p>
                  <w:pPr>
                    <w:jc w:val="center"/>
                    <w:rPr>
                      <w:szCs w:val="21"/>
                    </w:rPr>
                  </w:pPr>
                  <w:r>
                    <w:rPr>
                      <w:szCs w:val="21"/>
                    </w:rPr>
                    <w:t>达标</w:t>
                  </w:r>
                </w:p>
              </w:tc>
              <w:tc>
                <w:tcPr>
                  <w:tcW w:w="646" w:type="dxa"/>
                  <w:vAlign w:val="center"/>
                </w:tcPr>
                <w:p>
                  <w:pPr>
                    <w:jc w:val="center"/>
                    <w:rPr>
                      <w:szCs w:val="21"/>
                    </w:rPr>
                  </w:pPr>
                  <w:r>
                    <w:rPr>
                      <w:szCs w:val="21"/>
                    </w:rPr>
                    <w:t>41.2</w:t>
                  </w:r>
                </w:p>
              </w:tc>
              <w:tc>
                <w:tcPr>
                  <w:tcW w:w="680" w:type="dxa"/>
                  <w:vAlign w:val="center"/>
                </w:tcPr>
                <w:p>
                  <w:pPr>
                    <w:jc w:val="center"/>
                    <w:rPr>
                      <w:szCs w:val="21"/>
                    </w:rPr>
                  </w:pPr>
                  <w:r>
                    <w:rPr>
                      <w:szCs w:val="21"/>
                    </w:rPr>
                    <w:t>42.0</w:t>
                  </w:r>
                </w:p>
              </w:tc>
              <w:tc>
                <w:tcPr>
                  <w:tcW w:w="797" w:type="dxa"/>
                  <w:vAlign w:val="center"/>
                </w:tcPr>
                <w:p>
                  <w:pPr>
                    <w:jc w:val="center"/>
                    <w:rPr>
                      <w:szCs w:val="21"/>
                    </w:rPr>
                  </w:pPr>
                  <w:r>
                    <w:rPr>
                      <w:szCs w:val="21"/>
                    </w:rPr>
                    <w:t>45</w:t>
                  </w:r>
                </w:p>
              </w:tc>
              <w:tc>
                <w:tcPr>
                  <w:tcW w:w="763"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60" w:hRule="atLeast"/>
                <w:jc w:val="center"/>
              </w:trPr>
              <w:tc>
                <w:tcPr>
                  <w:tcW w:w="568" w:type="dxa"/>
                  <w:vMerge w:val="continue"/>
                  <w:vAlign w:val="center"/>
                </w:tcPr>
                <w:p>
                  <w:pPr>
                    <w:jc w:val="center"/>
                    <w:rPr>
                      <w:szCs w:val="21"/>
                    </w:rPr>
                  </w:pPr>
                </w:p>
              </w:tc>
              <w:tc>
                <w:tcPr>
                  <w:tcW w:w="1275" w:type="dxa"/>
                  <w:tcBorders>
                    <w:right w:val="single" w:color="auto" w:sz="4" w:space="0"/>
                  </w:tcBorders>
                  <w:vAlign w:val="center"/>
                </w:tcPr>
                <w:p>
                  <w:pPr>
                    <w:jc w:val="center"/>
                    <w:rPr>
                      <w:szCs w:val="21"/>
                    </w:rPr>
                  </w:pPr>
                  <w:r>
                    <w:rPr>
                      <w:rFonts w:hint="eastAsia"/>
                      <w:szCs w:val="21"/>
                    </w:rPr>
                    <w:t>西侧两层住宅</w:t>
                  </w:r>
                </w:p>
              </w:tc>
              <w:tc>
                <w:tcPr>
                  <w:tcW w:w="851" w:type="dxa"/>
                  <w:vAlign w:val="center"/>
                </w:tcPr>
                <w:p>
                  <w:pPr>
                    <w:jc w:val="center"/>
                    <w:rPr>
                      <w:szCs w:val="21"/>
                    </w:rPr>
                  </w:pPr>
                  <w:r>
                    <w:rPr>
                      <w:rFonts w:hint="eastAsia"/>
                      <w:szCs w:val="21"/>
                    </w:rPr>
                    <w:t>37.6</w:t>
                  </w:r>
                </w:p>
              </w:tc>
              <w:tc>
                <w:tcPr>
                  <w:tcW w:w="722" w:type="dxa"/>
                  <w:vAlign w:val="center"/>
                </w:tcPr>
                <w:p>
                  <w:pPr>
                    <w:jc w:val="center"/>
                    <w:rPr>
                      <w:szCs w:val="21"/>
                    </w:rPr>
                  </w:pPr>
                  <w:r>
                    <w:rPr>
                      <w:rFonts w:hint="eastAsia"/>
                      <w:szCs w:val="21"/>
                    </w:rPr>
                    <w:t>42.7</w:t>
                  </w:r>
                </w:p>
              </w:tc>
              <w:tc>
                <w:tcPr>
                  <w:tcW w:w="735" w:type="dxa"/>
                  <w:vAlign w:val="center"/>
                </w:tcPr>
                <w:p>
                  <w:pPr>
                    <w:jc w:val="center"/>
                    <w:rPr>
                      <w:szCs w:val="21"/>
                    </w:rPr>
                  </w:pPr>
                  <w:r>
                    <w:rPr>
                      <w:rFonts w:hint="eastAsia"/>
                      <w:szCs w:val="21"/>
                    </w:rPr>
                    <w:t>43.9</w:t>
                  </w:r>
                </w:p>
              </w:tc>
              <w:tc>
                <w:tcPr>
                  <w:tcW w:w="735" w:type="dxa"/>
                  <w:vAlign w:val="center"/>
                </w:tcPr>
                <w:p>
                  <w:pPr>
                    <w:jc w:val="center"/>
                    <w:rPr>
                      <w:szCs w:val="21"/>
                    </w:rPr>
                  </w:pPr>
                  <w:r>
                    <w:rPr>
                      <w:szCs w:val="21"/>
                    </w:rPr>
                    <w:t>55</w:t>
                  </w:r>
                </w:p>
              </w:tc>
              <w:tc>
                <w:tcPr>
                  <w:tcW w:w="735" w:type="dxa"/>
                  <w:vAlign w:val="center"/>
                </w:tcPr>
                <w:p>
                  <w:pPr>
                    <w:jc w:val="center"/>
                    <w:rPr>
                      <w:szCs w:val="21"/>
                    </w:rPr>
                  </w:pPr>
                  <w:r>
                    <w:rPr>
                      <w:szCs w:val="21"/>
                    </w:rPr>
                    <w:t>达标</w:t>
                  </w:r>
                </w:p>
              </w:tc>
              <w:tc>
                <w:tcPr>
                  <w:tcW w:w="646" w:type="dxa"/>
                  <w:vAlign w:val="center"/>
                </w:tcPr>
                <w:p>
                  <w:pPr>
                    <w:jc w:val="center"/>
                    <w:rPr>
                      <w:szCs w:val="21"/>
                    </w:rPr>
                  </w:pPr>
                  <w:r>
                    <w:rPr>
                      <w:rFonts w:hint="eastAsia"/>
                      <w:szCs w:val="21"/>
                    </w:rPr>
                    <w:t>40.6</w:t>
                  </w:r>
                </w:p>
              </w:tc>
              <w:tc>
                <w:tcPr>
                  <w:tcW w:w="680" w:type="dxa"/>
                  <w:vAlign w:val="center"/>
                </w:tcPr>
                <w:p>
                  <w:pPr>
                    <w:jc w:val="center"/>
                    <w:rPr>
                      <w:szCs w:val="21"/>
                    </w:rPr>
                  </w:pPr>
                  <w:r>
                    <w:rPr>
                      <w:rFonts w:hint="eastAsia"/>
                      <w:szCs w:val="21"/>
                    </w:rPr>
                    <w:t>42.4</w:t>
                  </w:r>
                </w:p>
              </w:tc>
              <w:tc>
                <w:tcPr>
                  <w:tcW w:w="797" w:type="dxa"/>
                  <w:vAlign w:val="center"/>
                </w:tcPr>
                <w:p>
                  <w:pPr>
                    <w:jc w:val="center"/>
                    <w:rPr>
                      <w:szCs w:val="21"/>
                    </w:rPr>
                  </w:pPr>
                  <w:r>
                    <w:rPr>
                      <w:szCs w:val="21"/>
                    </w:rPr>
                    <w:t>45</w:t>
                  </w:r>
                </w:p>
              </w:tc>
              <w:tc>
                <w:tcPr>
                  <w:tcW w:w="763"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60" w:hRule="atLeast"/>
                <w:jc w:val="center"/>
              </w:trPr>
              <w:tc>
                <w:tcPr>
                  <w:tcW w:w="568" w:type="dxa"/>
                  <w:vMerge w:val="continue"/>
                  <w:vAlign w:val="center"/>
                </w:tcPr>
                <w:p>
                  <w:pPr>
                    <w:jc w:val="center"/>
                    <w:rPr>
                      <w:szCs w:val="21"/>
                    </w:rPr>
                  </w:pPr>
                </w:p>
              </w:tc>
              <w:tc>
                <w:tcPr>
                  <w:tcW w:w="1275" w:type="dxa"/>
                  <w:tcBorders>
                    <w:right w:val="single" w:color="auto" w:sz="4" w:space="0"/>
                  </w:tcBorders>
                  <w:vAlign w:val="center"/>
                </w:tcPr>
                <w:p>
                  <w:pPr>
                    <w:jc w:val="center"/>
                    <w:rPr>
                      <w:szCs w:val="21"/>
                    </w:rPr>
                  </w:pPr>
                  <w:r>
                    <w:rPr>
                      <w:rFonts w:hint="eastAsia"/>
                      <w:szCs w:val="21"/>
                    </w:rPr>
                    <w:t>东北侧29层住宅小区</w:t>
                  </w:r>
                </w:p>
              </w:tc>
              <w:tc>
                <w:tcPr>
                  <w:tcW w:w="851" w:type="dxa"/>
                  <w:vAlign w:val="center"/>
                </w:tcPr>
                <w:p>
                  <w:pPr>
                    <w:jc w:val="center"/>
                    <w:rPr>
                      <w:szCs w:val="21"/>
                    </w:rPr>
                  </w:pPr>
                  <w:r>
                    <w:rPr>
                      <w:rFonts w:hint="eastAsia"/>
                      <w:szCs w:val="21"/>
                    </w:rPr>
                    <w:t>37.4</w:t>
                  </w:r>
                </w:p>
              </w:tc>
              <w:tc>
                <w:tcPr>
                  <w:tcW w:w="722" w:type="dxa"/>
                  <w:vAlign w:val="center"/>
                </w:tcPr>
                <w:p>
                  <w:pPr>
                    <w:jc w:val="center"/>
                    <w:rPr>
                      <w:szCs w:val="21"/>
                    </w:rPr>
                  </w:pPr>
                  <w:r>
                    <w:rPr>
                      <w:rFonts w:hint="eastAsia"/>
                      <w:szCs w:val="21"/>
                    </w:rPr>
                    <w:t>44.1</w:t>
                  </w:r>
                </w:p>
              </w:tc>
              <w:tc>
                <w:tcPr>
                  <w:tcW w:w="735" w:type="dxa"/>
                  <w:vAlign w:val="center"/>
                </w:tcPr>
                <w:p>
                  <w:pPr>
                    <w:jc w:val="center"/>
                    <w:rPr>
                      <w:szCs w:val="21"/>
                    </w:rPr>
                  </w:pPr>
                  <w:r>
                    <w:rPr>
                      <w:rFonts w:hint="eastAsia"/>
                      <w:szCs w:val="21"/>
                    </w:rPr>
                    <w:t xml:space="preserve">44.9 </w:t>
                  </w:r>
                </w:p>
              </w:tc>
              <w:tc>
                <w:tcPr>
                  <w:tcW w:w="735" w:type="dxa"/>
                  <w:vAlign w:val="center"/>
                </w:tcPr>
                <w:p>
                  <w:pPr>
                    <w:jc w:val="center"/>
                    <w:rPr>
                      <w:szCs w:val="21"/>
                    </w:rPr>
                  </w:pPr>
                  <w:r>
                    <w:rPr>
                      <w:szCs w:val="21"/>
                    </w:rPr>
                    <w:t>55</w:t>
                  </w:r>
                </w:p>
              </w:tc>
              <w:tc>
                <w:tcPr>
                  <w:tcW w:w="735" w:type="dxa"/>
                  <w:vAlign w:val="center"/>
                </w:tcPr>
                <w:p>
                  <w:pPr>
                    <w:jc w:val="center"/>
                    <w:rPr>
                      <w:szCs w:val="21"/>
                    </w:rPr>
                  </w:pPr>
                  <w:r>
                    <w:rPr>
                      <w:szCs w:val="21"/>
                    </w:rPr>
                    <w:t>达标</w:t>
                  </w:r>
                </w:p>
              </w:tc>
              <w:tc>
                <w:tcPr>
                  <w:tcW w:w="646" w:type="dxa"/>
                  <w:vAlign w:val="center"/>
                </w:tcPr>
                <w:p>
                  <w:pPr>
                    <w:jc w:val="center"/>
                    <w:rPr>
                      <w:szCs w:val="21"/>
                    </w:rPr>
                  </w:pPr>
                  <w:r>
                    <w:rPr>
                      <w:rFonts w:hint="eastAsia"/>
                      <w:szCs w:val="21"/>
                    </w:rPr>
                    <w:t>42.7</w:t>
                  </w:r>
                </w:p>
              </w:tc>
              <w:tc>
                <w:tcPr>
                  <w:tcW w:w="680" w:type="dxa"/>
                  <w:vAlign w:val="center"/>
                </w:tcPr>
                <w:p>
                  <w:pPr>
                    <w:jc w:val="center"/>
                    <w:rPr>
                      <w:szCs w:val="21"/>
                    </w:rPr>
                  </w:pPr>
                  <w:r>
                    <w:rPr>
                      <w:rFonts w:hint="eastAsia"/>
                      <w:szCs w:val="21"/>
                    </w:rPr>
                    <w:t>43.8</w:t>
                  </w:r>
                </w:p>
              </w:tc>
              <w:tc>
                <w:tcPr>
                  <w:tcW w:w="797" w:type="dxa"/>
                  <w:vAlign w:val="center"/>
                </w:tcPr>
                <w:p>
                  <w:pPr>
                    <w:jc w:val="center"/>
                    <w:rPr>
                      <w:szCs w:val="21"/>
                    </w:rPr>
                  </w:pPr>
                  <w:r>
                    <w:rPr>
                      <w:szCs w:val="21"/>
                    </w:rPr>
                    <w:t>45</w:t>
                  </w:r>
                </w:p>
              </w:tc>
              <w:tc>
                <w:tcPr>
                  <w:tcW w:w="763" w:type="dxa"/>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60" w:hRule="atLeast"/>
                <w:jc w:val="center"/>
              </w:trPr>
              <w:tc>
                <w:tcPr>
                  <w:tcW w:w="568" w:type="dxa"/>
                  <w:vMerge w:val="continue"/>
                  <w:vAlign w:val="center"/>
                </w:tcPr>
                <w:p>
                  <w:pPr>
                    <w:jc w:val="center"/>
                    <w:rPr>
                      <w:szCs w:val="21"/>
                    </w:rPr>
                  </w:pPr>
                </w:p>
              </w:tc>
              <w:tc>
                <w:tcPr>
                  <w:tcW w:w="1275" w:type="dxa"/>
                  <w:tcBorders>
                    <w:right w:val="single" w:color="auto" w:sz="4" w:space="0"/>
                  </w:tcBorders>
                  <w:vAlign w:val="center"/>
                </w:tcPr>
                <w:p>
                  <w:pPr>
                    <w:jc w:val="center"/>
                    <w:rPr>
                      <w:szCs w:val="21"/>
                    </w:rPr>
                  </w:pPr>
                  <w:r>
                    <w:rPr>
                      <w:rFonts w:hint="eastAsia"/>
                      <w:szCs w:val="21"/>
                    </w:rPr>
                    <w:t>南侧27层住宅小区</w:t>
                  </w:r>
                </w:p>
              </w:tc>
              <w:tc>
                <w:tcPr>
                  <w:tcW w:w="851" w:type="dxa"/>
                  <w:vAlign w:val="center"/>
                </w:tcPr>
                <w:p>
                  <w:pPr>
                    <w:jc w:val="center"/>
                    <w:rPr>
                      <w:szCs w:val="21"/>
                    </w:rPr>
                  </w:pPr>
                  <w:r>
                    <w:rPr>
                      <w:rFonts w:hint="eastAsia"/>
                      <w:szCs w:val="21"/>
                    </w:rPr>
                    <w:t>35.5</w:t>
                  </w:r>
                </w:p>
              </w:tc>
              <w:tc>
                <w:tcPr>
                  <w:tcW w:w="722" w:type="dxa"/>
                  <w:vAlign w:val="center"/>
                </w:tcPr>
                <w:p>
                  <w:pPr>
                    <w:jc w:val="center"/>
                    <w:rPr>
                      <w:szCs w:val="21"/>
                    </w:rPr>
                  </w:pPr>
                  <w:r>
                    <w:rPr>
                      <w:rFonts w:hint="eastAsia"/>
                      <w:szCs w:val="21"/>
                    </w:rPr>
                    <w:t>43.3</w:t>
                  </w:r>
                </w:p>
              </w:tc>
              <w:tc>
                <w:tcPr>
                  <w:tcW w:w="735" w:type="dxa"/>
                  <w:vAlign w:val="center"/>
                </w:tcPr>
                <w:p>
                  <w:pPr>
                    <w:jc w:val="center"/>
                    <w:rPr>
                      <w:szCs w:val="21"/>
                    </w:rPr>
                  </w:pPr>
                  <w:r>
                    <w:rPr>
                      <w:rFonts w:hint="eastAsia"/>
                      <w:szCs w:val="21"/>
                    </w:rPr>
                    <w:t>44.0</w:t>
                  </w:r>
                </w:p>
              </w:tc>
              <w:tc>
                <w:tcPr>
                  <w:tcW w:w="735" w:type="dxa"/>
                  <w:vAlign w:val="center"/>
                </w:tcPr>
                <w:p>
                  <w:pPr>
                    <w:jc w:val="center"/>
                    <w:rPr>
                      <w:szCs w:val="21"/>
                    </w:rPr>
                  </w:pPr>
                  <w:r>
                    <w:rPr>
                      <w:szCs w:val="21"/>
                    </w:rPr>
                    <w:t>55</w:t>
                  </w:r>
                </w:p>
              </w:tc>
              <w:tc>
                <w:tcPr>
                  <w:tcW w:w="735" w:type="dxa"/>
                  <w:vAlign w:val="center"/>
                </w:tcPr>
                <w:p>
                  <w:pPr>
                    <w:jc w:val="center"/>
                    <w:rPr>
                      <w:szCs w:val="21"/>
                    </w:rPr>
                  </w:pPr>
                  <w:r>
                    <w:rPr>
                      <w:szCs w:val="21"/>
                    </w:rPr>
                    <w:t>达标</w:t>
                  </w:r>
                </w:p>
              </w:tc>
              <w:tc>
                <w:tcPr>
                  <w:tcW w:w="646" w:type="dxa"/>
                  <w:vAlign w:val="center"/>
                </w:tcPr>
                <w:p>
                  <w:pPr>
                    <w:jc w:val="center"/>
                    <w:rPr>
                      <w:szCs w:val="21"/>
                    </w:rPr>
                  </w:pPr>
                  <w:r>
                    <w:rPr>
                      <w:rFonts w:hint="eastAsia"/>
                      <w:szCs w:val="21"/>
                    </w:rPr>
                    <w:t>40.5</w:t>
                  </w:r>
                </w:p>
              </w:tc>
              <w:tc>
                <w:tcPr>
                  <w:tcW w:w="680" w:type="dxa"/>
                  <w:vAlign w:val="center"/>
                </w:tcPr>
                <w:p>
                  <w:pPr>
                    <w:jc w:val="center"/>
                    <w:rPr>
                      <w:szCs w:val="21"/>
                    </w:rPr>
                  </w:pPr>
                  <w:r>
                    <w:rPr>
                      <w:rFonts w:hint="eastAsia"/>
                      <w:szCs w:val="21"/>
                    </w:rPr>
                    <w:t>41.7</w:t>
                  </w:r>
                </w:p>
              </w:tc>
              <w:tc>
                <w:tcPr>
                  <w:tcW w:w="797" w:type="dxa"/>
                  <w:vAlign w:val="center"/>
                </w:tcPr>
                <w:p>
                  <w:pPr>
                    <w:jc w:val="center"/>
                    <w:rPr>
                      <w:szCs w:val="21"/>
                    </w:rPr>
                  </w:pPr>
                  <w:r>
                    <w:rPr>
                      <w:szCs w:val="21"/>
                    </w:rPr>
                    <w:t>45</w:t>
                  </w:r>
                </w:p>
              </w:tc>
              <w:tc>
                <w:tcPr>
                  <w:tcW w:w="763" w:type="dxa"/>
                  <w:vAlign w:val="center"/>
                </w:tcPr>
                <w:p>
                  <w:pPr>
                    <w:jc w:val="center"/>
                    <w:rPr>
                      <w:szCs w:val="21"/>
                    </w:rPr>
                  </w:pPr>
                  <w:r>
                    <w:rPr>
                      <w:szCs w:val="21"/>
                    </w:rPr>
                    <w:t>达标</w:t>
                  </w:r>
                </w:p>
              </w:tc>
            </w:tr>
            <w:bookmarkEnd w:id="31"/>
            <w:bookmarkEnd w:id="32"/>
            <w:bookmarkEnd w:id="33"/>
          </w:tbl>
          <w:p>
            <w:pPr>
              <w:spacing w:line="360" w:lineRule="auto"/>
              <w:ind w:right="101" w:rightChars="48" w:firstLine="562" w:firstLineChars="200"/>
              <w:jc w:val="center"/>
              <w:rPr>
                <w:b/>
                <w:sz w:val="28"/>
              </w:rPr>
            </w:pPr>
          </w:p>
          <w:p>
            <w:pPr>
              <w:spacing w:line="360" w:lineRule="auto"/>
              <w:ind w:right="101" w:rightChars="48" w:firstLine="560" w:firstLineChars="200"/>
              <w:rPr>
                <w:sz w:val="28"/>
              </w:rPr>
            </w:pPr>
            <w:r>
              <w:rPr>
                <w:sz w:val="28"/>
              </w:rPr>
              <w:t>（3）六岭110kV变电站声环境影响评价</w:t>
            </w:r>
          </w:p>
          <w:p>
            <w:pPr>
              <w:spacing w:line="360" w:lineRule="auto"/>
              <w:ind w:right="101" w:rightChars="48" w:firstLine="560" w:firstLineChars="200"/>
              <w:rPr>
                <w:sz w:val="28"/>
              </w:rPr>
            </w:pPr>
            <w:r>
              <w:rPr>
                <w:sz w:val="28"/>
              </w:rPr>
              <w:t>根据图16的噪声预测结果，在采取相应的降噪措施后，变电站噪声对周围的影响不大，叠加噪声现状值后，变电站厂界噪声能够满足《</w:t>
            </w:r>
            <w:r>
              <w:rPr>
                <w:sz w:val="28"/>
              </w:rPr>
              <w:fldChar w:fldCharType="begin"/>
            </w:r>
            <w:r>
              <w:rPr>
                <w:sz w:val="28"/>
              </w:rPr>
              <w:instrText xml:space="preserve"> HYPERLINK "电网组标准/16%20GB%2012348-2008%20工业企业厂界环境噪声排放标准%20.pdf" </w:instrText>
            </w:r>
            <w:r>
              <w:rPr>
                <w:sz w:val="28"/>
              </w:rPr>
              <w:fldChar w:fldCharType="separate"/>
            </w:r>
            <w:r>
              <w:rPr>
                <w:sz w:val="28"/>
              </w:rPr>
              <w:t>工业企业厂界环境噪声排放标准</w:t>
            </w:r>
            <w:r>
              <w:rPr>
                <w:sz w:val="28"/>
              </w:rPr>
              <w:fldChar w:fldCharType="end"/>
            </w:r>
            <w:r>
              <w:rPr>
                <w:sz w:val="28"/>
              </w:rPr>
              <w:t>》（GB</w:t>
            </w:r>
            <w:r>
              <w:rPr>
                <w:rFonts w:hint="eastAsia"/>
                <w:sz w:val="28"/>
              </w:rPr>
              <w:t xml:space="preserve"> </w:t>
            </w:r>
            <w:r>
              <w:rPr>
                <w:sz w:val="28"/>
              </w:rPr>
              <w:t>12348-2008）2类标准要求；周围</w:t>
            </w:r>
            <w:r>
              <w:rPr>
                <w:rFonts w:hint="eastAsia"/>
                <w:sz w:val="28"/>
              </w:rPr>
              <w:t>环境敏感目标</w:t>
            </w:r>
            <w:r>
              <w:rPr>
                <w:sz w:val="28"/>
              </w:rPr>
              <w:t>噪声能满足《声环境质量标准》（GB</w:t>
            </w:r>
            <w:r>
              <w:rPr>
                <w:rFonts w:hint="eastAsia"/>
                <w:sz w:val="28"/>
              </w:rPr>
              <w:t xml:space="preserve"> </w:t>
            </w:r>
            <w:r>
              <w:rPr>
                <w:sz w:val="28"/>
              </w:rPr>
              <w:t>3096-2008）</w:t>
            </w:r>
            <w:r>
              <w:rPr>
                <w:rFonts w:hint="eastAsia"/>
                <w:sz w:val="28"/>
              </w:rPr>
              <w:t>1</w:t>
            </w:r>
            <w:r>
              <w:rPr>
                <w:sz w:val="28"/>
              </w:rPr>
              <w:t>类标准要求。</w:t>
            </w:r>
          </w:p>
          <w:p>
            <w:pPr>
              <w:spacing w:line="360" w:lineRule="auto"/>
              <w:ind w:right="101" w:rightChars="48"/>
              <w:rPr>
                <w:sz w:val="28"/>
                <w:szCs w:val="28"/>
              </w:rPr>
            </w:pPr>
            <w:r>
              <w:rPr>
                <w:sz w:val="28"/>
                <w:szCs w:val="28"/>
              </w:rPr>
              <w:t>2.2 线路声环境预测与评价</w:t>
            </w:r>
          </w:p>
          <w:p>
            <w:pPr>
              <w:spacing w:line="360" w:lineRule="auto"/>
              <w:ind w:right="101" w:rightChars="48" w:firstLine="560" w:firstLineChars="200"/>
              <w:rPr>
                <w:sz w:val="28"/>
                <w:szCs w:val="28"/>
              </w:rPr>
            </w:pPr>
            <w:r>
              <w:rPr>
                <w:sz w:val="28"/>
                <w:szCs w:val="28"/>
              </w:rPr>
              <w:t>根据表10可知，本期工程110kV架空线路沿线各监测点的噪声背景值比较小，均能满足相应环境质量标准要求。另根据以往大量运行线路噪声监测结果得知，110kV线路架空线路产生的电磁噪声比较小，其噪声贡献值相对于环境背景噪声基本可忽略，基本不对背景噪声值产生影响，因此线路投运后沿线各监测点的噪声均能满足相应环境质量标准要求。</w:t>
            </w:r>
          </w:p>
          <w:p>
            <w:pPr>
              <w:spacing w:line="360" w:lineRule="auto"/>
              <w:rPr>
                <w:b/>
                <w:sz w:val="28"/>
              </w:rPr>
            </w:pPr>
            <w:r>
              <w:rPr>
                <w:b/>
                <w:sz w:val="28"/>
              </w:rPr>
              <w:t>3 水环境影响分析</w:t>
            </w:r>
          </w:p>
          <w:p>
            <w:pPr>
              <w:spacing w:line="360" w:lineRule="auto"/>
              <w:ind w:right="101" w:rightChars="48" w:firstLine="560" w:firstLineChars="200"/>
              <w:rPr>
                <w:sz w:val="28"/>
                <w:szCs w:val="28"/>
              </w:rPr>
            </w:pPr>
            <w:r>
              <w:rPr>
                <w:sz w:val="28"/>
                <w:szCs w:val="28"/>
              </w:rPr>
              <w:t>各变电站均设置有相应体积的化粪池，生活污水经过化粪池和事故油池处理达标后用于站区绿化或进入合流制排水系统，排出站外沟渠。由于各变电站均是无人值班变电站，取水量非常小，因此，各变电站排水量也较小，且由于各变电站的生活生产污水均经过相应处理措施符合排放标准后才外排的，因此，各变电站建成投运对变电站周围水环境影响几乎可以忽略不计。</w:t>
            </w:r>
          </w:p>
          <w:p>
            <w:pPr>
              <w:spacing w:before="72" w:beforeLines="30"/>
              <w:rPr>
                <w:b/>
                <w:sz w:val="28"/>
              </w:rPr>
            </w:pPr>
            <w:r>
              <w:rPr>
                <w:b/>
                <w:sz w:val="28"/>
              </w:rPr>
              <w:t>4 事故油环境风险分析</w:t>
            </w:r>
          </w:p>
          <w:p>
            <w:pPr>
              <w:spacing w:before="120" w:beforeLines="50" w:line="360" w:lineRule="auto"/>
              <w:ind w:right="101" w:rightChars="48" w:firstLine="560" w:firstLineChars="200"/>
              <w:rPr>
                <w:sz w:val="28"/>
                <w:szCs w:val="28"/>
              </w:rPr>
            </w:pPr>
            <w:r>
              <w:rPr>
                <w:sz w:val="28"/>
                <w:szCs w:val="28"/>
              </w:rPr>
              <w:t>按照国家有关规定，目前变电站的电器设备用油均不得含多氯联苯，本工程变电站使用的变压器油，属于危险废物。</w:t>
            </w:r>
          </w:p>
          <w:p>
            <w:pPr>
              <w:spacing w:line="360" w:lineRule="auto"/>
              <w:ind w:right="101" w:rightChars="48" w:firstLine="560" w:firstLineChars="200"/>
              <w:rPr>
                <w:sz w:val="28"/>
                <w:szCs w:val="28"/>
              </w:rPr>
            </w:pPr>
            <w:r>
              <w:rPr>
                <w:sz w:val="28"/>
                <w:szCs w:val="28"/>
              </w:rPr>
              <w:t>（1）变压器的运行维护和检测</w:t>
            </w:r>
          </w:p>
          <w:p>
            <w:pPr>
              <w:spacing w:line="360" w:lineRule="auto"/>
              <w:ind w:right="101" w:rightChars="48" w:firstLine="560" w:firstLineChars="200"/>
              <w:rPr>
                <w:sz w:val="28"/>
                <w:szCs w:val="28"/>
              </w:rPr>
            </w:pPr>
            <w:r>
              <w:rPr>
                <w:sz w:val="28"/>
                <w:szCs w:val="28"/>
              </w:rPr>
              <w:t>变压器油注入变压器后，不用更新，使用寿命与设备同步。而变压器的维护是在整个服役期间经常需要进行的工作，以保证其运行条件良好，绝缘不过热，不受潮。</w:t>
            </w:r>
          </w:p>
          <w:p>
            <w:pPr>
              <w:spacing w:line="360" w:lineRule="auto"/>
              <w:ind w:right="101" w:rightChars="48" w:firstLine="560" w:firstLineChars="200"/>
              <w:rPr>
                <w:sz w:val="28"/>
                <w:szCs w:val="28"/>
              </w:rPr>
            </w:pPr>
            <w:r>
              <w:rPr>
                <w:sz w:val="28"/>
                <w:szCs w:val="28"/>
              </w:rPr>
              <w:t>一般运行情况下，变电站站内所有电气设施每季度做常规检测，对变压器油则每年由专业人员按相关规定抽样检测油的品质，根据检测结果确定是否需要做过滤或增补变压器油。整个过程无漏油、跑油现象发生，也无弃油产生。</w:t>
            </w:r>
          </w:p>
          <w:p>
            <w:pPr>
              <w:spacing w:line="360" w:lineRule="auto"/>
              <w:ind w:right="101" w:rightChars="48" w:firstLine="560" w:firstLineChars="200"/>
              <w:rPr>
                <w:sz w:val="28"/>
                <w:szCs w:val="28"/>
              </w:rPr>
            </w:pPr>
            <w:r>
              <w:rPr>
                <w:sz w:val="28"/>
                <w:szCs w:val="28"/>
              </w:rPr>
              <w:t>变压器检修分小修、大修和事故检修三种。小修一年一次，大修十年一次，事故检修为发现变压器有异常状况并经试验证明内部有故障时发生。当检修或事故时，有可能产生废油。</w:t>
            </w:r>
          </w:p>
          <w:p>
            <w:pPr>
              <w:spacing w:line="360" w:lineRule="auto"/>
              <w:ind w:right="101" w:rightChars="48" w:firstLine="560" w:firstLineChars="200"/>
              <w:rPr>
                <w:sz w:val="28"/>
                <w:szCs w:val="28"/>
              </w:rPr>
            </w:pPr>
            <w:r>
              <w:rPr>
                <w:sz w:val="28"/>
                <w:szCs w:val="28"/>
              </w:rPr>
              <w:t>（2）事故变压器油环境风险分析及环保措施</w:t>
            </w:r>
          </w:p>
          <w:p>
            <w:pPr>
              <w:spacing w:line="360" w:lineRule="auto"/>
              <w:ind w:right="101" w:rightChars="48" w:firstLine="560" w:firstLineChars="200"/>
              <w:rPr>
                <w:sz w:val="28"/>
                <w:szCs w:val="28"/>
              </w:rPr>
            </w:pPr>
            <w:r>
              <w:rPr>
                <w:sz w:val="28"/>
                <w:szCs w:val="28"/>
              </w:rPr>
              <w:t>变电站内变压器油及其他电气设备均使用电力用油，这些冷却油或绝缘油装在电气设备外壳内，平时无废油排出，不会对环境造成危害，一般只有事故发生时才会发生变压器油外泄。变电站内设置污油排蓄系统，即按最大一台主变压器的油量，设一座事故油池（一般110kV事故油池为20m</w:t>
            </w:r>
            <w:r>
              <w:rPr>
                <w:sz w:val="28"/>
                <w:szCs w:val="28"/>
                <w:vertAlign w:val="superscript"/>
              </w:rPr>
              <w:t>3</w:t>
            </w:r>
            <w:r>
              <w:rPr>
                <w:sz w:val="28"/>
                <w:szCs w:val="28"/>
              </w:rPr>
              <w:t>左右），变压器下铺设一卵石层，四周设有排油槽并与集油池相连。一旦变压器事故时排油或漏油，所有的油水混合物将渗过卵石层并通过排油槽到达集油池，在此过程中卵石层起到冷却油的作用，不易发生火灾。然后经过真空净油机将油水进行净化处理，去除水分和杂质，油可以全部回收利用。维修变压器后，对含有废物如抹布、手套等，进行无害化处理。</w:t>
            </w:r>
          </w:p>
          <w:p>
            <w:pPr>
              <w:spacing w:line="360" w:lineRule="auto"/>
              <w:rPr>
                <w:b/>
                <w:sz w:val="28"/>
              </w:rPr>
            </w:pPr>
            <w:r>
              <w:rPr>
                <w:b/>
                <w:sz w:val="28"/>
              </w:rPr>
              <w:t>5 固体废物影响分析</w:t>
            </w:r>
          </w:p>
          <w:p>
            <w:pPr>
              <w:spacing w:line="360" w:lineRule="auto"/>
              <w:ind w:right="101" w:rightChars="48" w:firstLine="560" w:firstLineChars="200"/>
              <w:rPr>
                <w:sz w:val="28"/>
                <w:szCs w:val="28"/>
              </w:rPr>
            </w:pPr>
            <w:r>
              <w:rPr>
                <w:sz w:val="28"/>
                <w:szCs w:val="28"/>
              </w:rPr>
              <w:t>变电站营运期产生的固体废物，主要为检修时产生的检修垃圾和报废的设备、配件，且量很少。报废的设备及配件全部统一回收，检修垃圾全部运至垃圾处理站或填埋场处理。</w:t>
            </w:r>
          </w:p>
          <w:p>
            <w:pPr>
              <w:spacing w:line="360" w:lineRule="auto"/>
              <w:ind w:right="101" w:rightChars="48" w:firstLine="560" w:firstLineChars="200"/>
              <w:rPr>
                <w:sz w:val="28"/>
                <w:szCs w:val="28"/>
              </w:rPr>
            </w:pPr>
            <w:r>
              <w:rPr>
                <w:sz w:val="28"/>
                <w:szCs w:val="28"/>
              </w:rPr>
              <w:t>变电站蓄电池是站内电源系统中直流供电系统的重要组成部分，主要担负着为站内二次系统负载提供安全、稳定、可靠的电力保障，确保继电保护、通信设备的正常运行。目前国内变电站直流系统的蓄电池大多数都是用两组110V的免维护阀控密封铅酸蓄电池。蓄电池使用一段时间后，会因活性物质脱落、板栅腐蚀或极板变形、硫化等因素，使容量降低直至失效。变电站铅酸蓄电池使用年限不一，一般浮充寿命为10年左右，退役的蓄电池属于危险废物。因此，建设方须严格按照国家危废转移、处置有关规定建立危险废物暂存场所，执行国家危险废物转移联单制度，并交有相应资质的单位进行处置，从而确保全部变压器废油和退役的蓄电池按国家有关规定进行转移、处置。</w:t>
            </w:r>
          </w:p>
          <w:p>
            <w:pPr>
              <w:spacing w:line="360" w:lineRule="auto"/>
              <w:rPr>
                <w:b/>
                <w:sz w:val="28"/>
              </w:rPr>
            </w:pPr>
            <w:r>
              <w:rPr>
                <w:b/>
                <w:sz w:val="28"/>
              </w:rPr>
              <w:t>6 对生态环境的影响分析</w:t>
            </w:r>
          </w:p>
          <w:p>
            <w:pPr>
              <w:spacing w:line="360" w:lineRule="auto"/>
              <w:ind w:firstLine="560" w:firstLineChars="200"/>
              <w:rPr>
                <w:b/>
                <w:sz w:val="28"/>
              </w:rPr>
            </w:pPr>
            <w:r>
              <w:rPr>
                <w:sz w:val="28"/>
                <w:szCs w:val="28"/>
              </w:rPr>
              <w:t>本工程包含新建城东变电站，占地面积为0.24 km</w:t>
            </w:r>
            <w:r>
              <w:rPr>
                <w:rFonts w:hint="eastAsia"/>
                <w:sz w:val="28"/>
                <w:szCs w:val="28"/>
                <w:vertAlign w:val="superscript"/>
              </w:rPr>
              <w:t>2</w:t>
            </w:r>
            <w:r>
              <w:rPr>
                <w:sz w:val="28"/>
                <w:szCs w:val="28"/>
              </w:rPr>
              <w:t>，新建六岭变电站，占地面积为0.1016km</w:t>
            </w:r>
            <w:r>
              <w:rPr>
                <w:rFonts w:hint="eastAsia"/>
                <w:sz w:val="28"/>
                <w:szCs w:val="28"/>
                <w:vertAlign w:val="superscript"/>
              </w:rPr>
              <w:t>2</w:t>
            </w:r>
            <w:r>
              <w:rPr>
                <w:sz w:val="28"/>
                <w:szCs w:val="28"/>
              </w:rPr>
              <w:t>，生态破坏较小，其他扩建或改建均位于原有变电站预留位置内，营运期对周边生态基本无影响。</w:t>
            </w:r>
          </w:p>
          <w:p>
            <w:pPr>
              <w:spacing w:line="360" w:lineRule="auto"/>
              <w:ind w:firstLine="560" w:firstLineChars="200"/>
              <w:rPr>
                <w:bCs/>
                <w:sz w:val="28"/>
                <w:szCs w:val="28"/>
              </w:rPr>
            </w:pPr>
            <w:r>
              <w:rPr>
                <w:sz w:val="28"/>
                <w:szCs w:val="28"/>
              </w:rPr>
              <w:t>本工程输电线路路径位于乡村区域。</w:t>
            </w:r>
            <w:r>
              <w:rPr>
                <w:bCs/>
                <w:sz w:val="28"/>
                <w:szCs w:val="28"/>
              </w:rPr>
              <w:t>输电线路仅塔基占用部分土地，，占地面积较小，对当地的整体生态影响较小。线路塔基开挖会破坏塔基设置点的局部植被，并会导致轻微的水土流失。另外，为确保工程线路安全运行，须砍伐线路通道内的高大树木。</w:t>
            </w:r>
            <w:r>
              <w:rPr>
                <w:sz w:val="28"/>
                <w:szCs w:val="28"/>
              </w:rPr>
              <w:t>工程运行期间，线路本身对灌丛、草地植被及植物资源没有影响。因线路运行安全原因，检修巡视人员需对导线下方高度较高的林木进行修砍，由此将对沿线植被其产生一定影响。根据设计规定，输电线路运行过程中，要对下方与数目垂直距离小于7m树木树冠进行定期修剪，保证输电导线与线下树木之间的垂直距离足够大，以满足输电线路正常运行的需要。本工程线路途经区域主要为湖区平原，基本均为农作物，无高大乔木，因此可以预测，运行期需砍伐树木的量很少，且为局部砍伐，对植物群落组成和结构影响微弱，对植物生态环境的影响程度较小。</w:t>
            </w:r>
          </w:p>
          <w:p>
            <w:pPr>
              <w:pStyle w:val="6"/>
              <w:spacing w:line="360" w:lineRule="exact"/>
              <w:ind w:firstLine="0"/>
              <w:rPr>
                <w:b/>
                <w:lang w:val="en-US" w:eastAsia="zh-CN"/>
              </w:rPr>
            </w:pPr>
            <w:r>
              <w:rPr>
                <w:b/>
                <w:lang w:val="en-US" w:eastAsia="zh-CN"/>
              </w:rPr>
              <w:t>7 输电线路风险分析</w:t>
            </w:r>
          </w:p>
          <w:p>
            <w:pPr>
              <w:spacing w:before="120" w:beforeLines="50" w:line="360" w:lineRule="auto"/>
              <w:ind w:left="101" w:leftChars="48" w:right="86" w:rightChars="41" w:firstLine="564"/>
              <w:rPr>
                <w:sz w:val="28"/>
              </w:rPr>
            </w:pPr>
            <w:r>
              <w:rPr>
                <w:sz w:val="28"/>
              </w:rPr>
              <w:t>输电线路的事故风险有：线路设备在运行期受损。本项目线路的设计原则根据《110～750kV 架空输电线路设计规范》（GB 50545-2010）等规程进行导线的结构和物理参数按规范选用。本线路导线和地线均采用国家标准型防震锤；导线、地线在与公路、输电线路等重要交叉档不得有接头，为线路的持久、安全运行打下了牢固的基础。</w:t>
            </w:r>
          </w:p>
          <w:p>
            <w:pPr>
              <w:spacing w:line="360" w:lineRule="auto"/>
              <w:rPr>
                <w:b/>
                <w:sz w:val="28"/>
                <w:szCs w:val="28"/>
              </w:rPr>
            </w:pPr>
            <w:r>
              <w:rPr>
                <w:b/>
                <w:sz w:val="28"/>
              </w:rPr>
              <w:t xml:space="preserve">8 </w:t>
            </w:r>
            <w:r>
              <w:rPr>
                <w:b/>
                <w:sz w:val="28"/>
                <w:szCs w:val="28"/>
              </w:rPr>
              <w:t>环保投资预算</w:t>
            </w:r>
          </w:p>
          <w:p>
            <w:pPr>
              <w:spacing w:line="360" w:lineRule="auto"/>
              <w:ind w:left="101" w:leftChars="48" w:right="86" w:rightChars="41" w:firstLine="564"/>
              <w:rPr>
                <w:rFonts w:hint="eastAsia"/>
                <w:sz w:val="28"/>
              </w:rPr>
            </w:pPr>
            <w:r>
              <w:rPr>
                <w:sz w:val="28"/>
              </w:rPr>
              <w:t>根据拟建工程周围环境状况及本评价中所提出的设计、施工及营运阶段应采取的各种环境保护措施，估算出邵阳市2017年第一批输变电工程环境保护投资见表27。拟建项目总投资</w:t>
            </w:r>
            <w:r>
              <w:rPr>
                <w:sz w:val="28"/>
                <w:szCs w:val="28"/>
              </w:rPr>
              <w:t>11736.88</w:t>
            </w:r>
            <w:r>
              <w:rPr>
                <w:sz w:val="28"/>
              </w:rPr>
              <w:t>万元，其中环保投资</w:t>
            </w:r>
            <w:r>
              <w:rPr>
                <w:rFonts w:hint="eastAsia"/>
                <w:sz w:val="28"/>
              </w:rPr>
              <w:t>411.85</w:t>
            </w:r>
            <w:r>
              <w:rPr>
                <w:sz w:val="28"/>
              </w:rPr>
              <w:t>万元，占工程总投资的</w:t>
            </w:r>
            <w:r>
              <w:rPr>
                <w:rFonts w:hint="eastAsia"/>
                <w:sz w:val="28"/>
              </w:rPr>
              <w:t>3.5</w:t>
            </w:r>
            <w:r>
              <w:rPr>
                <w:sz w:val="28"/>
              </w:rPr>
              <w:t>％。</w:t>
            </w:r>
          </w:p>
          <w:p>
            <w:pPr>
              <w:spacing w:line="360" w:lineRule="auto"/>
              <w:ind w:left="101" w:leftChars="48" w:right="86" w:rightChars="41" w:firstLine="564"/>
              <w:rPr>
                <w:rFonts w:hint="eastAsia"/>
                <w:sz w:val="28"/>
              </w:rPr>
            </w:pPr>
          </w:p>
          <w:p>
            <w:pPr>
              <w:spacing w:line="360" w:lineRule="auto"/>
              <w:ind w:left="101" w:leftChars="48" w:right="86" w:rightChars="41" w:firstLine="564"/>
              <w:rPr>
                <w:rFonts w:hint="eastAsia"/>
                <w:sz w:val="28"/>
              </w:rPr>
            </w:pPr>
          </w:p>
          <w:p>
            <w:pPr>
              <w:spacing w:line="360" w:lineRule="auto"/>
              <w:ind w:left="101" w:leftChars="48" w:right="86" w:rightChars="41" w:firstLine="564"/>
              <w:rPr>
                <w:rFonts w:hint="eastAsia"/>
                <w:sz w:val="28"/>
              </w:rPr>
            </w:pPr>
          </w:p>
          <w:p>
            <w:pPr>
              <w:spacing w:line="360" w:lineRule="auto"/>
              <w:ind w:left="101" w:leftChars="48" w:right="86" w:rightChars="41" w:firstLine="564"/>
              <w:rPr>
                <w:rFonts w:hint="eastAsia"/>
                <w:sz w:val="28"/>
              </w:rPr>
            </w:pPr>
          </w:p>
          <w:p>
            <w:pPr>
              <w:spacing w:line="360" w:lineRule="auto"/>
              <w:ind w:left="101" w:leftChars="48" w:right="86" w:rightChars="41" w:firstLine="564"/>
              <w:rPr>
                <w:rFonts w:hint="eastAsia"/>
                <w:sz w:val="28"/>
              </w:rPr>
            </w:pPr>
          </w:p>
          <w:p>
            <w:pPr>
              <w:spacing w:line="360" w:lineRule="auto"/>
              <w:ind w:left="101" w:leftChars="48" w:right="86" w:rightChars="41" w:firstLine="564"/>
              <w:rPr>
                <w:rFonts w:hint="eastAsia"/>
                <w:sz w:val="28"/>
              </w:rPr>
            </w:pPr>
          </w:p>
          <w:p>
            <w:pPr>
              <w:spacing w:before="60" w:beforeLines="25"/>
              <w:jc w:val="center"/>
              <w:rPr>
                <w:b/>
                <w:sz w:val="28"/>
                <w:szCs w:val="28"/>
                <w:u w:val="wave"/>
              </w:rPr>
            </w:pPr>
            <w:r>
              <w:rPr>
                <w:b/>
                <w:sz w:val="28"/>
                <w:szCs w:val="28"/>
                <w:u w:val="wave"/>
              </w:rPr>
              <w:t>表</w:t>
            </w:r>
            <w:r>
              <w:rPr>
                <w:rFonts w:hint="eastAsia"/>
                <w:b/>
                <w:sz w:val="28"/>
                <w:szCs w:val="28"/>
                <w:u w:val="wave"/>
              </w:rPr>
              <w:t>27  项目</w:t>
            </w:r>
            <w:r>
              <w:rPr>
                <w:b/>
                <w:sz w:val="28"/>
                <w:szCs w:val="28"/>
                <w:u w:val="wave"/>
              </w:rPr>
              <w:t>环保投资</w:t>
            </w:r>
            <w:r>
              <w:rPr>
                <w:rFonts w:hint="eastAsia"/>
                <w:b/>
                <w:sz w:val="28"/>
                <w:szCs w:val="28"/>
                <w:u w:val="wave"/>
              </w:rPr>
              <w:t>一览表</w:t>
            </w:r>
          </w:p>
          <w:tbl>
            <w:tblPr>
              <w:tblStyle w:val="1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8"/>
              <w:gridCol w:w="833"/>
              <w:gridCol w:w="3524"/>
              <w:gridCol w:w="2094"/>
              <w:gridCol w:w="14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tblHeader/>
                <w:jc w:val="center"/>
              </w:trPr>
              <w:tc>
                <w:tcPr>
                  <w:tcW w:w="1441" w:type="dxa"/>
                  <w:gridSpan w:val="2"/>
                  <w:vAlign w:val="center"/>
                </w:tcPr>
                <w:p>
                  <w:pPr>
                    <w:jc w:val="center"/>
                    <w:rPr>
                      <w:rFonts w:hAnsi="宋体"/>
                      <w:sz w:val="24"/>
                      <w:szCs w:val="24"/>
                    </w:rPr>
                  </w:pPr>
                  <w:r>
                    <w:rPr>
                      <w:rFonts w:hint="eastAsia" w:hAnsi="宋体"/>
                      <w:sz w:val="24"/>
                      <w:szCs w:val="24"/>
                    </w:rPr>
                    <w:t>类别</w:t>
                  </w:r>
                </w:p>
              </w:tc>
              <w:tc>
                <w:tcPr>
                  <w:tcW w:w="3524" w:type="dxa"/>
                  <w:vAlign w:val="center"/>
                </w:tcPr>
                <w:p>
                  <w:pPr>
                    <w:jc w:val="center"/>
                    <w:rPr>
                      <w:rFonts w:hAnsi="宋体"/>
                      <w:sz w:val="24"/>
                      <w:szCs w:val="24"/>
                    </w:rPr>
                  </w:pPr>
                  <w:r>
                    <w:rPr>
                      <w:rFonts w:hint="eastAsia" w:hAnsi="宋体"/>
                      <w:sz w:val="24"/>
                      <w:szCs w:val="24"/>
                    </w:rPr>
                    <w:t>设备名称</w:t>
                  </w:r>
                </w:p>
              </w:tc>
              <w:tc>
                <w:tcPr>
                  <w:tcW w:w="2094" w:type="dxa"/>
                  <w:vAlign w:val="center"/>
                </w:tcPr>
                <w:p>
                  <w:pPr>
                    <w:jc w:val="center"/>
                    <w:rPr>
                      <w:rFonts w:hAnsi="宋体"/>
                      <w:sz w:val="24"/>
                      <w:szCs w:val="24"/>
                    </w:rPr>
                  </w:pPr>
                  <w:r>
                    <w:rPr>
                      <w:rFonts w:hint="eastAsia" w:hAnsi="宋体"/>
                      <w:sz w:val="24"/>
                      <w:szCs w:val="24"/>
                    </w:rPr>
                    <w:t>投资估算（万元）</w:t>
                  </w:r>
                </w:p>
              </w:tc>
              <w:tc>
                <w:tcPr>
                  <w:tcW w:w="1463" w:type="dxa"/>
                  <w:vAlign w:val="center"/>
                </w:tcPr>
                <w:p>
                  <w:pPr>
                    <w:jc w:val="center"/>
                    <w:rPr>
                      <w:rFonts w:hAnsi="宋体"/>
                      <w:sz w:val="24"/>
                      <w:szCs w:val="24"/>
                    </w:rPr>
                  </w:pPr>
                  <w:r>
                    <w:rPr>
                      <w:rFonts w:hint="eastAsia" w:hAnsi="宋体"/>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8" w:type="dxa"/>
                  <w:vMerge w:val="restart"/>
                  <w:tcBorders>
                    <w:right w:val="single" w:color="auto" w:sz="4" w:space="0"/>
                  </w:tcBorders>
                  <w:vAlign w:val="center"/>
                </w:tcPr>
                <w:p>
                  <w:pPr>
                    <w:jc w:val="center"/>
                    <w:rPr>
                      <w:rFonts w:hAnsi="宋体"/>
                      <w:sz w:val="24"/>
                      <w:szCs w:val="24"/>
                    </w:rPr>
                  </w:pPr>
                  <w:r>
                    <w:rPr>
                      <w:rFonts w:hint="eastAsia" w:hAnsi="宋体"/>
                      <w:sz w:val="24"/>
                      <w:szCs w:val="24"/>
                    </w:rPr>
                    <w:t>变电站</w:t>
                  </w:r>
                </w:p>
              </w:tc>
              <w:tc>
                <w:tcPr>
                  <w:tcW w:w="833" w:type="dxa"/>
                  <w:vMerge w:val="restart"/>
                  <w:tcBorders>
                    <w:left w:val="single" w:color="auto" w:sz="4" w:space="0"/>
                  </w:tcBorders>
                  <w:vAlign w:val="center"/>
                </w:tcPr>
                <w:p>
                  <w:pPr>
                    <w:jc w:val="center"/>
                    <w:rPr>
                      <w:rFonts w:hAnsi="宋体"/>
                      <w:sz w:val="24"/>
                      <w:szCs w:val="24"/>
                    </w:rPr>
                  </w:pPr>
                  <w:r>
                    <w:rPr>
                      <w:rFonts w:hint="eastAsia" w:hAnsi="宋体"/>
                      <w:sz w:val="24"/>
                      <w:szCs w:val="24"/>
                    </w:rPr>
                    <w:t>工程</w:t>
                  </w:r>
                </w:p>
                <w:p>
                  <w:pPr>
                    <w:jc w:val="center"/>
                    <w:rPr>
                      <w:rFonts w:hAnsi="宋体"/>
                      <w:sz w:val="24"/>
                      <w:szCs w:val="24"/>
                    </w:rPr>
                  </w:pPr>
                  <w:r>
                    <w:rPr>
                      <w:rFonts w:hint="eastAsia" w:hAnsi="宋体"/>
                      <w:sz w:val="24"/>
                      <w:szCs w:val="24"/>
                    </w:rPr>
                    <w:t>配套</w:t>
                  </w:r>
                </w:p>
                <w:p>
                  <w:pPr>
                    <w:jc w:val="center"/>
                    <w:rPr>
                      <w:rFonts w:hAnsi="宋体"/>
                      <w:sz w:val="24"/>
                      <w:szCs w:val="24"/>
                    </w:rPr>
                  </w:pPr>
                  <w:r>
                    <w:rPr>
                      <w:rFonts w:hint="eastAsia" w:hAnsi="宋体"/>
                      <w:sz w:val="24"/>
                      <w:szCs w:val="24"/>
                    </w:rPr>
                    <w:t>环保</w:t>
                  </w:r>
                </w:p>
                <w:p>
                  <w:pPr>
                    <w:jc w:val="center"/>
                    <w:rPr>
                      <w:rFonts w:hAnsi="宋体"/>
                      <w:sz w:val="24"/>
                      <w:szCs w:val="24"/>
                    </w:rPr>
                  </w:pPr>
                  <w:r>
                    <w:rPr>
                      <w:rFonts w:hint="eastAsia" w:hAnsi="宋体"/>
                      <w:sz w:val="24"/>
                      <w:szCs w:val="24"/>
                    </w:rPr>
                    <w:t>设施</w:t>
                  </w:r>
                </w:p>
              </w:tc>
              <w:tc>
                <w:tcPr>
                  <w:tcW w:w="3524" w:type="dxa"/>
                  <w:vAlign w:val="center"/>
                </w:tcPr>
                <w:p>
                  <w:pPr>
                    <w:jc w:val="center"/>
                    <w:rPr>
                      <w:rFonts w:hAnsi="宋体"/>
                      <w:sz w:val="24"/>
                      <w:szCs w:val="24"/>
                    </w:rPr>
                  </w:pPr>
                  <w:r>
                    <w:rPr>
                      <w:rFonts w:hint="eastAsia" w:hAnsi="宋体"/>
                      <w:sz w:val="24"/>
                      <w:szCs w:val="24"/>
                    </w:rPr>
                    <w:t>事故油池</w:t>
                  </w:r>
                </w:p>
              </w:tc>
              <w:tc>
                <w:tcPr>
                  <w:tcW w:w="2094" w:type="dxa"/>
                  <w:vAlign w:val="center"/>
                </w:tcPr>
                <w:p>
                  <w:pPr>
                    <w:jc w:val="center"/>
                    <w:rPr>
                      <w:rFonts w:hAnsi="宋体"/>
                      <w:sz w:val="24"/>
                      <w:szCs w:val="24"/>
                    </w:rPr>
                  </w:pPr>
                  <w:r>
                    <w:rPr>
                      <w:rFonts w:hint="eastAsia" w:hAnsi="宋体"/>
                      <w:sz w:val="24"/>
                      <w:szCs w:val="24"/>
                    </w:rPr>
                    <w:t>9×2</w:t>
                  </w:r>
                </w:p>
              </w:tc>
              <w:tc>
                <w:tcPr>
                  <w:tcW w:w="1463" w:type="dxa"/>
                  <w:vMerge w:val="restart"/>
                  <w:vAlign w:val="center"/>
                </w:tcPr>
                <w:p>
                  <w:pPr>
                    <w:jc w:val="center"/>
                    <w:rPr>
                      <w:rFonts w:hAnsi="宋体"/>
                      <w:sz w:val="24"/>
                      <w:szCs w:val="24"/>
                    </w:rPr>
                  </w:pPr>
                  <w:r>
                    <w:rPr>
                      <w:rFonts w:hint="eastAsia" w:hAnsi="宋体"/>
                      <w:sz w:val="24"/>
                      <w:szCs w:val="24"/>
                    </w:rPr>
                    <w:t>城东变、六岭变需配置一个事故油池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8" w:type="dxa"/>
                  <w:vMerge w:val="continue"/>
                  <w:tcBorders>
                    <w:right w:val="single" w:color="auto" w:sz="4" w:space="0"/>
                  </w:tcBorders>
                  <w:vAlign w:val="center"/>
                </w:tcPr>
                <w:p>
                  <w:pPr>
                    <w:jc w:val="center"/>
                    <w:rPr>
                      <w:rFonts w:hAnsi="宋体"/>
                      <w:sz w:val="24"/>
                      <w:szCs w:val="24"/>
                    </w:rPr>
                  </w:pPr>
                </w:p>
              </w:tc>
              <w:tc>
                <w:tcPr>
                  <w:tcW w:w="833" w:type="dxa"/>
                  <w:vMerge w:val="continue"/>
                  <w:tcBorders>
                    <w:left w:val="single" w:color="auto" w:sz="4" w:space="0"/>
                  </w:tcBorders>
                  <w:vAlign w:val="center"/>
                </w:tcPr>
                <w:p>
                  <w:pPr>
                    <w:jc w:val="center"/>
                    <w:rPr>
                      <w:rFonts w:hAnsi="宋体"/>
                      <w:sz w:val="24"/>
                      <w:szCs w:val="24"/>
                    </w:rPr>
                  </w:pPr>
                </w:p>
              </w:tc>
              <w:tc>
                <w:tcPr>
                  <w:tcW w:w="3524" w:type="dxa"/>
                  <w:vAlign w:val="center"/>
                </w:tcPr>
                <w:p>
                  <w:pPr>
                    <w:jc w:val="center"/>
                    <w:rPr>
                      <w:rFonts w:hAnsi="宋体"/>
                      <w:sz w:val="24"/>
                      <w:szCs w:val="24"/>
                    </w:rPr>
                  </w:pPr>
                  <w:r>
                    <w:rPr>
                      <w:rFonts w:hint="eastAsia" w:hAnsi="宋体"/>
                      <w:sz w:val="24"/>
                      <w:szCs w:val="24"/>
                    </w:rPr>
                    <w:t>化粪池</w:t>
                  </w:r>
                </w:p>
              </w:tc>
              <w:tc>
                <w:tcPr>
                  <w:tcW w:w="2094" w:type="dxa"/>
                  <w:vAlign w:val="center"/>
                </w:tcPr>
                <w:p>
                  <w:pPr>
                    <w:jc w:val="center"/>
                    <w:rPr>
                      <w:rFonts w:hAnsi="宋体"/>
                      <w:sz w:val="24"/>
                      <w:szCs w:val="24"/>
                    </w:rPr>
                  </w:pPr>
                  <w:r>
                    <w:rPr>
                      <w:rFonts w:hint="eastAsia" w:hAnsi="宋体"/>
                      <w:sz w:val="24"/>
                      <w:szCs w:val="24"/>
                    </w:rPr>
                    <w:t>4×2</w:t>
                  </w:r>
                </w:p>
              </w:tc>
              <w:tc>
                <w:tcPr>
                  <w:tcW w:w="1463" w:type="dxa"/>
                  <w:vMerge w:val="continue"/>
                  <w:vAlign w:val="center"/>
                </w:tcPr>
                <w:p>
                  <w:pPr>
                    <w:jc w:val="center"/>
                    <w:rPr>
                      <w:rFonts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8" w:type="dxa"/>
                  <w:vMerge w:val="continue"/>
                  <w:tcBorders>
                    <w:right w:val="single" w:color="auto" w:sz="4" w:space="0"/>
                  </w:tcBorders>
                  <w:vAlign w:val="center"/>
                </w:tcPr>
                <w:p>
                  <w:pPr>
                    <w:jc w:val="center"/>
                    <w:rPr>
                      <w:rFonts w:hAnsi="宋体"/>
                      <w:sz w:val="24"/>
                      <w:szCs w:val="24"/>
                    </w:rPr>
                  </w:pPr>
                </w:p>
              </w:tc>
              <w:tc>
                <w:tcPr>
                  <w:tcW w:w="833" w:type="dxa"/>
                  <w:vMerge w:val="continue"/>
                  <w:tcBorders>
                    <w:left w:val="single" w:color="auto" w:sz="4" w:space="0"/>
                  </w:tcBorders>
                  <w:vAlign w:val="center"/>
                </w:tcPr>
                <w:p>
                  <w:pPr>
                    <w:jc w:val="center"/>
                    <w:rPr>
                      <w:rFonts w:hAnsi="宋体"/>
                      <w:sz w:val="24"/>
                      <w:szCs w:val="24"/>
                    </w:rPr>
                  </w:pPr>
                </w:p>
              </w:tc>
              <w:tc>
                <w:tcPr>
                  <w:tcW w:w="3524" w:type="dxa"/>
                  <w:vAlign w:val="center"/>
                </w:tcPr>
                <w:p>
                  <w:pPr>
                    <w:jc w:val="center"/>
                    <w:rPr>
                      <w:rFonts w:hAnsi="宋体"/>
                      <w:sz w:val="24"/>
                      <w:szCs w:val="24"/>
                    </w:rPr>
                  </w:pPr>
                  <w:r>
                    <w:rPr>
                      <w:rFonts w:hint="eastAsia" w:hAnsi="宋体"/>
                      <w:sz w:val="24"/>
                      <w:szCs w:val="24"/>
                    </w:rPr>
                    <w:t>站内绿化</w:t>
                  </w:r>
                </w:p>
              </w:tc>
              <w:tc>
                <w:tcPr>
                  <w:tcW w:w="2094" w:type="dxa"/>
                  <w:vAlign w:val="center"/>
                </w:tcPr>
                <w:p>
                  <w:pPr>
                    <w:jc w:val="center"/>
                    <w:rPr>
                      <w:rFonts w:hAnsi="宋体"/>
                      <w:sz w:val="24"/>
                      <w:szCs w:val="24"/>
                    </w:rPr>
                  </w:pPr>
                  <w:r>
                    <w:rPr>
                      <w:rFonts w:hint="eastAsia" w:hAnsi="宋体"/>
                      <w:sz w:val="24"/>
                      <w:szCs w:val="24"/>
                    </w:rPr>
                    <w:t>21×2</w:t>
                  </w:r>
                </w:p>
              </w:tc>
              <w:tc>
                <w:tcPr>
                  <w:tcW w:w="1463" w:type="dxa"/>
                  <w:vMerge w:val="continue"/>
                  <w:vAlign w:val="center"/>
                </w:tcPr>
                <w:p>
                  <w:pPr>
                    <w:jc w:val="center"/>
                    <w:rPr>
                      <w:rFonts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8" w:type="dxa"/>
                  <w:vMerge w:val="continue"/>
                  <w:tcBorders>
                    <w:right w:val="single" w:color="auto" w:sz="4" w:space="0"/>
                  </w:tcBorders>
                  <w:vAlign w:val="center"/>
                </w:tcPr>
                <w:p>
                  <w:pPr>
                    <w:jc w:val="center"/>
                    <w:rPr>
                      <w:rFonts w:hAnsi="宋体"/>
                      <w:sz w:val="24"/>
                      <w:szCs w:val="24"/>
                    </w:rPr>
                  </w:pPr>
                </w:p>
              </w:tc>
              <w:tc>
                <w:tcPr>
                  <w:tcW w:w="833" w:type="dxa"/>
                  <w:vMerge w:val="continue"/>
                  <w:tcBorders>
                    <w:left w:val="single" w:color="auto" w:sz="4" w:space="0"/>
                  </w:tcBorders>
                  <w:vAlign w:val="center"/>
                </w:tcPr>
                <w:p>
                  <w:pPr>
                    <w:jc w:val="center"/>
                    <w:rPr>
                      <w:rFonts w:hAnsi="宋体"/>
                      <w:sz w:val="24"/>
                      <w:szCs w:val="24"/>
                    </w:rPr>
                  </w:pPr>
                </w:p>
              </w:tc>
              <w:tc>
                <w:tcPr>
                  <w:tcW w:w="3524" w:type="dxa"/>
                  <w:vAlign w:val="center"/>
                </w:tcPr>
                <w:p>
                  <w:pPr>
                    <w:jc w:val="center"/>
                    <w:rPr>
                      <w:rFonts w:hAnsi="宋体"/>
                      <w:sz w:val="24"/>
                      <w:szCs w:val="24"/>
                    </w:rPr>
                  </w:pPr>
                  <w:r>
                    <w:rPr>
                      <w:rFonts w:hint="eastAsia" w:hAnsi="宋体"/>
                      <w:sz w:val="24"/>
                      <w:szCs w:val="24"/>
                    </w:rPr>
                    <w:t>主变压器基础衬垫减震材料</w:t>
                  </w:r>
                </w:p>
              </w:tc>
              <w:tc>
                <w:tcPr>
                  <w:tcW w:w="2094" w:type="dxa"/>
                  <w:vAlign w:val="center"/>
                </w:tcPr>
                <w:p>
                  <w:pPr>
                    <w:jc w:val="center"/>
                    <w:rPr>
                      <w:rFonts w:hAnsi="宋体"/>
                      <w:sz w:val="24"/>
                      <w:szCs w:val="24"/>
                    </w:rPr>
                  </w:pPr>
                  <w:r>
                    <w:rPr>
                      <w:rFonts w:hint="eastAsia" w:hAnsi="宋体"/>
                      <w:sz w:val="24"/>
                      <w:szCs w:val="24"/>
                    </w:rPr>
                    <w:t>21×6</w:t>
                  </w:r>
                </w:p>
              </w:tc>
              <w:tc>
                <w:tcPr>
                  <w:tcW w:w="1463" w:type="dxa"/>
                  <w:vMerge w:val="continue"/>
                  <w:vAlign w:val="center"/>
                </w:tcPr>
                <w:p>
                  <w:pPr>
                    <w:jc w:val="center"/>
                    <w:rPr>
                      <w:rFonts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8" w:type="dxa"/>
                  <w:vMerge w:val="continue"/>
                  <w:tcBorders>
                    <w:right w:val="single" w:color="auto" w:sz="4" w:space="0"/>
                  </w:tcBorders>
                  <w:vAlign w:val="center"/>
                </w:tcPr>
                <w:p>
                  <w:pPr>
                    <w:jc w:val="center"/>
                    <w:rPr>
                      <w:rFonts w:hAnsi="宋体"/>
                      <w:sz w:val="24"/>
                      <w:szCs w:val="24"/>
                    </w:rPr>
                  </w:pPr>
                </w:p>
              </w:tc>
              <w:tc>
                <w:tcPr>
                  <w:tcW w:w="833" w:type="dxa"/>
                  <w:vMerge w:val="continue"/>
                  <w:tcBorders>
                    <w:left w:val="single" w:color="auto" w:sz="4" w:space="0"/>
                  </w:tcBorders>
                  <w:vAlign w:val="center"/>
                </w:tcPr>
                <w:p>
                  <w:pPr>
                    <w:jc w:val="center"/>
                    <w:rPr>
                      <w:rFonts w:hAnsi="宋体"/>
                      <w:sz w:val="24"/>
                      <w:szCs w:val="24"/>
                    </w:rPr>
                  </w:pPr>
                </w:p>
              </w:tc>
              <w:tc>
                <w:tcPr>
                  <w:tcW w:w="3524" w:type="dxa"/>
                  <w:vAlign w:val="center"/>
                </w:tcPr>
                <w:p>
                  <w:pPr>
                    <w:jc w:val="center"/>
                    <w:rPr>
                      <w:rFonts w:hAnsi="宋体"/>
                      <w:sz w:val="24"/>
                      <w:szCs w:val="24"/>
                    </w:rPr>
                  </w:pPr>
                  <w:r>
                    <w:rPr>
                      <w:rFonts w:hint="eastAsia" w:hAnsi="宋体"/>
                      <w:sz w:val="24"/>
                      <w:szCs w:val="24"/>
                    </w:rPr>
                    <w:t>小计</w:t>
                  </w:r>
                </w:p>
              </w:tc>
              <w:tc>
                <w:tcPr>
                  <w:tcW w:w="2094" w:type="dxa"/>
                  <w:vAlign w:val="center"/>
                </w:tcPr>
                <w:p>
                  <w:pPr>
                    <w:jc w:val="center"/>
                    <w:rPr>
                      <w:rFonts w:hAnsi="宋体"/>
                      <w:sz w:val="24"/>
                      <w:szCs w:val="24"/>
                    </w:rPr>
                  </w:pPr>
                  <w:r>
                    <w:rPr>
                      <w:rFonts w:hint="eastAsia" w:hAnsi="宋体"/>
                      <w:sz w:val="24"/>
                      <w:szCs w:val="24"/>
                    </w:rPr>
                    <w:t>194</w:t>
                  </w:r>
                </w:p>
              </w:tc>
              <w:tc>
                <w:tcPr>
                  <w:tcW w:w="1463" w:type="dxa"/>
                  <w:vMerge w:val="continue"/>
                  <w:vAlign w:val="center"/>
                </w:tcPr>
                <w:p>
                  <w:pPr>
                    <w:jc w:val="center"/>
                    <w:rPr>
                      <w:rFonts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0" w:hRule="atLeast"/>
                <w:jc w:val="center"/>
              </w:trPr>
              <w:tc>
                <w:tcPr>
                  <w:tcW w:w="608" w:type="dxa"/>
                  <w:vMerge w:val="continue"/>
                  <w:tcBorders>
                    <w:right w:val="single" w:color="auto" w:sz="4" w:space="0"/>
                  </w:tcBorders>
                  <w:vAlign w:val="center"/>
                </w:tcPr>
                <w:p>
                  <w:pPr>
                    <w:jc w:val="center"/>
                    <w:rPr>
                      <w:rFonts w:hAnsi="宋体"/>
                      <w:sz w:val="24"/>
                      <w:szCs w:val="24"/>
                    </w:rPr>
                  </w:pPr>
                </w:p>
              </w:tc>
              <w:tc>
                <w:tcPr>
                  <w:tcW w:w="833" w:type="dxa"/>
                  <w:vMerge w:val="restart"/>
                  <w:tcBorders>
                    <w:left w:val="single" w:color="auto" w:sz="4" w:space="0"/>
                  </w:tcBorders>
                  <w:vAlign w:val="center"/>
                </w:tcPr>
                <w:p>
                  <w:pPr>
                    <w:jc w:val="center"/>
                    <w:rPr>
                      <w:rFonts w:hAnsi="宋体"/>
                      <w:sz w:val="24"/>
                      <w:szCs w:val="24"/>
                    </w:rPr>
                  </w:pPr>
                  <w:r>
                    <w:rPr>
                      <w:rFonts w:hint="eastAsia" w:hAnsi="宋体"/>
                      <w:sz w:val="24"/>
                      <w:szCs w:val="24"/>
                    </w:rPr>
                    <w:t>施工</w:t>
                  </w:r>
                </w:p>
                <w:p>
                  <w:pPr>
                    <w:jc w:val="center"/>
                    <w:rPr>
                      <w:rFonts w:hAnsi="宋体"/>
                      <w:sz w:val="24"/>
                      <w:szCs w:val="24"/>
                    </w:rPr>
                  </w:pPr>
                  <w:r>
                    <w:rPr>
                      <w:rFonts w:hint="eastAsia" w:hAnsi="宋体"/>
                      <w:sz w:val="24"/>
                      <w:szCs w:val="24"/>
                    </w:rPr>
                    <w:t>临时</w:t>
                  </w:r>
                </w:p>
                <w:p>
                  <w:pPr>
                    <w:jc w:val="center"/>
                    <w:rPr>
                      <w:rFonts w:hAnsi="宋体"/>
                      <w:sz w:val="24"/>
                      <w:szCs w:val="24"/>
                    </w:rPr>
                  </w:pPr>
                  <w:r>
                    <w:rPr>
                      <w:rFonts w:hint="eastAsia" w:hAnsi="宋体"/>
                      <w:sz w:val="24"/>
                      <w:szCs w:val="24"/>
                    </w:rPr>
                    <w:t>环保</w:t>
                  </w:r>
                </w:p>
                <w:p>
                  <w:pPr>
                    <w:jc w:val="center"/>
                    <w:rPr>
                      <w:rFonts w:hAnsi="宋体"/>
                      <w:sz w:val="24"/>
                      <w:szCs w:val="24"/>
                    </w:rPr>
                  </w:pPr>
                  <w:r>
                    <w:rPr>
                      <w:rFonts w:hint="eastAsia" w:hAnsi="宋体"/>
                      <w:sz w:val="24"/>
                      <w:szCs w:val="24"/>
                    </w:rPr>
                    <w:t>措施</w:t>
                  </w:r>
                </w:p>
              </w:tc>
              <w:tc>
                <w:tcPr>
                  <w:tcW w:w="3524" w:type="dxa"/>
                  <w:vAlign w:val="center"/>
                </w:tcPr>
                <w:p>
                  <w:pPr>
                    <w:jc w:val="center"/>
                    <w:rPr>
                      <w:rFonts w:hAnsi="宋体"/>
                      <w:sz w:val="24"/>
                      <w:szCs w:val="24"/>
                    </w:rPr>
                  </w:pPr>
                  <w:r>
                    <w:rPr>
                      <w:rFonts w:hint="eastAsia" w:hAnsi="宋体"/>
                      <w:sz w:val="24"/>
                      <w:szCs w:val="24"/>
                    </w:rPr>
                    <w:t>封闭性硬质围挡</w:t>
                  </w:r>
                </w:p>
              </w:tc>
              <w:tc>
                <w:tcPr>
                  <w:tcW w:w="2094" w:type="dxa"/>
                  <w:vAlign w:val="center"/>
                </w:tcPr>
                <w:p>
                  <w:pPr>
                    <w:jc w:val="center"/>
                    <w:rPr>
                      <w:rFonts w:hAnsi="宋体"/>
                      <w:sz w:val="24"/>
                      <w:szCs w:val="24"/>
                    </w:rPr>
                  </w:pPr>
                  <w:r>
                    <w:rPr>
                      <w:rFonts w:hint="eastAsia" w:hAnsi="宋体"/>
                      <w:sz w:val="24"/>
                      <w:szCs w:val="24"/>
                    </w:rPr>
                    <w:t>12×5</w:t>
                  </w:r>
                </w:p>
              </w:tc>
              <w:tc>
                <w:tcPr>
                  <w:tcW w:w="1463" w:type="dxa"/>
                  <w:vMerge w:val="restart"/>
                  <w:vAlign w:val="center"/>
                </w:tcPr>
                <w:p>
                  <w:pPr>
                    <w:jc w:val="center"/>
                    <w:rPr>
                      <w:rFonts w:hAnsi="宋体"/>
                      <w:sz w:val="24"/>
                      <w:szCs w:val="24"/>
                    </w:rPr>
                  </w:pPr>
                  <w:r>
                    <w:rPr>
                      <w:rFonts w:hint="eastAsia" w:hAnsi="宋体"/>
                      <w:sz w:val="24"/>
                      <w:szCs w:val="24"/>
                    </w:rPr>
                    <w:t>城东变、六岭变、高沙变、黄陂桥变、大岭变</w:t>
                  </w:r>
                  <w:r>
                    <w:rPr>
                      <w:rFonts w:hAnsi="宋体"/>
                      <w:sz w:val="24"/>
                      <w:szCs w:val="24"/>
                    </w:rPr>
                    <w:t>各配套1套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8" w:hRule="atLeast"/>
                <w:jc w:val="center"/>
              </w:trPr>
              <w:tc>
                <w:tcPr>
                  <w:tcW w:w="608" w:type="dxa"/>
                  <w:vMerge w:val="continue"/>
                  <w:tcBorders>
                    <w:right w:val="single" w:color="auto" w:sz="4" w:space="0"/>
                  </w:tcBorders>
                  <w:vAlign w:val="center"/>
                </w:tcPr>
                <w:p>
                  <w:pPr>
                    <w:jc w:val="center"/>
                    <w:rPr>
                      <w:rFonts w:hAnsi="宋体"/>
                      <w:sz w:val="24"/>
                      <w:szCs w:val="24"/>
                    </w:rPr>
                  </w:pPr>
                </w:p>
              </w:tc>
              <w:tc>
                <w:tcPr>
                  <w:tcW w:w="833" w:type="dxa"/>
                  <w:vMerge w:val="continue"/>
                  <w:tcBorders>
                    <w:left w:val="single" w:color="auto" w:sz="4" w:space="0"/>
                  </w:tcBorders>
                  <w:vAlign w:val="center"/>
                </w:tcPr>
                <w:p>
                  <w:pPr>
                    <w:jc w:val="center"/>
                    <w:rPr>
                      <w:rFonts w:hAnsi="宋体"/>
                      <w:sz w:val="24"/>
                      <w:szCs w:val="24"/>
                    </w:rPr>
                  </w:pPr>
                </w:p>
              </w:tc>
              <w:tc>
                <w:tcPr>
                  <w:tcW w:w="3524" w:type="dxa"/>
                  <w:vAlign w:val="center"/>
                </w:tcPr>
                <w:p>
                  <w:pPr>
                    <w:jc w:val="center"/>
                    <w:rPr>
                      <w:rFonts w:hAnsi="宋体"/>
                      <w:sz w:val="24"/>
                      <w:szCs w:val="24"/>
                    </w:rPr>
                  </w:pPr>
                  <w:r>
                    <w:rPr>
                      <w:rFonts w:hint="eastAsia" w:hAnsi="宋体"/>
                      <w:sz w:val="24"/>
                      <w:szCs w:val="24"/>
                    </w:rPr>
                    <w:t>车辆冲洗池</w:t>
                  </w:r>
                </w:p>
              </w:tc>
              <w:tc>
                <w:tcPr>
                  <w:tcW w:w="2094" w:type="dxa"/>
                  <w:vAlign w:val="center"/>
                </w:tcPr>
                <w:p>
                  <w:pPr>
                    <w:jc w:val="center"/>
                    <w:rPr>
                      <w:rFonts w:hAnsi="宋体"/>
                      <w:sz w:val="24"/>
                      <w:szCs w:val="24"/>
                    </w:rPr>
                  </w:pPr>
                  <w:r>
                    <w:rPr>
                      <w:rFonts w:hint="eastAsia" w:hAnsi="宋体"/>
                      <w:sz w:val="24"/>
                      <w:szCs w:val="24"/>
                    </w:rPr>
                    <w:t>6×5</w:t>
                  </w:r>
                </w:p>
              </w:tc>
              <w:tc>
                <w:tcPr>
                  <w:tcW w:w="1463" w:type="dxa"/>
                  <w:vMerge w:val="continue"/>
                  <w:vAlign w:val="center"/>
                </w:tcPr>
                <w:p>
                  <w:pPr>
                    <w:jc w:val="center"/>
                    <w:rPr>
                      <w:rFonts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6" w:hRule="atLeast"/>
                <w:jc w:val="center"/>
              </w:trPr>
              <w:tc>
                <w:tcPr>
                  <w:tcW w:w="608" w:type="dxa"/>
                  <w:vMerge w:val="continue"/>
                  <w:tcBorders>
                    <w:right w:val="single" w:color="auto" w:sz="4" w:space="0"/>
                  </w:tcBorders>
                  <w:vAlign w:val="center"/>
                </w:tcPr>
                <w:p>
                  <w:pPr>
                    <w:jc w:val="center"/>
                    <w:rPr>
                      <w:rFonts w:hAnsi="宋体"/>
                      <w:sz w:val="24"/>
                      <w:szCs w:val="24"/>
                    </w:rPr>
                  </w:pPr>
                </w:p>
              </w:tc>
              <w:tc>
                <w:tcPr>
                  <w:tcW w:w="833" w:type="dxa"/>
                  <w:vMerge w:val="continue"/>
                  <w:tcBorders>
                    <w:left w:val="single" w:color="auto" w:sz="4" w:space="0"/>
                  </w:tcBorders>
                  <w:vAlign w:val="center"/>
                </w:tcPr>
                <w:p>
                  <w:pPr>
                    <w:jc w:val="center"/>
                    <w:rPr>
                      <w:rFonts w:hAnsi="宋体"/>
                      <w:sz w:val="24"/>
                      <w:szCs w:val="24"/>
                    </w:rPr>
                  </w:pPr>
                </w:p>
              </w:tc>
              <w:tc>
                <w:tcPr>
                  <w:tcW w:w="3524" w:type="dxa"/>
                  <w:vAlign w:val="center"/>
                </w:tcPr>
                <w:p>
                  <w:pPr>
                    <w:jc w:val="center"/>
                    <w:rPr>
                      <w:rFonts w:hAnsi="宋体"/>
                      <w:sz w:val="24"/>
                      <w:szCs w:val="24"/>
                    </w:rPr>
                  </w:pPr>
                  <w:r>
                    <w:rPr>
                      <w:rFonts w:hint="eastAsia" w:hAnsi="宋体"/>
                      <w:sz w:val="24"/>
                      <w:szCs w:val="24"/>
                    </w:rPr>
                    <w:t>汽车冲洗加压泵高压冲洗枪</w:t>
                  </w:r>
                </w:p>
              </w:tc>
              <w:tc>
                <w:tcPr>
                  <w:tcW w:w="2094" w:type="dxa"/>
                  <w:vAlign w:val="center"/>
                </w:tcPr>
                <w:p>
                  <w:pPr>
                    <w:jc w:val="center"/>
                    <w:rPr>
                      <w:rFonts w:hAnsi="宋体"/>
                      <w:sz w:val="24"/>
                      <w:szCs w:val="24"/>
                    </w:rPr>
                  </w:pPr>
                  <w:r>
                    <w:rPr>
                      <w:rFonts w:hint="eastAsia" w:hAnsi="宋体"/>
                      <w:sz w:val="24"/>
                      <w:szCs w:val="24"/>
                    </w:rPr>
                    <w:t>3×5</w:t>
                  </w:r>
                </w:p>
              </w:tc>
              <w:tc>
                <w:tcPr>
                  <w:tcW w:w="1463" w:type="dxa"/>
                  <w:vMerge w:val="continue"/>
                  <w:vAlign w:val="center"/>
                </w:tcPr>
                <w:p>
                  <w:pPr>
                    <w:jc w:val="center"/>
                    <w:rPr>
                      <w:rFonts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jc w:val="center"/>
              </w:trPr>
              <w:tc>
                <w:tcPr>
                  <w:tcW w:w="608" w:type="dxa"/>
                  <w:vMerge w:val="continue"/>
                  <w:tcBorders>
                    <w:right w:val="single" w:color="auto" w:sz="4" w:space="0"/>
                  </w:tcBorders>
                  <w:vAlign w:val="center"/>
                </w:tcPr>
                <w:p>
                  <w:pPr>
                    <w:jc w:val="center"/>
                    <w:rPr>
                      <w:rFonts w:hAnsi="宋体"/>
                      <w:sz w:val="24"/>
                      <w:szCs w:val="24"/>
                    </w:rPr>
                  </w:pPr>
                </w:p>
              </w:tc>
              <w:tc>
                <w:tcPr>
                  <w:tcW w:w="833" w:type="dxa"/>
                  <w:vMerge w:val="continue"/>
                  <w:tcBorders>
                    <w:left w:val="single" w:color="auto" w:sz="4" w:space="0"/>
                  </w:tcBorders>
                  <w:vAlign w:val="center"/>
                </w:tcPr>
                <w:p>
                  <w:pPr>
                    <w:jc w:val="center"/>
                    <w:rPr>
                      <w:rFonts w:hAnsi="宋体"/>
                      <w:sz w:val="24"/>
                      <w:szCs w:val="24"/>
                    </w:rPr>
                  </w:pPr>
                </w:p>
              </w:tc>
              <w:tc>
                <w:tcPr>
                  <w:tcW w:w="3524" w:type="dxa"/>
                  <w:vAlign w:val="center"/>
                </w:tcPr>
                <w:p>
                  <w:pPr>
                    <w:jc w:val="center"/>
                    <w:rPr>
                      <w:rFonts w:hAnsi="宋体"/>
                      <w:sz w:val="24"/>
                      <w:szCs w:val="24"/>
                    </w:rPr>
                  </w:pPr>
                  <w:r>
                    <w:rPr>
                      <w:rFonts w:hint="eastAsia" w:hAnsi="宋体"/>
                      <w:sz w:val="24"/>
                      <w:szCs w:val="24"/>
                    </w:rPr>
                    <w:t>隔油、泥渣沉淀池</w:t>
                  </w:r>
                </w:p>
              </w:tc>
              <w:tc>
                <w:tcPr>
                  <w:tcW w:w="2094" w:type="dxa"/>
                  <w:vAlign w:val="center"/>
                </w:tcPr>
                <w:p>
                  <w:pPr>
                    <w:jc w:val="center"/>
                    <w:rPr>
                      <w:rFonts w:hAnsi="宋体"/>
                      <w:sz w:val="24"/>
                      <w:szCs w:val="24"/>
                    </w:rPr>
                  </w:pPr>
                  <w:r>
                    <w:rPr>
                      <w:rFonts w:hint="eastAsia" w:hAnsi="宋体"/>
                      <w:sz w:val="24"/>
                      <w:szCs w:val="24"/>
                    </w:rPr>
                    <w:t>12×5</w:t>
                  </w:r>
                </w:p>
              </w:tc>
              <w:tc>
                <w:tcPr>
                  <w:tcW w:w="1463" w:type="dxa"/>
                  <w:vMerge w:val="continue"/>
                  <w:vAlign w:val="center"/>
                </w:tcPr>
                <w:p>
                  <w:pPr>
                    <w:jc w:val="center"/>
                    <w:rPr>
                      <w:rFonts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8" w:type="dxa"/>
                  <w:vMerge w:val="continue"/>
                  <w:tcBorders>
                    <w:right w:val="single" w:color="auto" w:sz="4" w:space="0"/>
                  </w:tcBorders>
                  <w:vAlign w:val="center"/>
                </w:tcPr>
                <w:p>
                  <w:pPr>
                    <w:jc w:val="center"/>
                    <w:rPr>
                      <w:rFonts w:hAnsi="宋体"/>
                      <w:sz w:val="24"/>
                      <w:szCs w:val="24"/>
                    </w:rPr>
                  </w:pPr>
                </w:p>
              </w:tc>
              <w:tc>
                <w:tcPr>
                  <w:tcW w:w="833" w:type="dxa"/>
                  <w:vMerge w:val="continue"/>
                  <w:tcBorders>
                    <w:left w:val="single" w:color="auto" w:sz="4" w:space="0"/>
                  </w:tcBorders>
                  <w:vAlign w:val="center"/>
                </w:tcPr>
                <w:p>
                  <w:pPr>
                    <w:jc w:val="center"/>
                    <w:rPr>
                      <w:rFonts w:hAnsi="宋体"/>
                      <w:sz w:val="24"/>
                      <w:szCs w:val="24"/>
                    </w:rPr>
                  </w:pPr>
                </w:p>
              </w:tc>
              <w:tc>
                <w:tcPr>
                  <w:tcW w:w="3524" w:type="dxa"/>
                  <w:vAlign w:val="center"/>
                </w:tcPr>
                <w:p>
                  <w:pPr>
                    <w:jc w:val="center"/>
                    <w:rPr>
                      <w:rFonts w:hAnsi="宋体"/>
                      <w:sz w:val="24"/>
                      <w:szCs w:val="24"/>
                    </w:rPr>
                  </w:pPr>
                  <w:r>
                    <w:rPr>
                      <w:rFonts w:hint="eastAsia" w:hAnsi="宋体"/>
                      <w:sz w:val="24"/>
                      <w:szCs w:val="24"/>
                    </w:rPr>
                    <w:t>小计</w:t>
                  </w:r>
                </w:p>
              </w:tc>
              <w:tc>
                <w:tcPr>
                  <w:tcW w:w="2094" w:type="dxa"/>
                  <w:vAlign w:val="center"/>
                </w:tcPr>
                <w:p>
                  <w:pPr>
                    <w:jc w:val="center"/>
                    <w:rPr>
                      <w:rFonts w:hAnsi="宋体"/>
                      <w:sz w:val="24"/>
                      <w:szCs w:val="24"/>
                    </w:rPr>
                  </w:pPr>
                  <w:r>
                    <w:rPr>
                      <w:rFonts w:hint="eastAsia" w:hAnsi="宋体"/>
                      <w:sz w:val="24"/>
                      <w:szCs w:val="24"/>
                    </w:rPr>
                    <w:t>165</w:t>
                  </w:r>
                </w:p>
              </w:tc>
              <w:tc>
                <w:tcPr>
                  <w:tcW w:w="1463" w:type="dxa"/>
                  <w:vMerge w:val="continue"/>
                  <w:vAlign w:val="center"/>
                </w:tcPr>
                <w:p>
                  <w:pPr>
                    <w:jc w:val="center"/>
                    <w:rPr>
                      <w:rFonts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8" w:type="dxa"/>
                  <w:tcBorders>
                    <w:right w:val="single" w:color="auto" w:sz="4" w:space="0"/>
                  </w:tcBorders>
                  <w:vAlign w:val="center"/>
                </w:tcPr>
                <w:p>
                  <w:pPr>
                    <w:jc w:val="center"/>
                    <w:rPr>
                      <w:rFonts w:hAnsi="宋体"/>
                      <w:sz w:val="24"/>
                      <w:szCs w:val="24"/>
                    </w:rPr>
                  </w:pPr>
                </w:p>
              </w:tc>
              <w:tc>
                <w:tcPr>
                  <w:tcW w:w="4357" w:type="dxa"/>
                  <w:gridSpan w:val="2"/>
                  <w:tcBorders>
                    <w:left w:val="single" w:color="auto" w:sz="4" w:space="0"/>
                  </w:tcBorders>
                  <w:vAlign w:val="center"/>
                </w:tcPr>
                <w:p>
                  <w:pPr>
                    <w:jc w:val="center"/>
                    <w:rPr>
                      <w:rFonts w:hAnsi="宋体"/>
                      <w:sz w:val="24"/>
                      <w:szCs w:val="24"/>
                    </w:rPr>
                  </w:pPr>
                  <w:r>
                    <w:rPr>
                      <w:rFonts w:hint="eastAsia" w:hAnsi="宋体"/>
                      <w:sz w:val="24"/>
                      <w:szCs w:val="24"/>
                    </w:rPr>
                    <w:t>总计</w:t>
                  </w:r>
                </w:p>
              </w:tc>
              <w:tc>
                <w:tcPr>
                  <w:tcW w:w="2094" w:type="dxa"/>
                  <w:vAlign w:val="center"/>
                </w:tcPr>
                <w:p>
                  <w:pPr>
                    <w:jc w:val="center"/>
                    <w:rPr>
                      <w:rFonts w:hAnsi="宋体"/>
                      <w:sz w:val="24"/>
                      <w:szCs w:val="24"/>
                    </w:rPr>
                  </w:pPr>
                  <w:r>
                    <w:rPr>
                      <w:rFonts w:hint="eastAsia" w:hAnsi="宋体"/>
                      <w:sz w:val="24"/>
                      <w:szCs w:val="24"/>
                    </w:rPr>
                    <w:t>359</w:t>
                  </w:r>
                </w:p>
              </w:tc>
              <w:tc>
                <w:tcPr>
                  <w:tcW w:w="1463" w:type="dxa"/>
                  <w:vAlign w:val="center"/>
                </w:tcPr>
                <w:p>
                  <w:pPr>
                    <w:jc w:val="center"/>
                    <w:rPr>
                      <w:rFonts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8" w:type="dxa"/>
                  <w:vMerge w:val="restart"/>
                  <w:tcBorders>
                    <w:right w:val="single" w:color="auto" w:sz="4" w:space="0"/>
                  </w:tcBorders>
                  <w:vAlign w:val="center"/>
                </w:tcPr>
                <w:p>
                  <w:pPr>
                    <w:jc w:val="center"/>
                    <w:rPr>
                      <w:rFonts w:hAnsi="宋体"/>
                      <w:sz w:val="24"/>
                      <w:szCs w:val="24"/>
                    </w:rPr>
                  </w:pPr>
                  <w:r>
                    <w:rPr>
                      <w:rFonts w:hint="eastAsia" w:hAnsi="宋体"/>
                      <w:sz w:val="24"/>
                      <w:szCs w:val="24"/>
                    </w:rPr>
                    <w:t>输电线路</w:t>
                  </w:r>
                </w:p>
                <w:p>
                  <w:pPr>
                    <w:jc w:val="center"/>
                    <w:rPr>
                      <w:rFonts w:hAnsi="宋体"/>
                      <w:sz w:val="24"/>
                      <w:szCs w:val="24"/>
                    </w:rPr>
                  </w:pPr>
                </w:p>
              </w:tc>
              <w:tc>
                <w:tcPr>
                  <w:tcW w:w="833" w:type="dxa"/>
                  <w:vMerge w:val="restart"/>
                  <w:tcBorders>
                    <w:left w:val="single" w:color="auto" w:sz="4" w:space="0"/>
                    <w:right w:val="single" w:color="auto" w:sz="4" w:space="0"/>
                  </w:tcBorders>
                  <w:vAlign w:val="center"/>
                </w:tcPr>
                <w:p>
                  <w:pPr>
                    <w:jc w:val="center"/>
                    <w:rPr>
                      <w:rFonts w:hAnsi="宋体"/>
                      <w:sz w:val="24"/>
                      <w:szCs w:val="24"/>
                    </w:rPr>
                  </w:pPr>
                  <w:r>
                    <w:rPr>
                      <w:rFonts w:hint="eastAsia" w:hAnsi="宋体"/>
                      <w:sz w:val="24"/>
                      <w:szCs w:val="24"/>
                    </w:rPr>
                    <w:t>施工期</w:t>
                  </w:r>
                </w:p>
              </w:tc>
              <w:tc>
                <w:tcPr>
                  <w:tcW w:w="3524" w:type="dxa"/>
                  <w:tcBorders>
                    <w:left w:val="single" w:color="auto" w:sz="4" w:space="0"/>
                  </w:tcBorders>
                  <w:vAlign w:val="center"/>
                </w:tcPr>
                <w:p>
                  <w:pPr>
                    <w:jc w:val="center"/>
                    <w:rPr>
                      <w:rFonts w:hAnsi="宋体"/>
                      <w:sz w:val="24"/>
                      <w:szCs w:val="24"/>
                    </w:rPr>
                  </w:pPr>
                  <w:r>
                    <w:rPr>
                      <w:rFonts w:hint="eastAsia" w:hAnsi="宋体"/>
                      <w:sz w:val="24"/>
                      <w:szCs w:val="24"/>
                    </w:rPr>
                    <w:t>扬尘防护措施费</w:t>
                  </w:r>
                </w:p>
              </w:tc>
              <w:tc>
                <w:tcPr>
                  <w:tcW w:w="2094" w:type="dxa"/>
                  <w:vAlign w:val="center"/>
                </w:tcPr>
                <w:p>
                  <w:pPr>
                    <w:jc w:val="center"/>
                    <w:rPr>
                      <w:rFonts w:hAnsi="宋体"/>
                      <w:sz w:val="24"/>
                      <w:szCs w:val="24"/>
                    </w:rPr>
                  </w:pPr>
                  <w:r>
                    <w:rPr>
                      <w:rFonts w:hint="eastAsia" w:hAnsi="宋体"/>
                      <w:sz w:val="24"/>
                      <w:szCs w:val="24"/>
                    </w:rPr>
                    <w:t>2（500元/基）</w:t>
                  </w:r>
                </w:p>
              </w:tc>
              <w:tc>
                <w:tcPr>
                  <w:tcW w:w="1463" w:type="dxa"/>
                  <w:vAlign w:val="center"/>
                </w:tcPr>
                <w:p>
                  <w:pPr>
                    <w:jc w:val="center"/>
                    <w:rPr>
                      <w:rFonts w:hAnsi="宋体"/>
                      <w:sz w:val="24"/>
                      <w:szCs w:val="24"/>
                    </w:rPr>
                  </w:pPr>
                  <w:r>
                    <w:rPr>
                      <w:rFonts w:hint="eastAsia" w:hAnsi="宋体"/>
                      <w:sz w:val="24"/>
                      <w:szCs w:val="24"/>
                    </w:rPr>
                    <w:t>抑尘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8" w:type="dxa"/>
                  <w:vMerge w:val="continue"/>
                  <w:tcBorders>
                    <w:right w:val="single" w:color="auto" w:sz="4" w:space="0"/>
                  </w:tcBorders>
                  <w:vAlign w:val="center"/>
                </w:tcPr>
                <w:p>
                  <w:pPr>
                    <w:jc w:val="center"/>
                    <w:rPr>
                      <w:rFonts w:hAnsi="宋体"/>
                      <w:sz w:val="24"/>
                      <w:szCs w:val="24"/>
                    </w:rPr>
                  </w:pPr>
                </w:p>
              </w:tc>
              <w:tc>
                <w:tcPr>
                  <w:tcW w:w="833" w:type="dxa"/>
                  <w:vMerge w:val="continue"/>
                  <w:tcBorders>
                    <w:left w:val="single" w:color="auto" w:sz="4" w:space="0"/>
                    <w:right w:val="single" w:color="auto" w:sz="4" w:space="0"/>
                  </w:tcBorders>
                  <w:vAlign w:val="center"/>
                </w:tcPr>
                <w:p>
                  <w:pPr>
                    <w:jc w:val="center"/>
                    <w:rPr>
                      <w:rFonts w:hAnsi="宋体"/>
                      <w:sz w:val="24"/>
                      <w:szCs w:val="24"/>
                    </w:rPr>
                  </w:pPr>
                </w:p>
              </w:tc>
              <w:tc>
                <w:tcPr>
                  <w:tcW w:w="3524" w:type="dxa"/>
                  <w:tcBorders>
                    <w:left w:val="single" w:color="auto" w:sz="4" w:space="0"/>
                  </w:tcBorders>
                  <w:vAlign w:val="center"/>
                </w:tcPr>
                <w:p>
                  <w:pPr>
                    <w:jc w:val="center"/>
                    <w:rPr>
                      <w:rFonts w:hAnsi="宋体"/>
                      <w:sz w:val="24"/>
                      <w:szCs w:val="24"/>
                    </w:rPr>
                  </w:pPr>
                  <w:r>
                    <w:rPr>
                      <w:rFonts w:hint="eastAsia" w:hAnsi="宋体"/>
                      <w:sz w:val="24"/>
                      <w:szCs w:val="24"/>
                    </w:rPr>
                    <w:t>废弃碎石及渣土清理</w:t>
                  </w:r>
                </w:p>
              </w:tc>
              <w:tc>
                <w:tcPr>
                  <w:tcW w:w="2094" w:type="dxa"/>
                  <w:vAlign w:val="center"/>
                </w:tcPr>
                <w:p>
                  <w:pPr>
                    <w:jc w:val="center"/>
                    <w:rPr>
                      <w:rFonts w:hAnsi="宋体"/>
                      <w:sz w:val="24"/>
                      <w:szCs w:val="24"/>
                    </w:rPr>
                  </w:pPr>
                  <w:r>
                    <w:rPr>
                      <w:rFonts w:hint="eastAsia" w:hAnsi="宋体"/>
                      <w:sz w:val="24"/>
                      <w:szCs w:val="24"/>
                    </w:rPr>
                    <w:t>4（1000元/基）</w:t>
                  </w:r>
                </w:p>
              </w:tc>
              <w:tc>
                <w:tcPr>
                  <w:tcW w:w="1463" w:type="dxa"/>
                  <w:vAlign w:val="center"/>
                </w:tcPr>
                <w:p>
                  <w:pPr>
                    <w:jc w:val="center"/>
                    <w:rPr>
                      <w:rFonts w:hAnsi="宋体"/>
                      <w:sz w:val="24"/>
                      <w:szCs w:val="24"/>
                    </w:rPr>
                  </w:pPr>
                  <w:r>
                    <w:rPr>
                      <w:rFonts w:hint="eastAsia" w:hAnsi="宋体"/>
                      <w:sz w:val="24"/>
                      <w:szCs w:val="24"/>
                    </w:rPr>
                    <w:t>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8" w:type="dxa"/>
                  <w:vMerge w:val="continue"/>
                  <w:tcBorders>
                    <w:right w:val="single" w:color="auto" w:sz="4" w:space="0"/>
                  </w:tcBorders>
                  <w:vAlign w:val="center"/>
                </w:tcPr>
                <w:p>
                  <w:pPr>
                    <w:jc w:val="center"/>
                    <w:rPr>
                      <w:rFonts w:hAnsi="宋体"/>
                      <w:sz w:val="24"/>
                      <w:szCs w:val="24"/>
                    </w:rPr>
                  </w:pPr>
                </w:p>
              </w:tc>
              <w:tc>
                <w:tcPr>
                  <w:tcW w:w="833" w:type="dxa"/>
                  <w:vMerge w:val="continue"/>
                  <w:tcBorders>
                    <w:left w:val="single" w:color="auto" w:sz="4" w:space="0"/>
                    <w:right w:val="single" w:color="auto" w:sz="4" w:space="0"/>
                  </w:tcBorders>
                  <w:vAlign w:val="center"/>
                </w:tcPr>
                <w:p>
                  <w:pPr>
                    <w:jc w:val="center"/>
                    <w:rPr>
                      <w:rFonts w:hAnsi="宋体"/>
                      <w:sz w:val="24"/>
                      <w:szCs w:val="24"/>
                    </w:rPr>
                  </w:pPr>
                </w:p>
              </w:tc>
              <w:tc>
                <w:tcPr>
                  <w:tcW w:w="3524" w:type="dxa"/>
                  <w:tcBorders>
                    <w:left w:val="single" w:color="auto" w:sz="4" w:space="0"/>
                  </w:tcBorders>
                  <w:vAlign w:val="center"/>
                </w:tcPr>
                <w:p>
                  <w:pPr>
                    <w:jc w:val="center"/>
                    <w:rPr>
                      <w:rFonts w:hAnsi="宋体"/>
                      <w:sz w:val="24"/>
                      <w:szCs w:val="24"/>
                    </w:rPr>
                  </w:pPr>
                  <w:r>
                    <w:rPr>
                      <w:rFonts w:hint="eastAsia" w:hAnsi="宋体"/>
                      <w:sz w:val="24"/>
                      <w:szCs w:val="24"/>
                    </w:rPr>
                    <w:t>水土保持、绿化恢复措施</w:t>
                  </w:r>
                </w:p>
              </w:tc>
              <w:tc>
                <w:tcPr>
                  <w:tcW w:w="2094" w:type="dxa"/>
                  <w:vAlign w:val="center"/>
                </w:tcPr>
                <w:p>
                  <w:pPr>
                    <w:jc w:val="center"/>
                    <w:rPr>
                      <w:rFonts w:hAnsi="宋体"/>
                      <w:sz w:val="24"/>
                      <w:szCs w:val="24"/>
                    </w:rPr>
                  </w:pPr>
                  <w:r>
                    <w:rPr>
                      <w:rFonts w:hint="eastAsia" w:hAnsi="宋体"/>
                      <w:sz w:val="24"/>
                      <w:szCs w:val="24"/>
                    </w:rPr>
                    <w:t>8（2000元/基）</w:t>
                  </w:r>
                </w:p>
              </w:tc>
              <w:tc>
                <w:tcPr>
                  <w:tcW w:w="1463" w:type="dxa"/>
                  <w:vAlign w:val="center"/>
                </w:tcPr>
                <w:p>
                  <w:pPr>
                    <w:jc w:val="center"/>
                    <w:rPr>
                      <w:rFonts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8" w:type="dxa"/>
                  <w:vMerge w:val="continue"/>
                  <w:tcBorders>
                    <w:right w:val="single" w:color="auto" w:sz="4" w:space="0"/>
                  </w:tcBorders>
                  <w:vAlign w:val="center"/>
                </w:tcPr>
                <w:p>
                  <w:pPr>
                    <w:jc w:val="center"/>
                    <w:rPr>
                      <w:rFonts w:hAnsi="宋体"/>
                      <w:sz w:val="24"/>
                      <w:szCs w:val="24"/>
                    </w:rPr>
                  </w:pPr>
                </w:p>
              </w:tc>
              <w:tc>
                <w:tcPr>
                  <w:tcW w:w="833" w:type="dxa"/>
                  <w:vMerge w:val="continue"/>
                  <w:tcBorders>
                    <w:left w:val="single" w:color="auto" w:sz="4" w:space="0"/>
                    <w:right w:val="single" w:color="auto" w:sz="4" w:space="0"/>
                  </w:tcBorders>
                  <w:vAlign w:val="center"/>
                </w:tcPr>
                <w:p>
                  <w:pPr>
                    <w:jc w:val="center"/>
                    <w:rPr>
                      <w:rFonts w:hAnsi="宋体"/>
                      <w:sz w:val="24"/>
                      <w:szCs w:val="24"/>
                    </w:rPr>
                  </w:pPr>
                </w:p>
              </w:tc>
              <w:tc>
                <w:tcPr>
                  <w:tcW w:w="3524" w:type="dxa"/>
                  <w:tcBorders>
                    <w:left w:val="single" w:color="auto" w:sz="4" w:space="0"/>
                  </w:tcBorders>
                  <w:vAlign w:val="center"/>
                </w:tcPr>
                <w:p>
                  <w:pPr>
                    <w:jc w:val="center"/>
                    <w:rPr>
                      <w:rFonts w:hAnsi="宋体"/>
                      <w:sz w:val="24"/>
                      <w:szCs w:val="24"/>
                    </w:rPr>
                  </w:pPr>
                  <w:r>
                    <w:rPr>
                      <w:rFonts w:hint="eastAsia" w:hAnsi="宋体"/>
                      <w:sz w:val="24"/>
                      <w:szCs w:val="24"/>
                    </w:rPr>
                    <w:t>跨越措施费</w:t>
                  </w:r>
                </w:p>
              </w:tc>
              <w:tc>
                <w:tcPr>
                  <w:tcW w:w="2094" w:type="dxa"/>
                  <w:vAlign w:val="center"/>
                </w:tcPr>
                <w:p>
                  <w:pPr>
                    <w:jc w:val="center"/>
                    <w:rPr>
                      <w:rFonts w:hAnsi="宋体"/>
                      <w:sz w:val="24"/>
                      <w:szCs w:val="24"/>
                    </w:rPr>
                  </w:pPr>
                  <w:r>
                    <w:rPr>
                      <w:rFonts w:hint="eastAsia" w:hAnsi="宋体"/>
                      <w:sz w:val="24"/>
                      <w:szCs w:val="24"/>
                    </w:rPr>
                    <w:t>20（50000元/处）</w:t>
                  </w:r>
                </w:p>
              </w:tc>
              <w:tc>
                <w:tcPr>
                  <w:tcW w:w="1463" w:type="dxa"/>
                  <w:vAlign w:val="center"/>
                </w:tcPr>
                <w:p>
                  <w:pPr>
                    <w:jc w:val="center"/>
                    <w:rPr>
                      <w:rFonts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8" w:type="dxa"/>
                  <w:vMerge w:val="continue"/>
                  <w:tcBorders>
                    <w:right w:val="single" w:color="auto" w:sz="4" w:space="0"/>
                  </w:tcBorders>
                  <w:vAlign w:val="center"/>
                </w:tcPr>
                <w:p>
                  <w:pPr>
                    <w:jc w:val="center"/>
                    <w:rPr>
                      <w:rFonts w:hAnsi="宋体"/>
                      <w:sz w:val="24"/>
                      <w:szCs w:val="24"/>
                    </w:rPr>
                  </w:pPr>
                </w:p>
              </w:tc>
              <w:tc>
                <w:tcPr>
                  <w:tcW w:w="833" w:type="dxa"/>
                  <w:vMerge w:val="continue"/>
                  <w:tcBorders>
                    <w:left w:val="single" w:color="auto" w:sz="4" w:space="0"/>
                    <w:right w:val="single" w:color="auto" w:sz="4" w:space="0"/>
                  </w:tcBorders>
                  <w:vAlign w:val="center"/>
                </w:tcPr>
                <w:p>
                  <w:pPr>
                    <w:jc w:val="center"/>
                    <w:rPr>
                      <w:rFonts w:hAnsi="宋体"/>
                      <w:sz w:val="24"/>
                      <w:szCs w:val="24"/>
                    </w:rPr>
                  </w:pPr>
                </w:p>
              </w:tc>
              <w:tc>
                <w:tcPr>
                  <w:tcW w:w="3524" w:type="dxa"/>
                  <w:tcBorders>
                    <w:left w:val="single" w:color="auto" w:sz="4" w:space="0"/>
                  </w:tcBorders>
                  <w:vAlign w:val="center"/>
                </w:tcPr>
                <w:p>
                  <w:pPr>
                    <w:jc w:val="center"/>
                    <w:rPr>
                      <w:rFonts w:hAnsi="宋体"/>
                      <w:sz w:val="24"/>
                      <w:szCs w:val="24"/>
                    </w:rPr>
                  </w:pPr>
                  <w:r>
                    <w:rPr>
                      <w:rFonts w:hint="eastAsia" w:hAnsi="宋体"/>
                      <w:sz w:val="24"/>
                      <w:szCs w:val="24"/>
                    </w:rPr>
                    <w:t>封闭性硬质围挡</w:t>
                  </w:r>
                </w:p>
              </w:tc>
              <w:tc>
                <w:tcPr>
                  <w:tcW w:w="2094" w:type="dxa"/>
                  <w:vAlign w:val="center"/>
                </w:tcPr>
                <w:p>
                  <w:pPr>
                    <w:jc w:val="center"/>
                    <w:rPr>
                      <w:rFonts w:hAnsi="宋体"/>
                      <w:sz w:val="24"/>
                      <w:szCs w:val="24"/>
                    </w:rPr>
                  </w:pPr>
                  <w:r>
                    <w:rPr>
                      <w:rFonts w:hint="eastAsia" w:hAnsi="宋体"/>
                      <w:sz w:val="24"/>
                      <w:szCs w:val="24"/>
                    </w:rPr>
                    <w:t>3（500元/基）</w:t>
                  </w:r>
                </w:p>
              </w:tc>
              <w:tc>
                <w:tcPr>
                  <w:tcW w:w="1463" w:type="dxa"/>
                  <w:vAlign w:val="center"/>
                </w:tcPr>
                <w:p>
                  <w:pPr>
                    <w:jc w:val="center"/>
                    <w:rPr>
                      <w:rFonts w:hAnsi="宋体"/>
                      <w:sz w:val="24"/>
                      <w:szCs w:val="24"/>
                    </w:rPr>
                  </w:pPr>
                  <w:r>
                    <w:rPr>
                      <w:rFonts w:hint="eastAsia" w:hAnsi="宋体"/>
                      <w:sz w:val="24"/>
                      <w:szCs w:val="24"/>
                    </w:rPr>
                    <w:t>城市道路施工需要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8" w:type="dxa"/>
                  <w:vMerge w:val="continue"/>
                  <w:tcBorders>
                    <w:right w:val="single" w:color="auto" w:sz="4" w:space="0"/>
                  </w:tcBorders>
                  <w:vAlign w:val="center"/>
                </w:tcPr>
                <w:p>
                  <w:pPr>
                    <w:jc w:val="center"/>
                    <w:rPr>
                      <w:rFonts w:hAnsi="宋体"/>
                      <w:sz w:val="24"/>
                      <w:szCs w:val="24"/>
                    </w:rPr>
                  </w:pPr>
                </w:p>
              </w:tc>
              <w:tc>
                <w:tcPr>
                  <w:tcW w:w="833" w:type="dxa"/>
                  <w:tcBorders>
                    <w:left w:val="single" w:color="auto" w:sz="4" w:space="0"/>
                    <w:right w:val="single" w:color="auto" w:sz="4" w:space="0"/>
                  </w:tcBorders>
                  <w:vAlign w:val="center"/>
                </w:tcPr>
                <w:p>
                  <w:pPr>
                    <w:jc w:val="center"/>
                    <w:rPr>
                      <w:rFonts w:hAnsi="宋体"/>
                      <w:sz w:val="24"/>
                      <w:szCs w:val="24"/>
                    </w:rPr>
                  </w:pPr>
                  <w:r>
                    <w:rPr>
                      <w:rFonts w:hint="eastAsia" w:hAnsi="宋体"/>
                      <w:sz w:val="24"/>
                      <w:szCs w:val="24"/>
                    </w:rPr>
                    <w:t>运营期</w:t>
                  </w:r>
                </w:p>
              </w:tc>
              <w:tc>
                <w:tcPr>
                  <w:tcW w:w="3524" w:type="dxa"/>
                  <w:tcBorders>
                    <w:left w:val="single" w:color="auto" w:sz="4" w:space="0"/>
                  </w:tcBorders>
                  <w:vAlign w:val="center"/>
                </w:tcPr>
                <w:p>
                  <w:pPr>
                    <w:jc w:val="center"/>
                    <w:rPr>
                      <w:rFonts w:hAnsi="宋体"/>
                      <w:sz w:val="24"/>
                      <w:szCs w:val="24"/>
                    </w:rPr>
                  </w:pPr>
                  <w:r>
                    <w:rPr>
                      <w:rFonts w:hint="eastAsia" w:hAnsi="宋体"/>
                      <w:sz w:val="24"/>
                      <w:szCs w:val="24"/>
                    </w:rPr>
                    <w:t>宣传、教育及培训措施</w:t>
                  </w:r>
                </w:p>
              </w:tc>
              <w:tc>
                <w:tcPr>
                  <w:tcW w:w="2094" w:type="dxa"/>
                  <w:vAlign w:val="center"/>
                </w:tcPr>
                <w:p>
                  <w:pPr>
                    <w:jc w:val="center"/>
                    <w:rPr>
                      <w:rFonts w:hAnsi="宋体"/>
                      <w:sz w:val="24"/>
                      <w:szCs w:val="24"/>
                    </w:rPr>
                  </w:pPr>
                  <w:r>
                    <w:rPr>
                      <w:rFonts w:hint="eastAsia" w:hAnsi="宋体"/>
                      <w:sz w:val="24"/>
                      <w:szCs w:val="24"/>
                    </w:rPr>
                    <w:t>2（500元/基）</w:t>
                  </w:r>
                </w:p>
              </w:tc>
              <w:tc>
                <w:tcPr>
                  <w:tcW w:w="1463" w:type="dxa"/>
                  <w:vAlign w:val="center"/>
                </w:tcPr>
                <w:p>
                  <w:pPr>
                    <w:jc w:val="center"/>
                    <w:rPr>
                      <w:rFonts w:hAnsi="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8" w:type="dxa"/>
                  <w:vMerge w:val="continue"/>
                  <w:tcBorders>
                    <w:right w:val="single" w:color="auto" w:sz="4" w:space="0"/>
                  </w:tcBorders>
                  <w:vAlign w:val="center"/>
                </w:tcPr>
                <w:p>
                  <w:pPr>
                    <w:jc w:val="center"/>
                    <w:rPr>
                      <w:rFonts w:hAnsi="宋体"/>
                      <w:sz w:val="24"/>
                      <w:szCs w:val="24"/>
                    </w:rPr>
                  </w:pPr>
                </w:p>
              </w:tc>
              <w:tc>
                <w:tcPr>
                  <w:tcW w:w="7914" w:type="dxa"/>
                  <w:gridSpan w:val="4"/>
                  <w:tcBorders>
                    <w:left w:val="single" w:color="auto" w:sz="4" w:space="0"/>
                  </w:tcBorders>
                  <w:vAlign w:val="center"/>
                </w:tcPr>
                <w:p>
                  <w:pPr>
                    <w:jc w:val="center"/>
                    <w:rPr>
                      <w:rFonts w:hAnsi="宋体"/>
                      <w:sz w:val="24"/>
                      <w:szCs w:val="24"/>
                    </w:rPr>
                  </w:pPr>
                  <w:r>
                    <w:rPr>
                      <w:rFonts w:hint="eastAsia" w:hAnsi="宋体"/>
                      <w:sz w:val="24"/>
                      <w:szCs w:val="24"/>
                    </w:rPr>
                    <w:t>小计52.85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 w:hRule="atLeast"/>
                <w:jc w:val="center"/>
              </w:trPr>
              <w:tc>
                <w:tcPr>
                  <w:tcW w:w="608" w:type="dxa"/>
                  <w:tcBorders>
                    <w:right w:val="single" w:color="auto" w:sz="4" w:space="0"/>
                  </w:tcBorders>
                  <w:vAlign w:val="center"/>
                </w:tcPr>
                <w:p>
                  <w:pPr>
                    <w:jc w:val="center"/>
                    <w:rPr>
                      <w:rFonts w:hAnsi="宋体"/>
                      <w:sz w:val="24"/>
                      <w:szCs w:val="24"/>
                    </w:rPr>
                  </w:pPr>
                </w:p>
              </w:tc>
              <w:tc>
                <w:tcPr>
                  <w:tcW w:w="4357" w:type="dxa"/>
                  <w:gridSpan w:val="2"/>
                  <w:tcBorders>
                    <w:left w:val="single" w:color="auto" w:sz="4" w:space="0"/>
                  </w:tcBorders>
                  <w:vAlign w:val="center"/>
                </w:tcPr>
                <w:p>
                  <w:pPr>
                    <w:jc w:val="center"/>
                    <w:rPr>
                      <w:rFonts w:hAnsi="宋体"/>
                      <w:sz w:val="24"/>
                      <w:szCs w:val="24"/>
                    </w:rPr>
                  </w:pPr>
                  <w:r>
                    <w:rPr>
                      <w:rFonts w:hint="eastAsia" w:hAnsi="宋体"/>
                      <w:sz w:val="24"/>
                      <w:szCs w:val="24"/>
                    </w:rPr>
                    <w:t>总计</w:t>
                  </w:r>
                </w:p>
              </w:tc>
              <w:tc>
                <w:tcPr>
                  <w:tcW w:w="2094" w:type="dxa"/>
                  <w:vAlign w:val="center"/>
                </w:tcPr>
                <w:p>
                  <w:pPr>
                    <w:jc w:val="center"/>
                    <w:rPr>
                      <w:rFonts w:hAnsi="宋体"/>
                      <w:sz w:val="24"/>
                      <w:szCs w:val="24"/>
                    </w:rPr>
                  </w:pPr>
                  <w:r>
                    <w:rPr>
                      <w:rFonts w:hint="eastAsia" w:hAnsi="宋体"/>
                      <w:sz w:val="24"/>
                      <w:szCs w:val="24"/>
                    </w:rPr>
                    <w:t>411.85</w:t>
                  </w:r>
                </w:p>
              </w:tc>
              <w:tc>
                <w:tcPr>
                  <w:tcW w:w="1463" w:type="dxa"/>
                  <w:vAlign w:val="center"/>
                </w:tcPr>
                <w:p>
                  <w:pPr>
                    <w:jc w:val="center"/>
                    <w:rPr>
                      <w:rFonts w:hAnsi="宋体"/>
                      <w:sz w:val="24"/>
                      <w:szCs w:val="24"/>
                    </w:rPr>
                  </w:pPr>
                </w:p>
              </w:tc>
            </w:tr>
          </w:tbl>
          <w:p>
            <w:pPr>
              <w:ind w:right="86" w:rightChars="41"/>
              <w:jc w:val="center"/>
              <w:rPr>
                <w:sz w:val="28"/>
              </w:rPr>
            </w:pPr>
          </w:p>
        </w:tc>
      </w:tr>
    </w:tbl>
    <w:p>
      <w:pPr>
        <w:rPr>
          <w:rFonts w:eastAsia="黑体"/>
          <w:b/>
          <w:sz w:val="30"/>
        </w:rPr>
      </w:pPr>
      <w:r>
        <w:rPr>
          <w:rFonts w:eastAsia="黑体"/>
          <w:b/>
          <w:sz w:val="30"/>
        </w:rPr>
        <w:t>建设项目拟采取的防治措施及预期治理效果</w:t>
      </w:r>
    </w:p>
    <w:tbl>
      <w:tblPr>
        <w:tblStyle w:val="11"/>
        <w:tblW w:w="9003"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524"/>
        <w:gridCol w:w="524"/>
        <w:gridCol w:w="1266"/>
        <w:gridCol w:w="1755"/>
        <w:gridCol w:w="2522"/>
        <w:gridCol w:w="241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1048" w:type="dxa"/>
            <w:gridSpan w:val="2"/>
            <w:vAlign w:val="center"/>
          </w:tcPr>
          <w:p>
            <w:pPr>
              <w:jc w:val="center"/>
              <w:rPr>
                <w:sz w:val="28"/>
              </w:rPr>
            </w:pPr>
            <w:r>
              <w:rPr>
                <w:sz w:val="28"/>
              </w:rPr>
              <w:t>类型</w:t>
            </w:r>
          </w:p>
        </w:tc>
        <w:tc>
          <w:tcPr>
            <w:tcW w:w="1266" w:type="dxa"/>
            <w:vAlign w:val="center"/>
          </w:tcPr>
          <w:p>
            <w:pPr>
              <w:jc w:val="center"/>
              <w:rPr>
                <w:sz w:val="28"/>
              </w:rPr>
            </w:pPr>
            <w:r>
              <w:rPr>
                <w:sz w:val="28"/>
              </w:rPr>
              <w:t>排放源</w:t>
            </w:r>
          </w:p>
          <w:p>
            <w:pPr>
              <w:jc w:val="center"/>
              <w:rPr>
                <w:sz w:val="28"/>
              </w:rPr>
            </w:pPr>
            <w:r>
              <w:rPr>
                <w:sz w:val="28"/>
              </w:rPr>
              <w:t>（编号）</w:t>
            </w:r>
          </w:p>
        </w:tc>
        <w:tc>
          <w:tcPr>
            <w:tcW w:w="1755" w:type="dxa"/>
            <w:vAlign w:val="center"/>
          </w:tcPr>
          <w:p>
            <w:pPr>
              <w:jc w:val="center"/>
              <w:rPr>
                <w:sz w:val="28"/>
              </w:rPr>
            </w:pPr>
            <w:r>
              <w:rPr>
                <w:sz w:val="28"/>
              </w:rPr>
              <w:t>污染物名称</w:t>
            </w:r>
          </w:p>
        </w:tc>
        <w:tc>
          <w:tcPr>
            <w:tcW w:w="2522" w:type="dxa"/>
            <w:vAlign w:val="center"/>
          </w:tcPr>
          <w:p>
            <w:pPr>
              <w:jc w:val="center"/>
              <w:rPr>
                <w:sz w:val="28"/>
              </w:rPr>
            </w:pPr>
            <w:r>
              <w:rPr>
                <w:sz w:val="28"/>
              </w:rPr>
              <w:t>防治措施</w:t>
            </w:r>
          </w:p>
        </w:tc>
        <w:tc>
          <w:tcPr>
            <w:tcW w:w="2412" w:type="dxa"/>
            <w:vAlign w:val="center"/>
          </w:tcPr>
          <w:p>
            <w:pPr>
              <w:jc w:val="center"/>
              <w:rPr>
                <w:sz w:val="28"/>
              </w:rPr>
            </w:pPr>
            <w:r>
              <w:rPr>
                <w:sz w:val="28"/>
              </w:rPr>
              <w:t>预    期</w:t>
            </w:r>
          </w:p>
          <w:p>
            <w:pPr>
              <w:jc w:val="center"/>
              <w:rPr>
                <w:sz w:val="28"/>
              </w:rPr>
            </w:pPr>
            <w:r>
              <w:rPr>
                <w:sz w:val="28"/>
              </w:rPr>
              <w:t>治理效果</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299" w:hRule="atLeast"/>
          <w:jc w:val="center"/>
        </w:trPr>
        <w:tc>
          <w:tcPr>
            <w:tcW w:w="524" w:type="dxa"/>
            <w:vMerge w:val="restart"/>
            <w:vAlign w:val="center"/>
          </w:tcPr>
          <w:p>
            <w:pPr>
              <w:spacing w:line="360" w:lineRule="exact"/>
              <w:jc w:val="center"/>
              <w:rPr>
                <w:sz w:val="28"/>
                <w:szCs w:val="28"/>
              </w:rPr>
            </w:pPr>
            <w:r>
              <w:rPr>
                <w:sz w:val="28"/>
                <w:szCs w:val="28"/>
              </w:rPr>
              <w:t>运营期</w:t>
            </w:r>
          </w:p>
        </w:tc>
        <w:tc>
          <w:tcPr>
            <w:tcW w:w="524" w:type="dxa"/>
            <w:vAlign w:val="center"/>
          </w:tcPr>
          <w:p>
            <w:pPr>
              <w:spacing w:line="360" w:lineRule="exact"/>
              <w:jc w:val="center"/>
              <w:rPr>
                <w:sz w:val="28"/>
                <w:szCs w:val="28"/>
              </w:rPr>
            </w:pPr>
            <w:r>
              <w:rPr>
                <w:sz w:val="28"/>
                <w:szCs w:val="28"/>
              </w:rPr>
              <w:t>电磁</w:t>
            </w:r>
          </w:p>
        </w:tc>
        <w:tc>
          <w:tcPr>
            <w:tcW w:w="1266" w:type="dxa"/>
            <w:vAlign w:val="center"/>
          </w:tcPr>
          <w:p>
            <w:pPr>
              <w:spacing w:line="360" w:lineRule="exact"/>
              <w:jc w:val="center"/>
              <w:rPr>
                <w:sz w:val="28"/>
                <w:szCs w:val="28"/>
              </w:rPr>
            </w:pPr>
            <w:r>
              <w:rPr>
                <w:sz w:val="28"/>
                <w:szCs w:val="28"/>
              </w:rPr>
              <w:t>变电站、架空线路</w:t>
            </w:r>
          </w:p>
        </w:tc>
        <w:tc>
          <w:tcPr>
            <w:tcW w:w="1755" w:type="dxa"/>
            <w:vAlign w:val="center"/>
          </w:tcPr>
          <w:p>
            <w:pPr>
              <w:spacing w:line="360" w:lineRule="exact"/>
              <w:jc w:val="center"/>
              <w:rPr>
                <w:sz w:val="28"/>
                <w:szCs w:val="28"/>
              </w:rPr>
            </w:pPr>
            <w:r>
              <w:rPr>
                <w:sz w:val="28"/>
                <w:szCs w:val="28"/>
              </w:rPr>
              <w:t>工频电场E</w:t>
            </w:r>
          </w:p>
          <w:p>
            <w:pPr>
              <w:spacing w:line="360" w:lineRule="exact"/>
              <w:jc w:val="center"/>
              <w:rPr>
                <w:sz w:val="28"/>
                <w:szCs w:val="28"/>
              </w:rPr>
            </w:pPr>
            <w:r>
              <w:rPr>
                <w:sz w:val="28"/>
                <w:szCs w:val="28"/>
              </w:rPr>
              <w:t>工频磁场B</w:t>
            </w:r>
          </w:p>
        </w:tc>
        <w:tc>
          <w:tcPr>
            <w:tcW w:w="2522" w:type="dxa"/>
            <w:vAlign w:val="center"/>
          </w:tcPr>
          <w:p>
            <w:pPr>
              <w:jc w:val="center"/>
              <w:rPr>
                <w:sz w:val="28"/>
                <w:szCs w:val="28"/>
              </w:rPr>
            </w:pPr>
            <w:r>
              <w:rPr>
                <w:sz w:val="28"/>
              </w:rPr>
              <w:t>变电站选址、线路路径设计尽量远离环境敏感点</w:t>
            </w:r>
          </w:p>
        </w:tc>
        <w:tc>
          <w:tcPr>
            <w:tcW w:w="2412" w:type="dxa"/>
            <w:vAlign w:val="center"/>
          </w:tcPr>
          <w:p>
            <w:pPr>
              <w:spacing w:line="360" w:lineRule="exact"/>
              <w:jc w:val="center"/>
              <w:rPr>
                <w:sz w:val="28"/>
              </w:rPr>
            </w:pPr>
            <w:r>
              <w:rPr>
                <w:sz w:val="28"/>
              </w:rPr>
              <w:t>满足《电磁环境控制限值》（GB 8702-2014）要求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625" w:hRule="atLeast"/>
          <w:jc w:val="center"/>
        </w:trPr>
        <w:tc>
          <w:tcPr>
            <w:tcW w:w="524" w:type="dxa"/>
            <w:vMerge w:val="continue"/>
            <w:vAlign w:val="center"/>
          </w:tcPr>
          <w:p>
            <w:pPr>
              <w:jc w:val="center"/>
              <w:rPr>
                <w:sz w:val="28"/>
                <w:szCs w:val="28"/>
              </w:rPr>
            </w:pPr>
          </w:p>
        </w:tc>
        <w:tc>
          <w:tcPr>
            <w:tcW w:w="524" w:type="dxa"/>
            <w:vAlign w:val="center"/>
          </w:tcPr>
          <w:p>
            <w:pPr>
              <w:jc w:val="center"/>
              <w:rPr>
                <w:sz w:val="28"/>
                <w:szCs w:val="28"/>
              </w:rPr>
            </w:pPr>
            <w:r>
              <w:rPr>
                <w:sz w:val="28"/>
                <w:szCs w:val="28"/>
              </w:rPr>
              <w:t>噪声</w:t>
            </w:r>
          </w:p>
        </w:tc>
        <w:tc>
          <w:tcPr>
            <w:tcW w:w="1266" w:type="dxa"/>
            <w:vAlign w:val="center"/>
          </w:tcPr>
          <w:p>
            <w:pPr>
              <w:jc w:val="center"/>
              <w:rPr>
                <w:sz w:val="28"/>
                <w:szCs w:val="28"/>
              </w:rPr>
            </w:pPr>
            <w:r>
              <w:rPr>
                <w:sz w:val="28"/>
                <w:szCs w:val="28"/>
              </w:rPr>
              <w:t>变电站</w:t>
            </w:r>
          </w:p>
        </w:tc>
        <w:tc>
          <w:tcPr>
            <w:tcW w:w="1755" w:type="dxa"/>
            <w:vAlign w:val="center"/>
          </w:tcPr>
          <w:p>
            <w:pPr>
              <w:jc w:val="center"/>
              <w:rPr>
                <w:sz w:val="28"/>
                <w:szCs w:val="28"/>
              </w:rPr>
            </w:pPr>
            <w:r>
              <w:rPr>
                <w:sz w:val="28"/>
                <w:szCs w:val="28"/>
              </w:rPr>
              <w:t>设备噪声</w:t>
            </w:r>
          </w:p>
        </w:tc>
        <w:tc>
          <w:tcPr>
            <w:tcW w:w="2522" w:type="dxa"/>
            <w:vAlign w:val="center"/>
          </w:tcPr>
          <w:p>
            <w:pPr>
              <w:jc w:val="center"/>
              <w:rPr>
                <w:szCs w:val="21"/>
              </w:rPr>
            </w:pPr>
            <w:r>
              <w:rPr>
                <w:sz w:val="28"/>
                <w:szCs w:val="28"/>
              </w:rPr>
              <w:t>主变等主要噪声源布置于变电站内中央位置，尽量远离围墙；利用围墙等隔声</w:t>
            </w:r>
          </w:p>
        </w:tc>
        <w:tc>
          <w:tcPr>
            <w:tcW w:w="2412" w:type="dxa"/>
            <w:vAlign w:val="center"/>
          </w:tcPr>
          <w:p>
            <w:pPr>
              <w:jc w:val="center"/>
              <w:rPr>
                <w:bCs/>
                <w:szCs w:val="21"/>
              </w:rPr>
            </w:pPr>
            <w:r>
              <w:rPr>
                <w:sz w:val="28"/>
              </w:rPr>
              <w:t>满足《工业企业厂界环境噪声排放标准》（GB 12348-2008）2类标准要求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300" w:hRule="atLeast"/>
          <w:jc w:val="center"/>
        </w:trPr>
        <w:tc>
          <w:tcPr>
            <w:tcW w:w="524" w:type="dxa"/>
            <w:vMerge w:val="continue"/>
            <w:vAlign w:val="center"/>
          </w:tcPr>
          <w:p>
            <w:pPr>
              <w:jc w:val="center"/>
              <w:rPr>
                <w:sz w:val="28"/>
              </w:rPr>
            </w:pPr>
          </w:p>
        </w:tc>
        <w:tc>
          <w:tcPr>
            <w:tcW w:w="524" w:type="dxa"/>
            <w:vAlign w:val="center"/>
          </w:tcPr>
          <w:p>
            <w:pPr>
              <w:jc w:val="center"/>
              <w:rPr>
                <w:sz w:val="28"/>
              </w:rPr>
            </w:pPr>
            <w:r>
              <w:rPr>
                <w:sz w:val="28"/>
              </w:rPr>
              <w:t>固体</w:t>
            </w:r>
          </w:p>
          <w:p>
            <w:pPr>
              <w:jc w:val="center"/>
              <w:rPr>
                <w:sz w:val="28"/>
              </w:rPr>
            </w:pPr>
            <w:r>
              <w:rPr>
                <w:sz w:val="28"/>
              </w:rPr>
              <w:t>废物</w:t>
            </w:r>
          </w:p>
        </w:tc>
        <w:tc>
          <w:tcPr>
            <w:tcW w:w="3021" w:type="dxa"/>
            <w:gridSpan w:val="2"/>
            <w:vAlign w:val="center"/>
          </w:tcPr>
          <w:p>
            <w:pPr>
              <w:jc w:val="center"/>
              <w:rPr>
                <w:sz w:val="28"/>
              </w:rPr>
            </w:pPr>
            <w:r>
              <w:rPr>
                <w:sz w:val="28"/>
              </w:rPr>
              <w:t>设备检修垃圾</w:t>
            </w:r>
          </w:p>
        </w:tc>
        <w:tc>
          <w:tcPr>
            <w:tcW w:w="2522" w:type="dxa"/>
            <w:vAlign w:val="center"/>
          </w:tcPr>
          <w:p>
            <w:pPr>
              <w:jc w:val="center"/>
              <w:rPr>
                <w:sz w:val="28"/>
              </w:rPr>
            </w:pPr>
            <w:r>
              <w:rPr>
                <w:sz w:val="28"/>
              </w:rPr>
              <w:t>部分回收利用，其余部分运至垃圾处理站或垃圾填埋场。</w:t>
            </w:r>
          </w:p>
        </w:tc>
        <w:tc>
          <w:tcPr>
            <w:tcW w:w="2412" w:type="dxa"/>
            <w:vAlign w:val="center"/>
          </w:tcPr>
          <w:p>
            <w:pPr>
              <w:jc w:val="center"/>
              <w:rPr>
                <w:sz w:val="28"/>
              </w:rPr>
            </w:pPr>
            <w:r>
              <w:rPr>
                <w:sz w:val="28"/>
              </w:rPr>
              <w:t>对周围环境无影响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524" w:type="dxa"/>
            <w:vMerge w:val="continue"/>
            <w:vAlign w:val="center"/>
          </w:tcPr>
          <w:p>
            <w:pPr>
              <w:jc w:val="center"/>
              <w:rPr>
                <w:sz w:val="28"/>
              </w:rPr>
            </w:pPr>
          </w:p>
        </w:tc>
        <w:tc>
          <w:tcPr>
            <w:tcW w:w="524" w:type="dxa"/>
            <w:vMerge w:val="restart"/>
            <w:vAlign w:val="center"/>
          </w:tcPr>
          <w:p>
            <w:pPr>
              <w:jc w:val="center"/>
              <w:rPr>
                <w:sz w:val="28"/>
              </w:rPr>
            </w:pPr>
            <w:r>
              <w:rPr>
                <w:sz w:val="28"/>
              </w:rPr>
              <w:t>危险废物</w:t>
            </w:r>
          </w:p>
        </w:tc>
        <w:tc>
          <w:tcPr>
            <w:tcW w:w="3021" w:type="dxa"/>
            <w:gridSpan w:val="2"/>
            <w:vAlign w:val="center"/>
          </w:tcPr>
          <w:p>
            <w:pPr>
              <w:jc w:val="center"/>
              <w:rPr>
                <w:sz w:val="28"/>
              </w:rPr>
            </w:pPr>
            <w:r>
              <w:rPr>
                <w:sz w:val="28"/>
              </w:rPr>
              <w:t>泄漏变压器油</w:t>
            </w:r>
          </w:p>
        </w:tc>
        <w:tc>
          <w:tcPr>
            <w:tcW w:w="2522" w:type="dxa"/>
            <w:vAlign w:val="center"/>
          </w:tcPr>
          <w:p>
            <w:pPr>
              <w:jc w:val="center"/>
              <w:rPr>
                <w:sz w:val="28"/>
              </w:rPr>
            </w:pPr>
            <w:r>
              <w:rPr>
                <w:sz w:val="28"/>
              </w:rPr>
              <w:t>全部事故漏油经事故油池收集，不外排</w:t>
            </w:r>
          </w:p>
        </w:tc>
        <w:tc>
          <w:tcPr>
            <w:tcW w:w="2412" w:type="dxa"/>
            <w:vAlign w:val="center"/>
          </w:tcPr>
          <w:p>
            <w:pPr>
              <w:jc w:val="center"/>
              <w:rPr>
                <w:sz w:val="28"/>
              </w:rPr>
            </w:pPr>
            <w:r>
              <w:rPr>
                <w:sz w:val="28"/>
              </w:rPr>
              <w:t>对周围环境无影响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524" w:type="dxa"/>
            <w:vMerge w:val="continue"/>
            <w:vAlign w:val="center"/>
          </w:tcPr>
          <w:p>
            <w:pPr>
              <w:jc w:val="center"/>
              <w:rPr>
                <w:sz w:val="28"/>
              </w:rPr>
            </w:pPr>
          </w:p>
        </w:tc>
        <w:tc>
          <w:tcPr>
            <w:tcW w:w="524" w:type="dxa"/>
            <w:vMerge w:val="continue"/>
            <w:vAlign w:val="center"/>
          </w:tcPr>
          <w:p>
            <w:pPr>
              <w:jc w:val="center"/>
              <w:rPr>
                <w:sz w:val="28"/>
              </w:rPr>
            </w:pPr>
          </w:p>
        </w:tc>
        <w:tc>
          <w:tcPr>
            <w:tcW w:w="3021" w:type="dxa"/>
            <w:gridSpan w:val="2"/>
            <w:vAlign w:val="center"/>
          </w:tcPr>
          <w:p>
            <w:pPr>
              <w:jc w:val="center"/>
              <w:rPr>
                <w:sz w:val="28"/>
              </w:rPr>
            </w:pPr>
            <w:r>
              <w:rPr>
                <w:sz w:val="28"/>
              </w:rPr>
              <w:t>废旧蓄电池、废油及含油抹布、手套等</w:t>
            </w:r>
          </w:p>
        </w:tc>
        <w:tc>
          <w:tcPr>
            <w:tcW w:w="2522" w:type="dxa"/>
            <w:vAlign w:val="center"/>
          </w:tcPr>
          <w:p>
            <w:pPr>
              <w:jc w:val="center"/>
              <w:rPr>
                <w:sz w:val="28"/>
              </w:rPr>
            </w:pPr>
            <w:r>
              <w:rPr>
                <w:sz w:val="28"/>
              </w:rPr>
              <w:t>按照国家危废有关规定进行暂存、转移和处置</w:t>
            </w:r>
          </w:p>
        </w:tc>
        <w:tc>
          <w:tcPr>
            <w:tcW w:w="2412" w:type="dxa"/>
            <w:vAlign w:val="center"/>
          </w:tcPr>
          <w:p>
            <w:pPr>
              <w:jc w:val="center"/>
              <w:rPr>
                <w:sz w:val="28"/>
              </w:rPr>
            </w:pPr>
            <w:r>
              <w:rPr>
                <w:sz w:val="28"/>
              </w:rPr>
              <w:t>对周围环境无影响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18" w:hRule="atLeast"/>
          <w:jc w:val="center"/>
        </w:trPr>
        <w:tc>
          <w:tcPr>
            <w:tcW w:w="524" w:type="dxa"/>
            <w:vMerge w:val="restart"/>
            <w:vAlign w:val="center"/>
          </w:tcPr>
          <w:p>
            <w:pPr>
              <w:jc w:val="center"/>
              <w:rPr>
                <w:sz w:val="28"/>
                <w:szCs w:val="28"/>
              </w:rPr>
            </w:pPr>
            <w:r>
              <w:rPr>
                <w:sz w:val="28"/>
                <w:szCs w:val="28"/>
              </w:rPr>
              <w:t>施工期</w:t>
            </w:r>
          </w:p>
        </w:tc>
        <w:tc>
          <w:tcPr>
            <w:tcW w:w="524" w:type="dxa"/>
            <w:vAlign w:val="center"/>
          </w:tcPr>
          <w:p>
            <w:pPr>
              <w:jc w:val="center"/>
              <w:rPr>
                <w:sz w:val="28"/>
                <w:szCs w:val="28"/>
              </w:rPr>
            </w:pPr>
            <w:r>
              <w:rPr>
                <w:sz w:val="28"/>
                <w:szCs w:val="28"/>
              </w:rPr>
              <w:t>大气污染物</w:t>
            </w:r>
          </w:p>
        </w:tc>
        <w:tc>
          <w:tcPr>
            <w:tcW w:w="1266" w:type="dxa"/>
            <w:vAlign w:val="center"/>
          </w:tcPr>
          <w:p>
            <w:pPr>
              <w:jc w:val="center"/>
              <w:rPr>
                <w:sz w:val="28"/>
                <w:szCs w:val="28"/>
              </w:rPr>
            </w:pPr>
            <w:r>
              <w:rPr>
                <w:sz w:val="28"/>
                <w:szCs w:val="28"/>
              </w:rPr>
              <w:t>施工扬尘</w:t>
            </w:r>
          </w:p>
          <w:p>
            <w:pPr>
              <w:jc w:val="center"/>
              <w:rPr>
                <w:sz w:val="28"/>
                <w:szCs w:val="28"/>
              </w:rPr>
            </w:pPr>
            <w:r>
              <w:rPr>
                <w:sz w:val="28"/>
                <w:szCs w:val="28"/>
              </w:rPr>
              <w:t>施工车辆尾气</w:t>
            </w:r>
          </w:p>
        </w:tc>
        <w:tc>
          <w:tcPr>
            <w:tcW w:w="1755" w:type="dxa"/>
            <w:vAlign w:val="center"/>
          </w:tcPr>
          <w:p>
            <w:pPr>
              <w:jc w:val="center"/>
              <w:rPr>
                <w:sz w:val="28"/>
                <w:szCs w:val="28"/>
              </w:rPr>
            </w:pPr>
            <w:r>
              <w:rPr>
                <w:sz w:val="28"/>
                <w:szCs w:val="28"/>
              </w:rPr>
              <w:t>TSP</w:t>
            </w:r>
          </w:p>
          <w:p>
            <w:pPr>
              <w:jc w:val="center"/>
              <w:rPr>
                <w:spacing w:val="-6"/>
                <w:sz w:val="28"/>
                <w:szCs w:val="28"/>
              </w:rPr>
            </w:pPr>
            <w:r>
              <w:rPr>
                <w:spacing w:val="-6"/>
                <w:sz w:val="28"/>
                <w:szCs w:val="28"/>
              </w:rPr>
              <w:t>CxHy</w:t>
            </w:r>
          </w:p>
          <w:p>
            <w:pPr>
              <w:jc w:val="center"/>
              <w:rPr>
                <w:spacing w:val="-6"/>
                <w:sz w:val="28"/>
                <w:szCs w:val="28"/>
              </w:rPr>
            </w:pPr>
            <w:r>
              <w:rPr>
                <w:spacing w:val="-6"/>
                <w:sz w:val="28"/>
                <w:szCs w:val="28"/>
              </w:rPr>
              <w:t>CO</w:t>
            </w:r>
          </w:p>
          <w:p>
            <w:pPr>
              <w:jc w:val="center"/>
              <w:rPr>
                <w:sz w:val="28"/>
                <w:szCs w:val="28"/>
              </w:rPr>
            </w:pPr>
            <w:r>
              <w:rPr>
                <w:spacing w:val="-6"/>
                <w:sz w:val="28"/>
                <w:szCs w:val="28"/>
              </w:rPr>
              <w:t>NOx</w:t>
            </w:r>
          </w:p>
        </w:tc>
        <w:tc>
          <w:tcPr>
            <w:tcW w:w="2522" w:type="dxa"/>
            <w:vAlign w:val="center"/>
          </w:tcPr>
          <w:p>
            <w:pPr>
              <w:jc w:val="center"/>
              <w:rPr>
                <w:sz w:val="28"/>
                <w:szCs w:val="28"/>
              </w:rPr>
            </w:pPr>
            <w:r>
              <w:rPr>
                <w:sz w:val="28"/>
                <w:szCs w:val="28"/>
              </w:rPr>
              <w:t>施工单位采取施工区与周围环境隔离措施；施工场地经常洒水或覆盖，以保持地面湿润</w:t>
            </w:r>
          </w:p>
        </w:tc>
        <w:tc>
          <w:tcPr>
            <w:tcW w:w="2412" w:type="dxa"/>
            <w:vAlign w:val="center"/>
          </w:tcPr>
          <w:p>
            <w:pPr>
              <w:jc w:val="center"/>
              <w:rPr>
                <w:sz w:val="28"/>
                <w:szCs w:val="28"/>
              </w:rPr>
            </w:pPr>
            <w:r>
              <w:rPr>
                <w:sz w:val="28"/>
                <w:szCs w:val="28"/>
              </w:rPr>
              <w:t>尽可能减少扬尘</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44" w:hRule="atLeast"/>
          <w:jc w:val="center"/>
        </w:trPr>
        <w:tc>
          <w:tcPr>
            <w:tcW w:w="524" w:type="dxa"/>
            <w:vMerge w:val="continue"/>
            <w:vAlign w:val="center"/>
          </w:tcPr>
          <w:p>
            <w:pPr>
              <w:jc w:val="center"/>
              <w:rPr>
                <w:sz w:val="28"/>
                <w:szCs w:val="28"/>
              </w:rPr>
            </w:pPr>
          </w:p>
        </w:tc>
        <w:tc>
          <w:tcPr>
            <w:tcW w:w="524" w:type="dxa"/>
            <w:vAlign w:val="center"/>
          </w:tcPr>
          <w:p>
            <w:pPr>
              <w:jc w:val="center"/>
              <w:rPr>
                <w:sz w:val="28"/>
                <w:szCs w:val="28"/>
              </w:rPr>
            </w:pPr>
            <w:r>
              <w:rPr>
                <w:sz w:val="28"/>
                <w:szCs w:val="28"/>
              </w:rPr>
              <w:t>水污染物</w:t>
            </w:r>
          </w:p>
        </w:tc>
        <w:tc>
          <w:tcPr>
            <w:tcW w:w="1266" w:type="dxa"/>
            <w:vAlign w:val="center"/>
          </w:tcPr>
          <w:p>
            <w:pPr>
              <w:jc w:val="center"/>
              <w:rPr>
                <w:sz w:val="28"/>
                <w:szCs w:val="28"/>
              </w:rPr>
            </w:pPr>
            <w:r>
              <w:rPr>
                <w:sz w:val="28"/>
                <w:szCs w:val="28"/>
              </w:rPr>
              <w:t>施工废水、少量生活污水</w:t>
            </w:r>
          </w:p>
        </w:tc>
        <w:tc>
          <w:tcPr>
            <w:tcW w:w="1755" w:type="dxa"/>
            <w:vAlign w:val="center"/>
          </w:tcPr>
          <w:p>
            <w:pPr>
              <w:jc w:val="center"/>
              <w:rPr>
                <w:sz w:val="28"/>
                <w:szCs w:val="28"/>
              </w:rPr>
            </w:pPr>
            <w:r>
              <w:rPr>
                <w:sz w:val="28"/>
                <w:szCs w:val="28"/>
              </w:rPr>
              <w:t>COD</w:t>
            </w:r>
            <w:r>
              <w:rPr>
                <w:sz w:val="28"/>
                <w:szCs w:val="28"/>
                <w:vertAlign w:val="subscript"/>
              </w:rPr>
              <w:t>Cr</w:t>
            </w:r>
          </w:p>
          <w:p>
            <w:pPr>
              <w:jc w:val="center"/>
              <w:rPr>
                <w:sz w:val="28"/>
                <w:szCs w:val="28"/>
              </w:rPr>
            </w:pPr>
            <w:r>
              <w:rPr>
                <w:sz w:val="28"/>
                <w:szCs w:val="28"/>
              </w:rPr>
              <w:t>SS</w:t>
            </w:r>
          </w:p>
          <w:p>
            <w:pPr>
              <w:jc w:val="center"/>
              <w:rPr>
                <w:sz w:val="28"/>
                <w:szCs w:val="28"/>
              </w:rPr>
            </w:pPr>
            <w:r>
              <w:rPr>
                <w:sz w:val="28"/>
                <w:szCs w:val="28"/>
              </w:rPr>
              <w:t>石油类</w:t>
            </w:r>
          </w:p>
          <w:p>
            <w:pPr>
              <w:jc w:val="center"/>
              <w:rPr>
                <w:sz w:val="28"/>
                <w:szCs w:val="28"/>
              </w:rPr>
            </w:pPr>
            <w:r>
              <w:rPr>
                <w:sz w:val="28"/>
                <w:szCs w:val="28"/>
              </w:rPr>
              <w:t>氨氮</w:t>
            </w:r>
          </w:p>
        </w:tc>
        <w:tc>
          <w:tcPr>
            <w:tcW w:w="2522" w:type="dxa"/>
            <w:vAlign w:val="center"/>
          </w:tcPr>
          <w:p>
            <w:pPr>
              <w:jc w:val="center"/>
              <w:rPr>
                <w:sz w:val="28"/>
                <w:szCs w:val="28"/>
              </w:rPr>
            </w:pPr>
            <w:r>
              <w:rPr>
                <w:sz w:val="28"/>
                <w:szCs w:val="28"/>
              </w:rPr>
              <w:t>建设沉淀池、合理利用民房自带污水处理设施，部分循环利用并加强施工管理</w:t>
            </w:r>
          </w:p>
        </w:tc>
        <w:tc>
          <w:tcPr>
            <w:tcW w:w="2412" w:type="dxa"/>
            <w:vAlign w:val="center"/>
          </w:tcPr>
          <w:p>
            <w:pPr>
              <w:jc w:val="center"/>
              <w:rPr>
                <w:sz w:val="28"/>
                <w:szCs w:val="28"/>
              </w:rPr>
            </w:pPr>
            <w:r>
              <w:rPr>
                <w:sz w:val="28"/>
                <w:szCs w:val="28"/>
              </w:rPr>
              <w:t>达标排放</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858" w:hRule="atLeast"/>
          <w:jc w:val="center"/>
        </w:trPr>
        <w:tc>
          <w:tcPr>
            <w:tcW w:w="524" w:type="dxa"/>
            <w:vMerge w:val="continue"/>
            <w:vAlign w:val="center"/>
          </w:tcPr>
          <w:p>
            <w:pPr>
              <w:jc w:val="center"/>
              <w:rPr>
                <w:sz w:val="28"/>
                <w:szCs w:val="28"/>
              </w:rPr>
            </w:pPr>
          </w:p>
        </w:tc>
        <w:tc>
          <w:tcPr>
            <w:tcW w:w="524" w:type="dxa"/>
            <w:vAlign w:val="center"/>
          </w:tcPr>
          <w:p>
            <w:pPr>
              <w:jc w:val="center"/>
              <w:rPr>
                <w:sz w:val="28"/>
                <w:szCs w:val="28"/>
              </w:rPr>
            </w:pPr>
            <w:r>
              <w:rPr>
                <w:sz w:val="28"/>
                <w:szCs w:val="28"/>
              </w:rPr>
              <w:t>噪声</w:t>
            </w:r>
          </w:p>
        </w:tc>
        <w:tc>
          <w:tcPr>
            <w:tcW w:w="1266" w:type="dxa"/>
            <w:vAlign w:val="center"/>
          </w:tcPr>
          <w:p>
            <w:pPr>
              <w:jc w:val="center"/>
              <w:rPr>
                <w:sz w:val="28"/>
                <w:szCs w:val="28"/>
              </w:rPr>
            </w:pPr>
            <w:r>
              <w:rPr>
                <w:sz w:val="28"/>
                <w:szCs w:val="28"/>
              </w:rPr>
              <w:t>施工机械</w:t>
            </w:r>
          </w:p>
        </w:tc>
        <w:tc>
          <w:tcPr>
            <w:tcW w:w="1755" w:type="dxa"/>
            <w:vAlign w:val="center"/>
          </w:tcPr>
          <w:p>
            <w:pPr>
              <w:jc w:val="center"/>
              <w:rPr>
                <w:sz w:val="28"/>
                <w:szCs w:val="28"/>
              </w:rPr>
            </w:pPr>
            <w:r>
              <w:rPr>
                <w:sz w:val="28"/>
                <w:szCs w:val="28"/>
              </w:rPr>
              <w:t>机械噪声</w:t>
            </w:r>
          </w:p>
        </w:tc>
        <w:tc>
          <w:tcPr>
            <w:tcW w:w="2522" w:type="dxa"/>
            <w:vAlign w:val="center"/>
          </w:tcPr>
          <w:p>
            <w:pPr>
              <w:jc w:val="center"/>
              <w:rPr>
                <w:sz w:val="28"/>
                <w:szCs w:val="28"/>
              </w:rPr>
            </w:pPr>
            <w:r>
              <w:rPr>
                <w:sz w:val="28"/>
                <w:szCs w:val="28"/>
              </w:rPr>
              <w:t>采用低噪声施工机械，合理安排施工时间，防止夜间施工。</w:t>
            </w:r>
          </w:p>
        </w:tc>
        <w:tc>
          <w:tcPr>
            <w:tcW w:w="2412" w:type="dxa"/>
            <w:vAlign w:val="center"/>
          </w:tcPr>
          <w:p>
            <w:pPr>
              <w:jc w:val="center"/>
              <w:rPr>
                <w:sz w:val="28"/>
                <w:szCs w:val="28"/>
              </w:rPr>
            </w:pPr>
            <w:r>
              <w:rPr>
                <w:sz w:val="28"/>
                <w:szCs w:val="28"/>
              </w:rPr>
              <w:t>满足《建筑施工场界环境噪声排放标准》（GB 12523-2011）要求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13693" w:hRule="atLeast"/>
          <w:jc w:val="center"/>
        </w:trPr>
        <w:tc>
          <w:tcPr>
            <w:tcW w:w="9003" w:type="dxa"/>
            <w:gridSpan w:val="6"/>
            <w:vAlign w:val="top"/>
          </w:tcPr>
          <w:p>
            <w:pPr>
              <w:spacing w:line="360" w:lineRule="auto"/>
              <w:rPr>
                <w:b/>
                <w:sz w:val="28"/>
              </w:rPr>
            </w:pPr>
            <w:r>
              <w:rPr>
                <w:b/>
                <w:sz w:val="28"/>
              </w:rPr>
              <w:t>生态保护措施及预期效果：</w:t>
            </w:r>
          </w:p>
          <w:p>
            <w:pPr>
              <w:pStyle w:val="6"/>
              <w:spacing w:line="360" w:lineRule="auto"/>
              <w:ind w:firstLine="560" w:firstLineChars="200"/>
              <w:rPr>
                <w:lang w:val="en-US" w:eastAsia="zh-CN"/>
              </w:rPr>
            </w:pPr>
            <w:bookmarkStart w:id="34" w:name="_Toc4192"/>
            <w:bookmarkStart w:id="35" w:name="_Toc398818604"/>
            <w:r>
              <w:rPr>
                <w:lang w:val="en-US" w:eastAsia="zh-CN"/>
              </w:rPr>
              <w:t>本工程新建变电站两座，占地面积约为3454 m</w:t>
            </w:r>
            <w:r>
              <w:rPr>
                <w:vertAlign w:val="superscript"/>
                <w:lang w:val="en-US" w:eastAsia="zh-CN"/>
              </w:rPr>
              <w:t>2</w:t>
            </w:r>
            <w:r>
              <w:rPr>
                <w:lang w:val="en-US" w:eastAsia="zh-CN"/>
              </w:rPr>
              <w:t>，其余为改扩建站，在原预留位置进行；新建线路立杆塔73基，占用土地约1825m</w:t>
            </w:r>
            <w:r>
              <w:rPr>
                <w:vertAlign w:val="superscript"/>
                <w:lang w:val="en-US" w:eastAsia="zh-CN"/>
              </w:rPr>
              <w:t>2</w:t>
            </w:r>
            <w:r>
              <w:rPr>
                <w:lang w:val="en-US" w:eastAsia="zh-CN"/>
              </w:rPr>
              <w:t>，还有少量临时占地。工程建设对生态的影响主要在于杆塔对原有植被的破坏，以及外堆泥土处理不善时对泥土堆掷区造成的不良生态影响。</w:t>
            </w:r>
          </w:p>
          <w:p>
            <w:pPr>
              <w:pStyle w:val="6"/>
              <w:spacing w:line="360" w:lineRule="auto"/>
              <w:ind w:firstLine="560" w:firstLineChars="200"/>
              <w:rPr>
                <w:lang w:val="en-US" w:eastAsia="zh-CN"/>
              </w:rPr>
            </w:pPr>
            <w:r>
              <w:rPr>
                <w:lang w:val="en-US" w:eastAsia="zh-CN"/>
              </w:rPr>
              <w:t>除变电站及各线路塔基永久占用土地外，施工建设期线路施工过程中仍需临时占用部分土地，在施工开挖过程中，会造成地面裸露，加深地表植被的破坏。</w:t>
            </w:r>
          </w:p>
          <w:p>
            <w:pPr>
              <w:pStyle w:val="6"/>
              <w:spacing w:line="360" w:lineRule="auto"/>
              <w:ind w:firstLine="560" w:firstLineChars="200"/>
              <w:rPr>
                <w:bCs/>
                <w:szCs w:val="28"/>
                <w:lang w:val="en-US"/>
              </w:rPr>
            </w:pPr>
            <w:r>
              <w:rPr>
                <w:lang w:val="en-US" w:eastAsia="zh-CN"/>
              </w:rPr>
              <w:t>为最大程度减小施工过程中对生态产生的影响，提出以下生态保护措施：</w:t>
            </w:r>
          </w:p>
          <w:p>
            <w:pPr>
              <w:pStyle w:val="2"/>
              <w:numPr>
                <w:ilvl w:val="1"/>
                <w:numId w:val="0"/>
              </w:numPr>
              <w:spacing w:line="360" w:lineRule="auto"/>
              <w:rPr>
                <w:b/>
                <w:szCs w:val="28"/>
              </w:rPr>
            </w:pPr>
            <w:r>
              <w:rPr>
                <w:b/>
                <w:szCs w:val="28"/>
              </w:rPr>
              <w:t xml:space="preserve">1 </w:t>
            </w:r>
            <w:bookmarkEnd w:id="34"/>
            <w:bookmarkEnd w:id="35"/>
            <w:r>
              <w:rPr>
                <w:b/>
                <w:szCs w:val="28"/>
              </w:rPr>
              <w:t>农田生态系统保护措施</w:t>
            </w:r>
          </w:p>
          <w:p>
            <w:pPr>
              <w:pStyle w:val="6"/>
              <w:spacing w:line="360" w:lineRule="auto"/>
              <w:ind w:firstLine="560" w:firstLineChars="200"/>
              <w:rPr>
                <w:lang w:val="en-US" w:eastAsia="zh-CN"/>
              </w:rPr>
            </w:pPr>
            <w:r>
              <w:rPr>
                <w:lang w:val="en-US" w:eastAsia="zh-CN"/>
              </w:rPr>
              <w:t>（1）为了保护耕地，本环评要求设计单位在下一阶段中进一步优化塔形设计、减少耕地占地面积，且占用耕地要以角田地为主。</w:t>
            </w:r>
          </w:p>
          <w:p>
            <w:pPr>
              <w:pStyle w:val="6"/>
              <w:spacing w:line="360" w:lineRule="auto"/>
              <w:ind w:firstLine="560" w:firstLineChars="200"/>
              <w:rPr>
                <w:lang w:val="en-US" w:eastAsia="zh-CN"/>
              </w:rPr>
            </w:pPr>
            <w:r>
              <w:rPr>
                <w:lang w:val="en-US" w:eastAsia="zh-CN"/>
              </w:rPr>
              <w:t>（2）合理安排工期。建议尽量在秋收以后或冬季进行农田区的施工，以减少农业生产的损失。</w:t>
            </w:r>
          </w:p>
          <w:p>
            <w:pPr>
              <w:pStyle w:val="6"/>
              <w:spacing w:line="360" w:lineRule="auto"/>
              <w:ind w:firstLine="560" w:firstLineChars="200"/>
              <w:rPr>
                <w:lang w:val="en-US" w:eastAsia="zh-CN"/>
              </w:rPr>
            </w:pPr>
            <w:r>
              <w:rPr>
                <w:lang w:val="en-US" w:eastAsia="zh-CN"/>
              </w:rPr>
              <w:t>（3）及时复耕。对于占用了的农业用地，在施工中应保存表层的土壤，分层堆放，用于新开垦耕地，劣质地或者其他耕地的土壤改良。对于临时占用的农业土地，施工结束后，要采取土壤恢复措施，如种植绿肥作物等增强土壤肥力。此外，对耕地受影响的农民应及时按规定补偿。</w:t>
            </w:r>
          </w:p>
          <w:p>
            <w:pPr>
              <w:pStyle w:val="6"/>
              <w:spacing w:line="360" w:lineRule="auto"/>
              <w:ind w:firstLine="560" w:firstLineChars="200"/>
              <w:rPr>
                <w:lang w:val="en-US" w:eastAsia="zh-CN"/>
              </w:rPr>
            </w:pPr>
            <w:r>
              <w:rPr>
                <w:lang w:val="en-US" w:eastAsia="zh-CN"/>
              </w:rPr>
              <w:t>（4）工程施工过程中，加强施工管理，减少农田破坏。尤其是夏季，天气易变、雨水较多，松散涂料极易随水流失，不宜露天大量堆放。</w:t>
            </w:r>
          </w:p>
          <w:p>
            <w:pPr>
              <w:pStyle w:val="6"/>
              <w:spacing w:line="360" w:lineRule="auto"/>
              <w:ind w:firstLine="560" w:firstLineChars="200"/>
              <w:rPr>
                <w:lang w:val="en-US" w:eastAsia="zh-CN"/>
              </w:rPr>
            </w:pPr>
            <w:r>
              <w:rPr>
                <w:lang w:val="en-US" w:eastAsia="zh-CN"/>
              </w:rPr>
              <w:t>（5）工程施工过程中，严格各项规章制度，教育施工人员注意保护环境，提高环保意识，避免施工机械、人员占用对场地周围其他农田的破坏。</w:t>
            </w:r>
          </w:p>
          <w:p>
            <w:pPr>
              <w:pStyle w:val="6"/>
              <w:spacing w:line="360" w:lineRule="auto"/>
              <w:ind w:firstLine="0"/>
              <w:rPr>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13693" w:hRule="atLeast"/>
          <w:jc w:val="center"/>
        </w:trPr>
        <w:tc>
          <w:tcPr>
            <w:tcW w:w="9003" w:type="dxa"/>
            <w:gridSpan w:val="6"/>
            <w:vAlign w:val="top"/>
          </w:tcPr>
          <w:p>
            <w:pPr>
              <w:pStyle w:val="2"/>
              <w:numPr>
                <w:ilvl w:val="1"/>
                <w:numId w:val="0"/>
              </w:numPr>
              <w:spacing w:line="360" w:lineRule="auto"/>
              <w:rPr>
                <w:b/>
                <w:szCs w:val="28"/>
              </w:rPr>
            </w:pPr>
            <w:r>
              <w:rPr>
                <w:b/>
                <w:szCs w:val="28"/>
              </w:rPr>
              <w:t>2 陆生植物保护措施</w:t>
            </w:r>
          </w:p>
          <w:p>
            <w:pPr>
              <w:pStyle w:val="6"/>
              <w:spacing w:before="120" w:beforeLines="50" w:line="360" w:lineRule="auto"/>
              <w:ind w:firstLine="560" w:firstLineChars="200"/>
              <w:rPr>
                <w:lang w:val="en-US" w:eastAsia="zh-CN"/>
              </w:rPr>
            </w:pPr>
            <w:r>
              <w:rPr>
                <w:lang w:val="en-US" w:eastAsia="zh-CN"/>
              </w:rPr>
              <w:t>（1）耕地和林地附近施工时，施工活动要保证在征地范围内进行，施工便道及临时占地要尽量缩小范围。减少对耕地的占用，加强对林草地的保护。</w:t>
            </w:r>
          </w:p>
          <w:p>
            <w:pPr>
              <w:pStyle w:val="6"/>
              <w:spacing w:line="360" w:lineRule="auto"/>
              <w:ind w:firstLine="560" w:firstLineChars="200"/>
              <w:rPr>
                <w:lang w:val="en-US" w:eastAsia="zh-CN"/>
              </w:rPr>
            </w:pPr>
            <w:r>
              <w:rPr>
                <w:lang w:val="en-US" w:eastAsia="zh-CN"/>
              </w:rPr>
              <w:t>（2）线路走廊内需要砍伐通道处林木时，应与当地林业部门联系，办理砍伐林木的相关手续。</w:t>
            </w:r>
          </w:p>
          <w:p>
            <w:pPr>
              <w:pStyle w:val="6"/>
              <w:spacing w:line="360" w:lineRule="auto"/>
              <w:ind w:firstLine="560" w:firstLineChars="200"/>
              <w:rPr>
                <w:lang w:val="en-US" w:eastAsia="zh-CN"/>
              </w:rPr>
            </w:pPr>
            <w:r>
              <w:rPr>
                <w:lang w:val="en-US" w:eastAsia="zh-CN"/>
              </w:rPr>
              <w:t>（3）对于占用耕地部分的表层土予以收集保存，施工结束后及时清理、松土、覆盖耕作土，复耕或选择当地适宜植物及时恢复绿化。</w:t>
            </w:r>
          </w:p>
          <w:p>
            <w:pPr>
              <w:pStyle w:val="6"/>
              <w:spacing w:line="360" w:lineRule="auto"/>
              <w:ind w:firstLine="0"/>
              <w:rPr>
                <w:b/>
                <w:lang w:val="en-US" w:eastAsia="zh-CN"/>
              </w:rPr>
            </w:pPr>
            <w:r>
              <w:rPr>
                <w:b/>
                <w:lang w:val="en-US" w:eastAsia="zh-CN"/>
              </w:rPr>
              <w:t>3 弃土、弃渣处置措施</w:t>
            </w:r>
          </w:p>
          <w:p>
            <w:pPr>
              <w:pStyle w:val="6"/>
              <w:spacing w:line="360" w:lineRule="auto"/>
              <w:ind w:firstLine="570"/>
              <w:rPr>
                <w:szCs w:val="24"/>
                <w:lang w:eastAsia="zh-CN"/>
              </w:rPr>
            </w:pPr>
            <w:r>
              <w:rPr>
                <w:lang w:val="en-US" w:eastAsia="zh-CN"/>
              </w:rPr>
              <w:t>本工程新扩建变电站基础工程会产生部分弃土，</w:t>
            </w:r>
            <w:r>
              <w:rPr>
                <w:szCs w:val="24"/>
                <w:lang w:eastAsia="zh-CN"/>
              </w:rPr>
              <w:t>施工过程中应因地制宜，尽量做到土石方平衡。</w:t>
            </w:r>
          </w:p>
          <w:p>
            <w:pPr>
              <w:pStyle w:val="6"/>
              <w:spacing w:line="360" w:lineRule="auto"/>
              <w:ind w:firstLine="570"/>
              <w:rPr>
                <w:szCs w:val="24"/>
                <w:lang w:eastAsia="zh-CN"/>
              </w:rPr>
            </w:pPr>
            <w:r>
              <w:rPr>
                <w:szCs w:val="24"/>
                <w:lang w:eastAsia="zh-CN"/>
              </w:rPr>
              <w:t>施工弃渣应全部规范堆存于临时的弃渣场内，弃渣场应设置截、排水沟、档土墙、护坡等水土保持措施，有效避免水土流失。</w:t>
            </w:r>
          </w:p>
          <w:p>
            <w:pPr>
              <w:pStyle w:val="6"/>
              <w:spacing w:line="360" w:lineRule="auto"/>
              <w:ind w:firstLine="570"/>
              <w:rPr>
                <w:rFonts w:hint="eastAsia"/>
                <w:szCs w:val="24"/>
                <w:lang w:eastAsia="zh-CN"/>
              </w:rPr>
            </w:pPr>
            <w:r>
              <w:rPr>
                <w:szCs w:val="24"/>
                <w:lang w:eastAsia="zh-CN"/>
              </w:rPr>
              <w:t>多余的弃土、弃渣应定期清运至就近的垃圾填埋场集中处置。</w:t>
            </w:r>
          </w:p>
          <w:p>
            <w:pPr>
              <w:pStyle w:val="2"/>
              <w:numPr>
                <w:ilvl w:val="1"/>
                <w:numId w:val="0"/>
              </w:numPr>
              <w:spacing w:line="360" w:lineRule="auto"/>
              <w:rPr>
                <w:rFonts w:hint="eastAsia"/>
                <w:szCs w:val="24"/>
              </w:rPr>
            </w:pPr>
            <w:r>
              <w:rPr>
                <w:rFonts w:hint="eastAsia"/>
                <w:b/>
                <w:szCs w:val="28"/>
              </w:rPr>
              <w:t>4 其他工程措施</w:t>
            </w:r>
          </w:p>
          <w:p>
            <w:pPr>
              <w:pStyle w:val="6"/>
              <w:spacing w:line="360" w:lineRule="auto"/>
              <w:ind w:firstLine="570"/>
              <w:rPr>
                <w:rFonts w:hint="eastAsia"/>
                <w:szCs w:val="24"/>
                <w:u w:val="wave"/>
                <w:lang w:val="en-US" w:eastAsia="zh-CN"/>
              </w:rPr>
            </w:pPr>
            <w:r>
              <w:rPr>
                <w:rFonts w:hint="eastAsia"/>
                <w:szCs w:val="24"/>
                <w:u w:val="wave"/>
                <w:lang w:eastAsia="zh-CN"/>
              </w:rPr>
              <w:t>本批次工程中</w:t>
            </w:r>
            <w:r>
              <w:rPr>
                <w:szCs w:val="24"/>
                <w:u w:val="wave"/>
                <w:lang w:val="en-US" w:eastAsia="zh-CN"/>
              </w:rPr>
              <w:t>宝莲二期风电110kV送出工程、大唐华银绥宁宝鼎山风电二期三期110kV送出工程、隆回金坪110kV风电送出工程</w:t>
            </w:r>
            <w:r>
              <w:rPr>
                <w:rFonts w:hint="eastAsia"/>
                <w:szCs w:val="24"/>
                <w:u w:val="wave"/>
                <w:lang w:val="en-US" w:eastAsia="zh-CN"/>
              </w:rPr>
              <w:t>为风电送出工程，部分线路段经过高山丘陵等植被茂密地区，为了保护沿线原始植被资源，最大程度减小生态破坏，还应严格落实以下工程措施。</w:t>
            </w:r>
          </w:p>
          <w:p>
            <w:pPr>
              <w:spacing w:line="360" w:lineRule="auto"/>
              <w:ind w:right="86" w:rightChars="41" w:firstLine="560" w:firstLineChars="200"/>
              <w:rPr>
                <w:sz w:val="28"/>
                <w:u w:val="wave"/>
              </w:rPr>
            </w:pPr>
            <w:r>
              <w:rPr>
                <w:rFonts w:hint="eastAsia"/>
                <w:sz w:val="28"/>
                <w:u w:val="wave"/>
              </w:rPr>
              <w:t>（1）采用全方位高低腿</w:t>
            </w:r>
          </w:p>
          <w:p>
            <w:pPr>
              <w:pStyle w:val="6"/>
              <w:spacing w:line="360" w:lineRule="auto"/>
              <w:ind w:firstLine="560" w:firstLineChars="200"/>
              <w:rPr>
                <w:lang w:val="en-US" w:eastAsia="zh-CN"/>
              </w:rPr>
            </w:pPr>
            <w:r>
              <w:rPr>
                <w:rFonts w:hint="eastAsia"/>
                <w:u w:val="wave"/>
                <w:lang w:val="en-US" w:eastAsia="zh-CN"/>
              </w:rPr>
              <w:t>线路</w:t>
            </w:r>
            <w:r>
              <w:rPr>
                <w:rFonts w:hint="eastAsia"/>
                <w:u w:val="wave"/>
                <w:lang w:val="en-US"/>
              </w:rPr>
              <w:t>所经</w:t>
            </w:r>
            <w:r>
              <w:rPr>
                <w:rFonts w:hint="eastAsia"/>
                <w:u w:val="wave"/>
                <w:lang w:val="en-US" w:eastAsia="zh-CN"/>
              </w:rPr>
              <w:t>高山丘陵</w:t>
            </w:r>
            <w:r>
              <w:rPr>
                <w:rFonts w:hint="eastAsia"/>
                <w:u w:val="wave"/>
                <w:lang w:val="en-US"/>
              </w:rPr>
              <w:t>地带</w:t>
            </w:r>
            <w:r>
              <w:rPr>
                <w:rFonts w:hint="eastAsia"/>
                <w:u w:val="wave"/>
                <w:lang w:val="en-US" w:eastAsia="zh-CN"/>
              </w:rPr>
              <w:t>线路段</w:t>
            </w:r>
            <w:r>
              <w:rPr>
                <w:rFonts w:hint="eastAsia"/>
                <w:u w:val="wave"/>
                <w:lang w:val="en-US"/>
              </w:rPr>
              <w:t>，为避免塔基大开挖，尽量保持原有的自然地形，</w:t>
            </w:r>
            <w:r>
              <w:rPr>
                <w:rFonts w:hint="eastAsia"/>
                <w:u w:val="wave"/>
                <w:lang w:val="en-US" w:eastAsia="zh-CN"/>
              </w:rPr>
              <w:t>应</w:t>
            </w:r>
            <w:r>
              <w:rPr>
                <w:rFonts w:hint="eastAsia"/>
                <w:u w:val="wave"/>
                <w:lang w:val="en-US"/>
              </w:rPr>
              <w:t>采用全方位高低塔腿铁塔，以适应不同的地形</w:t>
            </w:r>
            <w:r>
              <w:rPr>
                <w:rFonts w:hint="eastAsia"/>
                <w:u w:val="wave"/>
                <w:lang w:val="en-US" w:eastAsia="zh-CN"/>
              </w:rPr>
              <w:t>，</w:t>
            </w:r>
            <w:r>
              <w:rPr>
                <w:rFonts w:hint="eastAsia"/>
                <w:u w:val="wave"/>
                <w:lang w:val="en-US"/>
              </w:rPr>
              <w:t>减少基面开挖量。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13693" w:hRule="atLeast"/>
          <w:jc w:val="center"/>
        </w:trPr>
        <w:tc>
          <w:tcPr>
            <w:tcW w:w="9003" w:type="dxa"/>
            <w:gridSpan w:val="6"/>
            <w:vAlign w:val="top"/>
          </w:tcPr>
          <w:p>
            <w:pPr>
              <w:spacing w:line="360" w:lineRule="auto"/>
              <w:ind w:right="86" w:rightChars="41" w:firstLine="560" w:firstLineChars="200"/>
              <w:rPr>
                <w:sz w:val="28"/>
                <w:u w:val="wave"/>
              </w:rPr>
            </w:pPr>
            <w:r>
              <w:rPr>
                <w:rFonts w:hint="eastAsia"/>
                <w:sz w:val="28"/>
                <w:u w:val="wave"/>
              </w:rPr>
              <w:t>（2）合理选择基础型式</w:t>
            </w:r>
          </w:p>
          <w:p>
            <w:pPr>
              <w:spacing w:line="360" w:lineRule="auto"/>
              <w:ind w:right="86" w:rightChars="41" w:firstLine="560" w:firstLineChars="200"/>
              <w:rPr>
                <w:rFonts w:hint="eastAsia"/>
                <w:sz w:val="28"/>
              </w:rPr>
            </w:pPr>
            <w:r>
              <w:rPr>
                <w:rFonts w:hint="eastAsia"/>
                <w:sz w:val="28"/>
                <w:u w:val="wave"/>
              </w:rPr>
              <w:t>根据线路沿线地形、地质情况及水文地质特点，因地制宜地选用基础型式。各种基础均按高低基础规划设计，配合铁塔长短腿，尽可能减小基面土石方的开挖量，防止水土流失。基础选型应优先选用原状土基础，如掏挖式基础、岩石基础、挖孔桩基础等。这类基础避免了基坑大开挖，充分利用原状土力学性能，提高基础的抗拔力，减少了土石方开挖量，施工不用摸板，简化了施工工艺。更为重要的是塔位原状土未受破坏，有利于塔基的稳定，并大幅度减少了对环境的不良影响，有显著的经济、社会和环境效益。</w:t>
            </w:r>
          </w:p>
          <w:p>
            <w:pPr>
              <w:pStyle w:val="2"/>
              <w:numPr>
                <w:ilvl w:val="1"/>
                <w:numId w:val="0"/>
              </w:numPr>
              <w:spacing w:line="360" w:lineRule="auto"/>
              <w:rPr>
                <w:b/>
                <w:szCs w:val="28"/>
              </w:rPr>
            </w:pPr>
            <w:r>
              <w:rPr>
                <w:rFonts w:hint="eastAsia"/>
                <w:b/>
                <w:szCs w:val="28"/>
              </w:rPr>
              <w:t>5</w:t>
            </w:r>
            <w:r>
              <w:rPr>
                <w:b/>
                <w:szCs w:val="28"/>
              </w:rPr>
              <w:t xml:space="preserve"> 预期效果综合分析</w:t>
            </w:r>
          </w:p>
          <w:p>
            <w:pPr>
              <w:pStyle w:val="2"/>
              <w:numPr>
                <w:ilvl w:val="1"/>
                <w:numId w:val="0"/>
              </w:numPr>
              <w:spacing w:line="360" w:lineRule="auto"/>
              <w:ind w:firstLine="560" w:firstLineChars="200"/>
              <w:rPr>
                <w:b/>
                <w:szCs w:val="28"/>
              </w:rPr>
            </w:pPr>
            <w:r>
              <w:t>本报告提出的生态保护方案中工程措施和植物措施相辅相承，按照本方案设计、实施，坚持生态保护措施与主体工程同时设计、同时施工、同时投产使用，将会很大程度上减少生产建设过程中造成的农业损失、植物资源损失，使本工程的建设与生态保护协调统一，达到可持续发展目的。</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13824" w:hRule="atLeast"/>
          <w:jc w:val="center"/>
        </w:trPr>
        <w:tc>
          <w:tcPr>
            <w:tcW w:w="9003" w:type="dxa"/>
            <w:gridSpan w:val="6"/>
            <w:vAlign w:val="top"/>
          </w:tcPr>
          <w:p>
            <w:pPr>
              <w:spacing w:line="360" w:lineRule="auto"/>
              <w:ind w:right="86" w:rightChars="41"/>
              <w:rPr>
                <w:b/>
                <w:sz w:val="28"/>
              </w:rPr>
            </w:pPr>
            <w:r>
              <w:rPr>
                <w:b/>
                <w:sz w:val="28"/>
              </w:rPr>
              <w:t>竣工环境保护验收</w:t>
            </w:r>
          </w:p>
          <w:p>
            <w:pPr>
              <w:widowControl/>
              <w:spacing w:line="360" w:lineRule="auto"/>
              <w:ind w:firstLine="420"/>
              <w:rPr>
                <w:kern w:val="0"/>
                <w:sz w:val="28"/>
                <w:szCs w:val="28"/>
              </w:rPr>
            </w:pPr>
            <w:r>
              <w:rPr>
                <w:kern w:val="0"/>
                <w:sz w:val="28"/>
                <w:szCs w:val="28"/>
              </w:rPr>
              <w:t>根据《建设项目环境保护管理条例》，本次项目的建设应执行污染治理设施与主体工程同时设计、同时施工、同时投产使用的“</w:t>
            </w:r>
            <w:r>
              <w:rPr>
                <w:rFonts w:hAnsi="宋体"/>
                <w:kern w:val="0"/>
                <w:sz w:val="28"/>
                <w:szCs w:val="28"/>
              </w:rPr>
              <w:t>三同时</w:t>
            </w:r>
            <w:r>
              <w:rPr>
                <w:kern w:val="0"/>
                <w:sz w:val="28"/>
                <w:szCs w:val="28"/>
              </w:rPr>
              <w:t>”</w:t>
            </w:r>
            <w:r>
              <w:rPr>
                <w:rFonts w:hAnsi="宋体"/>
                <w:kern w:val="0"/>
                <w:sz w:val="28"/>
                <w:szCs w:val="28"/>
              </w:rPr>
              <w:t>制度。本次建设项目正式投产运行前，应向负责审批的环保部门提出项目环保设施竣工验收申请，提交</w:t>
            </w:r>
            <w:r>
              <w:rPr>
                <w:kern w:val="0"/>
                <w:sz w:val="28"/>
                <w:szCs w:val="28"/>
              </w:rPr>
              <w:t>“</w:t>
            </w:r>
            <w:r>
              <w:rPr>
                <w:rFonts w:hAnsi="宋体"/>
                <w:kern w:val="0"/>
                <w:sz w:val="28"/>
                <w:szCs w:val="28"/>
              </w:rPr>
              <w:t>建设项目竣工环境保护验收调查报告</w:t>
            </w:r>
            <w:r>
              <w:rPr>
                <w:kern w:val="0"/>
                <w:sz w:val="28"/>
                <w:szCs w:val="28"/>
              </w:rPr>
              <w:t>”</w:t>
            </w:r>
            <w:r>
              <w:rPr>
                <w:rFonts w:hAnsi="宋体"/>
                <w:kern w:val="0"/>
                <w:sz w:val="28"/>
                <w:szCs w:val="28"/>
              </w:rPr>
              <w:t>，主要内容应包括：</w:t>
            </w:r>
          </w:p>
          <w:p>
            <w:pPr>
              <w:widowControl/>
              <w:spacing w:line="360" w:lineRule="auto"/>
              <w:ind w:firstLine="420"/>
              <w:rPr>
                <w:kern w:val="0"/>
                <w:sz w:val="28"/>
                <w:szCs w:val="28"/>
              </w:rPr>
            </w:pPr>
            <w:r>
              <w:rPr>
                <w:kern w:val="0"/>
                <w:sz w:val="28"/>
                <w:szCs w:val="28"/>
              </w:rPr>
              <w:t>（1</w:t>
            </w:r>
            <w:r>
              <w:rPr>
                <w:rFonts w:hAnsi="宋体"/>
                <w:kern w:val="0"/>
                <w:sz w:val="28"/>
                <w:szCs w:val="28"/>
              </w:rPr>
              <w:t>）工程运行中的噪声水平、工频电场和工频磁场水平。</w:t>
            </w:r>
          </w:p>
          <w:p>
            <w:pPr>
              <w:widowControl/>
              <w:spacing w:line="360" w:lineRule="auto"/>
              <w:ind w:firstLine="420"/>
              <w:rPr>
                <w:kern w:val="0"/>
                <w:sz w:val="28"/>
                <w:szCs w:val="28"/>
              </w:rPr>
            </w:pPr>
            <w:r>
              <w:rPr>
                <w:kern w:val="0"/>
                <w:sz w:val="28"/>
                <w:szCs w:val="28"/>
              </w:rPr>
              <w:t>（2</w:t>
            </w:r>
            <w:r>
              <w:rPr>
                <w:rFonts w:hAnsi="宋体"/>
                <w:kern w:val="0"/>
                <w:sz w:val="28"/>
                <w:szCs w:val="28"/>
              </w:rPr>
              <w:t>）工程运行期间环境管理所涉及的内容。</w:t>
            </w:r>
          </w:p>
          <w:p>
            <w:pPr>
              <w:widowControl/>
              <w:spacing w:line="360" w:lineRule="auto"/>
              <w:ind w:firstLine="420"/>
              <w:rPr>
                <w:rFonts w:hint="eastAsia"/>
                <w:kern w:val="0"/>
                <w:sz w:val="28"/>
                <w:szCs w:val="28"/>
              </w:rPr>
            </w:pPr>
            <w:r>
              <w:rPr>
                <w:kern w:val="0"/>
                <w:sz w:val="28"/>
                <w:szCs w:val="28"/>
              </w:rPr>
              <w:t>工程环保设施“</w:t>
            </w:r>
            <w:r>
              <w:rPr>
                <w:rFonts w:hAnsi="宋体"/>
                <w:kern w:val="0"/>
                <w:sz w:val="28"/>
                <w:szCs w:val="28"/>
              </w:rPr>
              <w:t>三同时</w:t>
            </w:r>
            <w:r>
              <w:rPr>
                <w:kern w:val="0"/>
                <w:sz w:val="28"/>
                <w:szCs w:val="28"/>
              </w:rPr>
              <w:t>”</w:t>
            </w:r>
            <w:r>
              <w:rPr>
                <w:rFonts w:hAnsi="宋体"/>
                <w:kern w:val="0"/>
                <w:sz w:val="28"/>
                <w:szCs w:val="28"/>
              </w:rPr>
              <w:t>验收一览表见表</w:t>
            </w:r>
            <w:r>
              <w:rPr>
                <w:kern w:val="0"/>
                <w:sz w:val="28"/>
                <w:szCs w:val="28"/>
              </w:rPr>
              <w:t>28所示。</w:t>
            </w:r>
          </w:p>
          <w:p>
            <w:pPr>
              <w:widowControl/>
              <w:spacing w:line="360" w:lineRule="auto"/>
              <w:ind w:firstLine="420"/>
              <w:rPr>
                <w:rFonts w:hint="eastAsia"/>
                <w:kern w:val="0"/>
                <w:sz w:val="28"/>
                <w:szCs w:val="28"/>
              </w:rPr>
            </w:pPr>
          </w:p>
          <w:p>
            <w:pPr>
              <w:widowControl/>
              <w:spacing w:before="78"/>
              <w:jc w:val="center"/>
              <w:rPr>
                <w:b/>
                <w:bCs/>
                <w:kern w:val="0"/>
                <w:sz w:val="24"/>
                <w:szCs w:val="24"/>
                <w:u w:val="wave"/>
              </w:rPr>
            </w:pPr>
            <w:r>
              <w:rPr>
                <w:b/>
                <w:bCs/>
                <w:kern w:val="0"/>
                <w:sz w:val="24"/>
                <w:szCs w:val="24"/>
                <w:u w:val="wave"/>
              </w:rPr>
              <w:t>表28  工程竣工环境保护验收一览表</w:t>
            </w:r>
          </w:p>
          <w:tbl>
            <w:tblPr>
              <w:tblStyle w:val="11"/>
              <w:tblW w:w="8757"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224"/>
              <w:gridCol w:w="502"/>
              <w:gridCol w:w="779"/>
              <w:gridCol w:w="1158"/>
              <w:gridCol w:w="309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3224" w:type="dxa"/>
                  <w:vAlign w:val="center"/>
                </w:tcPr>
                <w:p>
                  <w:pPr>
                    <w:widowControl/>
                    <w:snapToGrid w:val="0"/>
                    <w:jc w:val="center"/>
                    <w:rPr>
                      <w:kern w:val="0"/>
                      <w:sz w:val="24"/>
                      <w:szCs w:val="24"/>
                    </w:rPr>
                  </w:pPr>
                  <w:r>
                    <w:rPr>
                      <w:kern w:val="0"/>
                      <w:sz w:val="24"/>
                      <w:szCs w:val="24"/>
                    </w:rPr>
                    <w:t>项目组成</w:t>
                  </w:r>
                </w:p>
              </w:tc>
              <w:tc>
                <w:tcPr>
                  <w:tcW w:w="502" w:type="dxa"/>
                  <w:vAlign w:val="center"/>
                </w:tcPr>
                <w:p>
                  <w:pPr>
                    <w:widowControl/>
                    <w:snapToGrid w:val="0"/>
                    <w:jc w:val="center"/>
                    <w:rPr>
                      <w:kern w:val="0"/>
                      <w:sz w:val="24"/>
                      <w:szCs w:val="24"/>
                    </w:rPr>
                  </w:pPr>
                  <w:r>
                    <w:rPr>
                      <w:kern w:val="0"/>
                      <w:sz w:val="24"/>
                      <w:szCs w:val="24"/>
                    </w:rPr>
                    <w:t>序号</w:t>
                  </w:r>
                </w:p>
              </w:tc>
              <w:tc>
                <w:tcPr>
                  <w:tcW w:w="779" w:type="dxa"/>
                  <w:vAlign w:val="center"/>
                </w:tcPr>
                <w:p>
                  <w:pPr>
                    <w:widowControl/>
                    <w:snapToGrid w:val="0"/>
                    <w:jc w:val="center"/>
                    <w:rPr>
                      <w:kern w:val="0"/>
                      <w:sz w:val="24"/>
                      <w:szCs w:val="24"/>
                    </w:rPr>
                  </w:pPr>
                  <w:r>
                    <w:rPr>
                      <w:kern w:val="0"/>
                      <w:sz w:val="24"/>
                      <w:szCs w:val="24"/>
                    </w:rPr>
                    <w:t>验收类别</w:t>
                  </w:r>
                </w:p>
              </w:tc>
              <w:tc>
                <w:tcPr>
                  <w:tcW w:w="1158" w:type="dxa"/>
                  <w:vAlign w:val="center"/>
                </w:tcPr>
                <w:p>
                  <w:pPr>
                    <w:widowControl/>
                    <w:snapToGrid w:val="0"/>
                    <w:jc w:val="center"/>
                    <w:rPr>
                      <w:kern w:val="0"/>
                      <w:sz w:val="24"/>
                      <w:szCs w:val="24"/>
                    </w:rPr>
                  </w:pPr>
                  <w:r>
                    <w:rPr>
                      <w:kern w:val="0"/>
                      <w:sz w:val="24"/>
                      <w:szCs w:val="24"/>
                    </w:rPr>
                    <w:t>环保设施内容</w:t>
                  </w:r>
                </w:p>
              </w:tc>
              <w:tc>
                <w:tcPr>
                  <w:tcW w:w="3094" w:type="dxa"/>
                  <w:vAlign w:val="center"/>
                </w:tcPr>
                <w:p>
                  <w:pPr>
                    <w:widowControl/>
                    <w:snapToGrid w:val="0"/>
                    <w:jc w:val="center"/>
                    <w:rPr>
                      <w:kern w:val="0"/>
                      <w:sz w:val="24"/>
                      <w:szCs w:val="24"/>
                    </w:rPr>
                  </w:pPr>
                  <w:r>
                    <w:rPr>
                      <w:kern w:val="0"/>
                      <w:sz w:val="24"/>
                      <w:szCs w:val="24"/>
                    </w:rPr>
                    <w:t>验收标准要求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3224" w:type="dxa"/>
                  <w:vMerge w:val="restart"/>
                  <w:vAlign w:val="center"/>
                </w:tcPr>
                <w:p>
                  <w:pPr>
                    <w:widowControl/>
                    <w:snapToGrid w:val="0"/>
                    <w:jc w:val="center"/>
                    <w:rPr>
                      <w:kern w:val="0"/>
                      <w:sz w:val="24"/>
                      <w:szCs w:val="24"/>
                    </w:rPr>
                  </w:pPr>
                  <w:r>
                    <w:rPr>
                      <w:rFonts w:hAnsi="宋体"/>
                      <w:kern w:val="0"/>
                      <w:sz w:val="24"/>
                      <w:szCs w:val="24"/>
                    </w:rPr>
                    <w:t>邵阳宝莲二期风电110kV送出工程</w:t>
                  </w:r>
                  <w:r>
                    <w:rPr>
                      <w:rFonts w:hint="eastAsia" w:hAnsi="宋体"/>
                      <w:kern w:val="0"/>
                      <w:sz w:val="24"/>
                      <w:szCs w:val="24"/>
                    </w:rPr>
                    <w:t>、</w:t>
                  </w:r>
                  <w:r>
                    <w:rPr>
                      <w:rFonts w:hAnsi="宋体"/>
                      <w:kern w:val="0"/>
                      <w:sz w:val="24"/>
                      <w:szCs w:val="24"/>
                    </w:rPr>
                    <w:t>绥宁大唐华银宝鼎山风电二期三期110kV送出工程、隆回金坪110kV风电送出工程</w:t>
                  </w:r>
                </w:p>
              </w:tc>
              <w:tc>
                <w:tcPr>
                  <w:tcW w:w="502" w:type="dxa"/>
                  <w:vAlign w:val="center"/>
                </w:tcPr>
                <w:p>
                  <w:pPr>
                    <w:widowControl/>
                    <w:snapToGrid w:val="0"/>
                    <w:jc w:val="center"/>
                    <w:rPr>
                      <w:kern w:val="0"/>
                      <w:sz w:val="24"/>
                      <w:szCs w:val="24"/>
                    </w:rPr>
                  </w:pPr>
                  <w:r>
                    <w:rPr>
                      <w:kern w:val="0"/>
                      <w:sz w:val="24"/>
                      <w:szCs w:val="24"/>
                    </w:rPr>
                    <w:t>1</w:t>
                  </w:r>
                </w:p>
              </w:tc>
              <w:tc>
                <w:tcPr>
                  <w:tcW w:w="779" w:type="dxa"/>
                  <w:vAlign w:val="center"/>
                </w:tcPr>
                <w:p>
                  <w:pPr>
                    <w:widowControl/>
                    <w:snapToGrid w:val="0"/>
                    <w:rPr>
                      <w:kern w:val="0"/>
                      <w:sz w:val="24"/>
                      <w:szCs w:val="24"/>
                    </w:rPr>
                  </w:pPr>
                  <w:r>
                    <w:rPr>
                      <w:kern w:val="0"/>
                      <w:sz w:val="24"/>
                      <w:szCs w:val="24"/>
                    </w:rPr>
                    <w:t>安全警示</w:t>
                  </w:r>
                </w:p>
              </w:tc>
              <w:tc>
                <w:tcPr>
                  <w:tcW w:w="1158" w:type="dxa"/>
                  <w:vAlign w:val="center"/>
                </w:tcPr>
                <w:p>
                  <w:pPr>
                    <w:widowControl/>
                    <w:snapToGrid w:val="0"/>
                    <w:rPr>
                      <w:kern w:val="0"/>
                      <w:sz w:val="24"/>
                      <w:szCs w:val="24"/>
                    </w:rPr>
                  </w:pPr>
                  <w:r>
                    <w:rPr>
                      <w:kern w:val="0"/>
                      <w:sz w:val="24"/>
                      <w:szCs w:val="24"/>
                    </w:rPr>
                    <w:t>沿线安全警示标志</w:t>
                  </w:r>
                </w:p>
              </w:tc>
              <w:tc>
                <w:tcPr>
                  <w:tcW w:w="3094" w:type="dxa"/>
                  <w:vAlign w:val="center"/>
                </w:tcPr>
                <w:p>
                  <w:pPr>
                    <w:widowControl/>
                    <w:snapToGrid w:val="0"/>
                    <w:rPr>
                      <w:kern w:val="0"/>
                      <w:sz w:val="24"/>
                      <w:szCs w:val="24"/>
                    </w:rPr>
                  </w:pPr>
                  <w:r>
                    <w:rPr>
                      <w:rFonts w:hAnsi="宋体"/>
                      <w:kern w:val="0"/>
                      <w:sz w:val="24"/>
                      <w:szCs w:val="24"/>
                    </w:rPr>
                    <w:t>杆塔设置标准</w:t>
                  </w:r>
                  <w:r>
                    <w:rPr>
                      <w:kern w:val="0"/>
                      <w:sz w:val="24"/>
                      <w:szCs w:val="24"/>
                    </w:rPr>
                    <w:t>“</w:t>
                  </w:r>
                  <w:r>
                    <w:rPr>
                      <w:rFonts w:hAnsi="宋体"/>
                      <w:kern w:val="0"/>
                      <w:sz w:val="24"/>
                      <w:szCs w:val="24"/>
                    </w:rPr>
                    <w:t>三牌</w:t>
                  </w:r>
                  <w:r>
                    <w:rPr>
                      <w:kern w:val="0"/>
                      <w:sz w:val="24"/>
                      <w:szCs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3224" w:type="dxa"/>
                  <w:vMerge w:val="continue"/>
                  <w:vAlign w:val="center"/>
                </w:tcPr>
                <w:p>
                  <w:pPr>
                    <w:widowControl/>
                    <w:jc w:val="left"/>
                    <w:rPr>
                      <w:kern w:val="0"/>
                      <w:sz w:val="24"/>
                      <w:szCs w:val="24"/>
                    </w:rPr>
                  </w:pPr>
                </w:p>
              </w:tc>
              <w:tc>
                <w:tcPr>
                  <w:tcW w:w="502" w:type="dxa"/>
                  <w:vAlign w:val="center"/>
                </w:tcPr>
                <w:p>
                  <w:pPr>
                    <w:widowControl/>
                    <w:snapToGrid w:val="0"/>
                    <w:jc w:val="center"/>
                    <w:rPr>
                      <w:kern w:val="0"/>
                      <w:sz w:val="24"/>
                      <w:szCs w:val="24"/>
                    </w:rPr>
                  </w:pPr>
                  <w:r>
                    <w:rPr>
                      <w:kern w:val="0"/>
                      <w:sz w:val="24"/>
                      <w:szCs w:val="24"/>
                    </w:rPr>
                    <w:t>2</w:t>
                  </w:r>
                </w:p>
              </w:tc>
              <w:tc>
                <w:tcPr>
                  <w:tcW w:w="779" w:type="dxa"/>
                  <w:vAlign w:val="center"/>
                </w:tcPr>
                <w:p>
                  <w:pPr>
                    <w:widowControl/>
                    <w:snapToGrid w:val="0"/>
                    <w:jc w:val="center"/>
                    <w:rPr>
                      <w:kern w:val="0"/>
                      <w:sz w:val="24"/>
                      <w:szCs w:val="24"/>
                    </w:rPr>
                  </w:pPr>
                  <w:r>
                    <w:rPr>
                      <w:kern w:val="0"/>
                      <w:sz w:val="24"/>
                      <w:szCs w:val="24"/>
                    </w:rPr>
                    <w:t>各环评现状监测点</w:t>
                  </w:r>
                </w:p>
              </w:tc>
              <w:tc>
                <w:tcPr>
                  <w:tcW w:w="1158" w:type="dxa"/>
                  <w:vAlign w:val="center"/>
                </w:tcPr>
                <w:p>
                  <w:pPr>
                    <w:widowControl/>
                    <w:snapToGrid w:val="0"/>
                    <w:rPr>
                      <w:kern w:val="0"/>
                      <w:sz w:val="24"/>
                      <w:szCs w:val="24"/>
                    </w:rPr>
                  </w:pPr>
                  <w:r>
                    <w:rPr>
                      <w:kern w:val="0"/>
                      <w:sz w:val="24"/>
                      <w:szCs w:val="24"/>
                    </w:rPr>
                    <w:t>工频电场、工频磁场、噪声</w:t>
                  </w:r>
                </w:p>
              </w:tc>
              <w:tc>
                <w:tcPr>
                  <w:tcW w:w="3094" w:type="dxa"/>
                  <w:vAlign w:val="center"/>
                </w:tcPr>
                <w:p>
                  <w:pPr>
                    <w:widowControl/>
                    <w:snapToGrid w:val="0"/>
                    <w:rPr>
                      <w:rFonts w:hint="eastAsia"/>
                      <w:kern w:val="0"/>
                      <w:sz w:val="24"/>
                      <w:szCs w:val="24"/>
                    </w:rPr>
                  </w:pPr>
                  <w:r>
                    <w:rPr>
                      <w:kern w:val="0"/>
                      <w:sz w:val="24"/>
                      <w:szCs w:val="24"/>
                    </w:rPr>
                    <w:t>《电磁环境控制限值》</w:t>
                  </w:r>
                  <w:r>
                    <w:rPr>
                      <w:rFonts w:hint="eastAsia"/>
                      <w:kern w:val="0"/>
                      <w:sz w:val="24"/>
                      <w:szCs w:val="24"/>
                    </w:rPr>
                    <w:t>（</w:t>
                  </w:r>
                  <w:r>
                    <w:rPr>
                      <w:kern w:val="0"/>
                      <w:sz w:val="24"/>
                      <w:szCs w:val="24"/>
                    </w:rPr>
                    <w:t>GB</w:t>
                  </w:r>
                  <w:r>
                    <w:rPr>
                      <w:rFonts w:hint="eastAsia"/>
                      <w:kern w:val="0"/>
                      <w:sz w:val="24"/>
                      <w:szCs w:val="24"/>
                    </w:rPr>
                    <w:t xml:space="preserve"> </w:t>
                  </w:r>
                  <w:r>
                    <w:rPr>
                      <w:kern w:val="0"/>
                      <w:sz w:val="24"/>
                      <w:szCs w:val="24"/>
                    </w:rPr>
                    <w:t>8702-2014</w:t>
                  </w:r>
                  <w:r>
                    <w:rPr>
                      <w:rFonts w:hint="eastAsia"/>
                      <w:kern w:val="0"/>
                      <w:sz w:val="24"/>
                      <w:szCs w:val="24"/>
                    </w:rPr>
                    <w:t>）</w:t>
                  </w:r>
                  <w:r>
                    <w:rPr>
                      <w:rFonts w:hAnsi="宋体"/>
                      <w:kern w:val="0"/>
                      <w:sz w:val="24"/>
                      <w:szCs w:val="24"/>
                    </w:rPr>
                    <w:t>及《声环境质量标准》</w:t>
                  </w:r>
                  <w:r>
                    <w:rPr>
                      <w:kern w:val="0"/>
                      <w:sz w:val="24"/>
                      <w:szCs w:val="24"/>
                    </w:rPr>
                    <w:t>（GB</w:t>
                  </w:r>
                  <w:r>
                    <w:rPr>
                      <w:rFonts w:hint="eastAsia"/>
                      <w:kern w:val="0"/>
                      <w:sz w:val="24"/>
                      <w:szCs w:val="24"/>
                    </w:rPr>
                    <w:t xml:space="preserve"> </w:t>
                  </w:r>
                  <w:r>
                    <w:rPr>
                      <w:kern w:val="0"/>
                      <w:sz w:val="24"/>
                      <w:szCs w:val="24"/>
                    </w:rPr>
                    <w:t>3096-2008</w:t>
                  </w:r>
                  <w:r>
                    <w:rPr>
                      <w:rFonts w:hAnsi="宋体"/>
                      <w:kern w:val="0"/>
                      <w:sz w:val="24"/>
                      <w:szCs w:val="24"/>
                    </w:rPr>
                    <w:t>）</w:t>
                  </w:r>
                  <w:r>
                    <w:rPr>
                      <w:rFonts w:hint="eastAsia" w:hAnsi="宋体"/>
                      <w:kern w:val="0"/>
                      <w:sz w:val="24"/>
                      <w:szCs w:val="24"/>
                    </w:rPr>
                    <w:t>相应</w:t>
                  </w:r>
                  <w:r>
                    <w:rPr>
                      <w:rFonts w:hAnsi="宋体"/>
                      <w:kern w:val="0"/>
                      <w:sz w:val="24"/>
                      <w:szCs w:val="24"/>
                    </w:rPr>
                    <w:t>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3224" w:type="dxa"/>
                  <w:vMerge w:val="continue"/>
                  <w:vAlign w:val="center"/>
                </w:tcPr>
                <w:p>
                  <w:pPr>
                    <w:widowControl/>
                    <w:jc w:val="left"/>
                    <w:rPr>
                      <w:kern w:val="0"/>
                      <w:sz w:val="24"/>
                      <w:szCs w:val="24"/>
                    </w:rPr>
                  </w:pPr>
                </w:p>
              </w:tc>
              <w:tc>
                <w:tcPr>
                  <w:tcW w:w="502" w:type="dxa"/>
                  <w:vAlign w:val="center"/>
                </w:tcPr>
                <w:p>
                  <w:pPr>
                    <w:widowControl/>
                    <w:snapToGrid w:val="0"/>
                    <w:jc w:val="center"/>
                    <w:rPr>
                      <w:kern w:val="0"/>
                      <w:sz w:val="24"/>
                      <w:szCs w:val="24"/>
                    </w:rPr>
                  </w:pPr>
                  <w:r>
                    <w:rPr>
                      <w:kern w:val="0"/>
                      <w:sz w:val="24"/>
                      <w:szCs w:val="24"/>
                    </w:rPr>
                    <w:t>3</w:t>
                  </w:r>
                </w:p>
              </w:tc>
              <w:tc>
                <w:tcPr>
                  <w:tcW w:w="779" w:type="dxa"/>
                  <w:vAlign w:val="center"/>
                </w:tcPr>
                <w:p>
                  <w:pPr>
                    <w:widowControl/>
                    <w:snapToGrid w:val="0"/>
                    <w:rPr>
                      <w:kern w:val="0"/>
                      <w:sz w:val="24"/>
                      <w:szCs w:val="24"/>
                    </w:rPr>
                  </w:pPr>
                  <w:r>
                    <w:rPr>
                      <w:kern w:val="0"/>
                      <w:sz w:val="24"/>
                      <w:szCs w:val="24"/>
                    </w:rPr>
                    <w:t>临时占地</w:t>
                  </w:r>
                </w:p>
              </w:tc>
              <w:tc>
                <w:tcPr>
                  <w:tcW w:w="1158" w:type="dxa"/>
                  <w:vAlign w:val="center"/>
                </w:tcPr>
                <w:p>
                  <w:pPr>
                    <w:widowControl/>
                    <w:snapToGrid w:val="0"/>
                    <w:rPr>
                      <w:kern w:val="0"/>
                      <w:sz w:val="24"/>
                      <w:szCs w:val="24"/>
                    </w:rPr>
                  </w:pPr>
                  <w:r>
                    <w:rPr>
                      <w:kern w:val="0"/>
                      <w:sz w:val="24"/>
                      <w:szCs w:val="24"/>
                    </w:rPr>
                    <w:t>生态恢复</w:t>
                  </w:r>
                </w:p>
              </w:tc>
              <w:tc>
                <w:tcPr>
                  <w:tcW w:w="3094" w:type="dxa"/>
                  <w:vAlign w:val="center"/>
                </w:tcPr>
                <w:p>
                  <w:pPr>
                    <w:widowControl/>
                    <w:snapToGrid w:val="0"/>
                    <w:rPr>
                      <w:kern w:val="0"/>
                      <w:sz w:val="24"/>
                      <w:szCs w:val="24"/>
                    </w:rPr>
                  </w:pPr>
                  <w:r>
                    <w:rPr>
                      <w:kern w:val="0"/>
                      <w:sz w:val="24"/>
                      <w:szCs w:val="24"/>
                    </w:rPr>
                    <w:t>临时占地恢复</w:t>
                  </w:r>
                </w:p>
              </w:tc>
            </w:tr>
          </w:tbl>
          <w:p>
            <w:pPr>
              <w:ind w:right="86" w:rightChars="41"/>
              <w:jc w:val="center"/>
              <w:rPr>
                <w:b/>
                <w:sz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13824" w:hRule="atLeast"/>
          <w:jc w:val="center"/>
        </w:trPr>
        <w:tc>
          <w:tcPr>
            <w:tcW w:w="9003" w:type="dxa"/>
            <w:gridSpan w:val="6"/>
            <w:vAlign w:val="top"/>
          </w:tcPr>
          <w:p>
            <w:pPr>
              <w:widowControl/>
              <w:spacing w:before="78"/>
              <w:jc w:val="center"/>
              <w:rPr>
                <w:b/>
                <w:bCs/>
                <w:kern w:val="0"/>
                <w:sz w:val="24"/>
                <w:szCs w:val="24"/>
                <w:u w:val="wave"/>
              </w:rPr>
            </w:pPr>
            <w:r>
              <w:rPr>
                <w:b/>
                <w:bCs/>
                <w:kern w:val="0"/>
                <w:sz w:val="24"/>
                <w:szCs w:val="24"/>
                <w:u w:val="wave"/>
              </w:rPr>
              <w:t>续表</w:t>
            </w:r>
            <w:r>
              <w:rPr>
                <w:rFonts w:hint="eastAsia"/>
                <w:b/>
                <w:bCs/>
                <w:kern w:val="0"/>
                <w:sz w:val="24"/>
                <w:szCs w:val="24"/>
                <w:u w:val="wave"/>
              </w:rPr>
              <w:t xml:space="preserve">28  </w:t>
            </w:r>
            <w:r>
              <w:rPr>
                <w:b/>
                <w:bCs/>
                <w:kern w:val="0"/>
                <w:sz w:val="24"/>
                <w:szCs w:val="24"/>
                <w:u w:val="wave"/>
              </w:rPr>
              <w:t>工程竣工环境保护验收一览表</w:t>
            </w:r>
          </w:p>
          <w:tbl>
            <w:tblPr>
              <w:tblStyle w:val="11"/>
              <w:tblW w:w="8755"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71"/>
              <w:gridCol w:w="535"/>
              <w:gridCol w:w="859"/>
              <w:gridCol w:w="839"/>
              <w:gridCol w:w="3047"/>
              <w:gridCol w:w="220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271" w:type="dxa"/>
                  <w:vAlign w:val="center"/>
                </w:tcPr>
                <w:p>
                  <w:pPr>
                    <w:widowControl/>
                    <w:snapToGrid w:val="0"/>
                    <w:jc w:val="center"/>
                    <w:rPr>
                      <w:kern w:val="0"/>
                      <w:sz w:val="24"/>
                      <w:szCs w:val="24"/>
                    </w:rPr>
                  </w:pPr>
                  <w:r>
                    <w:rPr>
                      <w:kern w:val="0"/>
                      <w:sz w:val="24"/>
                      <w:szCs w:val="24"/>
                    </w:rPr>
                    <w:t>项目组成</w:t>
                  </w:r>
                </w:p>
              </w:tc>
              <w:tc>
                <w:tcPr>
                  <w:tcW w:w="535" w:type="dxa"/>
                  <w:vAlign w:val="center"/>
                </w:tcPr>
                <w:p>
                  <w:pPr>
                    <w:widowControl/>
                    <w:snapToGrid w:val="0"/>
                    <w:jc w:val="center"/>
                    <w:rPr>
                      <w:kern w:val="0"/>
                      <w:sz w:val="24"/>
                      <w:szCs w:val="24"/>
                    </w:rPr>
                  </w:pPr>
                  <w:r>
                    <w:rPr>
                      <w:kern w:val="0"/>
                      <w:sz w:val="24"/>
                      <w:szCs w:val="24"/>
                    </w:rPr>
                    <w:t>序号</w:t>
                  </w:r>
                </w:p>
              </w:tc>
              <w:tc>
                <w:tcPr>
                  <w:tcW w:w="859" w:type="dxa"/>
                  <w:vAlign w:val="center"/>
                </w:tcPr>
                <w:p>
                  <w:pPr>
                    <w:widowControl/>
                    <w:snapToGrid w:val="0"/>
                    <w:jc w:val="center"/>
                    <w:rPr>
                      <w:kern w:val="0"/>
                      <w:sz w:val="24"/>
                      <w:szCs w:val="24"/>
                    </w:rPr>
                  </w:pPr>
                  <w:r>
                    <w:rPr>
                      <w:kern w:val="0"/>
                      <w:sz w:val="24"/>
                      <w:szCs w:val="24"/>
                    </w:rPr>
                    <w:t>验收类别</w:t>
                  </w:r>
                </w:p>
              </w:tc>
              <w:tc>
                <w:tcPr>
                  <w:tcW w:w="839" w:type="dxa"/>
                  <w:vAlign w:val="center"/>
                </w:tcPr>
                <w:p>
                  <w:pPr>
                    <w:widowControl/>
                    <w:snapToGrid w:val="0"/>
                    <w:jc w:val="center"/>
                    <w:rPr>
                      <w:kern w:val="0"/>
                      <w:sz w:val="24"/>
                      <w:szCs w:val="24"/>
                    </w:rPr>
                  </w:pPr>
                  <w:r>
                    <w:rPr>
                      <w:kern w:val="0"/>
                      <w:sz w:val="24"/>
                      <w:szCs w:val="24"/>
                    </w:rPr>
                    <w:t>环保设施内容</w:t>
                  </w:r>
                </w:p>
              </w:tc>
              <w:tc>
                <w:tcPr>
                  <w:tcW w:w="3047" w:type="dxa"/>
                  <w:vAlign w:val="center"/>
                </w:tcPr>
                <w:p>
                  <w:pPr>
                    <w:widowControl/>
                    <w:snapToGrid w:val="0"/>
                    <w:jc w:val="center"/>
                    <w:rPr>
                      <w:rFonts w:hint="eastAsia"/>
                      <w:kern w:val="0"/>
                      <w:sz w:val="24"/>
                      <w:szCs w:val="24"/>
                    </w:rPr>
                  </w:pPr>
                  <w:r>
                    <w:rPr>
                      <w:kern w:val="0"/>
                      <w:sz w:val="24"/>
                      <w:szCs w:val="24"/>
                    </w:rPr>
                    <w:t>验收标准</w:t>
                  </w:r>
                </w:p>
              </w:tc>
              <w:tc>
                <w:tcPr>
                  <w:tcW w:w="2204" w:type="dxa"/>
                  <w:vAlign w:val="center"/>
                </w:tcPr>
                <w:p>
                  <w:pPr>
                    <w:widowControl/>
                    <w:snapToGrid w:val="0"/>
                    <w:jc w:val="center"/>
                    <w:rPr>
                      <w:rFonts w:hint="eastAsia"/>
                      <w:kern w:val="0"/>
                      <w:sz w:val="24"/>
                      <w:szCs w:val="24"/>
                    </w:rPr>
                  </w:pPr>
                  <w:r>
                    <w:rPr>
                      <w:rFonts w:hint="eastAsia"/>
                      <w:kern w:val="0"/>
                      <w:sz w:val="24"/>
                      <w:szCs w:val="24"/>
                    </w:rPr>
                    <w:t>验收要求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271" w:type="dxa"/>
                  <w:vMerge w:val="restart"/>
                  <w:vAlign w:val="center"/>
                </w:tcPr>
                <w:p>
                  <w:pPr>
                    <w:widowControl/>
                    <w:snapToGrid w:val="0"/>
                    <w:jc w:val="center"/>
                    <w:rPr>
                      <w:rFonts w:hint="eastAsia"/>
                      <w:kern w:val="0"/>
                      <w:sz w:val="24"/>
                      <w:szCs w:val="24"/>
                    </w:rPr>
                  </w:pPr>
                  <w:r>
                    <w:rPr>
                      <w:rFonts w:hAnsi="宋体"/>
                      <w:kern w:val="0"/>
                      <w:sz w:val="24"/>
                      <w:szCs w:val="24"/>
                    </w:rPr>
                    <w:t>隆回城东110kV输变电工程</w:t>
                  </w:r>
                  <w:r>
                    <w:rPr>
                      <w:rFonts w:hint="eastAsia" w:hAnsi="宋体"/>
                      <w:kern w:val="0"/>
                      <w:sz w:val="24"/>
                      <w:szCs w:val="24"/>
                    </w:rPr>
                    <w:t>、</w:t>
                  </w:r>
                  <w:r>
                    <w:rPr>
                      <w:rFonts w:hAnsi="宋体"/>
                      <w:kern w:val="0"/>
                      <w:sz w:val="24"/>
                      <w:szCs w:val="24"/>
                    </w:rPr>
                    <w:t>邵阳六岭110kV输变电工程</w:t>
                  </w:r>
                </w:p>
              </w:tc>
              <w:tc>
                <w:tcPr>
                  <w:tcW w:w="535" w:type="dxa"/>
                  <w:vAlign w:val="center"/>
                </w:tcPr>
                <w:p>
                  <w:pPr>
                    <w:widowControl/>
                    <w:snapToGrid w:val="0"/>
                    <w:jc w:val="center"/>
                    <w:rPr>
                      <w:kern w:val="0"/>
                      <w:sz w:val="24"/>
                      <w:szCs w:val="24"/>
                    </w:rPr>
                  </w:pPr>
                  <w:r>
                    <w:rPr>
                      <w:kern w:val="0"/>
                      <w:sz w:val="24"/>
                      <w:szCs w:val="24"/>
                    </w:rPr>
                    <w:t>1</w:t>
                  </w:r>
                </w:p>
              </w:tc>
              <w:tc>
                <w:tcPr>
                  <w:tcW w:w="859" w:type="dxa"/>
                  <w:vAlign w:val="center"/>
                </w:tcPr>
                <w:p>
                  <w:pPr>
                    <w:widowControl/>
                    <w:snapToGrid w:val="0"/>
                    <w:jc w:val="center"/>
                    <w:rPr>
                      <w:kern w:val="0"/>
                      <w:sz w:val="24"/>
                      <w:szCs w:val="24"/>
                    </w:rPr>
                  </w:pPr>
                  <w:r>
                    <w:rPr>
                      <w:kern w:val="0"/>
                      <w:sz w:val="24"/>
                      <w:szCs w:val="24"/>
                    </w:rPr>
                    <w:t>生活污水</w:t>
                  </w:r>
                </w:p>
              </w:tc>
              <w:tc>
                <w:tcPr>
                  <w:tcW w:w="839" w:type="dxa"/>
                  <w:vAlign w:val="center"/>
                </w:tcPr>
                <w:p>
                  <w:pPr>
                    <w:widowControl/>
                    <w:snapToGrid w:val="0"/>
                    <w:rPr>
                      <w:kern w:val="0"/>
                      <w:sz w:val="24"/>
                      <w:szCs w:val="24"/>
                    </w:rPr>
                  </w:pPr>
                  <w:r>
                    <w:rPr>
                      <w:kern w:val="0"/>
                      <w:sz w:val="24"/>
                      <w:szCs w:val="24"/>
                    </w:rPr>
                    <w:t>化粪池</w:t>
                  </w:r>
                </w:p>
              </w:tc>
              <w:tc>
                <w:tcPr>
                  <w:tcW w:w="3047" w:type="dxa"/>
                  <w:vAlign w:val="center"/>
                </w:tcPr>
                <w:p>
                  <w:pPr>
                    <w:widowControl/>
                    <w:snapToGrid w:val="0"/>
                    <w:jc w:val="center"/>
                    <w:rPr>
                      <w:kern w:val="0"/>
                      <w:sz w:val="24"/>
                      <w:szCs w:val="24"/>
                    </w:rPr>
                  </w:pPr>
                  <w:r>
                    <w:rPr>
                      <w:rFonts w:hAnsi="宋体"/>
                      <w:kern w:val="0"/>
                      <w:sz w:val="24"/>
                      <w:szCs w:val="24"/>
                    </w:rPr>
                    <w:t>满足功能要求，定期清掏</w:t>
                  </w:r>
                </w:p>
              </w:tc>
              <w:tc>
                <w:tcPr>
                  <w:tcW w:w="2204" w:type="dxa"/>
                  <w:vAlign w:val="center"/>
                </w:tcPr>
                <w:p>
                  <w:pPr>
                    <w:widowControl/>
                    <w:snapToGrid w:val="0"/>
                    <w:rPr>
                      <w:rFonts w:hint="eastAsia"/>
                      <w:kern w:val="0"/>
                      <w:sz w:val="24"/>
                      <w:szCs w:val="24"/>
                    </w:rPr>
                  </w:pPr>
                  <w:r>
                    <w:rPr>
                      <w:kern w:val="0"/>
                      <w:sz w:val="24"/>
                      <w:szCs w:val="24"/>
                    </w:rPr>
                    <w:t>生活污水经化粪池处理后</w:t>
                  </w:r>
                  <w:r>
                    <w:rPr>
                      <w:rFonts w:hint="eastAsia"/>
                      <w:kern w:val="0"/>
                      <w:sz w:val="24"/>
                      <w:szCs w:val="24"/>
                    </w:rPr>
                    <w:t>回用于站内绿化或达标排放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271" w:type="dxa"/>
                  <w:vMerge w:val="continue"/>
                  <w:vAlign w:val="center"/>
                </w:tcPr>
                <w:p>
                  <w:pPr>
                    <w:widowControl/>
                    <w:jc w:val="left"/>
                    <w:rPr>
                      <w:kern w:val="0"/>
                      <w:sz w:val="24"/>
                      <w:szCs w:val="24"/>
                    </w:rPr>
                  </w:pPr>
                </w:p>
              </w:tc>
              <w:tc>
                <w:tcPr>
                  <w:tcW w:w="535" w:type="dxa"/>
                  <w:vAlign w:val="center"/>
                </w:tcPr>
                <w:p>
                  <w:pPr>
                    <w:widowControl/>
                    <w:snapToGrid w:val="0"/>
                    <w:jc w:val="center"/>
                    <w:rPr>
                      <w:kern w:val="0"/>
                      <w:sz w:val="24"/>
                      <w:szCs w:val="24"/>
                    </w:rPr>
                  </w:pPr>
                  <w:r>
                    <w:rPr>
                      <w:kern w:val="0"/>
                      <w:sz w:val="24"/>
                      <w:szCs w:val="24"/>
                    </w:rPr>
                    <w:t>2</w:t>
                  </w:r>
                </w:p>
              </w:tc>
              <w:tc>
                <w:tcPr>
                  <w:tcW w:w="859" w:type="dxa"/>
                  <w:vAlign w:val="center"/>
                </w:tcPr>
                <w:p>
                  <w:pPr>
                    <w:widowControl/>
                    <w:snapToGrid w:val="0"/>
                    <w:jc w:val="center"/>
                    <w:rPr>
                      <w:kern w:val="0"/>
                      <w:sz w:val="24"/>
                      <w:szCs w:val="24"/>
                    </w:rPr>
                  </w:pPr>
                  <w:r>
                    <w:rPr>
                      <w:kern w:val="0"/>
                      <w:sz w:val="24"/>
                      <w:szCs w:val="24"/>
                    </w:rPr>
                    <w:t>变压器油</w:t>
                  </w:r>
                </w:p>
              </w:tc>
              <w:tc>
                <w:tcPr>
                  <w:tcW w:w="839" w:type="dxa"/>
                  <w:vAlign w:val="center"/>
                </w:tcPr>
                <w:p>
                  <w:pPr>
                    <w:widowControl/>
                    <w:snapToGrid w:val="0"/>
                    <w:rPr>
                      <w:kern w:val="0"/>
                      <w:sz w:val="24"/>
                      <w:szCs w:val="24"/>
                    </w:rPr>
                  </w:pPr>
                  <w:r>
                    <w:rPr>
                      <w:kern w:val="0"/>
                      <w:sz w:val="24"/>
                      <w:szCs w:val="24"/>
                    </w:rPr>
                    <w:t>事故油池</w:t>
                  </w:r>
                </w:p>
              </w:tc>
              <w:tc>
                <w:tcPr>
                  <w:tcW w:w="3047" w:type="dxa"/>
                  <w:vAlign w:val="center"/>
                </w:tcPr>
                <w:p>
                  <w:pPr>
                    <w:widowControl/>
                    <w:snapToGrid w:val="0"/>
                    <w:rPr>
                      <w:kern w:val="0"/>
                      <w:sz w:val="24"/>
                      <w:szCs w:val="24"/>
                    </w:rPr>
                  </w:pPr>
                  <w:r>
                    <w:rPr>
                      <w:kern w:val="0"/>
                      <w:sz w:val="24"/>
                      <w:szCs w:val="24"/>
                    </w:rPr>
                    <w:t>是否具有油水分离装置，有效容积是否满足要求</w:t>
                  </w:r>
                </w:p>
              </w:tc>
              <w:tc>
                <w:tcPr>
                  <w:tcW w:w="2204" w:type="dxa"/>
                  <w:vAlign w:val="center"/>
                </w:tcPr>
                <w:p>
                  <w:pPr>
                    <w:widowControl/>
                    <w:snapToGrid w:val="0"/>
                    <w:rPr>
                      <w:kern w:val="0"/>
                      <w:sz w:val="24"/>
                      <w:szCs w:val="24"/>
                    </w:rPr>
                  </w:pPr>
                  <w:r>
                    <w:rPr>
                      <w:kern w:val="0"/>
                      <w:sz w:val="24"/>
                      <w:szCs w:val="24"/>
                    </w:rPr>
                    <w:t>事故废油、含油废水等危险废物委托有危废处理资质的单位处理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271" w:type="dxa"/>
                  <w:vMerge w:val="continue"/>
                  <w:vAlign w:val="center"/>
                </w:tcPr>
                <w:p>
                  <w:pPr>
                    <w:widowControl/>
                    <w:jc w:val="left"/>
                    <w:rPr>
                      <w:kern w:val="0"/>
                      <w:sz w:val="24"/>
                      <w:szCs w:val="24"/>
                    </w:rPr>
                  </w:pPr>
                </w:p>
              </w:tc>
              <w:tc>
                <w:tcPr>
                  <w:tcW w:w="535" w:type="dxa"/>
                  <w:vAlign w:val="center"/>
                </w:tcPr>
                <w:p>
                  <w:pPr>
                    <w:widowControl/>
                    <w:snapToGrid w:val="0"/>
                    <w:jc w:val="center"/>
                    <w:rPr>
                      <w:kern w:val="0"/>
                      <w:sz w:val="24"/>
                      <w:szCs w:val="24"/>
                    </w:rPr>
                  </w:pPr>
                  <w:r>
                    <w:rPr>
                      <w:kern w:val="0"/>
                      <w:sz w:val="24"/>
                      <w:szCs w:val="24"/>
                    </w:rPr>
                    <w:t>3</w:t>
                  </w:r>
                </w:p>
              </w:tc>
              <w:tc>
                <w:tcPr>
                  <w:tcW w:w="859" w:type="dxa"/>
                  <w:vAlign w:val="center"/>
                </w:tcPr>
                <w:p>
                  <w:pPr>
                    <w:widowControl/>
                    <w:snapToGrid w:val="0"/>
                    <w:jc w:val="center"/>
                    <w:rPr>
                      <w:kern w:val="0"/>
                      <w:sz w:val="24"/>
                      <w:szCs w:val="24"/>
                    </w:rPr>
                  </w:pPr>
                  <w:r>
                    <w:rPr>
                      <w:kern w:val="0"/>
                      <w:sz w:val="24"/>
                      <w:szCs w:val="24"/>
                    </w:rPr>
                    <w:t>各监测点工频电磁场</w:t>
                  </w:r>
                </w:p>
              </w:tc>
              <w:tc>
                <w:tcPr>
                  <w:tcW w:w="839" w:type="dxa"/>
                  <w:vAlign w:val="center"/>
                </w:tcPr>
                <w:p>
                  <w:pPr>
                    <w:widowControl/>
                    <w:snapToGrid w:val="0"/>
                    <w:rPr>
                      <w:rFonts w:hint="eastAsia"/>
                      <w:kern w:val="0"/>
                      <w:sz w:val="24"/>
                      <w:szCs w:val="24"/>
                    </w:rPr>
                  </w:pPr>
                  <w:r>
                    <w:rPr>
                      <w:rFonts w:hint="eastAsia"/>
                      <w:kern w:val="0"/>
                      <w:sz w:val="24"/>
                      <w:szCs w:val="24"/>
                    </w:rPr>
                    <w:t>/</w:t>
                  </w:r>
                </w:p>
              </w:tc>
              <w:tc>
                <w:tcPr>
                  <w:tcW w:w="3047" w:type="dxa"/>
                  <w:vAlign w:val="center"/>
                </w:tcPr>
                <w:p>
                  <w:pPr>
                    <w:widowControl/>
                    <w:snapToGrid w:val="0"/>
                    <w:rPr>
                      <w:kern w:val="0"/>
                      <w:sz w:val="24"/>
                      <w:szCs w:val="24"/>
                    </w:rPr>
                  </w:pPr>
                  <w:r>
                    <w:rPr>
                      <w:kern w:val="0"/>
                      <w:sz w:val="24"/>
                      <w:szCs w:val="24"/>
                    </w:rPr>
                    <w:t>工频电磁场满足《电磁环境控制限值》</w:t>
                  </w:r>
                  <w:r>
                    <w:rPr>
                      <w:rFonts w:hint="eastAsia"/>
                      <w:kern w:val="0"/>
                      <w:sz w:val="24"/>
                      <w:szCs w:val="24"/>
                    </w:rPr>
                    <w:t>（</w:t>
                  </w:r>
                  <w:r>
                    <w:rPr>
                      <w:kern w:val="0"/>
                      <w:sz w:val="24"/>
                      <w:szCs w:val="24"/>
                    </w:rPr>
                    <w:t>GB</w:t>
                  </w:r>
                  <w:r>
                    <w:rPr>
                      <w:rFonts w:hint="eastAsia"/>
                      <w:kern w:val="0"/>
                      <w:sz w:val="24"/>
                      <w:szCs w:val="24"/>
                    </w:rPr>
                    <w:t xml:space="preserve"> </w:t>
                  </w:r>
                  <w:r>
                    <w:rPr>
                      <w:kern w:val="0"/>
                      <w:sz w:val="24"/>
                      <w:szCs w:val="24"/>
                    </w:rPr>
                    <w:t>8702-2014</w:t>
                  </w:r>
                  <w:r>
                    <w:rPr>
                      <w:rFonts w:hint="eastAsia"/>
                      <w:kern w:val="0"/>
                      <w:sz w:val="24"/>
                      <w:szCs w:val="24"/>
                    </w:rPr>
                    <w:t>）要求</w:t>
                  </w:r>
                </w:p>
              </w:tc>
              <w:tc>
                <w:tcPr>
                  <w:tcW w:w="2204" w:type="dxa"/>
                  <w:vAlign w:val="center"/>
                </w:tcPr>
                <w:p>
                  <w:pPr>
                    <w:widowControl/>
                    <w:snapToGrid w:val="0"/>
                    <w:rPr>
                      <w:kern w:val="0"/>
                      <w:sz w:val="24"/>
                      <w:szCs w:val="24"/>
                    </w:rPr>
                  </w:pPr>
                  <w:r>
                    <w:rPr>
                      <w:kern w:val="0"/>
                      <w:sz w:val="24"/>
                      <w:szCs w:val="24"/>
                    </w:rPr>
                    <w:t>工频电场强度≤4000V/m</w:t>
                  </w:r>
                  <w:r>
                    <w:rPr>
                      <w:rFonts w:hAnsi="宋体"/>
                      <w:kern w:val="0"/>
                      <w:sz w:val="24"/>
                      <w:szCs w:val="24"/>
                    </w:rPr>
                    <w:t>、</w:t>
                  </w:r>
                </w:p>
                <w:p>
                  <w:pPr>
                    <w:widowControl/>
                    <w:snapToGrid w:val="0"/>
                    <w:jc w:val="left"/>
                    <w:rPr>
                      <w:kern w:val="0"/>
                      <w:sz w:val="24"/>
                      <w:szCs w:val="24"/>
                    </w:rPr>
                  </w:pPr>
                  <w:r>
                    <w:rPr>
                      <w:kern w:val="0"/>
                      <w:sz w:val="24"/>
                      <w:szCs w:val="24"/>
                    </w:rPr>
                    <w:t>工频磁感应强度≤100μT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271" w:type="dxa"/>
                  <w:vMerge w:val="continue"/>
                  <w:vAlign w:val="center"/>
                </w:tcPr>
                <w:p>
                  <w:pPr>
                    <w:widowControl/>
                    <w:jc w:val="left"/>
                    <w:rPr>
                      <w:kern w:val="0"/>
                      <w:sz w:val="24"/>
                      <w:szCs w:val="24"/>
                    </w:rPr>
                  </w:pPr>
                </w:p>
              </w:tc>
              <w:tc>
                <w:tcPr>
                  <w:tcW w:w="535" w:type="dxa"/>
                  <w:vAlign w:val="center"/>
                </w:tcPr>
                <w:p>
                  <w:pPr>
                    <w:widowControl/>
                    <w:snapToGrid w:val="0"/>
                    <w:jc w:val="center"/>
                    <w:rPr>
                      <w:kern w:val="0"/>
                      <w:sz w:val="24"/>
                      <w:szCs w:val="24"/>
                    </w:rPr>
                  </w:pPr>
                  <w:r>
                    <w:rPr>
                      <w:kern w:val="0"/>
                      <w:sz w:val="24"/>
                      <w:szCs w:val="24"/>
                    </w:rPr>
                    <w:t>4</w:t>
                  </w:r>
                </w:p>
              </w:tc>
              <w:tc>
                <w:tcPr>
                  <w:tcW w:w="859" w:type="dxa"/>
                  <w:vAlign w:val="center"/>
                </w:tcPr>
                <w:p>
                  <w:pPr>
                    <w:widowControl/>
                    <w:snapToGrid w:val="0"/>
                    <w:jc w:val="center"/>
                    <w:rPr>
                      <w:kern w:val="0"/>
                      <w:sz w:val="24"/>
                      <w:szCs w:val="24"/>
                    </w:rPr>
                  </w:pPr>
                  <w:r>
                    <w:rPr>
                      <w:kern w:val="0"/>
                      <w:sz w:val="24"/>
                      <w:szCs w:val="24"/>
                    </w:rPr>
                    <w:t>噪声</w:t>
                  </w:r>
                </w:p>
              </w:tc>
              <w:tc>
                <w:tcPr>
                  <w:tcW w:w="839" w:type="dxa"/>
                  <w:vAlign w:val="center"/>
                </w:tcPr>
                <w:p>
                  <w:pPr>
                    <w:widowControl/>
                    <w:snapToGrid w:val="0"/>
                    <w:rPr>
                      <w:rFonts w:hint="eastAsia"/>
                      <w:kern w:val="0"/>
                      <w:sz w:val="24"/>
                      <w:szCs w:val="24"/>
                    </w:rPr>
                  </w:pPr>
                  <w:r>
                    <w:rPr>
                      <w:rFonts w:hint="eastAsia"/>
                      <w:kern w:val="0"/>
                      <w:sz w:val="24"/>
                      <w:szCs w:val="24"/>
                    </w:rPr>
                    <w:t>/</w:t>
                  </w:r>
                </w:p>
              </w:tc>
              <w:tc>
                <w:tcPr>
                  <w:tcW w:w="3047" w:type="dxa"/>
                  <w:vAlign w:val="center"/>
                </w:tcPr>
                <w:p>
                  <w:pPr>
                    <w:widowControl/>
                    <w:snapToGrid w:val="0"/>
                    <w:rPr>
                      <w:rFonts w:hint="eastAsia"/>
                      <w:kern w:val="0"/>
                      <w:sz w:val="24"/>
                      <w:szCs w:val="24"/>
                    </w:rPr>
                  </w:pPr>
                  <w:r>
                    <w:rPr>
                      <w:rFonts w:hAnsi="宋体"/>
                      <w:kern w:val="0"/>
                      <w:sz w:val="24"/>
                      <w:szCs w:val="24"/>
                    </w:rPr>
                    <w:t>变电站</w:t>
                  </w:r>
                  <w:r>
                    <w:rPr>
                      <w:kern w:val="0"/>
                      <w:sz w:val="24"/>
                      <w:szCs w:val="24"/>
                    </w:rPr>
                    <w:t>厂界噪声满足《工业企业厂界环境噪声排放标准》</w:t>
                  </w:r>
                  <w:r>
                    <w:rPr>
                      <w:rFonts w:hint="eastAsia"/>
                      <w:kern w:val="0"/>
                      <w:sz w:val="24"/>
                      <w:szCs w:val="24"/>
                    </w:rPr>
                    <w:t>（</w:t>
                  </w:r>
                  <w:r>
                    <w:rPr>
                      <w:kern w:val="0"/>
                      <w:sz w:val="24"/>
                      <w:szCs w:val="24"/>
                    </w:rPr>
                    <w:t>GB</w:t>
                  </w:r>
                  <w:r>
                    <w:rPr>
                      <w:rFonts w:hint="eastAsia"/>
                      <w:kern w:val="0"/>
                      <w:sz w:val="24"/>
                      <w:szCs w:val="24"/>
                    </w:rPr>
                    <w:t xml:space="preserve"> </w:t>
                  </w:r>
                  <w:r>
                    <w:rPr>
                      <w:kern w:val="0"/>
                      <w:sz w:val="24"/>
                      <w:szCs w:val="24"/>
                    </w:rPr>
                    <w:t>12348-2008</w:t>
                  </w:r>
                  <w:r>
                    <w:rPr>
                      <w:rFonts w:hint="eastAsia"/>
                      <w:kern w:val="0"/>
                      <w:sz w:val="24"/>
                      <w:szCs w:val="24"/>
                    </w:rPr>
                    <w:t>）</w:t>
                  </w:r>
                  <w:r>
                    <w:rPr>
                      <w:kern w:val="0"/>
                      <w:sz w:val="24"/>
                      <w:szCs w:val="24"/>
                    </w:rPr>
                    <w:t>2</w:t>
                  </w:r>
                  <w:r>
                    <w:rPr>
                      <w:rFonts w:hAnsi="宋体"/>
                      <w:kern w:val="0"/>
                      <w:sz w:val="24"/>
                      <w:szCs w:val="24"/>
                    </w:rPr>
                    <w:t>类标准要求；线路敏感点满足</w:t>
                  </w:r>
                  <w:r>
                    <w:rPr>
                      <w:kern w:val="0"/>
                      <w:sz w:val="24"/>
                      <w:szCs w:val="24"/>
                    </w:rPr>
                    <w:t>《声环境质量标准》（GB</w:t>
                  </w:r>
                  <w:r>
                    <w:rPr>
                      <w:rFonts w:hint="eastAsia"/>
                      <w:kern w:val="0"/>
                      <w:sz w:val="24"/>
                      <w:szCs w:val="24"/>
                    </w:rPr>
                    <w:t xml:space="preserve"> </w:t>
                  </w:r>
                  <w:r>
                    <w:rPr>
                      <w:kern w:val="0"/>
                      <w:sz w:val="24"/>
                      <w:szCs w:val="24"/>
                    </w:rPr>
                    <w:t>3096-2008）</w:t>
                  </w:r>
                  <w:r>
                    <w:rPr>
                      <w:rFonts w:hint="eastAsia"/>
                      <w:kern w:val="0"/>
                      <w:sz w:val="24"/>
                      <w:szCs w:val="24"/>
                    </w:rPr>
                    <w:t>相应声环境功能区要求</w:t>
                  </w:r>
                </w:p>
              </w:tc>
              <w:tc>
                <w:tcPr>
                  <w:tcW w:w="2204" w:type="dxa"/>
                  <w:vAlign w:val="center"/>
                </w:tcPr>
                <w:p>
                  <w:pPr>
                    <w:widowControl/>
                    <w:snapToGrid w:val="0"/>
                    <w:rPr>
                      <w:kern w:val="0"/>
                      <w:sz w:val="24"/>
                      <w:szCs w:val="24"/>
                    </w:rPr>
                  </w:pPr>
                  <w:r>
                    <w:rPr>
                      <w:kern w:val="0"/>
                      <w:sz w:val="24"/>
                      <w:szCs w:val="24"/>
                    </w:rPr>
                    <w:t>厂界噪声满足昼间≤60dB(A)</w:t>
                  </w:r>
                  <w:r>
                    <w:rPr>
                      <w:rFonts w:hAnsi="宋体"/>
                      <w:kern w:val="0"/>
                      <w:sz w:val="24"/>
                      <w:szCs w:val="24"/>
                    </w:rPr>
                    <w:t>，</w:t>
                  </w:r>
                  <w:r>
                    <w:rPr>
                      <w:kern w:val="0"/>
                      <w:sz w:val="24"/>
                      <w:szCs w:val="24"/>
                    </w:rPr>
                    <w:t>夜间≤50dB(A)</w:t>
                  </w:r>
                  <w:r>
                    <w:rPr>
                      <w:rFonts w:hAnsi="宋体"/>
                      <w:kern w:val="0"/>
                      <w:sz w:val="24"/>
                      <w:szCs w:val="24"/>
                    </w:rPr>
                    <w:t>；线路敏感点</w:t>
                  </w:r>
                  <w:r>
                    <w:rPr>
                      <w:kern w:val="0"/>
                      <w:sz w:val="24"/>
                      <w:szCs w:val="24"/>
                    </w:rPr>
                    <w:t>噪声满足</w:t>
                  </w:r>
                  <w:r>
                    <w:rPr>
                      <w:rFonts w:hint="eastAsia"/>
                      <w:kern w:val="0"/>
                      <w:sz w:val="24"/>
                      <w:szCs w:val="24"/>
                    </w:rPr>
                    <w:t>相应声环境功能区要求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271" w:type="dxa"/>
                  <w:vMerge w:val="continue"/>
                  <w:vAlign w:val="center"/>
                </w:tcPr>
                <w:p>
                  <w:pPr>
                    <w:widowControl/>
                    <w:jc w:val="left"/>
                    <w:rPr>
                      <w:kern w:val="0"/>
                      <w:sz w:val="24"/>
                      <w:szCs w:val="24"/>
                    </w:rPr>
                  </w:pPr>
                </w:p>
              </w:tc>
              <w:tc>
                <w:tcPr>
                  <w:tcW w:w="535" w:type="dxa"/>
                  <w:vAlign w:val="center"/>
                </w:tcPr>
                <w:p>
                  <w:pPr>
                    <w:widowControl/>
                    <w:snapToGrid w:val="0"/>
                    <w:jc w:val="center"/>
                    <w:rPr>
                      <w:kern w:val="0"/>
                      <w:sz w:val="24"/>
                      <w:szCs w:val="24"/>
                    </w:rPr>
                  </w:pPr>
                  <w:r>
                    <w:rPr>
                      <w:kern w:val="0"/>
                      <w:sz w:val="24"/>
                      <w:szCs w:val="24"/>
                    </w:rPr>
                    <w:t>5</w:t>
                  </w:r>
                </w:p>
              </w:tc>
              <w:tc>
                <w:tcPr>
                  <w:tcW w:w="859" w:type="dxa"/>
                  <w:vAlign w:val="center"/>
                </w:tcPr>
                <w:p>
                  <w:pPr>
                    <w:widowControl/>
                    <w:snapToGrid w:val="0"/>
                    <w:rPr>
                      <w:kern w:val="0"/>
                      <w:sz w:val="24"/>
                      <w:szCs w:val="24"/>
                    </w:rPr>
                  </w:pPr>
                  <w:r>
                    <w:rPr>
                      <w:rFonts w:hAnsi="宋体"/>
                      <w:kern w:val="0"/>
                      <w:sz w:val="24"/>
                      <w:szCs w:val="24"/>
                    </w:rPr>
                    <w:t>废旧蓄电池</w:t>
                  </w:r>
                </w:p>
              </w:tc>
              <w:tc>
                <w:tcPr>
                  <w:tcW w:w="6090" w:type="dxa"/>
                  <w:gridSpan w:val="3"/>
                  <w:vAlign w:val="center"/>
                </w:tcPr>
                <w:p>
                  <w:pPr>
                    <w:widowControl/>
                    <w:snapToGrid w:val="0"/>
                    <w:rPr>
                      <w:rFonts w:hint="eastAsia"/>
                      <w:kern w:val="0"/>
                      <w:sz w:val="24"/>
                      <w:szCs w:val="24"/>
                    </w:rPr>
                  </w:pPr>
                  <w:r>
                    <w:rPr>
                      <w:rFonts w:hAnsi="宋体"/>
                      <w:kern w:val="0"/>
                      <w:sz w:val="24"/>
                      <w:szCs w:val="24"/>
                    </w:rPr>
                    <w:t>按照国家危废转移、处置有关规定建立危险废物暂存场所，并交有相应资质的单位进行处置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271" w:type="dxa"/>
                  <w:vMerge w:val="continue"/>
                  <w:vAlign w:val="center"/>
                </w:tcPr>
                <w:p>
                  <w:pPr>
                    <w:widowControl/>
                    <w:jc w:val="left"/>
                    <w:rPr>
                      <w:kern w:val="0"/>
                      <w:sz w:val="24"/>
                      <w:szCs w:val="24"/>
                    </w:rPr>
                  </w:pPr>
                </w:p>
              </w:tc>
              <w:tc>
                <w:tcPr>
                  <w:tcW w:w="535" w:type="dxa"/>
                  <w:vAlign w:val="center"/>
                </w:tcPr>
                <w:p>
                  <w:pPr>
                    <w:widowControl/>
                    <w:snapToGrid w:val="0"/>
                    <w:jc w:val="center"/>
                    <w:rPr>
                      <w:kern w:val="0"/>
                      <w:sz w:val="24"/>
                      <w:szCs w:val="24"/>
                    </w:rPr>
                  </w:pPr>
                  <w:r>
                    <w:rPr>
                      <w:kern w:val="0"/>
                      <w:sz w:val="24"/>
                      <w:szCs w:val="24"/>
                    </w:rPr>
                    <w:t>6</w:t>
                  </w:r>
                </w:p>
              </w:tc>
              <w:tc>
                <w:tcPr>
                  <w:tcW w:w="859" w:type="dxa"/>
                  <w:vAlign w:val="center"/>
                </w:tcPr>
                <w:p>
                  <w:pPr>
                    <w:widowControl/>
                    <w:snapToGrid w:val="0"/>
                    <w:rPr>
                      <w:kern w:val="0"/>
                      <w:sz w:val="24"/>
                      <w:szCs w:val="24"/>
                    </w:rPr>
                  </w:pPr>
                  <w:r>
                    <w:rPr>
                      <w:kern w:val="0"/>
                      <w:sz w:val="24"/>
                      <w:szCs w:val="24"/>
                    </w:rPr>
                    <w:t>安全警示</w:t>
                  </w:r>
                </w:p>
              </w:tc>
              <w:tc>
                <w:tcPr>
                  <w:tcW w:w="839" w:type="dxa"/>
                  <w:vAlign w:val="center"/>
                </w:tcPr>
                <w:p>
                  <w:pPr>
                    <w:widowControl/>
                    <w:snapToGrid w:val="0"/>
                    <w:rPr>
                      <w:kern w:val="0"/>
                      <w:sz w:val="24"/>
                      <w:szCs w:val="24"/>
                    </w:rPr>
                  </w:pPr>
                  <w:r>
                    <w:rPr>
                      <w:kern w:val="0"/>
                      <w:sz w:val="24"/>
                      <w:szCs w:val="24"/>
                    </w:rPr>
                    <w:t>沿线安全警示标志</w:t>
                  </w:r>
                </w:p>
              </w:tc>
              <w:tc>
                <w:tcPr>
                  <w:tcW w:w="5251" w:type="dxa"/>
                  <w:gridSpan w:val="2"/>
                  <w:vAlign w:val="center"/>
                </w:tcPr>
                <w:p>
                  <w:pPr>
                    <w:widowControl/>
                    <w:snapToGrid w:val="0"/>
                    <w:rPr>
                      <w:kern w:val="0"/>
                      <w:sz w:val="24"/>
                      <w:szCs w:val="24"/>
                    </w:rPr>
                  </w:pPr>
                  <w:r>
                    <w:rPr>
                      <w:rFonts w:hAnsi="宋体"/>
                      <w:kern w:val="0"/>
                      <w:sz w:val="24"/>
                      <w:szCs w:val="24"/>
                    </w:rPr>
                    <w:t>杆塔设置标准</w:t>
                  </w:r>
                  <w:r>
                    <w:rPr>
                      <w:kern w:val="0"/>
                      <w:sz w:val="24"/>
                      <w:szCs w:val="24"/>
                    </w:rPr>
                    <w:t>“</w:t>
                  </w:r>
                  <w:r>
                    <w:rPr>
                      <w:rFonts w:hAnsi="宋体"/>
                      <w:kern w:val="0"/>
                      <w:sz w:val="24"/>
                      <w:szCs w:val="24"/>
                    </w:rPr>
                    <w:t>三牌</w:t>
                  </w:r>
                  <w:r>
                    <w:rPr>
                      <w:kern w:val="0"/>
                      <w:sz w:val="24"/>
                      <w:szCs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271" w:type="dxa"/>
                  <w:vMerge w:val="continue"/>
                  <w:vAlign w:val="center"/>
                </w:tcPr>
                <w:p>
                  <w:pPr>
                    <w:widowControl/>
                    <w:jc w:val="left"/>
                    <w:rPr>
                      <w:kern w:val="0"/>
                      <w:sz w:val="24"/>
                      <w:szCs w:val="24"/>
                    </w:rPr>
                  </w:pPr>
                </w:p>
              </w:tc>
              <w:tc>
                <w:tcPr>
                  <w:tcW w:w="535" w:type="dxa"/>
                  <w:vAlign w:val="center"/>
                </w:tcPr>
                <w:p>
                  <w:pPr>
                    <w:widowControl/>
                    <w:snapToGrid w:val="0"/>
                    <w:jc w:val="center"/>
                    <w:rPr>
                      <w:kern w:val="0"/>
                      <w:sz w:val="24"/>
                      <w:szCs w:val="24"/>
                    </w:rPr>
                  </w:pPr>
                  <w:r>
                    <w:rPr>
                      <w:kern w:val="0"/>
                      <w:sz w:val="24"/>
                      <w:szCs w:val="24"/>
                    </w:rPr>
                    <w:t>7</w:t>
                  </w:r>
                </w:p>
              </w:tc>
              <w:tc>
                <w:tcPr>
                  <w:tcW w:w="859" w:type="dxa"/>
                  <w:vAlign w:val="center"/>
                </w:tcPr>
                <w:p>
                  <w:pPr>
                    <w:widowControl/>
                    <w:snapToGrid w:val="0"/>
                    <w:rPr>
                      <w:kern w:val="0"/>
                      <w:sz w:val="24"/>
                      <w:szCs w:val="24"/>
                    </w:rPr>
                  </w:pPr>
                  <w:r>
                    <w:rPr>
                      <w:kern w:val="0"/>
                      <w:sz w:val="24"/>
                      <w:szCs w:val="24"/>
                    </w:rPr>
                    <w:t>临时占地</w:t>
                  </w:r>
                </w:p>
              </w:tc>
              <w:tc>
                <w:tcPr>
                  <w:tcW w:w="839" w:type="dxa"/>
                  <w:vAlign w:val="center"/>
                </w:tcPr>
                <w:p>
                  <w:pPr>
                    <w:widowControl/>
                    <w:snapToGrid w:val="0"/>
                    <w:rPr>
                      <w:kern w:val="0"/>
                      <w:sz w:val="24"/>
                      <w:szCs w:val="24"/>
                    </w:rPr>
                  </w:pPr>
                  <w:r>
                    <w:rPr>
                      <w:kern w:val="0"/>
                      <w:sz w:val="24"/>
                      <w:szCs w:val="24"/>
                    </w:rPr>
                    <w:t>生态恢复</w:t>
                  </w:r>
                </w:p>
              </w:tc>
              <w:tc>
                <w:tcPr>
                  <w:tcW w:w="5251" w:type="dxa"/>
                  <w:gridSpan w:val="2"/>
                  <w:vAlign w:val="center"/>
                </w:tcPr>
                <w:p>
                  <w:pPr>
                    <w:widowControl/>
                    <w:snapToGrid w:val="0"/>
                    <w:rPr>
                      <w:kern w:val="0"/>
                      <w:sz w:val="24"/>
                      <w:szCs w:val="24"/>
                    </w:rPr>
                  </w:pPr>
                  <w:r>
                    <w:rPr>
                      <w:kern w:val="0"/>
                      <w:sz w:val="24"/>
                      <w:szCs w:val="24"/>
                    </w:rPr>
                    <w:t>临时占地恢复</w:t>
                  </w:r>
                </w:p>
              </w:tc>
            </w:tr>
          </w:tbl>
          <w:p>
            <w:pPr>
              <w:spacing w:line="360" w:lineRule="auto"/>
              <w:ind w:right="86" w:rightChars="41"/>
              <w:rPr>
                <w:b/>
                <w:sz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cantSplit/>
          <w:trHeight w:val="13824" w:hRule="atLeast"/>
          <w:jc w:val="center"/>
        </w:trPr>
        <w:tc>
          <w:tcPr>
            <w:tcW w:w="9003" w:type="dxa"/>
            <w:gridSpan w:val="6"/>
            <w:vAlign w:val="top"/>
          </w:tcPr>
          <w:p>
            <w:pPr>
              <w:widowControl/>
              <w:spacing w:before="78"/>
              <w:jc w:val="center"/>
              <w:rPr>
                <w:b/>
                <w:bCs/>
                <w:kern w:val="0"/>
                <w:sz w:val="24"/>
                <w:szCs w:val="24"/>
                <w:u w:val="wave"/>
              </w:rPr>
            </w:pPr>
            <w:r>
              <w:rPr>
                <w:b/>
                <w:bCs/>
                <w:kern w:val="0"/>
                <w:sz w:val="24"/>
                <w:szCs w:val="24"/>
                <w:u w:val="wave"/>
              </w:rPr>
              <w:t>续表</w:t>
            </w:r>
            <w:r>
              <w:rPr>
                <w:rFonts w:hint="eastAsia"/>
                <w:b/>
                <w:bCs/>
                <w:kern w:val="0"/>
                <w:sz w:val="24"/>
                <w:szCs w:val="24"/>
                <w:u w:val="wave"/>
              </w:rPr>
              <w:t xml:space="preserve">28  </w:t>
            </w:r>
            <w:r>
              <w:rPr>
                <w:b/>
                <w:bCs/>
                <w:kern w:val="0"/>
                <w:sz w:val="24"/>
                <w:szCs w:val="24"/>
                <w:u w:val="wave"/>
              </w:rPr>
              <w:t>工程竣工环境保护验收一览表</w:t>
            </w:r>
          </w:p>
          <w:tbl>
            <w:tblPr>
              <w:tblStyle w:val="11"/>
              <w:tblW w:w="8757"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973"/>
              <w:gridCol w:w="475"/>
              <w:gridCol w:w="651"/>
              <w:gridCol w:w="553"/>
              <w:gridCol w:w="2949"/>
              <w:gridCol w:w="215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973" w:type="dxa"/>
                  <w:vAlign w:val="center"/>
                </w:tcPr>
                <w:p>
                  <w:pPr>
                    <w:widowControl/>
                    <w:snapToGrid w:val="0"/>
                    <w:jc w:val="center"/>
                    <w:rPr>
                      <w:kern w:val="0"/>
                      <w:sz w:val="24"/>
                      <w:szCs w:val="24"/>
                    </w:rPr>
                  </w:pPr>
                  <w:r>
                    <w:rPr>
                      <w:kern w:val="0"/>
                      <w:sz w:val="24"/>
                      <w:szCs w:val="24"/>
                    </w:rPr>
                    <w:t>项目组成</w:t>
                  </w:r>
                </w:p>
              </w:tc>
              <w:tc>
                <w:tcPr>
                  <w:tcW w:w="475" w:type="dxa"/>
                  <w:vAlign w:val="center"/>
                </w:tcPr>
                <w:p>
                  <w:pPr>
                    <w:widowControl/>
                    <w:snapToGrid w:val="0"/>
                    <w:jc w:val="center"/>
                    <w:rPr>
                      <w:kern w:val="0"/>
                      <w:sz w:val="24"/>
                      <w:szCs w:val="24"/>
                    </w:rPr>
                  </w:pPr>
                  <w:r>
                    <w:rPr>
                      <w:kern w:val="0"/>
                      <w:sz w:val="24"/>
                      <w:szCs w:val="24"/>
                    </w:rPr>
                    <w:t>序号</w:t>
                  </w:r>
                </w:p>
              </w:tc>
              <w:tc>
                <w:tcPr>
                  <w:tcW w:w="651" w:type="dxa"/>
                  <w:vAlign w:val="center"/>
                </w:tcPr>
                <w:p>
                  <w:pPr>
                    <w:widowControl/>
                    <w:snapToGrid w:val="0"/>
                    <w:jc w:val="center"/>
                    <w:rPr>
                      <w:kern w:val="0"/>
                      <w:sz w:val="24"/>
                      <w:szCs w:val="24"/>
                    </w:rPr>
                  </w:pPr>
                  <w:r>
                    <w:rPr>
                      <w:kern w:val="0"/>
                      <w:sz w:val="24"/>
                      <w:szCs w:val="24"/>
                    </w:rPr>
                    <w:t>验收类别</w:t>
                  </w:r>
                </w:p>
              </w:tc>
              <w:tc>
                <w:tcPr>
                  <w:tcW w:w="553" w:type="dxa"/>
                  <w:vAlign w:val="center"/>
                </w:tcPr>
                <w:p>
                  <w:pPr>
                    <w:widowControl/>
                    <w:snapToGrid w:val="0"/>
                    <w:jc w:val="center"/>
                    <w:rPr>
                      <w:kern w:val="0"/>
                      <w:sz w:val="24"/>
                      <w:szCs w:val="24"/>
                    </w:rPr>
                  </w:pPr>
                  <w:r>
                    <w:rPr>
                      <w:kern w:val="0"/>
                      <w:sz w:val="24"/>
                      <w:szCs w:val="24"/>
                    </w:rPr>
                    <w:t>环保设施内容</w:t>
                  </w:r>
                </w:p>
              </w:tc>
              <w:tc>
                <w:tcPr>
                  <w:tcW w:w="2949" w:type="dxa"/>
                  <w:vAlign w:val="center"/>
                </w:tcPr>
                <w:p>
                  <w:pPr>
                    <w:widowControl/>
                    <w:snapToGrid w:val="0"/>
                    <w:jc w:val="center"/>
                    <w:rPr>
                      <w:kern w:val="0"/>
                      <w:sz w:val="24"/>
                      <w:szCs w:val="24"/>
                    </w:rPr>
                  </w:pPr>
                  <w:r>
                    <w:rPr>
                      <w:kern w:val="0"/>
                      <w:sz w:val="24"/>
                      <w:szCs w:val="24"/>
                    </w:rPr>
                    <w:t>验收标准</w:t>
                  </w:r>
                </w:p>
              </w:tc>
              <w:tc>
                <w:tcPr>
                  <w:tcW w:w="2156" w:type="dxa"/>
                  <w:vAlign w:val="center"/>
                </w:tcPr>
                <w:p>
                  <w:pPr>
                    <w:widowControl/>
                    <w:snapToGrid w:val="0"/>
                    <w:jc w:val="center"/>
                    <w:rPr>
                      <w:kern w:val="0"/>
                      <w:sz w:val="24"/>
                      <w:szCs w:val="24"/>
                    </w:rPr>
                  </w:pPr>
                  <w:r>
                    <w:rPr>
                      <w:rFonts w:hint="eastAsia"/>
                      <w:kern w:val="0"/>
                      <w:sz w:val="24"/>
                      <w:szCs w:val="24"/>
                    </w:rPr>
                    <w:t>验收</w:t>
                  </w:r>
                  <w:r>
                    <w:rPr>
                      <w:kern w:val="0"/>
                      <w:sz w:val="24"/>
                      <w:szCs w:val="24"/>
                    </w:rPr>
                    <w:t>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973" w:type="dxa"/>
                  <w:vMerge w:val="restart"/>
                  <w:vAlign w:val="center"/>
                </w:tcPr>
                <w:p>
                  <w:pPr>
                    <w:widowControl/>
                    <w:snapToGrid w:val="0"/>
                    <w:jc w:val="center"/>
                    <w:rPr>
                      <w:kern w:val="0"/>
                      <w:sz w:val="24"/>
                      <w:szCs w:val="24"/>
                    </w:rPr>
                  </w:pPr>
                  <w:r>
                    <w:rPr>
                      <w:kern w:val="0"/>
                      <w:sz w:val="24"/>
                      <w:szCs w:val="24"/>
                    </w:rPr>
                    <w:t>洞口高沙110kV变电站2#主变扩建工程、、邵东黄陂桥110kV变电站主变扩建工程、邵阳县大岭110kV变电站2#主变扩建工程</w:t>
                  </w:r>
                </w:p>
              </w:tc>
              <w:tc>
                <w:tcPr>
                  <w:tcW w:w="475" w:type="dxa"/>
                  <w:vAlign w:val="center"/>
                </w:tcPr>
                <w:p>
                  <w:pPr>
                    <w:widowControl/>
                    <w:snapToGrid w:val="0"/>
                    <w:jc w:val="center"/>
                    <w:rPr>
                      <w:kern w:val="0"/>
                      <w:sz w:val="24"/>
                      <w:szCs w:val="24"/>
                    </w:rPr>
                  </w:pPr>
                  <w:r>
                    <w:rPr>
                      <w:kern w:val="0"/>
                      <w:sz w:val="24"/>
                      <w:szCs w:val="24"/>
                    </w:rPr>
                    <w:t>1</w:t>
                  </w:r>
                </w:p>
              </w:tc>
              <w:tc>
                <w:tcPr>
                  <w:tcW w:w="651" w:type="dxa"/>
                  <w:vAlign w:val="center"/>
                </w:tcPr>
                <w:p>
                  <w:pPr>
                    <w:widowControl/>
                    <w:snapToGrid w:val="0"/>
                    <w:jc w:val="center"/>
                    <w:rPr>
                      <w:kern w:val="0"/>
                      <w:sz w:val="24"/>
                      <w:szCs w:val="24"/>
                    </w:rPr>
                  </w:pPr>
                  <w:r>
                    <w:rPr>
                      <w:kern w:val="0"/>
                      <w:sz w:val="24"/>
                      <w:szCs w:val="24"/>
                    </w:rPr>
                    <w:t>生活污水</w:t>
                  </w:r>
                </w:p>
              </w:tc>
              <w:tc>
                <w:tcPr>
                  <w:tcW w:w="553" w:type="dxa"/>
                  <w:vAlign w:val="center"/>
                </w:tcPr>
                <w:p>
                  <w:pPr>
                    <w:widowControl/>
                    <w:snapToGrid w:val="0"/>
                    <w:rPr>
                      <w:kern w:val="0"/>
                      <w:sz w:val="24"/>
                      <w:szCs w:val="24"/>
                    </w:rPr>
                  </w:pPr>
                  <w:r>
                    <w:rPr>
                      <w:kern w:val="0"/>
                      <w:sz w:val="24"/>
                      <w:szCs w:val="24"/>
                    </w:rPr>
                    <w:t>化粪池</w:t>
                  </w:r>
                </w:p>
              </w:tc>
              <w:tc>
                <w:tcPr>
                  <w:tcW w:w="2949" w:type="dxa"/>
                  <w:vAlign w:val="center"/>
                </w:tcPr>
                <w:p>
                  <w:pPr>
                    <w:widowControl/>
                    <w:snapToGrid w:val="0"/>
                    <w:jc w:val="center"/>
                    <w:rPr>
                      <w:kern w:val="0"/>
                      <w:sz w:val="24"/>
                      <w:szCs w:val="24"/>
                    </w:rPr>
                  </w:pPr>
                  <w:r>
                    <w:rPr>
                      <w:rFonts w:hAnsi="宋体"/>
                      <w:kern w:val="0"/>
                      <w:sz w:val="24"/>
                      <w:szCs w:val="24"/>
                    </w:rPr>
                    <w:t>满足功能要求，定期清掏</w:t>
                  </w:r>
                </w:p>
              </w:tc>
              <w:tc>
                <w:tcPr>
                  <w:tcW w:w="2156" w:type="dxa"/>
                  <w:vAlign w:val="center"/>
                </w:tcPr>
                <w:p>
                  <w:pPr>
                    <w:widowControl/>
                    <w:snapToGrid w:val="0"/>
                    <w:rPr>
                      <w:rFonts w:hint="eastAsia"/>
                      <w:kern w:val="0"/>
                      <w:sz w:val="24"/>
                      <w:szCs w:val="24"/>
                    </w:rPr>
                  </w:pPr>
                  <w:r>
                    <w:rPr>
                      <w:kern w:val="0"/>
                      <w:sz w:val="24"/>
                      <w:szCs w:val="24"/>
                    </w:rPr>
                    <w:t>生活污水经化粪池处理后</w:t>
                  </w:r>
                  <w:r>
                    <w:rPr>
                      <w:rFonts w:hint="eastAsia"/>
                      <w:kern w:val="0"/>
                      <w:sz w:val="24"/>
                      <w:szCs w:val="24"/>
                    </w:rPr>
                    <w:t>回用于站内绿化或达标排放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973" w:type="dxa"/>
                  <w:vMerge w:val="continue"/>
                  <w:vAlign w:val="center"/>
                </w:tcPr>
                <w:p>
                  <w:pPr>
                    <w:widowControl/>
                    <w:jc w:val="left"/>
                    <w:rPr>
                      <w:kern w:val="0"/>
                      <w:sz w:val="24"/>
                      <w:szCs w:val="24"/>
                    </w:rPr>
                  </w:pPr>
                </w:p>
              </w:tc>
              <w:tc>
                <w:tcPr>
                  <w:tcW w:w="475" w:type="dxa"/>
                  <w:vAlign w:val="center"/>
                </w:tcPr>
                <w:p>
                  <w:pPr>
                    <w:widowControl/>
                    <w:snapToGrid w:val="0"/>
                    <w:jc w:val="center"/>
                    <w:rPr>
                      <w:kern w:val="0"/>
                      <w:sz w:val="24"/>
                      <w:szCs w:val="24"/>
                    </w:rPr>
                  </w:pPr>
                  <w:r>
                    <w:rPr>
                      <w:kern w:val="0"/>
                      <w:sz w:val="24"/>
                      <w:szCs w:val="24"/>
                    </w:rPr>
                    <w:t>2</w:t>
                  </w:r>
                </w:p>
              </w:tc>
              <w:tc>
                <w:tcPr>
                  <w:tcW w:w="651" w:type="dxa"/>
                  <w:vAlign w:val="center"/>
                </w:tcPr>
                <w:p>
                  <w:pPr>
                    <w:widowControl/>
                    <w:snapToGrid w:val="0"/>
                    <w:jc w:val="center"/>
                    <w:rPr>
                      <w:kern w:val="0"/>
                      <w:sz w:val="24"/>
                      <w:szCs w:val="24"/>
                    </w:rPr>
                  </w:pPr>
                  <w:r>
                    <w:rPr>
                      <w:kern w:val="0"/>
                      <w:sz w:val="24"/>
                      <w:szCs w:val="24"/>
                    </w:rPr>
                    <w:t>变压器油</w:t>
                  </w:r>
                </w:p>
              </w:tc>
              <w:tc>
                <w:tcPr>
                  <w:tcW w:w="553" w:type="dxa"/>
                  <w:vAlign w:val="center"/>
                </w:tcPr>
                <w:p>
                  <w:pPr>
                    <w:widowControl/>
                    <w:snapToGrid w:val="0"/>
                    <w:rPr>
                      <w:kern w:val="0"/>
                      <w:sz w:val="24"/>
                      <w:szCs w:val="24"/>
                    </w:rPr>
                  </w:pPr>
                  <w:r>
                    <w:rPr>
                      <w:kern w:val="0"/>
                      <w:sz w:val="24"/>
                      <w:szCs w:val="24"/>
                    </w:rPr>
                    <w:t>事故油池</w:t>
                  </w:r>
                </w:p>
              </w:tc>
              <w:tc>
                <w:tcPr>
                  <w:tcW w:w="2949" w:type="dxa"/>
                  <w:vAlign w:val="center"/>
                </w:tcPr>
                <w:p>
                  <w:pPr>
                    <w:widowControl/>
                    <w:snapToGrid w:val="0"/>
                    <w:rPr>
                      <w:kern w:val="0"/>
                      <w:sz w:val="24"/>
                      <w:szCs w:val="24"/>
                    </w:rPr>
                  </w:pPr>
                  <w:r>
                    <w:rPr>
                      <w:kern w:val="0"/>
                      <w:sz w:val="24"/>
                      <w:szCs w:val="24"/>
                    </w:rPr>
                    <w:t>是否具有油水分离装置，有效容积是否满足要求</w:t>
                  </w:r>
                </w:p>
              </w:tc>
              <w:tc>
                <w:tcPr>
                  <w:tcW w:w="2156" w:type="dxa"/>
                  <w:vAlign w:val="center"/>
                </w:tcPr>
                <w:p>
                  <w:pPr>
                    <w:widowControl/>
                    <w:snapToGrid w:val="0"/>
                    <w:rPr>
                      <w:kern w:val="0"/>
                      <w:sz w:val="24"/>
                      <w:szCs w:val="24"/>
                    </w:rPr>
                  </w:pPr>
                  <w:r>
                    <w:rPr>
                      <w:kern w:val="0"/>
                      <w:sz w:val="24"/>
                      <w:szCs w:val="24"/>
                    </w:rPr>
                    <w:t>事故废油、含油废水等危险废物委托有危废处理资质的单位处理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973" w:type="dxa"/>
                  <w:vMerge w:val="continue"/>
                  <w:vAlign w:val="center"/>
                </w:tcPr>
                <w:p>
                  <w:pPr>
                    <w:widowControl/>
                    <w:jc w:val="left"/>
                    <w:rPr>
                      <w:kern w:val="0"/>
                      <w:sz w:val="24"/>
                      <w:szCs w:val="24"/>
                    </w:rPr>
                  </w:pPr>
                </w:p>
              </w:tc>
              <w:tc>
                <w:tcPr>
                  <w:tcW w:w="475" w:type="dxa"/>
                  <w:vAlign w:val="center"/>
                </w:tcPr>
                <w:p>
                  <w:pPr>
                    <w:widowControl/>
                    <w:snapToGrid w:val="0"/>
                    <w:jc w:val="center"/>
                    <w:rPr>
                      <w:kern w:val="0"/>
                      <w:sz w:val="24"/>
                      <w:szCs w:val="24"/>
                    </w:rPr>
                  </w:pPr>
                  <w:r>
                    <w:rPr>
                      <w:kern w:val="0"/>
                      <w:sz w:val="24"/>
                      <w:szCs w:val="24"/>
                    </w:rPr>
                    <w:t>3</w:t>
                  </w:r>
                </w:p>
              </w:tc>
              <w:tc>
                <w:tcPr>
                  <w:tcW w:w="651" w:type="dxa"/>
                  <w:vAlign w:val="center"/>
                </w:tcPr>
                <w:p>
                  <w:pPr>
                    <w:widowControl/>
                    <w:snapToGrid w:val="0"/>
                    <w:jc w:val="center"/>
                    <w:rPr>
                      <w:kern w:val="0"/>
                      <w:sz w:val="24"/>
                      <w:szCs w:val="24"/>
                    </w:rPr>
                  </w:pPr>
                  <w:r>
                    <w:rPr>
                      <w:kern w:val="0"/>
                      <w:sz w:val="24"/>
                      <w:szCs w:val="24"/>
                    </w:rPr>
                    <w:t>各监测点工频电磁场</w:t>
                  </w:r>
                </w:p>
              </w:tc>
              <w:tc>
                <w:tcPr>
                  <w:tcW w:w="553" w:type="dxa"/>
                  <w:vAlign w:val="center"/>
                </w:tcPr>
                <w:p>
                  <w:pPr>
                    <w:widowControl/>
                    <w:snapToGrid w:val="0"/>
                    <w:rPr>
                      <w:rFonts w:hint="eastAsia"/>
                      <w:kern w:val="0"/>
                      <w:sz w:val="24"/>
                      <w:szCs w:val="24"/>
                    </w:rPr>
                  </w:pPr>
                  <w:r>
                    <w:rPr>
                      <w:rFonts w:hint="eastAsia"/>
                      <w:kern w:val="0"/>
                      <w:sz w:val="24"/>
                      <w:szCs w:val="24"/>
                    </w:rPr>
                    <w:t>/</w:t>
                  </w:r>
                </w:p>
              </w:tc>
              <w:tc>
                <w:tcPr>
                  <w:tcW w:w="2949" w:type="dxa"/>
                  <w:vAlign w:val="center"/>
                </w:tcPr>
                <w:p>
                  <w:pPr>
                    <w:widowControl/>
                    <w:snapToGrid w:val="0"/>
                    <w:rPr>
                      <w:kern w:val="0"/>
                      <w:sz w:val="24"/>
                      <w:szCs w:val="24"/>
                    </w:rPr>
                  </w:pPr>
                  <w:r>
                    <w:rPr>
                      <w:kern w:val="0"/>
                      <w:sz w:val="24"/>
                      <w:szCs w:val="24"/>
                    </w:rPr>
                    <w:t>工频电磁场满足《电磁环境控制限值》</w:t>
                  </w:r>
                  <w:r>
                    <w:rPr>
                      <w:rFonts w:hint="eastAsia"/>
                      <w:kern w:val="0"/>
                      <w:sz w:val="24"/>
                      <w:szCs w:val="24"/>
                    </w:rPr>
                    <w:t>（</w:t>
                  </w:r>
                  <w:r>
                    <w:rPr>
                      <w:kern w:val="0"/>
                      <w:sz w:val="24"/>
                      <w:szCs w:val="24"/>
                    </w:rPr>
                    <w:t>GB</w:t>
                  </w:r>
                  <w:r>
                    <w:rPr>
                      <w:rFonts w:hint="eastAsia"/>
                      <w:kern w:val="0"/>
                      <w:sz w:val="24"/>
                      <w:szCs w:val="24"/>
                    </w:rPr>
                    <w:t xml:space="preserve"> </w:t>
                  </w:r>
                  <w:r>
                    <w:rPr>
                      <w:kern w:val="0"/>
                      <w:sz w:val="24"/>
                      <w:szCs w:val="24"/>
                    </w:rPr>
                    <w:t>8702-2014</w:t>
                  </w:r>
                  <w:r>
                    <w:rPr>
                      <w:rFonts w:hint="eastAsia"/>
                      <w:kern w:val="0"/>
                      <w:sz w:val="24"/>
                      <w:szCs w:val="24"/>
                    </w:rPr>
                    <w:t>）要求</w:t>
                  </w:r>
                </w:p>
              </w:tc>
              <w:tc>
                <w:tcPr>
                  <w:tcW w:w="2156" w:type="dxa"/>
                  <w:vAlign w:val="center"/>
                </w:tcPr>
                <w:p>
                  <w:pPr>
                    <w:widowControl/>
                    <w:snapToGrid w:val="0"/>
                    <w:rPr>
                      <w:kern w:val="0"/>
                      <w:sz w:val="24"/>
                      <w:szCs w:val="24"/>
                    </w:rPr>
                  </w:pPr>
                  <w:r>
                    <w:rPr>
                      <w:kern w:val="0"/>
                      <w:sz w:val="24"/>
                      <w:szCs w:val="24"/>
                    </w:rPr>
                    <w:t>工频电场强度≤4000V/m</w:t>
                  </w:r>
                  <w:r>
                    <w:rPr>
                      <w:rFonts w:hAnsi="宋体"/>
                      <w:kern w:val="0"/>
                      <w:sz w:val="24"/>
                      <w:szCs w:val="24"/>
                    </w:rPr>
                    <w:t>、</w:t>
                  </w:r>
                </w:p>
                <w:p>
                  <w:pPr>
                    <w:widowControl/>
                    <w:snapToGrid w:val="0"/>
                    <w:jc w:val="left"/>
                    <w:rPr>
                      <w:kern w:val="0"/>
                      <w:sz w:val="24"/>
                      <w:szCs w:val="24"/>
                    </w:rPr>
                  </w:pPr>
                  <w:r>
                    <w:rPr>
                      <w:kern w:val="0"/>
                      <w:sz w:val="24"/>
                      <w:szCs w:val="24"/>
                    </w:rPr>
                    <w:t>工频磁感应强度≤100μT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973" w:type="dxa"/>
                  <w:vMerge w:val="continue"/>
                  <w:vAlign w:val="center"/>
                </w:tcPr>
                <w:p>
                  <w:pPr>
                    <w:widowControl/>
                    <w:jc w:val="left"/>
                    <w:rPr>
                      <w:kern w:val="0"/>
                      <w:sz w:val="24"/>
                      <w:szCs w:val="24"/>
                    </w:rPr>
                  </w:pPr>
                </w:p>
              </w:tc>
              <w:tc>
                <w:tcPr>
                  <w:tcW w:w="475" w:type="dxa"/>
                  <w:vAlign w:val="center"/>
                </w:tcPr>
                <w:p>
                  <w:pPr>
                    <w:widowControl/>
                    <w:snapToGrid w:val="0"/>
                    <w:jc w:val="center"/>
                    <w:rPr>
                      <w:kern w:val="0"/>
                      <w:sz w:val="24"/>
                      <w:szCs w:val="24"/>
                    </w:rPr>
                  </w:pPr>
                  <w:r>
                    <w:rPr>
                      <w:kern w:val="0"/>
                      <w:sz w:val="24"/>
                      <w:szCs w:val="24"/>
                    </w:rPr>
                    <w:t>4</w:t>
                  </w:r>
                </w:p>
              </w:tc>
              <w:tc>
                <w:tcPr>
                  <w:tcW w:w="651" w:type="dxa"/>
                  <w:vAlign w:val="center"/>
                </w:tcPr>
                <w:p>
                  <w:pPr>
                    <w:widowControl/>
                    <w:snapToGrid w:val="0"/>
                    <w:rPr>
                      <w:kern w:val="0"/>
                      <w:sz w:val="24"/>
                      <w:szCs w:val="24"/>
                    </w:rPr>
                  </w:pPr>
                  <w:r>
                    <w:rPr>
                      <w:kern w:val="0"/>
                      <w:sz w:val="24"/>
                      <w:szCs w:val="24"/>
                    </w:rPr>
                    <w:t>变电站厂界及敏感点噪声</w:t>
                  </w:r>
                </w:p>
              </w:tc>
              <w:tc>
                <w:tcPr>
                  <w:tcW w:w="553" w:type="dxa"/>
                  <w:vAlign w:val="center"/>
                </w:tcPr>
                <w:p>
                  <w:pPr>
                    <w:widowControl/>
                    <w:snapToGrid w:val="0"/>
                    <w:rPr>
                      <w:rFonts w:hint="eastAsia"/>
                      <w:kern w:val="0"/>
                      <w:sz w:val="24"/>
                      <w:szCs w:val="24"/>
                    </w:rPr>
                  </w:pPr>
                  <w:r>
                    <w:rPr>
                      <w:rFonts w:hint="eastAsia"/>
                      <w:kern w:val="0"/>
                      <w:sz w:val="24"/>
                      <w:szCs w:val="24"/>
                    </w:rPr>
                    <w:t>/</w:t>
                  </w:r>
                </w:p>
              </w:tc>
              <w:tc>
                <w:tcPr>
                  <w:tcW w:w="2949" w:type="dxa"/>
                  <w:vAlign w:val="center"/>
                </w:tcPr>
                <w:p>
                  <w:pPr>
                    <w:widowControl/>
                    <w:snapToGrid w:val="0"/>
                    <w:rPr>
                      <w:rFonts w:hint="eastAsia"/>
                      <w:kern w:val="0"/>
                      <w:sz w:val="24"/>
                      <w:szCs w:val="24"/>
                    </w:rPr>
                  </w:pPr>
                  <w:r>
                    <w:rPr>
                      <w:rFonts w:hAnsi="宋体"/>
                      <w:kern w:val="0"/>
                      <w:sz w:val="24"/>
                      <w:szCs w:val="24"/>
                    </w:rPr>
                    <w:t>变电站</w:t>
                  </w:r>
                  <w:r>
                    <w:rPr>
                      <w:kern w:val="0"/>
                      <w:sz w:val="24"/>
                      <w:szCs w:val="24"/>
                    </w:rPr>
                    <w:t>厂界噪声满足《工业企业厂界环境噪声排放标准》</w:t>
                  </w:r>
                  <w:r>
                    <w:rPr>
                      <w:rFonts w:hint="eastAsia"/>
                      <w:kern w:val="0"/>
                      <w:sz w:val="24"/>
                      <w:szCs w:val="24"/>
                    </w:rPr>
                    <w:t>（</w:t>
                  </w:r>
                  <w:r>
                    <w:rPr>
                      <w:kern w:val="0"/>
                      <w:sz w:val="24"/>
                      <w:szCs w:val="24"/>
                    </w:rPr>
                    <w:t>GB</w:t>
                  </w:r>
                  <w:r>
                    <w:rPr>
                      <w:rFonts w:hint="eastAsia"/>
                      <w:kern w:val="0"/>
                      <w:sz w:val="24"/>
                      <w:szCs w:val="24"/>
                    </w:rPr>
                    <w:t xml:space="preserve"> </w:t>
                  </w:r>
                  <w:r>
                    <w:rPr>
                      <w:kern w:val="0"/>
                      <w:sz w:val="24"/>
                      <w:szCs w:val="24"/>
                    </w:rPr>
                    <w:t>12348-2008</w:t>
                  </w:r>
                  <w:r>
                    <w:rPr>
                      <w:rFonts w:hint="eastAsia"/>
                      <w:kern w:val="0"/>
                      <w:sz w:val="24"/>
                      <w:szCs w:val="24"/>
                    </w:rPr>
                    <w:t>）</w:t>
                  </w:r>
                  <w:r>
                    <w:rPr>
                      <w:kern w:val="0"/>
                      <w:sz w:val="24"/>
                      <w:szCs w:val="24"/>
                    </w:rPr>
                    <w:t>2</w:t>
                  </w:r>
                  <w:r>
                    <w:rPr>
                      <w:rFonts w:hAnsi="宋体"/>
                      <w:kern w:val="0"/>
                      <w:sz w:val="24"/>
                      <w:szCs w:val="24"/>
                    </w:rPr>
                    <w:t>类标准要求；线路敏感点满足</w:t>
                  </w:r>
                  <w:r>
                    <w:rPr>
                      <w:kern w:val="0"/>
                      <w:sz w:val="24"/>
                      <w:szCs w:val="24"/>
                    </w:rPr>
                    <w:t>《声环境质量标准》（GB</w:t>
                  </w:r>
                  <w:r>
                    <w:rPr>
                      <w:rFonts w:hint="eastAsia"/>
                      <w:kern w:val="0"/>
                      <w:sz w:val="24"/>
                      <w:szCs w:val="24"/>
                    </w:rPr>
                    <w:t xml:space="preserve"> </w:t>
                  </w:r>
                  <w:r>
                    <w:rPr>
                      <w:kern w:val="0"/>
                      <w:sz w:val="24"/>
                      <w:szCs w:val="24"/>
                    </w:rPr>
                    <w:t>3096-2008）</w:t>
                  </w:r>
                  <w:r>
                    <w:rPr>
                      <w:rFonts w:hint="eastAsia"/>
                      <w:kern w:val="0"/>
                      <w:sz w:val="24"/>
                      <w:szCs w:val="24"/>
                    </w:rPr>
                    <w:t>相应声环境功能区要求</w:t>
                  </w:r>
                </w:p>
              </w:tc>
              <w:tc>
                <w:tcPr>
                  <w:tcW w:w="2156" w:type="dxa"/>
                  <w:vAlign w:val="center"/>
                </w:tcPr>
                <w:p>
                  <w:pPr>
                    <w:widowControl/>
                    <w:snapToGrid w:val="0"/>
                    <w:rPr>
                      <w:kern w:val="0"/>
                      <w:sz w:val="24"/>
                      <w:szCs w:val="24"/>
                    </w:rPr>
                  </w:pPr>
                  <w:r>
                    <w:rPr>
                      <w:kern w:val="0"/>
                      <w:sz w:val="24"/>
                      <w:szCs w:val="24"/>
                    </w:rPr>
                    <w:t>厂界噪声满足昼间≤60dB(A)</w:t>
                  </w:r>
                  <w:r>
                    <w:rPr>
                      <w:rFonts w:hAnsi="宋体"/>
                      <w:kern w:val="0"/>
                      <w:sz w:val="24"/>
                      <w:szCs w:val="24"/>
                    </w:rPr>
                    <w:t>，</w:t>
                  </w:r>
                  <w:r>
                    <w:rPr>
                      <w:kern w:val="0"/>
                      <w:sz w:val="24"/>
                      <w:szCs w:val="24"/>
                    </w:rPr>
                    <w:t>夜间≤50dB(A)</w:t>
                  </w:r>
                  <w:r>
                    <w:rPr>
                      <w:rFonts w:hAnsi="宋体"/>
                      <w:kern w:val="0"/>
                      <w:sz w:val="24"/>
                      <w:szCs w:val="24"/>
                    </w:rPr>
                    <w:t>；线路敏感点</w:t>
                  </w:r>
                  <w:r>
                    <w:rPr>
                      <w:kern w:val="0"/>
                      <w:sz w:val="24"/>
                      <w:szCs w:val="24"/>
                    </w:rPr>
                    <w:t>噪声满足</w:t>
                  </w:r>
                  <w:r>
                    <w:rPr>
                      <w:rFonts w:hint="eastAsia"/>
                      <w:kern w:val="0"/>
                      <w:sz w:val="24"/>
                      <w:szCs w:val="24"/>
                    </w:rPr>
                    <w:t>相应声环境功能区要求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1973" w:type="dxa"/>
                  <w:vMerge w:val="continue"/>
                  <w:vAlign w:val="center"/>
                </w:tcPr>
                <w:p>
                  <w:pPr>
                    <w:widowControl/>
                    <w:jc w:val="left"/>
                    <w:rPr>
                      <w:kern w:val="0"/>
                      <w:sz w:val="24"/>
                      <w:szCs w:val="24"/>
                    </w:rPr>
                  </w:pPr>
                </w:p>
              </w:tc>
              <w:tc>
                <w:tcPr>
                  <w:tcW w:w="475" w:type="dxa"/>
                  <w:vAlign w:val="center"/>
                </w:tcPr>
                <w:p>
                  <w:pPr>
                    <w:widowControl/>
                    <w:snapToGrid w:val="0"/>
                    <w:jc w:val="center"/>
                    <w:rPr>
                      <w:kern w:val="0"/>
                      <w:sz w:val="24"/>
                      <w:szCs w:val="24"/>
                    </w:rPr>
                  </w:pPr>
                  <w:r>
                    <w:rPr>
                      <w:kern w:val="0"/>
                      <w:sz w:val="24"/>
                      <w:szCs w:val="24"/>
                    </w:rPr>
                    <w:t>5</w:t>
                  </w:r>
                </w:p>
              </w:tc>
              <w:tc>
                <w:tcPr>
                  <w:tcW w:w="651" w:type="dxa"/>
                  <w:vAlign w:val="center"/>
                </w:tcPr>
                <w:p>
                  <w:pPr>
                    <w:widowControl/>
                    <w:snapToGrid w:val="0"/>
                    <w:rPr>
                      <w:kern w:val="0"/>
                      <w:sz w:val="24"/>
                      <w:szCs w:val="24"/>
                    </w:rPr>
                  </w:pPr>
                  <w:r>
                    <w:rPr>
                      <w:rFonts w:hAnsi="宋体"/>
                      <w:kern w:val="0"/>
                      <w:sz w:val="24"/>
                      <w:szCs w:val="24"/>
                    </w:rPr>
                    <w:t>废旧蓄电池</w:t>
                  </w:r>
                </w:p>
              </w:tc>
              <w:tc>
                <w:tcPr>
                  <w:tcW w:w="5658" w:type="dxa"/>
                  <w:gridSpan w:val="3"/>
                  <w:vAlign w:val="center"/>
                </w:tcPr>
                <w:p>
                  <w:pPr>
                    <w:widowControl/>
                    <w:snapToGrid w:val="0"/>
                    <w:rPr>
                      <w:rFonts w:hint="eastAsia"/>
                      <w:kern w:val="0"/>
                      <w:sz w:val="24"/>
                      <w:szCs w:val="24"/>
                    </w:rPr>
                  </w:pPr>
                  <w:r>
                    <w:rPr>
                      <w:rFonts w:hAnsi="宋体"/>
                      <w:kern w:val="0"/>
                      <w:sz w:val="24"/>
                      <w:szCs w:val="24"/>
                    </w:rPr>
                    <w:t>按照国家危废转移、处置有关规定建立危险废物暂存场所，并交有相应资质的单位进行处置</w:t>
                  </w:r>
                </w:p>
              </w:tc>
            </w:tr>
          </w:tbl>
          <w:p>
            <w:pPr>
              <w:widowControl/>
              <w:ind w:left="53" w:right="53" w:firstLine="564"/>
              <w:jc w:val="center"/>
              <w:rPr>
                <w:b/>
                <w:bCs/>
                <w:kern w:val="0"/>
                <w:sz w:val="24"/>
                <w:szCs w:val="24"/>
              </w:rPr>
            </w:pPr>
          </w:p>
        </w:tc>
      </w:tr>
    </w:tbl>
    <w:p>
      <w:pPr>
        <w:rPr>
          <w:rFonts w:eastAsia="黑体"/>
          <w:b/>
          <w:sz w:val="30"/>
        </w:rPr>
      </w:pPr>
      <w:r>
        <w:rPr>
          <w:rFonts w:eastAsia="黑体"/>
          <w:b/>
          <w:sz w:val="30"/>
        </w:rPr>
        <w:t>公众参与</w:t>
      </w:r>
    </w:p>
    <w:tbl>
      <w:tblPr>
        <w:tblStyle w:val="11"/>
        <w:tblW w:w="85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201" w:hRule="atLeast"/>
          <w:jc w:val="center"/>
        </w:trPr>
        <w:tc>
          <w:tcPr>
            <w:tcW w:w="8598" w:type="dxa"/>
            <w:tcBorders>
              <w:top w:val="single" w:color="auto" w:sz="12" w:space="0"/>
              <w:bottom w:val="single" w:color="auto" w:sz="12" w:space="0"/>
            </w:tcBorders>
            <w:vAlign w:val="top"/>
          </w:tcPr>
          <w:p>
            <w:pPr>
              <w:spacing w:line="360" w:lineRule="auto"/>
              <w:rPr>
                <w:b/>
                <w:sz w:val="28"/>
              </w:rPr>
            </w:pPr>
            <w:r>
              <w:rPr>
                <w:b/>
                <w:sz w:val="28"/>
              </w:rPr>
              <w:t>1 项目公示</w:t>
            </w:r>
          </w:p>
          <w:p>
            <w:pPr>
              <w:spacing w:line="360" w:lineRule="auto"/>
              <w:ind w:right="86" w:rightChars="41" w:firstLine="560" w:firstLineChars="200"/>
              <w:rPr>
                <w:sz w:val="28"/>
              </w:rPr>
            </w:pPr>
            <w:r>
              <w:rPr>
                <w:sz w:val="28"/>
              </w:rPr>
              <w:t>2017年5月，建设单位</w:t>
            </w:r>
            <w:r>
              <w:rPr>
                <w:rFonts w:hint="eastAsia"/>
                <w:sz w:val="28"/>
              </w:rPr>
              <w:t>和环评单位分别</w:t>
            </w:r>
            <w:r>
              <w:rPr>
                <w:sz w:val="28"/>
              </w:rPr>
              <w:t>通过网上信息公示的方式，开展了公众意见征询工作</w:t>
            </w:r>
            <w:r>
              <w:rPr>
                <w:rFonts w:hint="eastAsia"/>
                <w:sz w:val="28"/>
              </w:rPr>
              <w:t>，</w:t>
            </w:r>
            <w:r>
              <w:rPr>
                <w:sz w:val="28"/>
              </w:rPr>
              <w:t>如图12</w:t>
            </w:r>
            <w:r>
              <w:rPr>
                <w:rFonts w:hint="eastAsia"/>
                <w:sz w:val="28"/>
              </w:rPr>
              <w:t>、13</w:t>
            </w:r>
            <w:r>
              <w:rPr>
                <w:sz w:val="28"/>
              </w:rPr>
              <w:t>所示。</w:t>
            </w:r>
          </w:p>
          <w:p>
            <w:pPr>
              <w:spacing w:line="360" w:lineRule="auto"/>
              <w:ind w:right="86" w:rightChars="41"/>
              <w:rPr>
                <w:sz w:val="28"/>
              </w:rPr>
            </w:pPr>
            <w:r>
              <w:rPr>
                <w:sz w:val="28"/>
              </w:rPr>
              <w:drawing>
                <wp:inline distT="0" distB="0" distL="114300" distR="114300">
                  <wp:extent cx="5267325" cy="4473575"/>
                  <wp:effectExtent l="0" t="0" r="9525" b="3175"/>
                  <wp:docPr id="14" name="图片 48"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8" descr="000"/>
                          <pic:cNvPicPr>
                            <a:picLocks noChangeAspect="1"/>
                          </pic:cNvPicPr>
                        </pic:nvPicPr>
                        <pic:blipFill>
                          <a:blip r:embed="rId93"/>
                          <a:stretch>
                            <a:fillRect/>
                          </a:stretch>
                        </pic:blipFill>
                        <pic:spPr>
                          <a:xfrm>
                            <a:off x="0" y="0"/>
                            <a:ext cx="5267325" cy="4473575"/>
                          </a:xfrm>
                          <a:prstGeom prst="rect">
                            <a:avLst/>
                          </a:prstGeom>
                          <a:noFill/>
                          <a:ln w="9525">
                            <a:noFill/>
                          </a:ln>
                        </pic:spPr>
                      </pic:pic>
                    </a:graphicData>
                  </a:graphic>
                </wp:inline>
              </w:drawing>
            </w:r>
          </w:p>
          <w:p>
            <w:pPr>
              <w:ind w:right="86" w:rightChars="41"/>
              <w:jc w:val="center"/>
              <w:rPr>
                <w:b/>
                <w:sz w:val="24"/>
                <w:szCs w:val="24"/>
              </w:rPr>
            </w:pPr>
          </w:p>
          <w:p>
            <w:pPr>
              <w:ind w:right="86" w:rightChars="41"/>
              <w:jc w:val="center"/>
              <w:rPr>
                <w:b/>
                <w:sz w:val="24"/>
                <w:szCs w:val="24"/>
              </w:rPr>
            </w:pPr>
            <w:r>
              <w:rPr>
                <w:b/>
                <w:sz w:val="24"/>
                <w:szCs w:val="24"/>
              </w:rPr>
              <w:t>图12</w:t>
            </w:r>
            <w:r>
              <w:rPr>
                <w:rFonts w:hint="eastAsia"/>
                <w:b/>
                <w:sz w:val="24"/>
                <w:szCs w:val="24"/>
              </w:rPr>
              <w:t xml:space="preserve">  环评单位</w:t>
            </w:r>
            <w:r>
              <w:rPr>
                <w:b/>
                <w:sz w:val="24"/>
                <w:szCs w:val="24"/>
              </w:rPr>
              <w:t>环评信息公示</w:t>
            </w:r>
          </w:p>
          <w:p>
            <w:pPr>
              <w:ind w:right="86" w:rightChars="41"/>
              <w:jc w:val="center"/>
              <w:rPr>
                <w:sz w:val="28"/>
              </w:rPr>
            </w:pPr>
            <w:r>
              <w:rPr>
                <w:sz w:val="28"/>
              </w:rPr>
              <w:drawing>
                <wp:inline distT="0" distB="0" distL="114300" distR="114300">
                  <wp:extent cx="4364355" cy="8401685"/>
                  <wp:effectExtent l="0" t="0" r="17145" b="18415"/>
                  <wp:docPr id="15" name="图片 49" descr="邵阳市2017年第一批输变电工程环境影响评价信息公告 - 环评公众参与 - Eiaf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9" descr="邵阳市2017年第一批输变电工程环境影响评价信息公告 - 环评公众参与 - Eiafans"/>
                          <pic:cNvPicPr>
                            <a:picLocks noChangeAspect="1"/>
                          </pic:cNvPicPr>
                        </pic:nvPicPr>
                        <pic:blipFill>
                          <a:blip r:embed="rId94"/>
                          <a:stretch>
                            <a:fillRect/>
                          </a:stretch>
                        </pic:blipFill>
                        <pic:spPr>
                          <a:xfrm>
                            <a:off x="0" y="0"/>
                            <a:ext cx="4364355" cy="8401685"/>
                          </a:xfrm>
                          <a:prstGeom prst="rect">
                            <a:avLst/>
                          </a:prstGeom>
                          <a:noFill/>
                          <a:ln w="9525">
                            <a:noFill/>
                          </a:ln>
                        </pic:spPr>
                      </pic:pic>
                    </a:graphicData>
                  </a:graphic>
                </wp:inline>
              </w:drawing>
            </w:r>
          </w:p>
          <w:p>
            <w:pPr>
              <w:ind w:right="86" w:rightChars="41"/>
              <w:jc w:val="center"/>
              <w:rPr>
                <w:rFonts w:hint="eastAsia"/>
                <w:b/>
                <w:sz w:val="24"/>
                <w:szCs w:val="24"/>
              </w:rPr>
            </w:pPr>
            <w:r>
              <w:rPr>
                <w:b/>
                <w:sz w:val="24"/>
                <w:szCs w:val="24"/>
              </w:rPr>
              <w:t>图13</w:t>
            </w:r>
            <w:r>
              <w:rPr>
                <w:rFonts w:hint="eastAsia"/>
                <w:b/>
                <w:sz w:val="24"/>
                <w:szCs w:val="24"/>
              </w:rPr>
              <w:t xml:space="preserve">  </w:t>
            </w:r>
            <w:r>
              <w:rPr>
                <w:b/>
                <w:sz w:val="24"/>
                <w:szCs w:val="24"/>
              </w:rPr>
              <w:t>建设项目环评信息公示</w:t>
            </w:r>
          </w:p>
          <w:p>
            <w:pPr>
              <w:ind w:right="86" w:rightChars="41"/>
              <w:jc w:val="center"/>
              <w:rPr>
                <w:rFonts w:hint="eastAsia"/>
                <w:b/>
                <w:sz w:val="24"/>
                <w:szCs w:val="24"/>
              </w:rPr>
            </w:pPr>
          </w:p>
          <w:p>
            <w:pPr>
              <w:spacing w:line="360" w:lineRule="auto"/>
              <w:rPr>
                <w:b/>
                <w:sz w:val="28"/>
              </w:rPr>
            </w:pPr>
            <w:r>
              <w:rPr>
                <w:b/>
                <w:sz w:val="28"/>
              </w:rPr>
              <w:t>2 公众反馈意见</w:t>
            </w:r>
          </w:p>
          <w:p>
            <w:pPr>
              <w:spacing w:line="360" w:lineRule="auto"/>
              <w:ind w:firstLine="560" w:firstLineChars="200"/>
              <w:rPr>
                <w:sz w:val="28"/>
              </w:rPr>
            </w:pPr>
            <w:r>
              <w:rPr>
                <w:sz w:val="28"/>
              </w:rPr>
              <w:t>截至环境影响评价信息公示中确定的意见反馈截止日，</w:t>
            </w:r>
            <w:r>
              <w:rPr>
                <w:rFonts w:hint="eastAsia"/>
                <w:sz w:val="28"/>
              </w:rPr>
              <w:t>建设单位和环评单位均</w:t>
            </w:r>
            <w:r>
              <w:rPr>
                <w:sz w:val="28"/>
              </w:rPr>
              <w:t>未收到相关单位或个人关于环境影响评价信息公告的书面或其他形式的反馈意见。</w:t>
            </w:r>
          </w:p>
          <w:p>
            <w:pPr>
              <w:spacing w:line="360" w:lineRule="auto"/>
              <w:ind w:firstLine="560" w:firstLineChars="200"/>
              <w:rPr>
                <w:sz w:val="28"/>
              </w:rPr>
            </w:pPr>
          </w:p>
        </w:tc>
      </w:tr>
    </w:tbl>
    <w:p>
      <w:pPr>
        <w:rPr>
          <w:rFonts w:hint="eastAsia" w:eastAsia="黑体"/>
          <w:b/>
          <w:sz w:val="30"/>
        </w:rPr>
      </w:pPr>
    </w:p>
    <w:p>
      <w:pPr>
        <w:rPr>
          <w:rFonts w:eastAsia="黑体"/>
          <w:b/>
          <w:sz w:val="30"/>
        </w:rPr>
      </w:pPr>
      <w:r>
        <w:rPr>
          <w:rFonts w:eastAsia="黑体"/>
          <w:b/>
          <w:sz w:val="30"/>
        </w:rPr>
        <w:t>结论与建议</w:t>
      </w:r>
    </w:p>
    <w:tbl>
      <w:tblPr>
        <w:tblStyle w:val="11"/>
        <w:tblW w:w="8317"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201" w:hRule="atLeast"/>
          <w:jc w:val="center"/>
        </w:trPr>
        <w:tc>
          <w:tcPr>
            <w:tcW w:w="8317" w:type="dxa"/>
            <w:tcBorders>
              <w:top w:val="single" w:color="auto" w:sz="12" w:space="0"/>
              <w:left w:val="single" w:color="auto" w:sz="12" w:space="0"/>
              <w:bottom w:val="single" w:color="auto" w:sz="12" w:space="0"/>
              <w:right w:val="single" w:color="auto" w:sz="12" w:space="0"/>
            </w:tcBorders>
            <w:vAlign w:val="top"/>
          </w:tcPr>
          <w:p>
            <w:pPr>
              <w:spacing w:line="360" w:lineRule="auto"/>
              <w:ind w:right="86" w:rightChars="41"/>
              <w:rPr>
                <w:b/>
                <w:sz w:val="28"/>
              </w:rPr>
            </w:pPr>
            <w:r>
              <w:rPr>
                <w:b/>
                <w:sz w:val="28"/>
              </w:rPr>
              <w:t>一、结论</w:t>
            </w:r>
          </w:p>
          <w:p>
            <w:pPr>
              <w:tabs>
                <w:tab w:val="left" w:pos="720"/>
              </w:tabs>
              <w:spacing w:line="360" w:lineRule="auto"/>
              <w:ind w:firstLine="560" w:firstLineChars="200"/>
              <w:rPr>
                <w:sz w:val="28"/>
              </w:rPr>
            </w:pPr>
            <w:r>
              <w:rPr>
                <w:sz w:val="28"/>
              </w:rPr>
              <w:t>邵阳市2017年第一批输变电工程包括</w:t>
            </w:r>
            <w:r>
              <w:rPr>
                <w:kern w:val="0"/>
                <w:sz w:val="28"/>
                <w:szCs w:val="28"/>
              </w:rPr>
              <w:t>邵阳隆回县城东110kV输变电工程、邵阳洞口县高沙110kV变电站2#主变扩建工程、邵阳宝莲二期风电110kV送出工程、邵阳邵东县黄陂桥110kV变电站主变扩建工程、邵阳县大岭110kV变电站2#主变扩建工程、邵阳大唐华银绥宁宝鼎山风电二期三期110kV送出工程、隆回金坪110kV风电送出工程及邵阳六岭110kV输变电工程。</w:t>
            </w:r>
            <w:r>
              <w:rPr>
                <w:sz w:val="28"/>
              </w:rPr>
              <w:t>建设项目分别位于邵阳市大祥区、隆回县、洞口县、邵东县、邵阳县境内，现将该项目环境影响评价总结如下：</w:t>
            </w:r>
          </w:p>
          <w:p>
            <w:pPr>
              <w:spacing w:line="360" w:lineRule="auto"/>
              <w:ind w:right="86" w:rightChars="41"/>
              <w:rPr>
                <w:b/>
                <w:sz w:val="28"/>
              </w:rPr>
            </w:pPr>
            <w:r>
              <w:rPr>
                <w:b/>
                <w:sz w:val="28"/>
              </w:rPr>
              <w:t xml:space="preserve">1 </w:t>
            </w:r>
            <w:r>
              <w:rPr>
                <w:b/>
                <w:sz w:val="28"/>
                <w:lang w:val="zh-CN"/>
              </w:rPr>
              <w:t>项目建设的</w:t>
            </w:r>
            <w:r>
              <w:rPr>
                <w:b/>
                <w:sz w:val="28"/>
              </w:rPr>
              <w:t>必要性</w:t>
            </w:r>
          </w:p>
          <w:p>
            <w:pPr>
              <w:pStyle w:val="6"/>
              <w:spacing w:line="360" w:lineRule="auto"/>
              <w:ind w:firstLine="560" w:firstLineChars="200"/>
            </w:pPr>
            <w:r>
              <w:t>为了满足</w:t>
            </w:r>
            <w:r>
              <w:rPr>
                <w:lang w:eastAsia="zh-CN"/>
              </w:rPr>
              <w:t>邵阳地区用电</w:t>
            </w:r>
            <w:r>
              <w:t>负荷增长的需要，促进地方经济发展，提高供电可靠性，</w:t>
            </w:r>
            <w:r>
              <w:rPr>
                <w:lang w:val="en-US" w:eastAsia="zh-CN"/>
              </w:rPr>
              <w:t>建设邵阳市2017年第一批输变电工程十分必要。</w:t>
            </w:r>
          </w:p>
          <w:p>
            <w:pPr>
              <w:spacing w:line="360" w:lineRule="auto"/>
              <w:ind w:right="86" w:rightChars="41"/>
              <w:rPr>
                <w:b/>
                <w:sz w:val="28"/>
              </w:rPr>
            </w:pPr>
            <w:r>
              <w:rPr>
                <w:b/>
                <w:sz w:val="28"/>
              </w:rPr>
              <w:t>2 区域环境质量现状</w:t>
            </w:r>
          </w:p>
          <w:p>
            <w:pPr>
              <w:spacing w:line="360" w:lineRule="auto"/>
              <w:ind w:firstLine="540"/>
              <w:rPr>
                <w:sz w:val="28"/>
              </w:rPr>
            </w:pPr>
            <w:r>
              <w:rPr>
                <w:sz w:val="28"/>
              </w:rPr>
              <w:t>根据现场实际调查和监测，邵阳市2017年第一批输变电工程改扩建变电站站址、输电线路沿线环境保护目标的工频电场强度、工频磁感应强度现状监测值满足《电磁环境控制限值》（GB 8702-2014）要求；变电站站址噪声现状监测值满足</w:t>
            </w:r>
            <w:r>
              <w:rPr>
                <w:sz w:val="28"/>
                <w:szCs w:val="28"/>
              </w:rPr>
              <w:t>《声环境质量标准》（GB 3096-2008）环境噪声限值要求，拟建输电线路沿线</w:t>
            </w:r>
            <w:r>
              <w:rPr>
                <w:sz w:val="28"/>
              </w:rPr>
              <w:t>环境保护目标噪声现状监测值满足</w:t>
            </w:r>
            <w:r>
              <w:rPr>
                <w:sz w:val="28"/>
                <w:szCs w:val="28"/>
              </w:rPr>
              <w:t>《声环境质量标准》（GB 3096-2008）1类声环境功能区环境噪声限值要求</w:t>
            </w:r>
            <w:r>
              <w:rPr>
                <w:sz w:val="28"/>
              </w:rPr>
              <w:t>。</w:t>
            </w:r>
          </w:p>
          <w:p>
            <w:pPr>
              <w:spacing w:line="360" w:lineRule="auto"/>
              <w:ind w:right="86" w:rightChars="41"/>
              <w:rPr>
                <w:b/>
                <w:sz w:val="28"/>
              </w:rPr>
            </w:pPr>
            <w:r>
              <w:rPr>
                <w:b/>
                <w:sz w:val="28"/>
              </w:rPr>
              <w:t>3 施工期环境影响</w:t>
            </w:r>
          </w:p>
          <w:p>
            <w:pPr>
              <w:spacing w:line="360" w:lineRule="auto"/>
              <w:ind w:right="86" w:rightChars="41" w:firstLine="560" w:firstLineChars="200"/>
              <w:rPr>
                <w:sz w:val="28"/>
              </w:rPr>
            </w:pPr>
            <w:r>
              <w:rPr>
                <w:sz w:val="28"/>
              </w:rPr>
              <w:t>本次工程为输变电工程，工程建设过程产生主要环境影响为生态影响、污废水和噪声等。</w:t>
            </w:r>
          </w:p>
          <w:p>
            <w:pPr>
              <w:spacing w:line="360" w:lineRule="auto"/>
              <w:ind w:right="86" w:rightChars="41" w:firstLine="560" w:firstLineChars="200"/>
              <w:rPr>
                <w:sz w:val="28"/>
              </w:rPr>
            </w:pPr>
            <w:r>
              <w:rPr>
                <w:sz w:val="28"/>
              </w:rPr>
              <w:t>工程建设对生态的影响主要在于新建变电站、杆塔占地以及施工临时占地对原有植被的破坏。大多数占地地表植被可在施工结束后通过人工恢复为原有植被或替代植被，施工过程不会对植物的物种数量、植被类型及多样性造成明显影响。</w:t>
            </w:r>
          </w:p>
          <w:p>
            <w:pPr>
              <w:spacing w:line="360" w:lineRule="auto"/>
              <w:ind w:right="86" w:rightChars="41" w:firstLine="560" w:firstLineChars="200"/>
              <w:rPr>
                <w:sz w:val="28"/>
              </w:rPr>
            </w:pPr>
            <w:r>
              <w:rPr>
                <w:sz w:val="28"/>
              </w:rPr>
              <w:t>施工废水量较小，经隔油、沉</w:t>
            </w:r>
            <w:r>
              <w:rPr>
                <w:sz w:val="28"/>
                <w:szCs w:val="28"/>
              </w:rPr>
              <w:t>淀处理后用于道路洒水和绿化，不外排；施工人员产生的生活污水量较小，可利用附近租住民房污水处理设施处理。施工期施工废水和生活污水对区域内水环境影响较小</w:t>
            </w:r>
            <w:r>
              <w:rPr>
                <w:sz w:val="28"/>
              </w:rPr>
              <w:t>。</w:t>
            </w:r>
          </w:p>
          <w:p>
            <w:pPr>
              <w:spacing w:line="360" w:lineRule="auto"/>
              <w:ind w:right="86" w:rightChars="41" w:firstLine="560" w:firstLineChars="200"/>
              <w:rPr>
                <w:sz w:val="28"/>
              </w:rPr>
            </w:pPr>
            <w:r>
              <w:rPr>
                <w:sz w:val="28"/>
              </w:rPr>
              <w:t>施工机械产生的噪声会对线路沿线居民点产生一定影响。通过采用低噪声施工机械，合理安排施工时间，防止夜间施工，可</w:t>
            </w:r>
            <w:r>
              <w:rPr>
                <w:sz w:val="28"/>
                <w:szCs w:val="28"/>
              </w:rPr>
              <w:t>满足《建筑施工场界环境噪声排放标准》（GB 12523-2011）要求。</w:t>
            </w:r>
          </w:p>
          <w:p>
            <w:pPr>
              <w:spacing w:line="360" w:lineRule="auto"/>
              <w:ind w:right="86" w:rightChars="41"/>
              <w:rPr>
                <w:b/>
                <w:sz w:val="28"/>
              </w:rPr>
            </w:pPr>
            <w:r>
              <w:rPr>
                <w:b/>
                <w:sz w:val="28"/>
              </w:rPr>
              <w:t>4 营运期环境影响</w:t>
            </w:r>
          </w:p>
          <w:p>
            <w:pPr>
              <w:spacing w:line="360" w:lineRule="auto"/>
              <w:ind w:right="86" w:rightChars="41" w:firstLine="560" w:firstLineChars="200"/>
              <w:rPr>
                <w:sz w:val="28"/>
                <w:szCs w:val="28"/>
              </w:rPr>
            </w:pPr>
            <w:r>
              <w:rPr>
                <w:sz w:val="28"/>
                <w:szCs w:val="28"/>
              </w:rPr>
              <w:t>通过工程分析、现场调查测试、类比分析和模式预测，采取本报告表提出的环保措施后，</w:t>
            </w:r>
            <w:r>
              <w:rPr>
                <w:sz w:val="28"/>
              </w:rPr>
              <w:t>邵阳市2017年第一批输变电工程</w:t>
            </w:r>
            <w:r>
              <w:rPr>
                <w:sz w:val="28"/>
                <w:szCs w:val="28"/>
              </w:rPr>
              <w:t>营运期，</w:t>
            </w:r>
            <w:r>
              <w:rPr>
                <w:sz w:val="28"/>
              </w:rPr>
              <w:t>变电站厂界、输电线路沿线环境保护目标的工频电场强度、工频磁感应强度可满足《电磁环境控制限值》（GB 8702-2014）要求；变电站厂界噪声可满足《工业企业厂界环境噪声排放标准》（GB 12348-2008）2</w:t>
            </w:r>
            <w:r>
              <w:rPr>
                <w:sz w:val="28"/>
                <w:szCs w:val="28"/>
              </w:rPr>
              <w:t>类声环境功能区环境噪声</w:t>
            </w:r>
            <w:r>
              <w:rPr>
                <w:sz w:val="28"/>
              </w:rPr>
              <w:t>限值要求</w:t>
            </w:r>
            <w:r>
              <w:rPr>
                <w:sz w:val="28"/>
                <w:szCs w:val="28"/>
              </w:rPr>
              <w:t>，</w:t>
            </w:r>
            <w:r>
              <w:rPr>
                <w:rFonts w:hint="eastAsia"/>
                <w:sz w:val="28"/>
                <w:szCs w:val="28"/>
              </w:rPr>
              <w:t>变电站周边和</w:t>
            </w:r>
            <w:r>
              <w:rPr>
                <w:sz w:val="28"/>
                <w:szCs w:val="28"/>
              </w:rPr>
              <w:t>输电线路沿线</w:t>
            </w:r>
            <w:r>
              <w:rPr>
                <w:sz w:val="28"/>
              </w:rPr>
              <w:t>环境保护目标噪声可满足</w:t>
            </w:r>
            <w:r>
              <w:rPr>
                <w:sz w:val="28"/>
                <w:szCs w:val="28"/>
              </w:rPr>
              <w:t>《声环境质量标准》（GB 3096-2008）</w:t>
            </w:r>
            <w:r>
              <w:rPr>
                <w:rFonts w:hint="eastAsia"/>
                <w:sz w:val="28"/>
                <w:szCs w:val="28"/>
              </w:rPr>
              <w:t>相应</w:t>
            </w:r>
            <w:r>
              <w:rPr>
                <w:sz w:val="28"/>
                <w:szCs w:val="28"/>
              </w:rPr>
              <w:t>声环境功能区环境噪声限值要求</w:t>
            </w:r>
            <w:r>
              <w:rPr>
                <w:sz w:val="28"/>
              </w:rPr>
              <w:t>。</w:t>
            </w:r>
          </w:p>
          <w:p>
            <w:pPr>
              <w:pStyle w:val="6"/>
              <w:spacing w:line="360" w:lineRule="auto"/>
              <w:ind w:firstLine="560" w:firstLineChars="200"/>
              <w:rPr>
                <w:lang w:val="en-US" w:eastAsia="zh-CN"/>
              </w:rPr>
            </w:pPr>
            <w:r>
              <w:rPr>
                <w:lang w:val="en-US" w:eastAsia="zh-CN"/>
              </w:rPr>
              <w:t>总之，</w:t>
            </w:r>
            <w:r>
              <w:t>邵阳市2017年第一批输变电工程</w:t>
            </w:r>
            <w:r>
              <w:rPr>
                <w:lang w:val="en-US" w:eastAsia="zh-CN"/>
              </w:rPr>
              <w:t>的建设不存在环境制约因素，只要严格落实本报告提出的相应环保措施，工程建设对环境产生的不利影响将得到有效控制，从环境保护的角度分析，工程建设合理可行。</w:t>
            </w:r>
          </w:p>
          <w:p>
            <w:pPr>
              <w:spacing w:line="360" w:lineRule="auto"/>
              <w:ind w:right="86" w:rightChars="41"/>
              <w:rPr>
                <w:b/>
                <w:sz w:val="28"/>
              </w:rPr>
            </w:pPr>
          </w:p>
          <w:p>
            <w:pPr>
              <w:spacing w:line="360" w:lineRule="auto"/>
              <w:ind w:right="86" w:rightChars="41"/>
              <w:rPr>
                <w:b/>
                <w:sz w:val="28"/>
              </w:rPr>
            </w:pPr>
            <w:r>
              <w:rPr>
                <w:b/>
                <w:sz w:val="28"/>
              </w:rPr>
              <w:t>二、建议</w:t>
            </w:r>
          </w:p>
          <w:p>
            <w:pPr>
              <w:pStyle w:val="6"/>
              <w:spacing w:line="360" w:lineRule="auto"/>
              <w:ind w:firstLine="560" w:firstLineChars="200"/>
              <w:rPr>
                <w:lang w:val="en-US" w:eastAsia="zh-CN"/>
              </w:rPr>
            </w:pPr>
            <w:r>
              <w:rPr>
                <w:lang w:val="en-US" w:eastAsia="zh-CN"/>
              </w:rPr>
              <w:t>1  架空线路严格按照《110～750kV架空输电线路施工及验收规范》（GB 50233-2014）进行施工，在人群活动密集区域，应适当提高导线对地距离，降低线路运行期对人群的影响。</w:t>
            </w:r>
          </w:p>
          <w:p>
            <w:pPr>
              <w:pStyle w:val="6"/>
              <w:spacing w:line="360" w:lineRule="auto"/>
              <w:ind w:firstLine="560" w:firstLineChars="200"/>
              <w:rPr>
                <w:lang w:val="en-US" w:eastAsia="zh-CN"/>
              </w:rPr>
            </w:pPr>
            <w:r>
              <w:rPr>
                <w:lang w:val="en-US" w:eastAsia="zh-CN"/>
              </w:rPr>
              <w:t>2  变电站优先选用低噪声设备，合理布局变电站及其变电设备如主变、风机的位置，并采取必要的隔音降噪措施，确保变电站厂界噪声达标排放。</w:t>
            </w:r>
          </w:p>
          <w:p>
            <w:pPr>
              <w:pStyle w:val="6"/>
              <w:spacing w:line="360" w:lineRule="auto"/>
              <w:ind w:firstLine="560" w:firstLineChars="200"/>
              <w:rPr>
                <w:lang w:val="en-US" w:eastAsia="zh-CN"/>
              </w:rPr>
            </w:pPr>
            <w:r>
              <w:rPr>
                <w:lang w:val="en-US" w:eastAsia="zh-CN"/>
              </w:rPr>
              <w:t>3  加强项目建设过程中的管理，文明施工。严格落实生态保护措施，尽量减少对生态环境的影响。</w:t>
            </w:r>
          </w:p>
          <w:p>
            <w:pPr>
              <w:pStyle w:val="6"/>
              <w:spacing w:line="360" w:lineRule="auto"/>
              <w:ind w:firstLine="560" w:firstLineChars="200"/>
              <w:rPr>
                <w:lang w:val="en-US" w:eastAsia="zh-CN"/>
              </w:rPr>
            </w:pPr>
            <w:r>
              <w:rPr>
                <w:lang w:val="en-US" w:eastAsia="zh-CN"/>
              </w:rPr>
              <w:t>4  加强危险废物管理，按照危废管理有关规定对变电站废油、废蓄电池进行处置。</w:t>
            </w:r>
          </w:p>
          <w:p>
            <w:pPr>
              <w:pStyle w:val="6"/>
              <w:spacing w:line="360" w:lineRule="auto"/>
              <w:ind w:firstLine="560" w:firstLineChars="200"/>
              <w:rPr>
                <w:lang w:val="en-US" w:eastAsia="zh-CN"/>
              </w:rPr>
            </w:pPr>
            <w:r>
              <w:rPr>
                <w:lang w:val="en-US" w:eastAsia="zh-CN"/>
              </w:rPr>
              <w:t>5  加强宣传，普及电磁环境知识，预防和减少环保纠纷投诉。</w:t>
            </w:r>
          </w:p>
          <w:p>
            <w:pPr>
              <w:pStyle w:val="6"/>
              <w:spacing w:line="360" w:lineRule="auto"/>
              <w:ind w:firstLine="560" w:firstLineChars="200"/>
              <w:rPr>
                <w:lang w:val="en-US" w:eastAsia="zh-CN"/>
              </w:rPr>
            </w:pPr>
            <w:r>
              <w:rPr>
                <w:lang w:val="en-US" w:eastAsia="zh-CN"/>
              </w:rPr>
              <w:t>6  在杆塔上悬挂“高压危险、禁止攀登”等警示标志，完善线路运维管理，防止意外事故发生。</w:t>
            </w:r>
          </w:p>
          <w:p>
            <w:pPr>
              <w:pStyle w:val="6"/>
              <w:spacing w:line="360" w:lineRule="auto"/>
              <w:ind w:firstLine="560" w:firstLineChars="200"/>
              <w:rPr>
                <w:lang w:val="en-US" w:eastAsia="zh-CN"/>
              </w:rPr>
            </w:pPr>
            <w:r>
              <w:rPr>
                <w:lang w:val="en-US" w:eastAsia="zh-CN"/>
              </w:rPr>
              <w:t>7  工程投入运行后，应在规定的时间内向省环境保护厅申请工程竣工环保验收，及时办理项目竣工环保验收手续。</w:t>
            </w:r>
          </w:p>
          <w:p>
            <w:pPr>
              <w:pStyle w:val="6"/>
              <w:spacing w:line="360" w:lineRule="auto"/>
              <w:ind w:firstLine="560" w:firstLineChars="200"/>
              <w:rPr>
                <w:lang w:val="en-US" w:eastAsia="zh-CN"/>
              </w:rPr>
            </w:pPr>
          </w:p>
        </w:tc>
      </w:tr>
    </w:tbl>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Plotter">
    <w:altName w:val="Times New Roman"/>
    <w:panose1 w:val="00000000000000000000"/>
    <w:charset w:val="00"/>
    <w:family w:val="roman"/>
    <w:pitch w:val="default"/>
    <w:sig w:usb0="00000000" w:usb1="00000000" w:usb2="81718000" w:usb3="00000000" w:csb0="8175E945" w:csb1="BFF7D17E"/>
  </w:font>
  <w:font w:name="Arial">
    <w:panose1 w:val="020B0604020202020204"/>
    <w:charset w:val="00"/>
    <w:family w:val="swiss"/>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Arial Unicode MS">
    <w:panose1 w:val="020B0604020202020204"/>
    <w:charset w:val="86"/>
    <w:family w:val="roman"/>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238" w:h="298" w:hRule="exact" w:wrap="around" w:vAnchor="text" w:hAnchor="margin" w:xAlign="center" w:yAlign="top"/>
      <w:rPr>
        <w:rStyle w:val="10"/>
        <w:sz w:val="21"/>
      </w:rPr>
    </w:pPr>
    <w:r>
      <w:rPr>
        <w:sz w:val="21"/>
      </w:rPr>
      <w:fldChar w:fldCharType="begin"/>
    </w:r>
    <w:r>
      <w:rPr>
        <w:rStyle w:val="10"/>
        <w:sz w:val="21"/>
      </w:rPr>
      <w:instrText xml:space="preserve">PAGE  </w:instrText>
    </w:r>
    <w:r>
      <w:rPr>
        <w:sz w:val="21"/>
      </w:rPr>
      <w:fldChar w:fldCharType="separate"/>
    </w:r>
    <w:r>
      <w:rPr>
        <w:rStyle w:val="10"/>
        <w:sz w:val="21"/>
      </w:rPr>
      <w:t>41</w:t>
    </w:r>
    <w:r>
      <w:rPr>
        <w:sz w:val="21"/>
      </w:rPr>
      <w:fldChar w:fldCharType="end"/>
    </w:r>
  </w:p>
  <w:p>
    <w:pPr>
      <w:pStyle w:val="7"/>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0"/>
      </w:rPr>
    </w:pPr>
    <w:r>
      <w:fldChar w:fldCharType="begin"/>
    </w:r>
    <w:r>
      <w:rPr>
        <w:rStyle w:val="10"/>
      </w:rPr>
      <w:instrText xml:space="preserve">PAGE  </w:instrText>
    </w:r>
    <w:r>
      <w:fldChar w:fldCharType="separate"/>
    </w:r>
    <w:r>
      <w:rPr>
        <w:rStyle w:val="10"/>
      </w:rPr>
      <w:t>0</w:t>
    </w:r>
    <w: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0"/>
      </w:rPr>
    </w:pPr>
    <w:r>
      <w:fldChar w:fldCharType="begin"/>
    </w:r>
    <w:r>
      <w:rPr>
        <w:rStyle w:val="10"/>
      </w:rPr>
      <w:instrText xml:space="preserve">PAGE  </w:instrText>
    </w:r>
    <w:r>
      <w:fldChar w:fldCharType="separate"/>
    </w:r>
    <w:r>
      <w:rPr>
        <w:rStyle w:val="10"/>
      </w:rPr>
      <w:t>1</w:t>
    </w:r>
    <w:r>
      <w:fldChar w:fldCharType="end"/>
    </w:r>
  </w:p>
  <w:p>
    <w:pPr>
      <w:pStyle w:val="7"/>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D9331C"/>
    <w:multiLevelType w:val="multilevel"/>
    <w:tmpl w:val="59D9331C"/>
    <w:lvl w:ilvl="0" w:tentative="0">
      <w:start w:val="1"/>
      <w:numFmt w:val="decimalEnclosedCircle"/>
      <w:lvlText w:val="%1"/>
      <w:lvlJc w:val="left"/>
      <w:pPr>
        <w:ind w:left="920" w:hanging="360"/>
      </w:pPr>
      <w:rPr>
        <w:rFonts w:hint="default" w:ascii="宋体" w:hAnsi="宋体" w:cs="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732E6DD9"/>
    <w:multiLevelType w:val="multilevel"/>
    <w:tmpl w:val="732E6DD9"/>
    <w:lvl w:ilvl="0" w:tentative="0">
      <w:start w:val="1"/>
      <w:numFmt w:val="decimal"/>
      <w:lvlText w:val="%1"/>
      <w:lvlJc w:val="left"/>
      <w:pPr>
        <w:tabs>
          <w:tab w:val="left" w:pos="360"/>
        </w:tabs>
        <w:ind w:left="360" w:hanging="360"/>
      </w:pPr>
      <w:rPr>
        <w:rFonts w:hint="default"/>
      </w:rPr>
    </w:lvl>
    <w:lvl w:ilvl="1" w:tentative="0">
      <w:start w:val="1"/>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4E798D"/>
    <w:rsid w:val="0F4E798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paragraph" w:styleId="2">
    <w:name w:val="heading 2"/>
    <w:basedOn w:val="1"/>
    <w:next w:val="3"/>
    <w:unhideWhenUsed/>
    <w:qFormat/>
    <w:uiPriority w:val="0"/>
    <w:pPr>
      <w:keepNext/>
      <w:ind w:left="3858"/>
      <w:outlineLvl w:val="1"/>
    </w:pPr>
    <w:rPr>
      <w:sz w:val="28"/>
    </w:rPr>
  </w:style>
  <w:style w:type="paragraph" w:styleId="4">
    <w:name w:val="heading 3"/>
    <w:basedOn w:val="1"/>
    <w:next w:val="3"/>
    <w:unhideWhenUsed/>
    <w:qFormat/>
    <w:uiPriority w:val="0"/>
    <w:pPr>
      <w:spacing w:line="360" w:lineRule="auto"/>
      <w:outlineLvl w:val="2"/>
    </w:pPr>
    <w:rPr>
      <w:rFonts w:ascii="Plotter" w:hAnsi="Plotter"/>
      <w:sz w:val="24"/>
    </w:rPr>
  </w:style>
  <w:style w:type="character" w:default="1" w:styleId="9">
    <w:name w:val="Default Paragraph Font"/>
    <w:semiHidden/>
    <w:uiPriority w:val="0"/>
  </w:style>
  <w:style w:type="table" w:default="1" w:styleId="11">
    <w:name w:val="Normal Table"/>
    <w:semiHidden/>
    <w:uiPriority w:val="0"/>
    <w:tblPr>
      <w:tblLayout w:type="fixed"/>
      <w:tblCellMar>
        <w:top w:w="0" w:type="dxa"/>
        <w:left w:w="108" w:type="dxa"/>
        <w:bottom w:w="0" w:type="dxa"/>
        <w:right w:w="108" w:type="dxa"/>
      </w:tblCellMar>
    </w:tblPr>
  </w:style>
  <w:style w:type="paragraph" w:styleId="3">
    <w:name w:val="Normal Indent"/>
    <w:basedOn w:val="1"/>
    <w:uiPriority w:val="0"/>
    <w:pPr>
      <w:ind w:firstLine="420"/>
    </w:pPr>
  </w:style>
  <w:style w:type="paragraph" w:styleId="5">
    <w:name w:val="Body Text"/>
    <w:basedOn w:val="1"/>
    <w:uiPriority w:val="0"/>
    <w:rPr>
      <w:sz w:val="28"/>
    </w:rPr>
  </w:style>
  <w:style w:type="paragraph" w:styleId="6">
    <w:name w:val="Body Text Indent 2"/>
    <w:basedOn w:val="1"/>
    <w:uiPriority w:val="0"/>
    <w:pPr>
      <w:ind w:firstLine="522"/>
    </w:pPr>
    <w:rPr>
      <w:sz w:val="28"/>
    </w:r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bottom w:val="single" w:color="auto" w:sz="6" w:space="1"/>
      </w:pBdr>
      <w:tabs>
        <w:tab w:val="center" w:pos="4153"/>
        <w:tab w:val="right" w:pos="8306"/>
      </w:tabs>
      <w:snapToGrid w:val="0"/>
      <w:jc w:val="center"/>
    </w:pPr>
    <w:rPr>
      <w:sz w:val="18"/>
    </w:rPr>
  </w:style>
  <w:style w:type="character" w:styleId="10">
    <w:name w:val="page number"/>
    <w:basedOn w:val="9"/>
    <w:uiPriority w:val="0"/>
  </w:style>
  <w:style w:type="paragraph" w:customStyle="1" w:styleId="12">
    <w:name w:val="p0"/>
    <w:basedOn w:val="1"/>
    <w:qFormat/>
    <w:uiPriority w:val="0"/>
    <w:pPr>
      <w:widowControl/>
      <w:jc w:val="left"/>
    </w:pPr>
    <w:rPr>
      <w:kern w:val="0"/>
      <w:sz w:val="20"/>
    </w:rPr>
  </w:style>
  <w:style w:type="paragraph" w:customStyle="1" w:styleId="13">
    <w:name w:val="Plain Text"/>
    <w:basedOn w:val="1"/>
    <w:qFormat/>
    <w:uiPriority w:val="0"/>
    <w:rPr>
      <w:rFonts w:ascii="宋体" w:hAnsi="Courier New"/>
      <w:kern w:val="0"/>
      <w:sz w:val="20"/>
    </w:rPr>
  </w:style>
  <w:style w:type="paragraph" w:customStyle="1" w:styleId="14">
    <w:name w:val="表格文字"/>
    <w:basedOn w:val="5"/>
    <w:next w:val="1"/>
    <w:qFormat/>
    <w:uiPriority w:val="0"/>
    <w:pPr>
      <w:tabs>
        <w:tab w:val="left" w:pos="3720"/>
      </w:tabs>
      <w:autoSpaceDE w:val="0"/>
      <w:autoSpaceDN w:val="0"/>
      <w:adjustRightInd w:val="0"/>
      <w:spacing w:line="315" w:lineRule="exact"/>
      <w:jc w:val="center"/>
      <w:textAlignment w:val="bottom"/>
    </w:pPr>
    <w:rPr>
      <w:rFonts w:ascii="宋体" w:hAnsi="宋体"/>
      <w:kern w:val="0"/>
      <w:sz w:val="21"/>
    </w:rPr>
  </w:style>
  <w:style w:type="paragraph" w:customStyle="1" w:styleId="15">
    <w:name w:val="样式 样式 正文缩进s4标题4表正文正文非缩进图标题段1Body Text(ch)缩进ALT+Z特点四号正文不... + 首行缩..."/>
    <w:basedOn w:val="1"/>
    <w:qFormat/>
    <w:uiPriority w:val="0"/>
    <w:pPr>
      <w:ind w:firstLine="480" w:firstLineChars="200"/>
    </w:pPr>
    <w:rPr>
      <w:rFonts w:ascii="宋体" w:hAnsi="宋体" w:eastAsia="仿宋_GB2312" w:cs="宋体"/>
      <w:kern w:val="0"/>
      <w:sz w:val="24"/>
    </w:rPr>
  </w:style>
  <w:style w:type="paragraph" w:customStyle="1" w:styleId="16">
    <w:name w:val="样式 正文缩进s4标题4表正文正文非缩进图标题段1Body Text(ch)缩进ALT+Z特点四号正文不...3"/>
    <w:basedOn w:val="3"/>
    <w:uiPriority w:val="0"/>
    <w:pPr>
      <w:ind w:firstLineChars="200"/>
    </w:pPr>
    <w:rPr>
      <w:rFonts w:ascii="宋体" w:eastAsia="仿宋_GB2312" w:cs="宋体"/>
      <w:kern w:val="0"/>
      <w:sz w:val="24"/>
    </w:rPr>
  </w:style>
  <w:style w:type="character" w:customStyle="1" w:styleId="17">
    <w:name w:val="样式 正文缩进s4标题4表正文正文非缩进图标题段1Body Text(ch)缩进ALT+Z特点四号正文不...2 Char"/>
    <w:link w:val="18"/>
    <w:uiPriority w:val="0"/>
    <w:rPr>
      <w:rFonts w:ascii="宋体" w:eastAsia="仿宋_GB2312"/>
      <w:kern w:val="0"/>
      <w:sz w:val="24"/>
    </w:rPr>
  </w:style>
  <w:style w:type="paragraph" w:customStyle="1" w:styleId="18">
    <w:name w:val="样式 正文缩进s4标题4表正文正文非缩进图标题段1Body Text(ch)缩进ALT+Z特点四号正文不...2"/>
    <w:basedOn w:val="3"/>
    <w:link w:val="17"/>
    <w:qFormat/>
    <w:uiPriority w:val="0"/>
    <w:pPr>
      <w:ind w:firstLine="200" w:firstLineChars="200"/>
    </w:pPr>
    <w:rPr>
      <w:rFonts w:ascii="宋体" w:eastAsia="仿宋_GB2312"/>
      <w:kern w:val="0"/>
      <w:sz w:val="24"/>
    </w:rPr>
  </w:style>
  <w:style w:type="paragraph" w:customStyle="1" w:styleId="19">
    <w:name w:val="样式 正文缩进s4标题4表正文正文非缩进图标题段1Body Text(ch)缩进ALT+Z特点四号正文不...1"/>
    <w:basedOn w:val="3"/>
    <w:qFormat/>
    <w:uiPriority w:val="0"/>
    <w:pPr>
      <w:ind w:firstLine="840" w:firstLineChars="400"/>
    </w:pPr>
    <w:rPr>
      <w:rFonts w:ascii="宋体" w:hAnsi="宋体" w:eastAsia="仿宋_GB2312" w:cs="宋体"/>
      <w:kern w:val="0"/>
      <w:sz w:val="24"/>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50.png"/><Relationship Id="rId93" Type="http://schemas.openxmlformats.org/officeDocument/2006/relationships/image" Target="media/image49.jpeg"/><Relationship Id="rId92" Type="http://schemas.openxmlformats.org/officeDocument/2006/relationships/image" Target="media/image48.jpeg"/><Relationship Id="rId91" Type="http://schemas.openxmlformats.org/officeDocument/2006/relationships/image" Target="media/image47.wmf"/><Relationship Id="rId90" Type="http://schemas.openxmlformats.org/officeDocument/2006/relationships/oleObject" Target="embeddings/oleObject37.bin"/><Relationship Id="rId9" Type="http://schemas.openxmlformats.org/officeDocument/2006/relationships/oleObject" Target="embeddings/oleObject1.bin"/><Relationship Id="rId89" Type="http://schemas.openxmlformats.org/officeDocument/2006/relationships/image" Target="media/image46.wmf"/><Relationship Id="rId88" Type="http://schemas.openxmlformats.org/officeDocument/2006/relationships/oleObject" Target="embeddings/oleObject36.bin"/><Relationship Id="rId87" Type="http://schemas.openxmlformats.org/officeDocument/2006/relationships/image" Target="media/image45.wmf"/><Relationship Id="rId86" Type="http://schemas.openxmlformats.org/officeDocument/2006/relationships/oleObject" Target="embeddings/oleObject35.bin"/><Relationship Id="rId85" Type="http://schemas.openxmlformats.org/officeDocument/2006/relationships/image" Target="media/image44.wmf"/><Relationship Id="rId84" Type="http://schemas.openxmlformats.org/officeDocument/2006/relationships/oleObject" Target="embeddings/oleObject34.bin"/><Relationship Id="rId83" Type="http://schemas.openxmlformats.org/officeDocument/2006/relationships/image" Target="media/image43.wmf"/><Relationship Id="rId82" Type="http://schemas.openxmlformats.org/officeDocument/2006/relationships/oleObject" Target="embeddings/oleObject33.bin"/><Relationship Id="rId81" Type="http://schemas.openxmlformats.org/officeDocument/2006/relationships/image" Target="media/image42.wmf"/><Relationship Id="rId80" Type="http://schemas.openxmlformats.org/officeDocument/2006/relationships/oleObject" Target="embeddings/oleObject32.bin"/><Relationship Id="rId8" Type="http://schemas.openxmlformats.org/officeDocument/2006/relationships/image" Target="media/image1.png"/><Relationship Id="rId79" Type="http://schemas.openxmlformats.org/officeDocument/2006/relationships/image" Target="media/image41.wmf"/><Relationship Id="rId78" Type="http://schemas.openxmlformats.org/officeDocument/2006/relationships/oleObject" Target="embeddings/oleObject31.bin"/><Relationship Id="rId77" Type="http://schemas.openxmlformats.org/officeDocument/2006/relationships/image" Target="media/image40.wmf"/><Relationship Id="rId76" Type="http://schemas.openxmlformats.org/officeDocument/2006/relationships/oleObject" Target="embeddings/oleObject30.bin"/><Relationship Id="rId75" Type="http://schemas.openxmlformats.org/officeDocument/2006/relationships/image" Target="media/image39.wmf"/><Relationship Id="rId74" Type="http://schemas.openxmlformats.org/officeDocument/2006/relationships/oleObject" Target="embeddings/oleObject29.bin"/><Relationship Id="rId73" Type="http://schemas.openxmlformats.org/officeDocument/2006/relationships/image" Target="media/image38.emf"/><Relationship Id="rId72" Type="http://schemas.openxmlformats.org/officeDocument/2006/relationships/image" Target="media/image37.emf"/><Relationship Id="rId71" Type="http://schemas.openxmlformats.org/officeDocument/2006/relationships/image" Target="media/image36.emf"/><Relationship Id="rId70" Type="http://schemas.openxmlformats.org/officeDocument/2006/relationships/image" Target="media/image35.emf"/><Relationship Id="rId7" Type="http://schemas.openxmlformats.org/officeDocument/2006/relationships/theme" Target="theme/theme1.xml"/><Relationship Id="rId69" Type="http://schemas.openxmlformats.org/officeDocument/2006/relationships/image" Target="media/image34.jpeg"/><Relationship Id="rId68" Type="http://schemas.openxmlformats.org/officeDocument/2006/relationships/image" Target="media/image33.wmf"/><Relationship Id="rId67" Type="http://schemas.openxmlformats.org/officeDocument/2006/relationships/oleObject" Target="embeddings/oleObject28.bin"/><Relationship Id="rId66" Type="http://schemas.openxmlformats.org/officeDocument/2006/relationships/image" Target="media/image32.wmf"/><Relationship Id="rId65" Type="http://schemas.openxmlformats.org/officeDocument/2006/relationships/oleObject" Target="embeddings/oleObject27.bin"/><Relationship Id="rId64" Type="http://schemas.openxmlformats.org/officeDocument/2006/relationships/image" Target="media/image31.wmf"/><Relationship Id="rId63" Type="http://schemas.openxmlformats.org/officeDocument/2006/relationships/oleObject" Target="embeddings/oleObject26.bin"/><Relationship Id="rId62" Type="http://schemas.openxmlformats.org/officeDocument/2006/relationships/image" Target="media/image30.wmf"/><Relationship Id="rId61" Type="http://schemas.openxmlformats.org/officeDocument/2006/relationships/oleObject" Target="embeddings/oleObject25.bin"/><Relationship Id="rId60" Type="http://schemas.openxmlformats.org/officeDocument/2006/relationships/image" Target="media/image29.wmf"/><Relationship Id="rId6" Type="http://schemas.openxmlformats.org/officeDocument/2006/relationships/footer" Target="footer3.xml"/><Relationship Id="rId59" Type="http://schemas.openxmlformats.org/officeDocument/2006/relationships/oleObject" Target="embeddings/oleObject24.bin"/><Relationship Id="rId58" Type="http://schemas.openxmlformats.org/officeDocument/2006/relationships/image" Target="media/image28.wmf"/><Relationship Id="rId57" Type="http://schemas.openxmlformats.org/officeDocument/2006/relationships/oleObject" Target="embeddings/oleObject23.bin"/><Relationship Id="rId56" Type="http://schemas.openxmlformats.org/officeDocument/2006/relationships/image" Target="media/image27.wmf"/><Relationship Id="rId55" Type="http://schemas.openxmlformats.org/officeDocument/2006/relationships/oleObject" Target="embeddings/oleObject22.bin"/><Relationship Id="rId54" Type="http://schemas.openxmlformats.org/officeDocument/2006/relationships/image" Target="media/image26.wmf"/><Relationship Id="rId53" Type="http://schemas.openxmlformats.org/officeDocument/2006/relationships/oleObject" Target="embeddings/oleObject21.bin"/><Relationship Id="rId52" Type="http://schemas.openxmlformats.org/officeDocument/2006/relationships/image" Target="media/image25.wmf"/><Relationship Id="rId51" Type="http://schemas.openxmlformats.org/officeDocument/2006/relationships/oleObject" Target="embeddings/oleObject20.bin"/><Relationship Id="rId50" Type="http://schemas.openxmlformats.org/officeDocument/2006/relationships/image" Target="media/image24.wmf"/><Relationship Id="rId5" Type="http://schemas.openxmlformats.org/officeDocument/2006/relationships/footer" Target="footer2.xml"/><Relationship Id="rId49" Type="http://schemas.openxmlformats.org/officeDocument/2006/relationships/oleObject" Target="embeddings/oleObject19.bin"/><Relationship Id="rId48" Type="http://schemas.openxmlformats.org/officeDocument/2006/relationships/image" Target="media/image23.wmf"/><Relationship Id="rId47" Type="http://schemas.openxmlformats.org/officeDocument/2006/relationships/oleObject" Target="embeddings/oleObject18.bin"/><Relationship Id="rId46" Type="http://schemas.openxmlformats.org/officeDocument/2006/relationships/image" Target="media/image22.wmf"/><Relationship Id="rId45" Type="http://schemas.openxmlformats.org/officeDocument/2006/relationships/oleObject" Target="embeddings/oleObject17.bin"/><Relationship Id="rId44" Type="http://schemas.openxmlformats.org/officeDocument/2006/relationships/image" Target="media/image21.wmf"/><Relationship Id="rId43" Type="http://schemas.openxmlformats.org/officeDocument/2006/relationships/oleObject" Target="embeddings/oleObject16.bin"/><Relationship Id="rId42" Type="http://schemas.openxmlformats.org/officeDocument/2006/relationships/image" Target="media/image20.wmf"/><Relationship Id="rId41" Type="http://schemas.openxmlformats.org/officeDocument/2006/relationships/oleObject" Target="embeddings/oleObject15.bin"/><Relationship Id="rId40" Type="http://schemas.openxmlformats.org/officeDocument/2006/relationships/image" Target="media/image19.wmf"/><Relationship Id="rId4" Type="http://schemas.openxmlformats.org/officeDocument/2006/relationships/footer" Target="footer1.xml"/><Relationship Id="rId39" Type="http://schemas.openxmlformats.org/officeDocument/2006/relationships/oleObject" Target="embeddings/oleObject14.bin"/><Relationship Id="rId38" Type="http://schemas.openxmlformats.org/officeDocument/2006/relationships/image" Target="media/image18.wmf"/><Relationship Id="rId37" Type="http://schemas.openxmlformats.org/officeDocument/2006/relationships/oleObject" Target="embeddings/oleObject13.bin"/><Relationship Id="rId36" Type="http://schemas.openxmlformats.org/officeDocument/2006/relationships/image" Target="media/image17.wmf"/><Relationship Id="rId35" Type="http://schemas.openxmlformats.org/officeDocument/2006/relationships/oleObject" Target="embeddings/oleObject12.bin"/><Relationship Id="rId34" Type="http://schemas.openxmlformats.org/officeDocument/2006/relationships/image" Target="media/image16.wmf"/><Relationship Id="rId33" Type="http://schemas.openxmlformats.org/officeDocument/2006/relationships/oleObject" Target="embeddings/oleObject11.bin"/><Relationship Id="rId32" Type="http://schemas.openxmlformats.org/officeDocument/2006/relationships/image" Target="media/image15.wmf"/><Relationship Id="rId31" Type="http://schemas.openxmlformats.org/officeDocument/2006/relationships/oleObject" Target="embeddings/oleObject10.bin"/><Relationship Id="rId30" Type="http://schemas.openxmlformats.org/officeDocument/2006/relationships/image" Target="media/image14.wmf"/><Relationship Id="rId3" Type="http://schemas.openxmlformats.org/officeDocument/2006/relationships/header" Target="header1.xml"/><Relationship Id="rId29" Type="http://schemas.openxmlformats.org/officeDocument/2006/relationships/oleObject" Target="embeddings/oleObject9.bin"/><Relationship Id="rId28" Type="http://schemas.openxmlformats.org/officeDocument/2006/relationships/image" Target="media/image13.wmf"/><Relationship Id="rId27" Type="http://schemas.openxmlformats.org/officeDocument/2006/relationships/oleObject" Target="embeddings/oleObject8.bin"/><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wmf"/><Relationship Id="rId23" Type="http://schemas.openxmlformats.org/officeDocument/2006/relationships/oleObject" Target="embeddings/oleObject7.bin"/><Relationship Id="rId22" Type="http://schemas.openxmlformats.org/officeDocument/2006/relationships/image" Target="media/image9.wmf"/><Relationship Id="rId21" Type="http://schemas.openxmlformats.org/officeDocument/2006/relationships/oleObject" Target="embeddings/oleObject6.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7.wmf"/><Relationship Id="rId17" Type="http://schemas.openxmlformats.org/officeDocument/2006/relationships/oleObject" Target="embeddings/oleObject4.bin"/><Relationship Id="rId16" Type="http://schemas.openxmlformats.org/officeDocument/2006/relationships/image" Target="media/image6.wmf"/><Relationship Id="rId15" Type="http://schemas.openxmlformats.org/officeDocument/2006/relationships/oleObject" Target="embeddings/oleObject3.bin"/><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oleObject" Target="embeddings/oleObject2.bin"/><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2017-06-26T03:11:00Z</dcterms:created>
  <dc:creator>Administrator</dc:creator>
  <cp:lastModifiedBy>Administrator</cp:lastModifiedBy>
  <dcterms:modified xsi:type="dcterms:W3CDTF">2017-06-26T07:40:57Z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