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bCs/>
          <w:sz w:val="32"/>
          <w:szCs w:val="32"/>
          <w:lang w:val="en-US" w:eastAsia="zh-CN"/>
        </w:rPr>
      </w:pPr>
      <w:bookmarkStart w:id="0" w:name="_Toc384303194"/>
      <w:bookmarkStart w:id="1" w:name="_Toc384805333"/>
      <w:bookmarkStart w:id="2" w:name="_Toc369705718"/>
      <w:bookmarkStart w:id="3" w:name="_Toc417906445"/>
      <w:bookmarkStart w:id="4" w:name="_Toc391903642"/>
      <w:bookmarkStart w:id="5" w:name="_Toc376176688"/>
      <w:bookmarkStart w:id="6" w:name="_Toc394321641"/>
      <w:bookmarkStart w:id="7" w:name="_Toc406166627"/>
      <w:bookmarkStart w:id="8" w:name="_Toc375312663"/>
      <w:bookmarkStart w:id="9" w:name="_Toc421802294"/>
      <w:bookmarkStart w:id="10" w:name="_Toc386300412"/>
      <w:bookmarkStart w:id="11" w:name="_Toc375422438"/>
      <w:r>
        <w:rPr>
          <w:rFonts w:hint="default" w:ascii="Times New Roman" w:hAnsi="Times New Roman" w:cs="Times New Roman"/>
          <w:b/>
          <w:bCs/>
          <w:sz w:val="32"/>
          <w:szCs w:val="32"/>
          <w:lang w:val="en-US" w:eastAsia="zh-CN"/>
        </w:rPr>
        <w:t>修改清单</w:t>
      </w:r>
    </w:p>
    <w:tbl>
      <w:tblPr>
        <w:tblStyle w:val="1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3833"/>
        <w:gridCol w:w="1900"/>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序号</w:t>
            </w:r>
          </w:p>
        </w:tc>
        <w:tc>
          <w:tcPr>
            <w:tcW w:w="383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会议纪要</w:t>
            </w:r>
          </w:p>
        </w:tc>
        <w:tc>
          <w:tcPr>
            <w:tcW w:w="19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修改位置</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修改内容或说明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1</w:t>
            </w:r>
          </w:p>
        </w:tc>
        <w:tc>
          <w:tcPr>
            <w:tcW w:w="383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核实发射系统技术参数</w:t>
            </w:r>
          </w:p>
        </w:tc>
        <w:tc>
          <w:tcPr>
            <w:tcW w:w="19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P</w:t>
            </w:r>
            <w:r>
              <w:rPr>
                <w:rFonts w:hint="eastAsia" w:ascii="Times New Roman" w:hAnsi="Times New Roman" w:cs="Times New Roman"/>
                <w:b w:val="0"/>
                <w:bCs w:val="0"/>
                <w:sz w:val="28"/>
                <w:szCs w:val="28"/>
                <w:vertAlign w:val="baseline"/>
                <w:lang w:val="en-US" w:eastAsia="zh-CN"/>
              </w:rPr>
              <w:t>5-P6，P41</w:t>
            </w:r>
          </w:p>
        </w:tc>
        <w:tc>
          <w:tcPr>
            <w:tcW w:w="289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已核实发射系统技术参数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2</w:t>
            </w:r>
          </w:p>
        </w:tc>
        <w:tc>
          <w:tcPr>
            <w:tcW w:w="3833"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eastAsia"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完善对电磁辐射结论的描述，补充景观评价</w:t>
            </w:r>
          </w:p>
        </w:tc>
        <w:tc>
          <w:tcPr>
            <w:tcW w:w="190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P47，P35-P37</w:t>
            </w:r>
          </w:p>
        </w:tc>
        <w:tc>
          <w:tcPr>
            <w:tcW w:w="289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已完善对电磁辐射结论的描述，已补充景观评价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3</w:t>
            </w:r>
          </w:p>
        </w:tc>
        <w:tc>
          <w:tcPr>
            <w:tcW w:w="3833"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强化噪声治理和生态保护措施，完善“三同时”登记表和公示情况</w:t>
            </w:r>
          </w:p>
        </w:tc>
        <w:tc>
          <w:tcPr>
            <w:tcW w:w="190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P40，P49，P53</w:t>
            </w:r>
          </w:p>
        </w:tc>
        <w:tc>
          <w:tcPr>
            <w:tcW w:w="289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已</w:t>
            </w:r>
            <w:r>
              <w:rPr>
                <w:rFonts w:hint="eastAsia" w:ascii="Times New Roman" w:hAnsi="Times New Roman" w:cs="Times New Roman"/>
                <w:b w:val="0"/>
                <w:bCs w:val="0"/>
                <w:sz w:val="28"/>
                <w:szCs w:val="28"/>
                <w:vertAlign w:val="baseline"/>
                <w:lang w:val="en-US" w:eastAsia="zh-CN"/>
              </w:rPr>
              <w:t>强化噪声治理和生态保护措施，已完善“三同时”登记表和公示情况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4</w:t>
            </w:r>
          </w:p>
        </w:tc>
        <w:tc>
          <w:tcPr>
            <w:tcW w:w="3833"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补充原烈士陵园广播电视发射塔拆除后的情况</w:t>
            </w:r>
          </w:p>
        </w:tc>
        <w:tc>
          <w:tcPr>
            <w:tcW w:w="190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P1</w:t>
            </w:r>
          </w:p>
        </w:tc>
        <w:tc>
          <w:tcPr>
            <w:tcW w:w="289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已补充原烈士陵园广播电视发射塔拆除后的情况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5</w:t>
            </w:r>
          </w:p>
        </w:tc>
        <w:tc>
          <w:tcPr>
            <w:tcW w:w="3833"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完善运营期污水处理措施</w:t>
            </w:r>
          </w:p>
        </w:tc>
        <w:tc>
          <w:tcPr>
            <w:tcW w:w="190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P</w:t>
            </w:r>
            <w:r>
              <w:rPr>
                <w:rFonts w:hint="eastAsia" w:ascii="Times New Roman" w:hAnsi="Times New Roman" w:cs="Times New Roman"/>
                <w:b w:val="0"/>
                <w:bCs w:val="0"/>
                <w:sz w:val="28"/>
                <w:szCs w:val="28"/>
                <w:vertAlign w:val="baseline"/>
                <w:lang w:val="en-US" w:eastAsia="zh-CN"/>
              </w:rPr>
              <w:t>28</w:t>
            </w:r>
          </w:p>
        </w:tc>
        <w:tc>
          <w:tcPr>
            <w:tcW w:w="289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default" w:ascii="Times New Roman" w:hAnsi="Times New Roman" w:cs="Times New Roman"/>
                <w:b w:val="0"/>
                <w:bCs w:val="0"/>
                <w:sz w:val="28"/>
                <w:szCs w:val="28"/>
                <w:vertAlign w:val="baseline"/>
                <w:lang w:val="en-US" w:eastAsia="zh-CN"/>
              </w:rPr>
              <w:t>已完善运营期污水处理措施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6</w:t>
            </w:r>
          </w:p>
        </w:tc>
        <w:tc>
          <w:tcPr>
            <w:tcW w:w="3833"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eastAsia"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补充供水电进站情况</w:t>
            </w:r>
          </w:p>
        </w:tc>
        <w:tc>
          <w:tcPr>
            <w:tcW w:w="190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eastAsia"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P7-P8</w:t>
            </w:r>
          </w:p>
        </w:tc>
        <w:tc>
          <w:tcPr>
            <w:tcW w:w="2890" w:type="dxa"/>
            <w:textDirection w:val="lrTb"/>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eastAsia" w:ascii="Times New Roman" w:hAnsi="Times New Roman" w:cs="Times New Roman"/>
                <w:b w:val="0"/>
                <w:bCs w:val="0"/>
                <w:sz w:val="28"/>
                <w:szCs w:val="28"/>
                <w:vertAlign w:val="baseline"/>
                <w:lang w:val="en-US" w:eastAsia="zh-CN"/>
              </w:rPr>
            </w:pPr>
            <w:r>
              <w:rPr>
                <w:rFonts w:hint="eastAsia" w:ascii="Times New Roman" w:hAnsi="Times New Roman" w:cs="Times New Roman"/>
                <w:b w:val="0"/>
                <w:bCs w:val="0"/>
                <w:sz w:val="28"/>
                <w:szCs w:val="28"/>
                <w:vertAlign w:val="baseline"/>
                <w:lang w:val="en-US" w:eastAsia="zh-CN"/>
              </w:rPr>
              <w:t>已补充供水电进站情况</w:t>
            </w:r>
          </w:p>
        </w:tc>
      </w:tr>
    </w:tbl>
    <w:p>
      <w:pPr>
        <w:ind w:left="-359" w:leftChars="-171" w:right="-372" w:rightChars="-177" w:firstLine="321" w:firstLineChars="100"/>
        <w:jc w:val="center"/>
        <w:rPr>
          <w:rFonts w:hint="default" w:ascii="Times New Roman" w:hAnsi="Times New Roman" w:eastAsia="黑体" w:cs="Times New Roman"/>
          <w:b/>
          <w:bCs/>
          <w:color w:val="auto"/>
          <w:sz w:val="32"/>
        </w:rPr>
      </w:pPr>
      <w:bookmarkStart w:id="160" w:name="_GoBack"/>
      <w:bookmarkEnd w:id="160"/>
      <w:r>
        <w:rPr>
          <w:rFonts w:hint="default" w:ascii="Times New Roman" w:hAnsi="Times New Roman" w:eastAsia="黑体" w:cs="Times New Roman"/>
          <w:b/>
          <w:bCs/>
          <w:color w:val="auto"/>
          <w:sz w:val="32"/>
        </w:rPr>
        <w:t>目  录</w:t>
      </w:r>
      <w:bookmarkEnd w:id="0"/>
      <w:bookmarkEnd w:id="1"/>
      <w:bookmarkEnd w:id="2"/>
      <w:bookmarkEnd w:id="3"/>
      <w:bookmarkEnd w:id="4"/>
      <w:bookmarkEnd w:id="5"/>
      <w:bookmarkEnd w:id="6"/>
      <w:bookmarkEnd w:id="7"/>
      <w:bookmarkEnd w:id="8"/>
      <w:bookmarkEnd w:id="9"/>
      <w:bookmarkEnd w:id="10"/>
      <w:bookmarkEnd w:id="11"/>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eastAsia="黑体" w:cs="Times New Roman"/>
          <w:b/>
          <w:bCs/>
          <w:color w:val="auto"/>
          <w:sz w:val="24"/>
        </w:rPr>
        <w:fldChar w:fldCharType="begin"/>
      </w:r>
      <w:r>
        <w:rPr>
          <w:rFonts w:hint="default" w:ascii="Times New Roman" w:hAnsi="Times New Roman" w:eastAsia="黑体" w:cs="Times New Roman"/>
          <w:b/>
          <w:bCs/>
          <w:color w:val="auto"/>
          <w:sz w:val="24"/>
        </w:rPr>
        <w:instrText xml:space="preserve">TOC \o "1-1" \h \u </w:instrText>
      </w:r>
      <w:r>
        <w:rPr>
          <w:rFonts w:hint="default" w:ascii="Times New Roman" w:hAnsi="Times New Roman" w:eastAsia="黑体" w:cs="Times New Roman"/>
          <w:b/>
          <w:bCs/>
          <w:color w:val="auto"/>
          <w:sz w:val="24"/>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"_Toc27312"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4"/>
        </w:rPr>
        <w:t>建设项目基本情况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_Toc27312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- 1 -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"_Toc254"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4"/>
        </w:rPr>
        <w:t>建设项目所在地自然环境社会环境简况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_Toc254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- 10 -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"_Toc856"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4"/>
        </w:rPr>
        <w:t>环境质量状况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_Toc856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- 14 -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"_Toc11498" </w:instrText>
      </w:r>
      <w:r>
        <w:rPr>
          <w:rFonts w:hint="default" w:ascii="Times New Roman" w:hAnsi="Times New Roman" w:cs="Times New Roman"/>
          <w:color w:val="auto"/>
        </w:rPr>
        <w:fldChar w:fldCharType="separate"/>
      </w:r>
      <w:r>
        <w:rPr>
          <w:rFonts w:hint="default" w:ascii="Times New Roman" w:hAnsi="Times New Roman" w:eastAsia="黑体" w:cs="Times New Roman"/>
          <w:bCs/>
          <w:color w:val="auto"/>
          <w:sz w:val="24"/>
        </w:rPr>
        <w:t>评价适用标准</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_Toc11498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- 22 -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"_Toc23812" </w:instrText>
      </w:r>
      <w:r>
        <w:rPr>
          <w:rFonts w:hint="default" w:ascii="Times New Roman" w:hAnsi="Times New Roman" w:cs="Times New Roman"/>
          <w:color w:val="auto"/>
        </w:rPr>
        <w:fldChar w:fldCharType="separate"/>
      </w:r>
      <w:r>
        <w:rPr>
          <w:rFonts w:hint="default" w:ascii="Times New Roman" w:hAnsi="Times New Roman" w:eastAsia="黑体" w:cs="Times New Roman"/>
          <w:bCs/>
          <w:color w:val="auto"/>
          <w:sz w:val="24"/>
        </w:rPr>
        <w:t>建设项目工程分析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_Toc23812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- 24 -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"_Toc18998" </w:instrText>
      </w:r>
      <w:r>
        <w:rPr>
          <w:rFonts w:hint="default" w:ascii="Times New Roman" w:hAnsi="Times New Roman" w:cs="Times New Roman"/>
          <w:color w:val="auto"/>
        </w:rPr>
        <w:fldChar w:fldCharType="separate"/>
      </w:r>
      <w:r>
        <w:rPr>
          <w:rFonts w:hint="default" w:ascii="Times New Roman" w:hAnsi="Times New Roman" w:eastAsia="黑体" w:cs="Times New Roman"/>
          <w:bCs/>
          <w:color w:val="auto"/>
          <w:sz w:val="24"/>
        </w:rPr>
        <w:t>项目主要污染物产生及预计排放情况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_Toc18998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- 30 -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"_Toc15955" </w:instrText>
      </w:r>
      <w:r>
        <w:rPr>
          <w:rFonts w:hint="default" w:ascii="Times New Roman" w:hAnsi="Times New Roman" w:cs="Times New Roman"/>
          <w:color w:val="auto"/>
        </w:rPr>
        <w:fldChar w:fldCharType="separate"/>
      </w:r>
      <w:r>
        <w:rPr>
          <w:rFonts w:hint="default" w:ascii="Times New Roman" w:hAnsi="Times New Roman" w:eastAsia="黑体" w:cs="Times New Roman"/>
          <w:bCs/>
          <w:color w:val="auto"/>
          <w:sz w:val="24"/>
        </w:rPr>
        <w:t>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_Toc15955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- 32 -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"_Toc21077" </w:instrText>
      </w:r>
      <w:r>
        <w:rPr>
          <w:rFonts w:hint="default" w:ascii="Times New Roman" w:hAnsi="Times New Roman" w:cs="Times New Roman"/>
          <w:color w:val="auto"/>
        </w:rPr>
        <w:fldChar w:fldCharType="separate"/>
      </w:r>
      <w:r>
        <w:rPr>
          <w:rFonts w:hint="default" w:ascii="Times New Roman" w:hAnsi="Times New Roman" w:eastAsia="黑体" w:cs="Times New Roman"/>
          <w:bCs/>
          <w:color w:val="auto"/>
          <w:sz w:val="24"/>
        </w:rPr>
        <w:t>建设项目拟采取的防治措施及预期治理效果</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_Toc21077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- 48 -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"_Toc6897" </w:instrText>
      </w:r>
      <w:r>
        <w:rPr>
          <w:rFonts w:hint="default" w:ascii="Times New Roman" w:hAnsi="Times New Roman" w:cs="Times New Roman"/>
          <w:color w:val="auto"/>
        </w:rPr>
        <w:fldChar w:fldCharType="separate"/>
      </w:r>
      <w:r>
        <w:rPr>
          <w:rFonts w:hint="eastAsia" w:eastAsia="黑体" w:cs="Times New Roman"/>
          <w:bCs/>
          <w:color w:val="auto"/>
          <w:sz w:val="24"/>
          <w:lang w:eastAsia="zh-CN"/>
        </w:rPr>
        <w:t>公示公告</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_Toc6897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- 50 -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8"/>
        <w:tabs>
          <w:tab w:val="right" w:leader="dot" w:pos="8306"/>
        </w:tabs>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"_Toc29221" </w:instrText>
      </w:r>
      <w:r>
        <w:rPr>
          <w:rFonts w:hint="default" w:ascii="Times New Roman" w:hAnsi="Times New Roman" w:cs="Times New Roman"/>
          <w:color w:val="auto"/>
        </w:rPr>
        <w:fldChar w:fldCharType="separate"/>
      </w:r>
      <w:r>
        <w:rPr>
          <w:rFonts w:hint="default" w:ascii="Times New Roman" w:hAnsi="Times New Roman" w:eastAsia="黑体" w:cs="Times New Roman"/>
          <w:bCs/>
          <w:color w:val="auto"/>
          <w:sz w:val="24"/>
        </w:rPr>
        <w:t>结论与建议</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_Toc29221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- 54 -</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spacing w:before="156" w:beforeLines="50" w:after="156" w:afterLines="50" w:line="360" w:lineRule="auto"/>
        <w:ind w:left="-359" w:leftChars="-171" w:right="-372" w:rightChars="-177" w:firstLine="240" w:firstLineChars="100"/>
        <w:jc w:val="center"/>
        <w:rPr>
          <w:rFonts w:hint="default" w:ascii="Times New Roman" w:hAnsi="Times New Roman" w:eastAsia="黑体" w:cs="Times New Roman"/>
          <w:b/>
          <w:bCs/>
          <w:color w:val="auto"/>
          <w:sz w:val="32"/>
        </w:rPr>
      </w:pPr>
      <w:r>
        <w:rPr>
          <w:rFonts w:hint="default" w:ascii="Times New Roman" w:hAnsi="Times New Roman" w:eastAsia="黑体" w:cs="Times New Roman"/>
          <w:bCs/>
          <w:color w:val="auto"/>
          <w:sz w:val="24"/>
        </w:rPr>
        <w:fldChar w:fldCharType="end"/>
      </w:r>
    </w:p>
    <w:p>
      <w:pPr>
        <w:spacing w:line="360" w:lineRule="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附图</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附图1  项目地理位置图</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附图2  发射塔半径500m范围（红线内）现状图</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附图3  项目平面布局图</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附图4  总平面布局图</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lang w:eastAsia="zh-CN"/>
        </w:rPr>
        <w:t>附图5</w:t>
      </w:r>
      <w:r>
        <w:rPr>
          <w:rFonts w:hint="default" w:ascii="Times New Roman" w:hAnsi="Times New Roman" w:cs="Times New Roman"/>
          <w:color w:val="auto"/>
          <w:sz w:val="24"/>
        </w:rPr>
        <w:t xml:space="preserve">  </w:t>
      </w:r>
      <w:r>
        <w:rPr>
          <w:rFonts w:hint="default" w:ascii="Times New Roman" w:hAnsi="Times New Roman" w:cs="Times New Roman"/>
          <w:color w:val="auto"/>
          <w:sz w:val="24"/>
          <w:shd w:val="clear" w:color="auto" w:fill="FFFFFF"/>
        </w:rPr>
        <w:t>云阳山风景名胜区总体体规划</w:t>
      </w:r>
      <w:r>
        <w:rPr>
          <w:rFonts w:hint="default" w:ascii="Times New Roman" w:hAnsi="Times New Roman" w:cs="Times New Roman"/>
          <w:color w:val="auto"/>
          <w:sz w:val="24"/>
        </w:rPr>
        <w:t>功能区分布图</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lang w:eastAsia="zh-CN"/>
        </w:rPr>
        <w:t>附图6</w:t>
      </w:r>
      <w:r>
        <w:rPr>
          <w:rFonts w:hint="default" w:ascii="Times New Roman" w:hAnsi="Times New Roman" w:cs="Times New Roman"/>
          <w:color w:val="auto"/>
          <w:sz w:val="24"/>
        </w:rPr>
        <w:t xml:space="preserve">  电磁辐射监测布点图</w:t>
      </w:r>
    </w:p>
    <w:p>
      <w:pPr>
        <w:spacing w:line="360" w:lineRule="auto"/>
        <w:rPr>
          <w:rFonts w:hint="default" w:ascii="Times New Roman" w:hAnsi="Times New Roman" w:cs="Times New Roman"/>
          <w:color w:val="auto"/>
          <w:sz w:val="24"/>
        </w:rPr>
      </w:pPr>
      <w:bookmarkStart w:id="12" w:name="OLE_LINK52"/>
      <w:r>
        <w:rPr>
          <w:rFonts w:hint="default" w:ascii="Times New Roman" w:hAnsi="Times New Roman" w:cs="Times New Roman"/>
          <w:color w:val="auto"/>
          <w:sz w:val="24"/>
          <w:lang w:eastAsia="zh-CN"/>
        </w:rPr>
        <w:t>附图7</w:t>
      </w:r>
      <w:r>
        <w:rPr>
          <w:rFonts w:hint="default" w:ascii="Times New Roman" w:hAnsi="Times New Roman" w:cs="Times New Roman"/>
          <w:color w:val="auto"/>
          <w:sz w:val="24"/>
        </w:rPr>
        <w:t xml:space="preserve">  噪声监测布点图</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lang w:eastAsia="zh-CN"/>
        </w:rPr>
        <w:t>附图8</w:t>
      </w:r>
      <w:r>
        <w:rPr>
          <w:rFonts w:hint="default" w:ascii="Times New Roman" w:hAnsi="Times New Roman" w:cs="Times New Roman"/>
          <w:color w:val="auto"/>
          <w:sz w:val="24"/>
        </w:rPr>
        <w:t xml:space="preserve">  项目现场图片</w:t>
      </w:r>
    </w:p>
    <w:bookmarkEnd w:id="12"/>
    <w:p>
      <w:pPr>
        <w:spacing w:line="360" w:lineRule="auto"/>
        <w:rPr>
          <w:rFonts w:hint="default" w:ascii="Times New Roman" w:hAnsi="Times New Roman" w:eastAsia="黑体" w:cs="Times New Roman"/>
          <w:b/>
          <w:color w:val="auto"/>
          <w:sz w:val="28"/>
          <w:szCs w:val="28"/>
        </w:rPr>
      </w:pPr>
    </w:p>
    <w:p>
      <w:pPr>
        <w:spacing w:line="360" w:lineRule="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附件</w:t>
      </w:r>
    </w:p>
    <w:p>
      <w:pPr>
        <w:spacing w:line="360" w:lineRule="auto"/>
        <w:rPr>
          <w:rFonts w:hint="default" w:ascii="Times New Roman" w:hAnsi="Times New Roman" w:eastAsia="黑体" w:cs="Times New Roman"/>
          <w:b/>
          <w:color w:val="auto"/>
          <w:sz w:val="28"/>
          <w:szCs w:val="28"/>
        </w:rPr>
      </w:pPr>
      <w:r>
        <w:rPr>
          <w:rFonts w:hint="default" w:ascii="Times New Roman" w:hAnsi="Times New Roman" w:cs="Times New Roman"/>
          <w:color w:val="auto"/>
          <w:sz w:val="24"/>
        </w:rPr>
        <w:t>附件1  茶陵县发展和改革局“关于茶陵县无线广播电视发射塔复建暨修建云阳森林公园防火瞭望台工程项目可行性研究报告的批复”，茶发改【2016】34号；</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附件2  环境影响评价工作委托书；</w:t>
      </w:r>
    </w:p>
    <w:p>
      <w:pPr>
        <w:spacing w:line="360" w:lineRule="auto"/>
        <w:rPr>
          <w:rFonts w:hint="default" w:ascii="Times New Roman" w:hAnsi="Times New Roman" w:cs="Times New Roman"/>
          <w:bCs/>
          <w:color w:val="auto"/>
          <w:sz w:val="24"/>
        </w:rPr>
      </w:pPr>
      <w:r>
        <w:rPr>
          <w:rFonts w:hint="default" w:ascii="Times New Roman" w:hAnsi="Times New Roman" w:cs="Times New Roman"/>
          <w:bCs/>
          <w:color w:val="auto"/>
          <w:sz w:val="24"/>
        </w:rPr>
        <w:t>附件3  茶陵县</w:t>
      </w:r>
      <w:r>
        <w:rPr>
          <w:rFonts w:hint="default" w:ascii="Times New Roman" w:hAnsi="Times New Roman" w:cs="Times New Roman"/>
          <w:color w:val="auto"/>
          <w:sz w:val="24"/>
        </w:rPr>
        <w:t>环境保护局“</w:t>
      </w:r>
      <w:r>
        <w:rPr>
          <w:rFonts w:hint="default" w:ascii="Times New Roman" w:hAnsi="Times New Roman" w:cs="Times New Roman"/>
          <w:bCs/>
          <w:color w:val="auto"/>
          <w:sz w:val="24"/>
        </w:rPr>
        <w:t>关于茶陵县无线广播电视发射塔复建工程项目环境保护初审意见”；</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附件4  茶陵县国土资源局“关于茶陵县无线广播电视发射塔复建工程建设项目用地预审的说明”；</w:t>
      </w:r>
    </w:p>
    <w:p>
      <w:pPr>
        <w:spacing w:line="360" w:lineRule="auto"/>
        <w:rPr>
          <w:rFonts w:hint="default" w:ascii="Times New Roman" w:hAnsi="Times New Roman" w:cs="Times New Roman"/>
          <w:bCs/>
          <w:color w:val="auto"/>
          <w:sz w:val="24"/>
        </w:rPr>
      </w:pPr>
      <w:r>
        <w:rPr>
          <w:rFonts w:hint="default" w:ascii="Times New Roman" w:hAnsi="Times New Roman" w:cs="Times New Roman"/>
          <w:bCs/>
          <w:color w:val="auto"/>
          <w:sz w:val="24"/>
        </w:rPr>
        <w:t>附件5  茶陵县住房和城市规划建设局“建设项目选址意见书”建规〔选〕字 第</w:t>
      </w:r>
      <w:r>
        <w:rPr>
          <w:rFonts w:hint="default" w:ascii="Times New Roman" w:hAnsi="Times New Roman" w:cs="Times New Roman"/>
          <w:bCs/>
          <w:color w:val="auto"/>
          <w:sz w:val="24"/>
          <w:u w:val="single"/>
        </w:rPr>
        <w:t>2016-08</w:t>
      </w:r>
      <w:r>
        <w:rPr>
          <w:rFonts w:hint="default" w:ascii="Times New Roman" w:hAnsi="Times New Roman" w:cs="Times New Roman"/>
          <w:bCs/>
          <w:color w:val="auto"/>
          <w:sz w:val="24"/>
        </w:rPr>
        <w:t>号；</w:t>
      </w:r>
    </w:p>
    <w:p>
      <w:pPr>
        <w:spacing w:line="360" w:lineRule="auto"/>
        <w:rPr>
          <w:rFonts w:hint="default" w:ascii="Times New Roman" w:hAnsi="Times New Roman" w:cs="Times New Roman"/>
          <w:bCs/>
          <w:color w:val="auto"/>
          <w:sz w:val="24"/>
        </w:rPr>
      </w:pPr>
      <w:r>
        <w:rPr>
          <w:rFonts w:hint="default" w:ascii="Times New Roman" w:hAnsi="Times New Roman" w:cs="Times New Roman"/>
          <w:bCs/>
          <w:color w:val="auto"/>
          <w:sz w:val="24"/>
        </w:rPr>
        <w:t>附件6  茶陵县建设项目规划选址意见书申请审批表；</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附件7  茶陵县人民政府办公会议纪要“无线广播电视发射塔复建工程协调工作会议纪要”第42次；</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附件</w:t>
      </w:r>
      <w:r>
        <w:rPr>
          <w:rFonts w:hint="eastAsia" w:cs="Times New Roman"/>
          <w:color w:val="auto"/>
          <w:sz w:val="24"/>
          <w:lang w:val="en-US" w:eastAsia="zh-CN"/>
        </w:rPr>
        <w:t>8</w:t>
      </w:r>
      <w:r>
        <w:rPr>
          <w:rFonts w:hint="default" w:ascii="Times New Roman" w:hAnsi="Times New Roman" w:cs="Times New Roman"/>
          <w:color w:val="auto"/>
          <w:sz w:val="24"/>
        </w:rPr>
        <w:t xml:space="preserve">  质量保证单；</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附件</w:t>
      </w:r>
      <w:r>
        <w:rPr>
          <w:rFonts w:hint="eastAsia" w:cs="Times New Roman"/>
          <w:color w:val="auto"/>
          <w:sz w:val="24"/>
          <w:lang w:val="en-US" w:eastAsia="zh-CN"/>
        </w:rPr>
        <w:t>9  公告内容；</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附件</w:t>
      </w:r>
      <w:r>
        <w:rPr>
          <w:rFonts w:hint="eastAsia" w:cs="Times New Roman"/>
          <w:color w:val="auto"/>
          <w:sz w:val="24"/>
          <w:lang w:val="en-US" w:eastAsia="zh-CN"/>
        </w:rPr>
        <w:t>9</w:t>
      </w:r>
      <w:r>
        <w:rPr>
          <w:rFonts w:hint="default" w:ascii="Times New Roman" w:hAnsi="Times New Roman" w:cs="Times New Roman"/>
          <w:color w:val="auto"/>
          <w:sz w:val="24"/>
        </w:rPr>
        <w:t xml:space="preserve">  建设项目环境保护审批登记表。</w:t>
      </w:r>
    </w:p>
    <w:p>
      <w:pPr>
        <w:ind w:right="-372" w:rightChars="-177"/>
        <w:rPr>
          <w:rFonts w:hint="default" w:ascii="Times New Roman" w:hAnsi="Times New Roman" w:eastAsia="黑体" w:cs="Times New Roman"/>
          <w:b/>
          <w:color w:val="auto"/>
          <w:sz w:val="32"/>
          <w:szCs w:val="32"/>
        </w:rPr>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pPr>
    </w:p>
    <w:p>
      <w:pPr>
        <w:ind w:left="-359" w:leftChars="-171" w:right="-372" w:rightChars="-177" w:firstLine="321" w:firstLineChars="100"/>
        <w:outlineLvl w:val="0"/>
        <w:rPr>
          <w:rFonts w:hint="default" w:ascii="Times New Roman" w:hAnsi="Times New Roman" w:eastAsia="黑体" w:cs="Times New Roman"/>
          <w:b/>
          <w:color w:val="auto"/>
          <w:sz w:val="32"/>
          <w:szCs w:val="32"/>
        </w:rPr>
      </w:pPr>
      <w:bookmarkStart w:id="13" w:name="_Toc421802295"/>
      <w:bookmarkStart w:id="14" w:name="_Toc27312"/>
      <w:r>
        <w:rPr>
          <w:rFonts w:hint="default" w:ascii="Times New Roman" w:hAnsi="Times New Roman" w:eastAsia="黑体" w:cs="Times New Roman"/>
          <w:b/>
          <w:color w:val="auto"/>
          <w:sz w:val="32"/>
          <w:szCs w:val="32"/>
        </w:rPr>
        <w:t>建设项目基本情况</w:t>
      </w:r>
      <w:bookmarkEnd w:id="13"/>
      <w:bookmarkEnd w:id="14"/>
    </w:p>
    <w:tbl>
      <w:tblPr>
        <w:tblStyle w:val="15"/>
        <w:tblW w:w="850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
      <w:tblGrid>
        <w:gridCol w:w="1454"/>
        <w:gridCol w:w="1127"/>
        <w:gridCol w:w="372"/>
        <w:gridCol w:w="1066"/>
        <w:gridCol w:w="238"/>
        <w:gridCol w:w="1237"/>
        <w:gridCol w:w="1638"/>
        <w:gridCol w:w="13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520"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项目名称</w:t>
            </w:r>
          </w:p>
        </w:tc>
        <w:tc>
          <w:tcPr>
            <w:tcW w:w="7046"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kern w:val="0"/>
                <w:sz w:val="24"/>
              </w:rPr>
            </w:pPr>
            <w:bookmarkStart w:id="15" w:name="OLE_LINK46"/>
            <w:r>
              <w:rPr>
                <w:rFonts w:hint="default" w:ascii="Times New Roman" w:hAnsi="Times New Roman" w:cs="Times New Roman"/>
                <w:color w:val="auto"/>
                <w:sz w:val="24"/>
              </w:rPr>
              <w:t>茶陵县无线广播电视发射塔复建工程</w:t>
            </w:r>
            <w:bookmarkEnd w:id="15"/>
            <w:r>
              <w:rPr>
                <w:rFonts w:hint="default" w:ascii="Times New Roman" w:hAnsi="Times New Roman" w:cs="Times New Roman"/>
                <w:color w:val="auto"/>
                <w:lang w:eastAsia="zh-CN"/>
              </w:rPr>
              <w:t>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520"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w:t>
            </w:r>
          </w:p>
        </w:tc>
        <w:tc>
          <w:tcPr>
            <w:tcW w:w="7046"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茶陵县广播电视台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520"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法人代表</w:t>
            </w:r>
          </w:p>
        </w:tc>
        <w:tc>
          <w:tcPr>
            <w:tcW w:w="256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谭冬祥</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联系人</w:t>
            </w:r>
          </w:p>
        </w:tc>
        <w:tc>
          <w:tcPr>
            <w:tcW w:w="300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胡涤勇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520"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通讯地址</w:t>
            </w:r>
          </w:p>
        </w:tc>
        <w:tc>
          <w:tcPr>
            <w:tcW w:w="7046"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jc w:val="center"/>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茶陵县</w:t>
            </w:r>
            <w:r>
              <w:rPr>
                <w:rFonts w:hint="default" w:ascii="Times New Roman" w:hAnsi="Times New Roman" w:cs="Times New Roman"/>
                <w:color w:val="auto"/>
                <w:sz w:val="24"/>
                <w:lang w:eastAsia="zh-CN"/>
              </w:rPr>
              <w:t>云阳街道公园路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634"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联系电话</w:t>
            </w:r>
          </w:p>
        </w:tc>
        <w:tc>
          <w:tcPr>
            <w:tcW w:w="1499" w:type="dxa"/>
            <w:gridSpan w:val="2"/>
            <w:tcBorders>
              <w:top w:val="single" w:color="auto" w:sz="4" w:space="0"/>
              <w:left w:val="single" w:color="auto" w:sz="4" w:space="0"/>
              <w:bottom w:val="single" w:color="auto" w:sz="4" w:space="0"/>
              <w:right w:val="single" w:color="auto" w:sz="4" w:space="0"/>
            </w:tcBorders>
            <w:vAlign w:val="center"/>
          </w:tcPr>
          <w:p>
            <w:pPr>
              <w:pStyle w:val="7"/>
              <w:pBdr>
                <w:bottom w:val="none" w:color="auto" w:sz="0" w:space="0"/>
              </w:pBdr>
              <w:tabs>
                <w:tab w:val="clear" w:pos="4153"/>
                <w:tab w:val="clear" w:pos="8306"/>
              </w:tabs>
              <w:snapToGrid/>
              <w:rPr>
                <w:rFonts w:hint="default" w:ascii="Times New Roman" w:hAnsi="Times New Roman" w:cs="Times New Roman"/>
                <w:color w:val="auto"/>
                <w:spacing w:val="-10"/>
                <w:sz w:val="24"/>
                <w:szCs w:val="24"/>
              </w:rPr>
            </w:pPr>
            <w:r>
              <w:rPr>
                <w:rFonts w:hint="default" w:ascii="Times New Roman" w:hAnsi="Times New Roman" w:cs="Times New Roman"/>
                <w:color w:val="auto"/>
                <w:sz w:val="24"/>
                <w:szCs w:val="24"/>
              </w:rPr>
              <w:t>13607428398</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传真</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邮政编码</w:t>
            </w:r>
          </w:p>
        </w:tc>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412400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634"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046"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云阳山北门半山腰，即原茶陵县电信公司已废弃发射铁塔旧址（海拔高度330米；经度113°30'12.3"；纬度26°47'59.5"）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634"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立项审批</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部    门</w:t>
            </w:r>
          </w:p>
        </w:tc>
        <w:tc>
          <w:tcPr>
            <w:tcW w:w="2803"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茶陵县发展和改革局</w:t>
            </w:r>
          </w:p>
        </w:tc>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批准文号</w:t>
            </w:r>
          </w:p>
        </w:tc>
        <w:tc>
          <w:tcPr>
            <w:tcW w:w="300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茶发改字[2016]34号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634"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803"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新建</w:t>
            </w:r>
          </w:p>
        </w:tc>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及 代 码</w:t>
            </w:r>
          </w:p>
        </w:tc>
        <w:tc>
          <w:tcPr>
            <w:tcW w:w="300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I63</w:t>
            </w:r>
            <w:r>
              <w:rPr>
                <w:rFonts w:hint="default" w:ascii="Times New Roman" w:hAnsi="Times New Roman" w:cs="Times New Roman"/>
                <w:color w:val="auto"/>
                <w:sz w:val="24"/>
                <w:lang w:val="en-US" w:eastAsia="zh-CN"/>
              </w:rPr>
              <w:t>22 无线广播电视</w:t>
            </w:r>
          </w:p>
          <w:p>
            <w:pPr>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传输服务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634"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占地面积（m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399.6</w:t>
            </w:r>
          </w:p>
        </w:tc>
        <w:tc>
          <w:tcPr>
            <w:tcW w:w="1676"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绿化面积（m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tc>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31.4m</w:t>
            </w:r>
            <w:r>
              <w:rPr>
                <w:rFonts w:hint="default" w:ascii="Times New Roman" w:hAnsi="Times New Roman" w:cs="Times New Roman"/>
                <w:color w:val="auto"/>
                <w:sz w:val="24"/>
                <w:vertAlign w:val="superscript"/>
              </w:rPr>
              <w:t>2</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eastAsiaTheme="minorEastAsia"/>
                <w:color w:val="auto"/>
                <w:sz w:val="24"/>
              </w:rPr>
              <w:t>绿地率</w:t>
            </w:r>
          </w:p>
        </w:tc>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634" w:hRule="atLeast"/>
          <w:jc w:val="center"/>
        </w:trPr>
        <w:tc>
          <w:tcPr>
            <w:tcW w:w="1454"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359.5</w:t>
            </w:r>
          </w:p>
        </w:tc>
        <w:tc>
          <w:tcPr>
            <w:tcW w:w="1676"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15</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总投资比例</w:t>
            </w:r>
          </w:p>
        </w:tc>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4.2</w:t>
            </w:r>
            <w:r>
              <w:rPr>
                <w:rFonts w:hint="default"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1170" w:hRule="atLeast"/>
          <w:jc w:val="center"/>
        </w:trPr>
        <w:tc>
          <w:tcPr>
            <w:tcW w:w="8500"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工程内容及规模</w:t>
            </w:r>
          </w:p>
          <w:p>
            <w:pPr>
              <w:numPr>
                <w:ilvl w:val="0"/>
                <w:numId w:val="1"/>
              </w:num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项目由来</w:t>
            </w:r>
          </w:p>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560"/>
              <w:jc w:val="both"/>
              <w:rPr>
                <w:rFonts w:hint="default" w:ascii="Times New Roman" w:hAnsi="Times New Roman" w:cs="Times New Roman"/>
                <w:color w:val="auto"/>
                <w:sz w:val="24"/>
              </w:rPr>
            </w:pPr>
            <w:r>
              <w:rPr>
                <w:rFonts w:hint="default" w:ascii="Times New Roman" w:hAnsi="Times New Roman" w:cs="Times New Roman"/>
                <w:color w:val="auto"/>
                <w:sz w:val="24"/>
                <w:lang w:eastAsia="zh-CN"/>
              </w:rPr>
              <w:t>高山无线发射台站基础设施建设是广播电视村村通工作及中央广播电视节目无线数字化覆盖工程的重要组成部分。原茶陵县广播电视发射塔位于茶陵县烈士陵园内，因城市规划需要，原有选址不符合城市规划要求，</w:t>
            </w:r>
            <w:r>
              <w:rPr>
                <w:rFonts w:hint="default" w:ascii="Times New Roman" w:hAnsi="Times New Roman" w:cs="Times New Roman"/>
                <w:color w:val="auto"/>
                <w:sz w:val="24"/>
                <w:u w:val="single"/>
                <w:lang w:eastAsia="zh-CN"/>
              </w:rPr>
              <w:t>且原有</w:t>
            </w:r>
            <w:r>
              <w:rPr>
                <w:rFonts w:hint="default" w:ascii="Times New Roman" w:hAnsi="Times New Roman" w:cs="Times New Roman"/>
                <w:color w:val="auto"/>
                <w:sz w:val="24"/>
                <w:szCs w:val="24"/>
                <w:u w:val="single"/>
                <w:lang w:val="en-US" w:eastAsia="zh-CN"/>
              </w:rPr>
              <w:t>发射塔</w:t>
            </w:r>
            <w:r>
              <w:rPr>
                <w:rFonts w:hint="default" w:ascii="Times New Roman" w:hAnsi="Times New Roman" w:cs="Times New Roman"/>
                <w:color w:val="auto"/>
                <w:sz w:val="24"/>
                <w:u w:val="single"/>
                <w:lang w:eastAsia="zh-CN"/>
              </w:rPr>
              <w:t>已于</w:t>
            </w:r>
            <w:r>
              <w:rPr>
                <w:rFonts w:hint="default" w:ascii="Times New Roman" w:hAnsi="Times New Roman" w:cs="Times New Roman"/>
                <w:color w:val="auto"/>
                <w:sz w:val="24"/>
                <w:u w:val="single"/>
                <w:lang w:val="en-US" w:eastAsia="zh-CN"/>
              </w:rPr>
              <w:t>2010年拆除，至今</w:t>
            </w:r>
            <w:r>
              <w:rPr>
                <w:rFonts w:hint="eastAsia" w:ascii="Times New Roman" w:hAnsi="Times New Roman" w:cs="Times New Roman"/>
                <w:color w:val="auto"/>
                <w:sz w:val="24"/>
                <w:u w:val="single"/>
                <w:lang w:val="en-US" w:eastAsia="zh-CN"/>
              </w:rPr>
              <w:t>没有复建，</w:t>
            </w:r>
            <w:r>
              <w:rPr>
                <w:rFonts w:hint="default" w:ascii="Times New Roman" w:hAnsi="Times New Roman" w:cs="Times New Roman"/>
                <w:color w:val="auto"/>
                <w:sz w:val="24"/>
                <w:u w:val="single"/>
                <w:lang w:val="en-US" w:eastAsia="zh-CN"/>
              </w:rPr>
              <w:t>茶陵县民众一直通过有线传播观看电视节目，无线广播一直处于停播状态</w:t>
            </w:r>
            <w:r>
              <w:rPr>
                <w:rFonts w:hint="default" w:ascii="Times New Roman" w:hAnsi="Times New Roman" w:cs="Times New Roman"/>
                <w:color w:val="auto"/>
                <w:sz w:val="24"/>
                <w:u w:val="single"/>
              </w:rPr>
              <w:t>。</w:t>
            </w:r>
            <w:r>
              <w:rPr>
                <w:rFonts w:hint="default" w:ascii="Times New Roman" w:hAnsi="Times New Roman" w:cs="Times New Roman"/>
                <w:color w:val="auto"/>
                <w:sz w:val="24"/>
                <w:u w:val="single"/>
                <w:lang w:eastAsia="zh-CN"/>
              </w:rPr>
              <w:t>为了方便民众收听收看广播电视节目，所以不得不重新选址复建。</w:t>
            </w:r>
            <w:r>
              <w:rPr>
                <w:rFonts w:hint="default" w:ascii="Times New Roman" w:hAnsi="Times New Roman" w:cs="Times New Roman"/>
                <w:color w:val="auto"/>
                <w:sz w:val="24"/>
              </w:rPr>
              <w:t>加快推进茶陵县无线广播电视发射塔工程的复建，是实施中央广播电视节目无线数字化覆盖工程以及广播电视村村通工作的重要举措，是推进基本公共文化服务标准、均等化的重要任务，是切实保障全县广大群众听好广播、看好电视的重要途径，是媒体融合新形势下发展广播电视事业的必然要求，对于扩展广播电视宣传阵地，创新宣传载体，提升茶陵广播电视传播力和影响力，具有十分重要的意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环境影响评价法》、《建设项目环境保护管理条例》（国务院253号令）、《电磁辐射环境保护管理办法》（国家环保总局18号令）等的相关规定，建设方应对广播电视发射台建设项目办理环境影响评价手续。据此，茶陵县广播电视台委托具备相应环评资质的四川省核工业测试防护院承担本项目的环境影响评价工作。四川省核工业测试防护院接受委托后，立即组织有关技术人员进行现场踏勘、资料收集，按照国务院第253号令、国家环保总局18号令与《环境影响评价技术导则》等有关规范要求，编制完成了《茶陵县无线广播电视发射塔复建工程项目环境影响报告表》。</w:t>
            </w:r>
          </w:p>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二、编制依据</w:t>
            </w:r>
          </w:p>
          <w:p>
            <w:pPr>
              <w:spacing w:line="360" w:lineRule="auto"/>
              <w:ind w:firstLine="472" w:firstLineChars="196"/>
              <w:rPr>
                <w:rFonts w:hint="default" w:ascii="Times New Roman" w:hAnsi="Times New Roman" w:cs="Times New Roman"/>
                <w:b/>
                <w:bCs/>
                <w:color w:val="auto"/>
                <w:sz w:val="24"/>
              </w:rPr>
            </w:pPr>
            <w:bookmarkStart w:id="16" w:name="_Toc170811358"/>
            <w:bookmarkStart w:id="17" w:name="_Toc316897087"/>
            <w:bookmarkStart w:id="18" w:name="_Toc248072991"/>
            <w:bookmarkStart w:id="19" w:name="_Toc276765670"/>
            <w:bookmarkStart w:id="20" w:name="_Toc356223758"/>
            <w:bookmarkStart w:id="21" w:name="_Toc417906452"/>
            <w:bookmarkStart w:id="22" w:name="_Toc167073410"/>
            <w:bookmarkStart w:id="23" w:name="_Toc157328618"/>
            <w:bookmarkStart w:id="24" w:name="_Toc170808679"/>
            <w:r>
              <w:rPr>
                <w:rFonts w:hint="default" w:ascii="Times New Roman" w:hAnsi="Times New Roman" w:cs="Times New Roman"/>
                <w:b/>
                <w:bCs/>
                <w:color w:val="auto"/>
                <w:sz w:val="24"/>
              </w:rPr>
              <w:t>1、环境保护法律法规</w:t>
            </w:r>
            <w:bookmarkEnd w:id="16"/>
            <w:bookmarkEnd w:id="17"/>
            <w:bookmarkEnd w:id="18"/>
            <w:bookmarkEnd w:id="19"/>
            <w:bookmarkEnd w:id="20"/>
            <w:bookmarkEnd w:id="21"/>
            <w:bookmarkEnd w:id="22"/>
            <w:bookmarkEnd w:id="23"/>
            <w:bookmarkEnd w:id="24"/>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（1）《中华人民共和国环境保护法》（2014年修订，2015年1月1日起实施）；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（2）《中华人民共和国环境影响评价法》（2003年9月1日起实施）；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（3）《中华人民共和国大气污染防治法》（2000年9月1日起实施）；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（4）《中华人民共和国水污染防治法》（2008年6月1日起实施）；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（5）《中华人民共和国固体废物污染环境防治法》（</w:t>
            </w:r>
            <w:r>
              <w:rPr>
                <w:rFonts w:hint="default" w:ascii="Times New Roman" w:hAnsi="Times New Roman" w:cs="Times New Roman"/>
                <w:color w:val="auto"/>
                <w:sz w:val="24"/>
                <w:lang w:val="en-US" w:eastAsia="zh-CN"/>
              </w:rPr>
              <w:t>2005</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月1日实施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2013年修正</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（6）《中华人民共和国环境噪声污染防治法》（1997年3月1日起实施）；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（7）《中华人民共和国清洁生产促进法》（2012年修订，2012年7月1日起实施）；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（8）《建设项目环境保护管理条例》(国务院253号令，1998年11月29日起实施)；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（9）《中华人民共和国野生动物保护法》（2004年8月28日修订实施）；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（10）《中华人民共和国野生植物保护条例》（1997年1月1日起实施）；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（11）《风景名胜区条例》（2006年12月1日起实施）；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（12）《国家森林公园管理办法》（2006年9月6日起实施）；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（13）《</w:t>
            </w:r>
            <w:r>
              <w:rPr>
                <w:rFonts w:hint="default" w:ascii="Times New Roman" w:hAnsi="Times New Roman" w:cs="Times New Roman"/>
                <w:bCs/>
                <w:color w:val="auto"/>
                <w:kern w:val="0"/>
                <w:sz w:val="24"/>
              </w:rPr>
              <w:t>建设项目环境影响评价分类管理名录</w:t>
            </w:r>
            <w:r>
              <w:rPr>
                <w:rFonts w:hint="default" w:ascii="Times New Roman" w:hAnsi="Times New Roman" w:cs="Times New Roman"/>
                <w:color w:val="auto"/>
                <w:sz w:val="24"/>
              </w:rPr>
              <w:t>》（2015年6月1日实施）；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（14）《</w:t>
            </w:r>
            <w:bookmarkStart w:id="25" w:name="OLE_LINK69"/>
            <w:r>
              <w:rPr>
                <w:rFonts w:hint="default" w:ascii="Times New Roman" w:hAnsi="Times New Roman" w:cs="Times New Roman"/>
                <w:color w:val="auto"/>
                <w:sz w:val="24"/>
              </w:rPr>
              <w:t>电磁辐射环境保护管理办法</w:t>
            </w:r>
            <w:bookmarkEnd w:id="25"/>
            <w:r>
              <w:rPr>
                <w:rFonts w:hint="default" w:ascii="Times New Roman" w:hAnsi="Times New Roman" w:cs="Times New Roman"/>
                <w:color w:val="auto"/>
                <w:sz w:val="24"/>
              </w:rPr>
              <w:t>》(国家环保总局18号令，1997年3月25日起实施)；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（15）《</w:t>
            </w:r>
            <w:bookmarkStart w:id="26" w:name="OLE_LINK68"/>
            <w:r>
              <w:rPr>
                <w:rFonts w:hint="default" w:ascii="Times New Roman" w:hAnsi="Times New Roman" w:cs="Times New Roman"/>
                <w:color w:val="auto"/>
                <w:sz w:val="24"/>
              </w:rPr>
              <w:t>环境影响评价</w:t>
            </w:r>
            <w:r>
              <w:rPr>
                <w:rFonts w:hint="eastAsia" w:cs="Times New Roman"/>
                <w:color w:val="auto"/>
                <w:sz w:val="24"/>
                <w:lang w:eastAsia="zh-CN"/>
              </w:rPr>
              <w:t>公示公告</w:t>
            </w:r>
            <w:r>
              <w:rPr>
                <w:rFonts w:hint="default" w:ascii="Times New Roman" w:hAnsi="Times New Roman" w:cs="Times New Roman"/>
                <w:color w:val="auto"/>
                <w:sz w:val="24"/>
              </w:rPr>
              <w:t>暂行办法</w:t>
            </w:r>
            <w:bookmarkEnd w:id="26"/>
            <w:r>
              <w:rPr>
                <w:rFonts w:hint="default" w:ascii="Times New Roman" w:hAnsi="Times New Roman" w:cs="Times New Roman"/>
                <w:color w:val="auto"/>
                <w:sz w:val="24"/>
              </w:rPr>
              <w:t>》(国家环境保护总局环发〔2006〕28号)，2006年3月18日实施）；</w:t>
            </w:r>
          </w:p>
          <w:p>
            <w:pPr>
              <w:spacing w:line="360" w:lineRule="auto"/>
              <w:ind w:firstLine="472" w:firstLineChars="196"/>
              <w:rPr>
                <w:rFonts w:hint="default" w:ascii="Times New Roman" w:hAnsi="Times New Roman" w:cs="Times New Roman"/>
                <w:color w:val="auto"/>
                <w:sz w:val="24"/>
              </w:rPr>
            </w:pPr>
            <w:bookmarkStart w:id="27" w:name="_Toc316897088"/>
            <w:bookmarkStart w:id="28" w:name="_Toc167073411"/>
            <w:bookmarkStart w:id="29" w:name="_Toc248072992"/>
            <w:bookmarkStart w:id="30" w:name="_Toc157328619"/>
            <w:bookmarkStart w:id="31" w:name="_Toc170808680"/>
            <w:bookmarkStart w:id="32" w:name="_Toc417906453"/>
            <w:bookmarkStart w:id="33" w:name="_Toc170811359"/>
            <w:bookmarkStart w:id="34" w:name="_Toc356223759"/>
            <w:bookmarkStart w:id="35" w:name="_Toc276765671"/>
            <w:r>
              <w:rPr>
                <w:rFonts w:hint="default" w:ascii="Times New Roman" w:hAnsi="Times New Roman" w:cs="Times New Roman"/>
                <w:b/>
                <w:bCs/>
                <w:color w:val="auto"/>
                <w:sz w:val="24"/>
              </w:rPr>
              <w:t>2、评价技术规范</w:t>
            </w:r>
            <w:bookmarkEnd w:id="27"/>
            <w:bookmarkEnd w:id="28"/>
            <w:bookmarkEnd w:id="29"/>
            <w:bookmarkEnd w:id="30"/>
            <w:bookmarkEnd w:id="31"/>
            <w:bookmarkEnd w:id="32"/>
            <w:bookmarkEnd w:id="33"/>
            <w:bookmarkEnd w:id="34"/>
            <w:bookmarkEnd w:id="35"/>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（1）《环境影响评价技术导则——总纲》（HJ 2.1-2011），国家环境保护部发布，2012年1月1日实施；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（2）《环境影响评价技术导则——大气环境》（HJ 2.2-2008），国家环境保护部发布，2009年4月1日实施；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（3）《环境影响评价技术导则——声环境》（HJ 2.4-2009），国家环境保护部发布，2010年4月1日实施；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（4）《环境影响评价技术导则——地面水环境》(HJ/T2.3-93)，原国家环境保护总局批准，1994年4月1日实施；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（5）《电磁环境控制限值》（GB8702-2014），环境保护部和国家质量监督检验检疫总局发布，2015年1月1日实施；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（6）《辐射环境保护管理导则·电磁辐射环境影响评价方法与标准》（HJ/T10.3-1996），原国家环境保护总局发布，1996年5月10日实施；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（7）《辐射环境保护管理导则·电磁辐射监测仪器和方法》（HJ/T10.2-1996），原国家环境保护总局批准，1996年5月10日实施。</w:t>
            </w:r>
          </w:p>
          <w:p>
            <w:pPr>
              <w:spacing w:line="360" w:lineRule="auto"/>
              <w:ind w:firstLine="472" w:firstLineChars="196"/>
              <w:rPr>
                <w:rFonts w:hint="default" w:ascii="Times New Roman" w:hAnsi="Times New Roman" w:cs="Times New Roman"/>
                <w:b/>
                <w:bCs/>
                <w:color w:val="auto"/>
                <w:sz w:val="24"/>
              </w:rPr>
            </w:pPr>
            <w:bookmarkStart w:id="36" w:name="_Toc417906455"/>
            <w:bookmarkStart w:id="37" w:name="_Toc356223761"/>
            <w:r>
              <w:rPr>
                <w:rFonts w:hint="default" w:ascii="Times New Roman" w:hAnsi="Times New Roman" w:cs="Times New Roman"/>
                <w:b/>
                <w:bCs/>
                <w:color w:val="auto"/>
                <w:sz w:val="24"/>
              </w:rPr>
              <w:t>3、项目立项文件</w:t>
            </w:r>
            <w:bookmarkEnd w:id="36"/>
            <w:bookmarkEnd w:id="37"/>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茶陵县发展和改革局“关于茶陵县无线广播电视发射塔复建暨修建云阳森林公园防火瞭望台工程项目可行性研究报告的批复”，茶发改【2016】34号（附件1）。 </w:t>
            </w:r>
          </w:p>
          <w:p>
            <w:pPr>
              <w:spacing w:line="360" w:lineRule="auto"/>
              <w:ind w:firstLine="472" w:firstLineChars="196"/>
              <w:rPr>
                <w:rFonts w:hint="default" w:ascii="Times New Roman" w:hAnsi="Times New Roman" w:cs="Times New Roman"/>
                <w:b/>
                <w:bCs/>
                <w:color w:val="auto"/>
                <w:sz w:val="24"/>
              </w:rPr>
            </w:pPr>
            <w:bookmarkStart w:id="38" w:name="_Toc417906456"/>
            <w:bookmarkStart w:id="39" w:name="_Toc356223762"/>
            <w:r>
              <w:rPr>
                <w:rFonts w:hint="default" w:ascii="Times New Roman" w:hAnsi="Times New Roman" w:cs="Times New Roman"/>
                <w:b/>
                <w:bCs/>
                <w:color w:val="auto"/>
                <w:sz w:val="24"/>
              </w:rPr>
              <w:t>4、项目相关文件</w:t>
            </w:r>
            <w:bookmarkEnd w:id="38"/>
            <w:bookmarkEnd w:id="39"/>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（1）环境影响评价工作委托书（附件2）；</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（2）茶陵县</w:t>
            </w:r>
            <w:r>
              <w:rPr>
                <w:rFonts w:hint="default" w:ascii="Times New Roman" w:hAnsi="Times New Roman" w:cs="Times New Roman"/>
                <w:color w:val="auto"/>
                <w:sz w:val="24"/>
              </w:rPr>
              <w:t>环境保护局“</w:t>
            </w:r>
            <w:r>
              <w:rPr>
                <w:rFonts w:hint="default" w:ascii="Times New Roman" w:hAnsi="Times New Roman" w:cs="Times New Roman"/>
                <w:bCs/>
                <w:color w:val="auto"/>
                <w:sz w:val="24"/>
              </w:rPr>
              <w:t>关于茶陵县无线广播电视发射塔复建工程项目环境保护初审意见”（</w:t>
            </w:r>
            <w:r>
              <w:rPr>
                <w:rFonts w:hint="default" w:ascii="Times New Roman" w:hAnsi="Times New Roman" w:cs="Times New Roman"/>
                <w:color w:val="auto"/>
                <w:sz w:val="24"/>
              </w:rPr>
              <w:t>附件3</w:t>
            </w:r>
            <w:r>
              <w:rPr>
                <w:rFonts w:hint="default" w:ascii="Times New Roman" w:hAnsi="Times New Roman" w:cs="Times New Roman"/>
                <w:bCs/>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（3）茶陵县国土资源局“关于茶陵县无线广播电视发射塔复建工程建设项目用地预审的说明”（附件4）；</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（4）茶陵县住房和城市规划建设局“建设项目选址意见书”建规〔选〕字 第</w:t>
            </w:r>
            <w:r>
              <w:rPr>
                <w:rFonts w:hint="default" w:ascii="Times New Roman" w:hAnsi="Times New Roman" w:cs="Times New Roman"/>
                <w:bCs/>
                <w:color w:val="auto"/>
                <w:sz w:val="24"/>
                <w:u w:val="single"/>
              </w:rPr>
              <w:t>2016-08</w:t>
            </w:r>
            <w:r>
              <w:rPr>
                <w:rFonts w:hint="default" w:ascii="Times New Roman" w:hAnsi="Times New Roman" w:cs="Times New Roman"/>
                <w:bCs/>
                <w:color w:val="auto"/>
                <w:sz w:val="24"/>
              </w:rPr>
              <w:t>号（附件5）；</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bCs/>
                <w:color w:val="auto"/>
                <w:sz w:val="24"/>
              </w:rPr>
              <w:t>（5）茶陵县建设项目规划选址意见书申请审批表（附件6）；</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（6）茶陵县人民政府办公会议纪要“无线广播电视发射塔复建工程协调工作会议纪要”第42次（附件7）；</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（7）湖南贝可辐射环境科技有限公司《茶陵县无线广播电视发射塔复建工程噪声环境监测报告》（附件8）；</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湖南贝可辐射环境科技有限公司《茶陵县广播电视发射</w:t>
            </w:r>
            <w:r>
              <w:rPr>
                <w:rFonts w:hint="default" w:ascii="Times New Roman" w:hAnsi="Times New Roman" w:cs="Times New Roman"/>
                <w:color w:val="auto"/>
                <w:sz w:val="24"/>
                <w:lang w:eastAsia="zh-CN"/>
              </w:rPr>
              <w:t>塔复建工程</w:t>
            </w:r>
            <w:r>
              <w:rPr>
                <w:rFonts w:hint="default" w:ascii="Times New Roman" w:hAnsi="Times New Roman" w:cs="Times New Roman"/>
                <w:color w:val="auto"/>
                <w:sz w:val="24"/>
              </w:rPr>
              <w:t>项目电磁环境监测报告》（附件</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p>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三、评价目的</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1、根据广播电视发射塔的特点和电磁影响特征、发射塔周围的环境特点，分析发射塔对环境造成的电磁影响程度及大致分布特征，并通过理论分析模式，预测计算电磁场强；</w:t>
            </w:r>
          </w:p>
          <w:p>
            <w:pPr>
              <w:spacing w:line="360" w:lineRule="auto"/>
              <w:ind w:firstLine="480" w:firstLineChars="20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4"/>
              </w:rPr>
              <w:t>2、提出环境保护措施，把环境影响减少到“可合理达到的尽量低水平”；</w:t>
            </w:r>
          </w:p>
          <w:p>
            <w:pPr>
              <w:spacing w:line="360" w:lineRule="auto"/>
              <w:ind w:firstLine="480" w:firstLineChars="200"/>
              <w:rPr>
                <w:rFonts w:hint="default" w:ascii="Times New Roman" w:hAnsi="Times New Roman" w:eastAsia="仿宋_GB2312" w:cs="Times New Roman"/>
                <w:bCs/>
                <w:color w:val="auto"/>
                <w:sz w:val="24"/>
              </w:rPr>
            </w:pPr>
            <w:r>
              <w:rPr>
                <w:rFonts w:hint="default" w:ascii="Times New Roman" w:hAnsi="Times New Roman" w:cs="Times New Roman"/>
                <w:color w:val="auto"/>
                <w:sz w:val="24"/>
              </w:rPr>
              <w:t>3、为本项目的环境保护管理提供科学依据，促进广播电视事业健康发展。</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8"/>
                <w:szCs w:val="28"/>
              </w:rPr>
              <w:t>四、产业政策和规划的符合性</w:t>
            </w:r>
          </w:p>
          <w:p>
            <w:pPr>
              <w:spacing w:before="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1、产业政策符合性</w:t>
            </w:r>
          </w:p>
          <w:p>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本项目为“广播影视设施建设项目”，属于《产业结构调整指导目录（2011年本）（修正）》中第一类“鼓励类”项目，符合国家现行产业政策。</w:t>
            </w:r>
          </w:p>
          <w:p>
            <w:pPr>
              <w:spacing w:before="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2、规划符合性</w:t>
            </w:r>
          </w:p>
          <w:p>
            <w:pPr>
              <w:spacing w:line="360" w:lineRule="auto"/>
              <w:ind w:firstLine="478" w:firstLineChars="199"/>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rPr>
              <w:t>本项目广播电视发射台选址位于茶陵县云阳山半山腰</w:t>
            </w:r>
            <w:r>
              <w:rPr>
                <w:rFonts w:hint="default" w:ascii="Times New Roman" w:hAnsi="Times New Roman" w:cs="Times New Roman"/>
                <w:color w:val="auto"/>
                <w:sz w:val="24"/>
                <w:shd w:val="clear" w:color="auto" w:fill="FFFFFF"/>
              </w:rPr>
              <w:t>，经茶陵县住房和城乡规划建设局确认，该选址符合县总体规划，符合云阳山风景名胜区总体规划（景区规划图见</w:t>
            </w:r>
            <w:r>
              <w:rPr>
                <w:rFonts w:hint="default" w:ascii="Times New Roman" w:hAnsi="Times New Roman" w:cs="Times New Roman"/>
                <w:color w:val="auto"/>
                <w:sz w:val="24"/>
                <w:shd w:val="clear" w:color="auto" w:fill="FFFFFF"/>
                <w:lang w:eastAsia="zh-CN"/>
              </w:rPr>
              <w:t>附图5</w:t>
            </w:r>
            <w:r>
              <w:rPr>
                <w:rFonts w:hint="default" w:ascii="Times New Roman" w:hAnsi="Times New Roman" w:cs="Times New Roman"/>
                <w:color w:val="auto"/>
                <w:sz w:val="24"/>
                <w:shd w:val="clear" w:color="auto" w:fill="FFFFFF"/>
              </w:rPr>
              <w:t>）。</w:t>
            </w:r>
          </w:p>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五、建设项目概况</w:t>
            </w:r>
          </w:p>
          <w:p>
            <w:pPr>
              <w:spacing w:before="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1、项目名称、性质、建设地点</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项目名称：茶陵县无线广播电视发射塔复建工程</w:t>
            </w:r>
            <w:r>
              <w:rPr>
                <w:rFonts w:hint="default" w:ascii="Times New Roman" w:hAnsi="Times New Roman" w:cs="Times New Roman"/>
                <w:color w:val="auto"/>
                <w:sz w:val="24"/>
                <w:lang w:eastAsia="zh-CN"/>
              </w:rPr>
              <w:t>项目</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建设单位：茶陵县广播电视台</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建设地点：云阳山北门半山腰，即原茶陵县电信公司已废弃发射铁塔旧址（海拔高度330米；经度113°30'12.3"；纬度26°47'59.5"）</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项目性质：新建</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投资：项目总投资约359.5万元，其中环保投资为</w:t>
            </w:r>
            <w:r>
              <w:rPr>
                <w:rFonts w:hint="default" w:ascii="Times New Roman" w:hAnsi="Times New Roman" w:cs="Times New Roman"/>
                <w:color w:val="auto"/>
                <w:sz w:val="24"/>
                <w:lang w:val="en-US" w:eastAsia="zh-CN"/>
              </w:rPr>
              <w:t>15</w:t>
            </w:r>
            <w:r>
              <w:rPr>
                <w:rFonts w:hint="default" w:ascii="Times New Roman" w:hAnsi="Times New Roman" w:cs="Times New Roman"/>
                <w:color w:val="auto"/>
                <w:sz w:val="24"/>
              </w:rPr>
              <w:t>万元，占总投资的</w:t>
            </w:r>
            <w:r>
              <w:rPr>
                <w:rFonts w:hint="default" w:ascii="Times New Roman" w:hAnsi="Times New Roman" w:cs="Times New Roman"/>
                <w:color w:val="auto"/>
                <w:sz w:val="24"/>
                <w:lang w:val="en-US" w:eastAsia="zh-CN"/>
              </w:rPr>
              <w:t>4.2</w:t>
            </w:r>
            <w:r>
              <w:rPr>
                <w:rFonts w:hint="default" w:ascii="Times New Roman" w:hAnsi="Times New Roman" w:cs="Times New Roman"/>
                <w:color w:val="auto"/>
                <w:sz w:val="24"/>
              </w:rPr>
              <w:t>%。</w:t>
            </w:r>
          </w:p>
          <w:p>
            <w:pPr>
              <w:spacing w:before="156" w:beforeLines="50" w:after="156" w:afterLines="50" w:line="360" w:lineRule="auto"/>
              <w:ind w:firstLine="48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2、建设规模</w:t>
            </w:r>
          </w:p>
          <w:p>
            <w:pPr>
              <w:spacing w:before="156" w:beforeLines="50" w:after="156" w:afterLines="50"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茶陵县无线广播电视发射塔复建工程</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的建设内容为：广播电视发射塔1座、技术及生活用房（368.2m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）及区内给水、供配电、通讯、围墙、地面硬化等附属工程，以及项目设备安装及调试。</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2.1  主体工程：广播电视发射塔1座，发射塔塔高50m（不含栀杆和避雷针高度），安装包括调频广播（频率为104MHz）、9频道（茶陵县电视台）、20频道（转播中央一台）、26频道（转播中央七台）、15频道（数字电视）、43频道（数字电视）等频道或频点的发射机、天线及馈线系统。</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2.2  辅助工程：技术及生活用房1座，建筑面积368.2m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。包括无线机房（含控制室）、配电室及发电机房、设备维修间、库房、小型会议室、工作人员卧室、餐厅、厨房等。</w:t>
            </w:r>
          </w:p>
          <w:p>
            <w:pPr>
              <w:spacing w:before="156" w:beforeLines="50" w:after="156" w:afterLines="50" w:line="360" w:lineRule="auto"/>
              <w:ind w:firstLine="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2.3  其他：</w:t>
            </w:r>
            <w:r>
              <w:rPr>
                <w:rFonts w:hint="default" w:ascii="Times New Roman" w:hAnsi="Times New Roman" w:cs="Times New Roman"/>
                <w:color w:val="auto"/>
                <w:sz w:val="24"/>
              </w:rPr>
              <w:t>消防设施、站内绿化</w:t>
            </w:r>
            <w:r>
              <w:rPr>
                <w:rFonts w:hint="default" w:ascii="Times New Roman" w:hAnsi="Times New Roman" w:cs="Times New Roman"/>
                <w:color w:val="auto"/>
                <w:sz w:val="24"/>
                <w:lang w:eastAsia="zh-CN"/>
              </w:rPr>
              <w:t>，进站道路利用现有的道路</w:t>
            </w:r>
            <w:r>
              <w:rPr>
                <w:rFonts w:hint="default" w:ascii="Times New Roman" w:hAnsi="Times New Roman" w:cs="Times New Roman"/>
                <w:color w:val="auto"/>
                <w:sz w:val="24"/>
              </w:rPr>
              <w:t>。</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本项目主要技术经济指标详见表1-1、表1-2和表1-3。</w:t>
            </w:r>
          </w:p>
          <w:p>
            <w:pPr>
              <w:spacing w:before="156" w:beforeLines="50" w:after="156" w:afterLines="50" w:line="360" w:lineRule="auto"/>
              <w:ind w:firstLine="48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表1-1  主要技术经济指标</w:t>
            </w:r>
          </w:p>
          <w:tbl>
            <w:tblPr>
              <w:tblStyle w:val="16"/>
              <w:tblW w:w="836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674"/>
              <w:gridCol w:w="1675"/>
              <w:gridCol w:w="1674"/>
              <w:gridCol w:w="1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指标名称</w:t>
                  </w:r>
                </w:p>
              </w:tc>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指标值</w:t>
                  </w:r>
                </w:p>
              </w:tc>
              <w:tc>
                <w:tcPr>
                  <w:tcW w:w="1662"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总用地面积</w:t>
                  </w:r>
                </w:p>
              </w:tc>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m2</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399.6</w:t>
                  </w:r>
                </w:p>
              </w:tc>
              <w:tc>
                <w:tcPr>
                  <w:tcW w:w="1662"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总建筑面积</w:t>
                  </w:r>
                </w:p>
              </w:tc>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m2</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368.2</w:t>
                  </w:r>
                </w:p>
              </w:tc>
              <w:tc>
                <w:tcPr>
                  <w:tcW w:w="1662"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发射塔高度</w:t>
                  </w:r>
                </w:p>
              </w:tc>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662"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w:t>
                  </w:r>
                </w:p>
              </w:tc>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万元</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359.5</w:t>
                  </w:r>
                </w:p>
              </w:tc>
              <w:tc>
                <w:tcPr>
                  <w:tcW w:w="1662"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48" w:hRule="atLeast"/>
              </w:trPr>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建设工期</w:t>
                  </w:r>
                </w:p>
              </w:tc>
              <w:tc>
                <w:tcPr>
                  <w:tcW w:w="1675"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w:t>
                  </w:r>
                </w:p>
              </w:tc>
              <w:tc>
                <w:tcPr>
                  <w:tcW w:w="1674"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1662" w:type="dxa"/>
                  <w:tcBorders>
                    <w:tl2br w:val="nil"/>
                    <w:tr2bl w:val="nil"/>
                  </w:tcBorders>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spacing w:before="156" w:beforeLines="50" w:after="156" w:afterLines="50" w:line="360" w:lineRule="auto"/>
              <w:jc w:val="center"/>
              <w:rPr>
                <w:rFonts w:hint="default" w:ascii="Times New Roman" w:hAnsi="Times New Roman" w:eastAsia="黑体" w:cs="Times New Roman"/>
                <w:color w:val="auto"/>
                <w:sz w:val="24"/>
                <w:u w:val="single"/>
              </w:rPr>
            </w:pPr>
            <w:r>
              <w:rPr>
                <w:rFonts w:hint="default" w:ascii="Times New Roman" w:hAnsi="Times New Roman" w:eastAsia="黑体" w:cs="Times New Roman"/>
                <w:color w:val="auto"/>
                <w:sz w:val="24"/>
                <w:u w:val="single"/>
              </w:rPr>
              <w:t>表1-2  发射系统技术指标</w:t>
            </w:r>
          </w:p>
          <w:tbl>
            <w:tblPr>
              <w:tblStyle w:val="16"/>
              <w:tblW w:w="911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51"/>
              <w:gridCol w:w="1030"/>
              <w:gridCol w:w="765"/>
              <w:gridCol w:w="750"/>
              <w:gridCol w:w="813"/>
              <w:gridCol w:w="683"/>
              <w:gridCol w:w="669"/>
              <w:gridCol w:w="746"/>
              <w:gridCol w:w="676"/>
              <w:gridCol w:w="694"/>
              <w:gridCol w:w="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39" w:hRule="atLeast"/>
              </w:trPr>
              <w:tc>
                <w:tcPr>
                  <w:tcW w:w="77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节目</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内容</w:t>
                  </w:r>
                </w:p>
              </w:tc>
              <w:tc>
                <w:tcPr>
                  <w:tcW w:w="85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频道</w:t>
                  </w:r>
                </w:p>
              </w:tc>
              <w:tc>
                <w:tcPr>
                  <w:tcW w:w="10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频率</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（MHz）</w:t>
                  </w:r>
                </w:p>
              </w:tc>
              <w:tc>
                <w:tcPr>
                  <w:tcW w:w="76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功率（W）</w:t>
                  </w:r>
                </w:p>
              </w:tc>
              <w:tc>
                <w:tcPr>
                  <w:tcW w:w="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波长（m）</w:t>
                  </w:r>
                </w:p>
              </w:tc>
              <w:tc>
                <w:tcPr>
                  <w:tcW w:w="81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增益</w:t>
                  </w:r>
                </w:p>
              </w:tc>
              <w:tc>
                <w:tcPr>
                  <w:tcW w:w="6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挂高（m）</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每天工作时间</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年运行时间（h）</w:t>
                  </w:r>
                </w:p>
              </w:tc>
              <w:tc>
                <w:tcPr>
                  <w:tcW w:w="676" w:type="dxa"/>
                  <w:tcBorders>
                    <w:tl2br w:val="nil"/>
                    <w:tr2bl w:val="nil"/>
                  </w:tcBorders>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主射方向</w:t>
                  </w:r>
                </w:p>
              </w:tc>
              <w:tc>
                <w:tcPr>
                  <w:tcW w:w="694" w:type="dxa"/>
                  <w:tcBorders>
                    <w:tl2br w:val="nil"/>
                    <w:tr2bl w:val="nil"/>
                  </w:tcBorders>
                  <w:textDirection w:val="lrTb"/>
                  <w:vAlign w:val="center"/>
                </w:tcPr>
                <w:p>
                  <w:pPr>
                    <w:jc w:val="center"/>
                    <w:rPr>
                      <w:color w:val="auto"/>
                    </w:rPr>
                  </w:pPr>
                  <w:r>
                    <w:rPr>
                      <w:rFonts w:hint="default" w:ascii="Times New Roman" w:hAnsi="Times New Roman" w:cs="Times New Roman"/>
                      <w:color w:val="auto"/>
                      <w:szCs w:val="21"/>
                    </w:rPr>
                    <w:t>备注</w:t>
                  </w:r>
                </w:p>
              </w:tc>
              <w:tc>
                <w:tcPr>
                  <w:tcW w:w="660" w:type="dxa"/>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777" w:type="dxa"/>
                  <w:tcBorders>
                    <w:tl2br w:val="nil"/>
                    <w:tr2bl w:val="nil"/>
                  </w:tcBorders>
                  <w:vAlign w:val="center"/>
                </w:tcPr>
                <w:p>
                  <w:pPr>
                    <w:widowControl/>
                    <w:jc w:val="center"/>
                    <w:textAlignment w:val="center"/>
                    <w:rPr>
                      <w:rFonts w:hint="default" w:ascii="Times New Roman" w:hAnsi="Times New Roman" w:cs="Times New Roman"/>
                      <w:color w:val="auto"/>
                      <w:szCs w:val="21"/>
                    </w:rPr>
                  </w:pPr>
                  <w:bookmarkStart w:id="40" w:name="OLE_LINK23" w:colFirst="5" w:colLast="5"/>
                  <w:r>
                    <w:rPr>
                      <w:rFonts w:hint="default" w:ascii="Times New Roman" w:hAnsi="Times New Roman" w:cs="Times New Roman"/>
                      <w:color w:val="auto"/>
                      <w:kern w:val="0"/>
                      <w:szCs w:val="21"/>
                      <w:lang w:bidi="ar"/>
                    </w:rPr>
                    <w:t>调频</w:t>
                  </w:r>
                </w:p>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广播</w:t>
                  </w:r>
                </w:p>
              </w:tc>
              <w:tc>
                <w:tcPr>
                  <w:tcW w:w="851"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FM104</w:t>
                  </w:r>
                </w:p>
              </w:tc>
              <w:tc>
                <w:tcPr>
                  <w:tcW w:w="1030"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104</w:t>
                  </w:r>
                </w:p>
              </w:tc>
              <w:tc>
                <w:tcPr>
                  <w:tcW w:w="765"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w:t>
                  </w:r>
                </w:p>
              </w:tc>
              <w:tc>
                <w:tcPr>
                  <w:tcW w:w="750"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2.88</w:t>
                  </w:r>
                </w:p>
              </w:tc>
              <w:tc>
                <w:tcPr>
                  <w:tcW w:w="81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8.5</w:t>
                  </w:r>
                  <w:r>
                    <w:rPr>
                      <w:rFonts w:hint="default" w:ascii="Times New Roman" w:hAnsi="Times New Roman" w:cs="Times New Roman"/>
                      <w:color w:val="auto"/>
                      <w:kern w:val="0"/>
                      <w:szCs w:val="21"/>
                      <w:lang w:val="en-US" w:eastAsia="zh-CN" w:bidi="ar"/>
                    </w:rPr>
                    <w:t>dBd</w:t>
                  </w:r>
                </w:p>
              </w:tc>
              <w:tc>
                <w:tcPr>
                  <w:tcW w:w="68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669"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746"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6205</w:t>
                  </w:r>
                </w:p>
              </w:tc>
              <w:tc>
                <w:tcPr>
                  <w:tcW w:w="676" w:type="dxa"/>
                  <w:tcBorders>
                    <w:tl2br w:val="nil"/>
                    <w:tr2bl w:val="nil"/>
                  </w:tcBorders>
                  <w:shd w:val="clear" w:color="auto" w:fill="auto"/>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东侧</w:t>
                  </w:r>
                </w:p>
              </w:tc>
              <w:tc>
                <w:tcPr>
                  <w:tcW w:w="694" w:type="dxa"/>
                  <w:tcBorders>
                    <w:tl2br w:val="nil"/>
                    <w:tr2bl w:val="nil"/>
                  </w:tcBorders>
                  <w:shd w:val="clear" w:color="auto" w:fill="auto"/>
                  <w:textDirection w:val="lrTb"/>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垂直</w:t>
                  </w:r>
                </w:p>
                <w:p>
                  <w:pPr>
                    <w:widowControl/>
                    <w:jc w:val="center"/>
                    <w:textAlignment w:val="center"/>
                    <w:rPr>
                      <w:color w:val="auto"/>
                    </w:rPr>
                  </w:pPr>
                  <w:r>
                    <w:rPr>
                      <w:rFonts w:hint="default" w:ascii="Times New Roman" w:hAnsi="Times New Roman" w:cs="Times New Roman"/>
                      <w:color w:val="auto"/>
                      <w:szCs w:val="21"/>
                    </w:rPr>
                    <w:t>极化</w:t>
                  </w:r>
                </w:p>
              </w:tc>
              <w:tc>
                <w:tcPr>
                  <w:tcW w:w="660"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777"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县电</w:t>
                  </w:r>
                </w:p>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视台</w:t>
                  </w:r>
                </w:p>
              </w:tc>
              <w:tc>
                <w:tcPr>
                  <w:tcW w:w="851"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w:t>
                  </w:r>
                  <w:r>
                    <w:rPr>
                      <w:rStyle w:val="17"/>
                      <w:rFonts w:hint="default" w:ascii="Times New Roman" w:hAnsi="Times New Roman" w:cs="Times New Roman"/>
                      <w:color w:val="auto"/>
                      <w:lang w:bidi="ar"/>
                    </w:rPr>
                    <w:t>频道</w:t>
                  </w:r>
                </w:p>
              </w:tc>
              <w:tc>
                <w:tcPr>
                  <w:tcW w:w="1030" w:type="dxa"/>
                  <w:tcBorders>
                    <w:tl2br w:val="nil"/>
                    <w:tr2bl w:val="nil"/>
                  </w:tcBorders>
                  <w:vAlign w:val="center"/>
                </w:tcPr>
                <w:p>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195</w:t>
                  </w:r>
                </w:p>
              </w:tc>
              <w:tc>
                <w:tcPr>
                  <w:tcW w:w="76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w:t>
                  </w:r>
                </w:p>
              </w:tc>
              <w:tc>
                <w:tcPr>
                  <w:tcW w:w="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1.54</w:t>
                  </w:r>
                </w:p>
              </w:tc>
              <w:tc>
                <w:tcPr>
                  <w:tcW w:w="81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r>
                    <w:rPr>
                      <w:rFonts w:hint="default" w:ascii="Times New Roman" w:hAnsi="Times New Roman" w:cs="Times New Roman"/>
                      <w:color w:val="auto"/>
                      <w:kern w:val="0"/>
                      <w:szCs w:val="21"/>
                      <w:lang w:val="en-US" w:eastAsia="zh-CN" w:bidi="ar"/>
                    </w:rPr>
                    <w:t>dBd</w:t>
                  </w:r>
                </w:p>
              </w:tc>
              <w:tc>
                <w:tcPr>
                  <w:tcW w:w="6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6205</w:t>
                  </w:r>
                </w:p>
              </w:tc>
              <w:tc>
                <w:tcPr>
                  <w:tcW w:w="676" w:type="dxa"/>
                  <w:tcBorders>
                    <w:tl2br w:val="nil"/>
                    <w:tr2bl w:val="nil"/>
                  </w:tcBorders>
                  <w:vAlign w:val="center"/>
                </w:tcPr>
                <w:p>
                  <w:pPr>
                    <w:jc w:val="center"/>
                    <w:rPr>
                      <w:rFonts w:hint="default" w:ascii="Times New Roman" w:hAnsi="Times New Roman" w:cs="Times New Roman"/>
                      <w:color w:val="auto"/>
                      <w:szCs w:val="21"/>
                    </w:rPr>
                  </w:pPr>
                  <w:r>
                    <w:rPr>
                      <w:rFonts w:hint="eastAsia" w:cs="Times New Roman"/>
                      <w:color w:val="auto"/>
                      <w:szCs w:val="21"/>
                      <w:lang w:eastAsia="zh-CN"/>
                    </w:rPr>
                    <w:t>东侧</w:t>
                  </w:r>
                </w:p>
              </w:tc>
              <w:tc>
                <w:tcPr>
                  <w:tcW w:w="694" w:type="dxa"/>
                  <w:tcBorders>
                    <w:tl2br w:val="nil"/>
                    <w:tr2bl w:val="nil"/>
                  </w:tcBorders>
                  <w:textDirection w:val="lrTb"/>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水平</w:t>
                  </w:r>
                </w:p>
                <w:p>
                  <w:pPr>
                    <w:jc w:val="center"/>
                    <w:rPr>
                      <w:color w:val="auto"/>
                    </w:rPr>
                  </w:pPr>
                  <w:r>
                    <w:rPr>
                      <w:rFonts w:hint="default" w:ascii="Times New Roman" w:hAnsi="Times New Roman" w:cs="Times New Roman"/>
                      <w:color w:val="auto"/>
                      <w:szCs w:val="21"/>
                    </w:rPr>
                    <w:t>极化</w:t>
                  </w:r>
                </w:p>
              </w:tc>
              <w:tc>
                <w:tcPr>
                  <w:tcW w:w="660" w:type="dxa"/>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777"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中央</w:t>
                  </w:r>
                </w:p>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一台</w:t>
                  </w:r>
                </w:p>
              </w:tc>
              <w:tc>
                <w:tcPr>
                  <w:tcW w:w="851"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w:t>
                  </w:r>
                  <w:r>
                    <w:rPr>
                      <w:rStyle w:val="17"/>
                      <w:rFonts w:hint="default" w:ascii="Times New Roman" w:hAnsi="Times New Roman" w:cs="Times New Roman"/>
                      <w:color w:val="auto"/>
                      <w:lang w:bidi="ar"/>
                    </w:rPr>
                    <w:t>频道</w:t>
                  </w:r>
                </w:p>
              </w:tc>
              <w:tc>
                <w:tcPr>
                  <w:tcW w:w="1030" w:type="dxa"/>
                  <w:tcBorders>
                    <w:tl2br w:val="nil"/>
                    <w:tr2bl w:val="nil"/>
                  </w:tcBorders>
                  <w:vAlign w:val="center"/>
                </w:tcPr>
                <w:p>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530</w:t>
                  </w:r>
                </w:p>
              </w:tc>
              <w:tc>
                <w:tcPr>
                  <w:tcW w:w="76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w:t>
                  </w:r>
                </w:p>
              </w:tc>
              <w:tc>
                <w:tcPr>
                  <w:tcW w:w="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0.57</w:t>
                  </w:r>
                </w:p>
              </w:tc>
              <w:tc>
                <w:tcPr>
                  <w:tcW w:w="81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w:t>
                  </w:r>
                  <w:r>
                    <w:rPr>
                      <w:rFonts w:hint="default" w:ascii="Times New Roman" w:hAnsi="Times New Roman" w:cs="Times New Roman"/>
                      <w:color w:val="auto"/>
                      <w:kern w:val="0"/>
                      <w:szCs w:val="21"/>
                      <w:lang w:val="en-US" w:eastAsia="zh-CN" w:bidi="ar"/>
                    </w:rPr>
                    <w:t>dBi</w:t>
                  </w:r>
                </w:p>
              </w:tc>
              <w:tc>
                <w:tcPr>
                  <w:tcW w:w="6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6205</w:t>
                  </w:r>
                </w:p>
              </w:tc>
              <w:tc>
                <w:tcPr>
                  <w:tcW w:w="676" w:type="dxa"/>
                  <w:tcBorders>
                    <w:tl2br w:val="nil"/>
                    <w:tr2bl w:val="nil"/>
                  </w:tcBorders>
                  <w:vAlign w:val="center"/>
                </w:tcPr>
                <w:p>
                  <w:pPr>
                    <w:jc w:val="center"/>
                    <w:rPr>
                      <w:rFonts w:hint="default" w:ascii="Times New Roman" w:hAnsi="Times New Roman" w:cs="Times New Roman"/>
                      <w:color w:val="auto"/>
                      <w:szCs w:val="21"/>
                    </w:rPr>
                  </w:pPr>
                  <w:r>
                    <w:rPr>
                      <w:rFonts w:hint="eastAsia" w:cs="Times New Roman"/>
                      <w:color w:val="auto"/>
                      <w:szCs w:val="21"/>
                      <w:lang w:eastAsia="zh-CN"/>
                    </w:rPr>
                    <w:t>东侧</w:t>
                  </w:r>
                </w:p>
              </w:tc>
              <w:tc>
                <w:tcPr>
                  <w:tcW w:w="694" w:type="dxa"/>
                  <w:tcBorders>
                    <w:tl2br w:val="nil"/>
                    <w:tr2bl w:val="nil"/>
                  </w:tcBorders>
                  <w:textDirection w:val="lrTb"/>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水平</w:t>
                  </w:r>
                </w:p>
                <w:p>
                  <w:pPr>
                    <w:jc w:val="center"/>
                    <w:rPr>
                      <w:color w:val="auto"/>
                    </w:rPr>
                  </w:pPr>
                  <w:r>
                    <w:rPr>
                      <w:rFonts w:hint="default" w:ascii="Times New Roman" w:hAnsi="Times New Roman" w:cs="Times New Roman"/>
                      <w:color w:val="auto"/>
                      <w:szCs w:val="21"/>
                    </w:rPr>
                    <w:t>极化</w:t>
                  </w:r>
                </w:p>
              </w:tc>
              <w:tc>
                <w:tcPr>
                  <w:tcW w:w="660" w:type="dxa"/>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777"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中央</w:t>
                  </w:r>
                </w:p>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七台</w:t>
                  </w:r>
                </w:p>
              </w:tc>
              <w:tc>
                <w:tcPr>
                  <w:tcW w:w="851"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w:t>
                  </w:r>
                  <w:r>
                    <w:rPr>
                      <w:rStyle w:val="17"/>
                      <w:rFonts w:hint="default" w:ascii="Times New Roman" w:hAnsi="Times New Roman" w:cs="Times New Roman"/>
                      <w:color w:val="auto"/>
                      <w:lang w:bidi="ar"/>
                    </w:rPr>
                    <w:t>频道</w:t>
                  </w:r>
                </w:p>
              </w:tc>
              <w:tc>
                <w:tcPr>
                  <w:tcW w:w="1030" w:type="dxa"/>
                  <w:tcBorders>
                    <w:tl2br w:val="nil"/>
                    <w:tr2bl w:val="nil"/>
                  </w:tcBorders>
                  <w:vAlign w:val="center"/>
                </w:tcPr>
                <w:p>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618</w:t>
                  </w:r>
                </w:p>
              </w:tc>
              <w:tc>
                <w:tcPr>
                  <w:tcW w:w="76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w:t>
                  </w:r>
                </w:p>
              </w:tc>
              <w:tc>
                <w:tcPr>
                  <w:tcW w:w="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0.49</w:t>
                  </w:r>
                </w:p>
              </w:tc>
              <w:tc>
                <w:tcPr>
                  <w:tcW w:w="81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w:t>
                  </w:r>
                  <w:r>
                    <w:rPr>
                      <w:rFonts w:hint="default" w:ascii="Times New Roman" w:hAnsi="Times New Roman" w:cs="Times New Roman"/>
                      <w:color w:val="auto"/>
                      <w:kern w:val="0"/>
                      <w:szCs w:val="21"/>
                      <w:lang w:val="en-US" w:eastAsia="zh-CN" w:bidi="ar"/>
                    </w:rPr>
                    <w:t>dBi</w:t>
                  </w:r>
                </w:p>
              </w:tc>
              <w:tc>
                <w:tcPr>
                  <w:tcW w:w="6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6205</w:t>
                  </w:r>
                </w:p>
              </w:tc>
              <w:tc>
                <w:tcPr>
                  <w:tcW w:w="676" w:type="dxa"/>
                  <w:tcBorders>
                    <w:tl2br w:val="nil"/>
                    <w:tr2bl w:val="nil"/>
                  </w:tcBorders>
                  <w:vAlign w:val="center"/>
                </w:tcPr>
                <w:p>
                  <w:pPr>
                    <w:jc w:val="center"/>
                    <w:rPr>
                      <w:rFonts w:hint="default" w:ascii="Times New Roman" w:hAnsi="Times New Roman" w:cs="Times New Roman"/>
                      <w:color w:val="auto"/>
                      <w:szCs w:val="21"/>
                    </w:rPr>
                  </w:pPr>
                  <w:r>
                    <w:rPr>
                      <w:rFonts w:hint="eastAsia" w:cs="Times New Roman"/>
                      <w:color w:val="auto"/>
                      <w:szCs w:val="21"/>
                      <w:lang w:eastAsia="zh-CN"/>
                    </w:rPr>
                    <w:t>东侧</w:t>
                  </w:r>
                </w:p>
              </w:tc>
              <w:tc>
                <w:tcPr>
                  <w:tcW w:w="694" w:type="dxa"/>
                  <w:tcBorders>
                    <w:tl2br w:val="nil"/>
                    <w:tr2bl w:val="nil"/>
                  </w:tcBorders>
                  <w:textDirection w:val="lrTb"/>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水平</w:t>
                  </w:r>
                </w:p>
                <w:p>
                  <w:pPr>
                    <w:jc w:val="center"/>
                    <w:rPr>
                      <w:color w:val="auto"/>
                    </w:rPr>
                  </w:pPr>
                  <w:r>
                    <w:rPr>
                      <w:rFonts w:hint="default" w:ascii="Times New Roman" w:hAnsi="Times New Roman" w:cs="Times New Roman"/>
                      <w:color w:val="auto"/>
                      <w:szCs w:val="21"/>
                    </w:rPr>
                    <w:t>极化</w:t>
                  </w:r>
                </w:p>
              </w:tc>
              <w:tc>
                <w:tcPr>
                  <w:tcW w:w="660" w:type="dxa"/>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777"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数字</w:t>
                  </w:r>
                </w:p>
                <w:p>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电视</w:t>
                  </w:r>
                </w:p>
              </w:tc>
              <w:tc>
                <w:tcPr>
                  <w:tcW w:w="851"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w:t>
                  </w:r>
                  <w:r>
                    <w:rPr>
                      <w:rStyle w:val="17"/>
                      <w:rFonts w:hint="default" w:ascii="Times New Roman" w:hAnsi="Times New Roman" w:cs="Times New Roman"/>
                      <w:color w:val="auto"/>
                      <w:lang w:bidi="ar"/>
                    </w:rPr>
                    <w:t>频道</w:t>
                  </w:r>
                </w:p>
              </w:tc>
              <w:tc>
                <w:tcPr>
                  <w:tcW w:w="1030"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490</w:t>
                  </w:r>
                </w:p>
              </w:tc>
              <w:tc>
                <w:tcPr>
                  <w:tcW w:w="765"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w:t>
                  </w:r>
                </w:p>
              </w:tc>
              <w:tc>
                <w:tcPr>
                  <w:tcW w:w="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0.61</w:t>
                  </w:r>
                </w:p>
              </w:tc>
              <w:tc>
                <w:tcPr>
                  <w:tcW w:w="81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w:t>
                  </w:r>
                  <w:r>
                    <w:rPr>
                      <w:rFonts w:hint="default" w:ascii="Times New Roman" w:hAnsi="Times New Roman" w:cs="Times New Roman"/>
                      <w:color w:val="auto"/>
                      <w:kern w:val="0"/>
                      <w:szCs w:val="21"/>
                      <w:lang w:val="en-US" w:eastAsia="zh-CN" w:bidi="ar"/>
                    </w:rPr>
                    <w:t>dBi</w:t>
                  </w:r>
                </w:p>
              </w:tc>
              <w:tc>
                <w:tcPr>
                  <w:tcW w:w="6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6205</w:t>
                  </w:r>
                </w:p>
              </w:tc>
              <w:tc>
                <w:tcPr>
                  <w:tcW w:w="676" w:type="dxa"/>
                  <w:tcBorders>
                    <w:tl2br w:val="nil"/>
                    <w:tr2bl w:val="nil"/>
                  </w:tcBorders>
                  <w:vAlign w:val="center"/>
                </w:tcPr>
                <w:p>
                  <w:pPr>
                    <w:jc w:val="center"/>
                    <w:rPr>
                      <w:rFonts w:hint="default" w:ascii="Times New Roman" w:hAnsi="Times New Roman" w:cs="Times New Roman"/>
                      <w:color w:val="auto"/>
                      <w:szCs w:val="21"/>
                    </w:rPr>
                  </w:pPr>
                  <w:r>
                    <w:rPr>
                      <w:rFonts w:hint="eastAsia" w:cs="Times New Roman"/>
                      <w:color w:val="auto"/>
                      <w:szCs w:val="21"/>
                      <w:lang w:eastAsia="zh-CN"/>
                    </w:rPr>
                    <w:t>东侧</w:t>
                  </w:r>
                </w:p>
              </w:tc>
              <w:tc>
                <w:tcPr>
                  <w:tcW w:w="694" w:type="dxa"/>
                  <w:tcBorders>
                    <w:tl2br w:val="nil"/>
                    <w:tr2bl w:val="nil"/>
                  </w:tcBorders>
                  <w:textDirection w:val="lrTb"/>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水平</w:t>
                  </w:r>
                </w:p>
                <w:p>
                  <w:pPr>
                    <w:jc w:val="center"/>
                    <w:rPr>
                      <w:color w:val="auto"/>
                    </w:rPr>
                  </w:pPr>
                  <w:r>
                    <w:rPr>
                      <w:rFonts w:hint="default" w:ascii="Times New Roman" w:hAnsi="Times New Roman" w:cs="Times New Roman"/>
                      <w:color w:val="auto"/>
                      <w:szCs w:val="21"/>
                    </w:rPr>
                    <w:t>极化</w:t>
                  </w:r>
                </w:p>
              </w:tc>
              <w:tc>
                <w:tcPr>
                  <w:tcW w:w="660" w:type="dxa"/>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trPr>
              <w:tc>
                <w:tcPr>
                  <w:tcW w:w="777"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数字</w:t>
                  </w:r>
                </w:p>
                <w:p>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电视</w:t>
                  </w:r>
                </w:p>
              </w:tc>
              <w:tc>
                <w:tcPr>
                  <w:tcW w:w="85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43</w:t>
                  </w:r>
                  <w:r>
                    <w:rPr>
                      <w:rStyle w:val="17"/>
                      <w:rFonts w:hint="default" w:ascii="Times New Roman" w:hAnsi="Times New Roman" w:cs="Times New Roman"/>
                      <w:color w:val="auto"/>
                      <w:lang w:bidi="ar"/>
                    </w:rPr>
                    <w:t>频道</w:t>
                  </w:r>
                </w:p>
              </w:tc>
              <w:tc>
                <w:tcPr>
                  <w:tcW w:w="1030" w:type="dxa"/>
                  <w:tcBorders>
                    <w:tl2br w:val="nil"/>
                    <w:tr2bl w:val="nil"/>
                  </w:tcBorders>
                  <w:vAlign w:val="center"/>
                </w:tcPr>
                <w:p>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754</w:t>
                  </w:r>
                </w:p>
              </w:tc>
              <w:tc>
                <w:tcPr>
                  <w:tcW w:w="76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w:t>
                  </w:r>
                </w:p>
              </w:tc>
              <w:tc>
                <w:tcPr>
                  <w:tcW w:w="75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0.40</w:t>
                  </w:r>
                </w:p>
              </w:tc>
              <w:tc>
                <w:tcPr>
                  <w:tcW w:w="81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w:t>
                  </w:r>
                  <w:r>
                    <w:rPr>
                      <w:rFonts w:hint="default" w:ascii="Times New Roman" w:hAnsi="Times New Roman" w:cs="Times New Roman"/>
                      <w:color w:val="auto"/>
                      <w:kern w:val="0"/>
                      <w:szCs w:val="21"/>
                      <w:lang w:val="en-US" w:eastAsia="zh-CN" w:bidi="ar"/>
                    </w:rPr>
                    <w:t>dBi</w:t>
                  </w:r>
                </w:p>
              </w:tc>
              <w:tc>
                <w:tcPr>
                  <w:tcW w:w="6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6205</w:t>
                  </w:r>
                </w:p>
              </w:tc>
              <w:tc>
                <w:tcPr>
                  <w:tcW w:w="676" w:type="dxa"/>
                  <w:tcBorders>
                    <w:tl2br w:val="nil"/>
                    <w:tr2bl w:val="nil"/>
                  </w:tcBorders>
                  <w:vAlign w:val="center"/>
                </w:tcPr>
                <w:p>
                  <w:pPr>
                    <w:jc w:val="center"/>
                    <w:rPr>
                      <w:rFonts w:hint="default" w:ascii="Times New Roman" w:hAnsi="Times New Roman" w:cs="Times New Roman"/>
                      <w:color w:val="auto"/>
                      <w:szCs w:val="21"/>
                    </w:rPr>
                  </w:pPr>
                  <w:r>
                    <w:rPr>
                      <w:rFonts w:hint="eastAsia" w:cs="Times New Roman"/>
                      <w:color w:val="auto"/>
                      <w:szCs w:val="21"/>
                      <w:lang w:eastAsia="zh-CN"/>
                    </w:rPr>
                    <w:t>东侧</w:t>
                  </w:r>
                </w:p>
              </w:tc>
              <w:tc>
                <w:tcPr>
                  <w:tcW w:w="694" w:type="dxa"/>
                  <w:tcBorders>
                    <w:tl2br w:val="nil"/>
                    <w:tr2bl w:val="nil"/>
                  </w:tcBorders>
                  <w:textDirection w:val="lrTb"/>
                  <w:vAlign w:val="center"/>
                </w:tcPr>
                <w:p>
                  <w:pPr>
                    <w:jc w:val="center"/>
                    <w:rPr>
                      <w:color w:val="auto"/>
                    </w:rPr>
                  </w:pPr>
                  <w:r>
                    <w:rPr>
                      <w:rFonts w:hint="default" w:ascii="Times New Roman" w:hAnsi="Times New Roman" w:cs="Times New Roman"/>
                      <w:color w:val="auto"/>
                      <w:szCs w:val="21"/>
                    </w:rPr>
                    <w:t>水平极化</w:t>
                  </w:r>
                </w:p>
              </w:tc>
              <w:tc>
                <w:tcPr>
                  <w:tcW w:w="660" w:type="dxa"/>
                  <w:tcBorders>
                    <w:tl2br w:val="nil"/>
                    <w:tr2bl w:val="nil"/>
                  </w:tcBorders>
                  <w:vAlign w:val="center"/>
                </w:tcPr>
                <w:p>
                  <w:pPr>
                    <w:jc w:val="center"/>
                    <w:rPr>
                      <w:rFonts w:hint="default" w:ascii="Times New Roman" w:hAnsi="Times New Roman" w:cs="Times New Roman"/>
                      <w:color w:val="auto"/>
                      <w:szCs w:val="21"/>
                    </w:rPr>
                  </w:pPr>
                </w:p>
              </w:tc>
            </w:tr>
            <w:bookmarkEnd w:id="40"/>
          </w:tbl>
          <w:p>
            <w:pPr>
              <w:spacing w:line="360" w:lineRule="auto"/>
              <w:ind w:firstLine="472" w:firstLineChars="196"/>
              <w:rPr>
                <w:rFonts w:hint="default" w:ascii="Times New Roman" w:hAnsi="Times New Roman" w:cs="Times New Roman"/>
                <w:b/>
                <w:color w:val="auto"/>
                <w:sz w:val="24"/>
              </w:rPr>
            </w:pPr>
            <w:bookmarkStart w:id="41" w:name="_Toc417906477"/>
            <w:r>
              <w:rPr>
                <w:rFonts w:hint="default" w:ascii="Times New Roman" w:hAnsi="Times New Roman" w:cs="Times New Roman"/>
                <w:b/>
                <w:color w:val="auto"/>
                <w:sz w:val="24"/>
              </w:rPr>
              <w:t>3、项目</w:t>
            </w:r>
            <w:bookmarkEnd w:id="41"/>
            <w:r>
              <w:rPr>
                <w:rFonts w:hint="default" w:ascii="Times New Roman" w:hAnsi="Times New Roman" w:cs="Times New Roman"/>
                <w:b/>
                <w:color w:val="auto"/>
                <w:sz w:val="24"/>
              </w:rPr>
              <w:t>组成</w:t>
            </w:r>
          </w:p>
          <w:p>
            <w:pPr>
              <w:spacing w:line="360" w:lineRule="auto"/>
              <w:ind w:left="-71" w:leftChars="-34" w:firstLine="538" w:firstLineChars="224"/>
              <w:rPr>
                <w:rFonts w:hint="default" w:ascii="Times New Roman" w:hAnsi="Times New Roman" w:cs="Times New Roman"/>
                <w:color w:val="auto"/>
                <w:sz w:val="24"/>
              </w:rPr>
            </w:pPr>
            <w:r>
              <w:rPr>
                <w:rFonts w:hint="default" w:ascii="Times New Roman" w:hAnsi="Times New Roman" w:cs="Times New Roman"/>
                <w:color w:val="auto"/>
                <w:sz w:val="24"/>
              </w:rPr>
              <w:t>本项目组成及主要的环境问题见表1-4。</w:t>
            </w:r>
          </w:p>
          <w:p>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lang w:val="zh-CN"/>
              </w:rPr>
              <w:t>表1-</w:t>
            </w:r>
            <w:r>
              <w:rPr>
                <w:rFonts w:hint="default" w:ascii="Times New Roman" w:hAnsi="Times New Roman" w:eastAsia="黑体" w:cs="Times New Roman"/>
                <w:color w:val="auto"/>
                <w:sz w:val="24"/>
              </w:rPr>
              <w:t xml:space="preserve">4  </w:t>
            </w:r>
            <w:r>
              <w:rPr>
                <w:rFonts w:hint="default" w:ascii="Times New Roman" w:hAnsi="Times New Roman" w:eastAsia="黑体" w:cs="Times New Roman"/>
                <w:color w:val="auto"/>
                <w:sz w:val="24"/>
                <w:lang w:val="zh-CN"/>
              </w:rPr>
              <w:t>建设项目组成及主要的环境问题</w:t>
            </w:r>
          </w:p>
          <w:tbl>
            <w:tblPr>
              <w:tblStyle w:val="15"/>
              <w:tblW w:w="8420" w:type="dxa"/>
              <w:jc w:val="center"/>
              <w:tblInd w:w="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04"/>
              <w:gridCol w:w="1050"/>
              <w:gridCol w:w="4354"/>
              <w:gridCol w:w="884"/>
              <w:gridCol w:w="13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132" w:hRule="atLeast"/>
                <w:jc w:val="center"/>
              </w:trPr>
              <w:tc>
                <w:tcPr>
                  <w:tcW w:w="804" w:type="dxa"/>
                  <w:vMerge w:val="restart"/>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404" w:type="dxa"/>
                  <w:gridSpan w:val="2"/>
                  <w:vMerge w:val="restart"/>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建设内容</w:t>
                  </w:r>
                </w:p>
              </w:tc>
              <w:tc>
                <w:tcPr>
                  <w:tcW w:w="2212" w:type="dxa"/>
                  <w:gridSpan w:val="2"/>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可能产生的环</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境问题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121" w:hRule="atLeast"/>
                <w:jc w:val="center"/>
              </w:trPr>
              <w:tc>
                <w:tcPr>
                  <w:tcW w:w="804" w:type="dxa"/>
                  <w:vMerge w:val="continue"/>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5404" w:type="dxa"/>
                  <w:gridSpan w:val="2"/>
                  <w:vMerge w:val="continue"/>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88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施工期</w:t>
                  </w:r>
                </w:p>
              </w:tc>
              <w:tc>
                <w:tcPr>
                  <w:tcW w:w="1328"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717" w:hRule="atLeast"/>
                <w:jc w:val="center"/>
              </w:trPr>
              <w:tc>
                <w:tcPr>
                  <w:tcW w:w="804" w:type="dxa"/>
                  <w:vMerge w:val="restart"/>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1050"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发射机</w:t>
                  </w:r>
                </w:p>
              </w:tc>
              <w:tc>
                <w:tcPr>
                  <w:tcW w:w="435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发射机共计12台，发射功率均为1</w:t>
                  </w:r>
                  <w:r>
                    <w:rPr>
                      <w:rFonts w:hint="default" w:ascii="Times New Roman" w:hAnsi="Times New Roman" w:cs="Times New Roman"/>
                      <w:color w:val="auto"/>
                      <w:szCs w:val="21"/>
                      <w:lang w:val="en-US" w:eastAsia="zh-CN"/>
                    </w:rPr>
                    <w:t>000</w:t>
                  </w:r>
                  <w:r>
                    <w:rPr>
                      <w:rFonts w:hint="default" w:ascii="Times New Roman" w:hAnsi="Times New Roman" w:cs="Times New Roman"/>
                      <w:color w:val="auto"/>
                      <w:szCs w:val="21"/>
                    </w:rPr>
                    <w:t>W。其中调频广播发射机数量为2台，1台主用，1台备用。模拟电视发射机数量为10台，5台主用，5台备用。</w:t>
                  </w:r>
                </w:p>
              </w:tc>
              <w:tc>
                <w:tcPr>
                  <w:tcW w:w="884" w:type="dxa"/>
                  <w:vMerge w:val="restart"/>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噪声、</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扬尘、</w:t>
                  </w:r>
                </w:p>
                <w:p>
                  <w:pPr>
                    <w:rPr>
                      <w:rFonts w:hint="default" w:ascii="Times New Roman" w:hAnsi="Times New Roman" w:cs="Times New Roman"/>
                      <w:color w:val="auto"/>
                      <w:szCs w:val="21"/>
                    </w:rPr>
                  </w:pPr>
                  <w:r>
                    <w:rPr>
                      <w:rFonts w:hint="default" w:ascii="Times New Roman" w:hAnsi="Times New Roman" w:cs="Times New Roman"/>
                      <w:color w:val="auto"/>
                      <w:szCs w:val="21"/>
                    </w:rPr>
                    <w:t xml:space="preserve">  植被</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破坏、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水土</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流失、</w:t>
                  </w:r>
                </w:p>
                <w:p>
                  <w:pPr>
                    <w:jc w:val="center"/>
                    <w:rPr>
                      <w:rFonts w:hint="default" w:ascii="Times New Roman" w:hAnsi="Times New Roman" w:cs="Times New Roman"/>
                      <w:color w:val="auto"/>
                      <w:szCs w:val="21"/>
                    </w:rPr>
                  </w:pPr>
                </w:p>
              </w:tc>
              <w:tc>
                <w:tcPr>
                  <w:tcW w:w="1328" w:type="dxa"/>
                  <w:vMerge w:val="restart"/>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电磁</w:t>
                  </w:r>
                  <w:r>
                    <w:rPr>
                      <w:rFonts w:hint="default" w:ascii="Times New Roman" w:hAnsi="Times New Roman" w:cs="Times New Roman"/>
                      <w:color w:val="auto"/>
                      <w:szCs w:val="21"/>
                      <w:lang w:eastAsia="zh-CN"/>
                    </w:rPr>
                    <w:t>场强</w:t>
                  </w:r>
                  <w:r>
                    <w:rPr>
                      <w:rFonts w:hint="default" w:ascii="Times New Roman" w:hAnsi="Times New Roman" w:cs="Times New Roman"/>
                      <w:color w:val="auto"/>
                      <w:szCs w:val="21"/>
                    </w:rPr>
                    <w:t>、</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906" w:hRule="atLeast"/>
                <w:jc w:val="center"/>
              </w:trPr>
              <w:tc>
                <w:tcPr>
                  <w:tcW w:w="804" w:type="dxa"/>
                  <w:vMerge w:val="continue"/>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1050" w:type="dxa"/>
                  <w:tcBorders>
                    <w:tl2br w:val="nil"/>
                    <w:tr2bl w:val="nil"/>
                  </w:tcBorders>
                  <w:shd w:val="clear" w:color="auto" w:fill="auto"/>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发射天线</w:t>
                  </w:r>
                </w:p>
              </w:tc>
              <w:tc>
                <w:tcPr>
                  <w:tcW w:w="435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1副四层垂直极化天线，增益8.5</w:t>
                  </w:r>
                  <w:bookmarkStart w:id="42" w:name="OLE_LINK55"/>
                  <w:r>
                    <w:rPr>
                      <w:rFonts w:hint="default" w:ascii="Times New Roman" w:hAnsi="Times New Roman" w:cs="Times New Roman"/>
                      <w:color w:val="auto"/>
                      <w:szCs w:val="21"/>
                    </w:rPr>
                    <w:t>dB</w:t>
                  </w:r>
                  <w:bookmarkEnd w:id="42"/>
                  <w:r>
                    <w:rPr>
                      <w:rFonts w:hint="default" w:ascii="Times New Roman" w:hAnsi="Times New Roman" w:cs="Times New Roman"/>
                      <w:color w:val="auto"/>
                      <w:szCs w:val="21"/>
                      <w:lang w:val="en-US" w:eastAsia="zh-CN"/>
                    </w:rPr>
                    <w:t>d</w:t>
                  </w:r>
                  <w:r>
                    <w:rPr>
                      <w:rFonts w:hint="default" w:ascii="Times New Roman" w:hAnsi="Times New Roman" w:cs="Times New Roman"/>
                      <w:color w:val="auto"/>
                      <w:szCs w:val="21"/>
                    </w:rPr>
                    <w:t>。</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2副</w:t>
                  </w:r>
                  <w:bookmarkStart w:id="43" w:name="OLE_LINK25"/>
                  <w:r>
                    <w:rPr>
                      <w:rFonts w:hint="default" w:ascii="Times New Roman" w:hAnsi="Times New Roman" w:cs="Times New Roman"/>
                      <w:color w:val="auto"/>
                      <w:szCs w:val="21"/>
                    </w:rPr>
                    <w:t>四层四偶极子板天线</w:t>
                  </w:r>
                  <w:bookmarkEnd w:id="43"/>
                  <w:r>
                    <w:rPr>
                      <w:rFonts w:hint="default" w:ascii="Times New Roman" w:hAnsi="Times New Roman" w:cs="Times New Roman"/>
                      <w:color w:val="auto"/>
                      <w:szCs w:val="21"/>
                    </w:rPr>
                    <w:t>，增益12dB</w:t>
                  </w:r>
                  <w:r>
                    <w:rPr>
                      <w:rFonts w:hint="default" w:ascii="Times New Roman" w:hAnsi="Times New Roman" w:cs="Times New Roman"/>
                      <w:color w:val="auto"/>
                      <w:szCs w:val="21"/>
                      <w:lang w:val="en-US" w:eastAsia="zh-CN"/>
                    </w:rPr>
                    <w:t>i</w:t>
                  </w:r>
                  <w:r>
                    <w:rPr>
                      <w:rFonts w:hint="default" w:ascii="Times New Roman" w:hAnsi="Times New Roman" w:cs="Times New Roman"/>
                      <w:color w:val="auto"/>
                      <w:szCs w:val="21"/>
                    </w:rPr>
                    <w:t>。</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1副缝隙天线，增益8dB</w:t>
                  </w:r>
                  <w:r>
                    <w:rPr>
                      <w:rFonts w:hint="default" w:ascii="Times New Roman" w:hAnsi="Times New Roman" w:cs="Times New Roman"/>
                      <w:color w:val="auto"/>
                      <w:szCs w:val="21"/>
                      <w:lang w:val="en-US" w:eastAsia="zh-CN"/>
                    </w:rPr>
                    <w:t>d</w:t>
                  </w:r>
                  <w:r>
                    <w:rPr>
                      <w:rFonts w:hint="default" w:ascii="Times New Roman" w:hAnsi="Times New Roman" w:cs="Times New Roman"/>
                      <w:color w:val="auto"/>
                      <w:szCs w:val="21"/>
                    </w:rPr>
                    <w:t>。</w:t>
                  </w:r>
                </w:p>
              </w:tc>
              <w:tc>
                <w:tcPr>
                  <w:tcW w:w="884" w:type="dxa"/>
                  <w:vMerge w:val="continue"/>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1328" w:type="dxa"/>
                  <w:vMerge w:val="continue"/>
                  <w:tcBorders>
                    <w:tl2br w:val="nil"/>
                    <w:tr2bl w:val="nil"/>
                  </w:tcBorders>
                  <w:shd w:val="clear" w:color="auto" w:fill="auto"/>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297" w:hRule="atLeast"/>
                <w:jc w:val="center"/>
              </w:trPr>
              <w:tc>
                <w:tcPr>
                  <w:tcW w:w="804" w:type="dxa"/>
                  <w:vMerge w:val="continue"/>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1050"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广播电视发射塔</w:t>
                  </w:r>
                </w:p>
              </w:tc>
              <w:tc>
                <w:tcPr>
                  <w:tcW w:w="435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50m（不含</w:t>
                  </w:r>
                  <w:r>
                    <w:rPr>
                      <w:rFonts w:hint="default" w:ascii="Times New Roman" w:hAnsi="Times New Roman" w:cs="Times New Roman"/>
                      <w:color w:val="auto"/>
                      <w:sz w:val="24"/>
                    </w:rPr>
                    <w:t>桅杆</w:t>
                  </w:r>
                  <w:r>
                    <w:rPr>
                      <w:rFonts w:hint="default" w:ascii="Times New Roman" w:hAnsi="Times New Roman" w:cs="Times New Roman"/>
                      <w:color w:val="auto"/>
                      <w:szCs w:val="21"/>
                    </w:rPr>
                    <w:t>）高发射铁塔1座，全钢结构。</w:t>
                  </w:r>
                </w:p>
              </w:tc>
              <w:tc>
                <w:tcPr>
                  <w:tcW w:w="884"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32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297" w:hRule="atLeast"/>
                <w:jc w:val="center"/>
              </w:trPr>
              <w:tc>
                <w:tcPr>
                  <w:tcW w:w="804" w:type="dxa"/>
                  <w:vMerge w:val="continue"/>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1050"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节目源接收系统</w:t>
                  </w:r>
                </w:p>
              </w:tc>
              <w:tc>
                <w:tcPr>
                  <w:tcW w:w="435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电视、广播节目信号源分别采用卫星接收和光纤传输方式获取。</w:t>
                  </w:r>
                </w:p>
              </w:tc>
              <w:tc>
                <w:tcPr>
                  <w:tcW w:w="884"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32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297" w:hRule="atLeast"/>
                <w:jc w:val="center"/>
              </w:trPr>
              <w:tc>
                <w:tcPr>
                  <w:tcW w:w="80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辅助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及公</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用工程</w:t>
                  </w:r>
                </w:p>
              </w:tc>
              <w:tc>
                <w:tcPr>
                  <w:tcW w:w="1050" w:type="dxa"/>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435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包括无线机房（含控制室）、配电室及发电机房、设备维修间、库房、小型会议室、工作人员卧室、餐厅、厨房等。</w:t>
                  </w:r>
                </w:p>
              </w:tc>
              <w:tc>
                <w:tcPr>
                  <w:tcW w:w="884"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132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297" w:hRule="atLeast"/>
                <w:jc w:val="center"/>
              </w:trPr>
              <w:tc>
                <w:tcPr>
                  <w:tcW w:w="804" w:type="dxa"/>
                  <w:tcBorders>
                    <w:tl2br w:val="nil"/>
                    <w:tr2bl w:val="nil"/>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c>
                <w:tcPr>
                  <w:tcW w:w="1050" w:type="dxa"/>
                  <w:tcBorders>
                    <w:tl2br w:val="nil"/>
                    <w:tr2bl w:val="nil"/>
                  </w:tcBorders>
                  <w:shd w:val="clear" w:color="auto" w:fill="auto"/>
                  <w:vAlign w:val="center"/>
                </w:tcPr>
                <w:p>
                  <w:pPr>
                    <w:jc w:val="center"/>
                    <w:rPr>
                      <w:rFonts w:hint="default" w:ascii="Times New Roman" w:hAnsi="Times New Roman" w:cs="Times New Roman"/>
                      <w:color w:val="auto"/>
                      <w:szCs w:val="21"/>
                    </w:rPr>
                  </w:pPr>
                </w:p>
              </w:tc>
              <w:tc>
                <w:tcPr>
                  <w:tcW w:w="4354" w:type="dxa"/>
                  <w:tcBorders>
                    <w:tl2br w:val="nil"/>
                    <w:tr2bl w:val="nil"/>
                  </w:tcBorders>
                  <w:shd w:val="clear" w:color="auto" w:fill="auto"/>
                  <w:vAlign w:val="center"/>
                </w:tcPr>
                <w:p>
                  <w:pPr>
                    <w:spacing w:before="156" w:beforeLines="50" w:after="156" w:afterLines="50"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消防设施、站内绿化</w:t>
                  </w:r>
                  <w:r>
                    <w:rPr>
                      <w:rFonts w:hint="default" w:ascii="Times New Roman" w:hAnsi="Times New Roman" w:cs="Times New Roman"/>
                      <w:color w:val="auto"/>
                      <w:szCs w:val="21"/>
                      <w:lang w:eastAsia="zh-CN"/>
                    </w:rPr>
                    <w:t>，进站道路利用现有的道路</w:t>
                  </w:r>
                  <w:r>
                    <w:rPr>
                      <w:rFonts w:hint="default" w:ascii="Times New Roman" w:hAnsi="Times New Roman" w:cs="Times New Roman"/>
                      <w:color w:val="auto"/>
                      <w:szCs w:val="21"/>
                    </w:rPr>
                    <w:t>。</w:t>
                  </w:r>
                </w:p>
              </w:tc>
              <w:tc>
                <w:tcPr>
                  <w:tcW w:w="884" w:type="dxa"/>
                  <w:tcBorders>
                    <w:tl2br w:val="nil"/>
                    <w:tr2bl w:val="nil"/>
                  </w:tcBorders>
                  <w:vAlign w:val="center"/>
                </w:tcPr>
                <w:p>
                  <w:pPr>
                    <w:jc w:val="center"/>
                    <w:rPr>
                      <w:rFonts w:hint="default" w:ascii="Times New Roman" w:hAnsi="Times New Roman" w:cs="Times New Roman"/>
                      <w:color w:val="auto"/>
                      <w:szCs w:val="21"/>
                    </w:rPr>
                  </w:pPr>
                </w:p>
              </w:tc>
              <w:tc>
                <w:tcPr>
                  <w:tcW w:w="1328" w:type="dxa"/>
                  <w:tcBorders>
                    <w:tl2br w:val="nil"/>
                    <w:tr2bl w:val="nil"/>
                  </w:tcBorders>
                  <w:vAlign w:val="center"/>
                </w:tcPr>
                <w:p>
                  <w:pPr>
                    <w:jc w:val="center"/>
                    <w:rPr>
                      <w:rFonts w:hint="default" w:ascii="Times New Roman" w:hAnsi="Times New Roman" w:cs="Times New Roman"/>
                      <w:color w:val="auto"/>
                      <w:szCs w:val="21"/>
                    </w:rPr>
                  </w:pPr>
                </w:p>
              </w:tc>
            </w:tr>
          </w:tbl>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六、项目选址及平面布置合理性分析</w:t>
            </w:r>
          </w:p>
          <w:p>
            <w:pPr>
              <w:spacing w:before="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1、项目选址合理性分析</w:t>
            </w:r>
          </w:p>
          <w:p>
            <w:pPr>
              <w:spacing w:before="156" w:beforeLines="50" w:after="156" w:afterLines="50" w:line="360" w:lineRule="auto"/>
              <w:ind w:firstLine="640"/>
              <w:rPr>
                <w:rFonts w:hint="default" w:ascii="Times New Roman" w:hAnsi="Times New Roman" w:cs="Times New Roman" w:eastAsiaTheme="minorEastAsia"/>
                <w:b/>
                <w:bCs/>
                <w:color w:val="auto"/>
                <w:sz w:val="24"/>
              </w:rPr>
            </w:pPr>
            <w:r>
              <w:rPr>
                <w:rFonts w:hint="default" w:ascii="Times New Roman" w:hAnsi="Times New Roman" w:cs="Times New Roman"/>
                <w:color w:val="auto"/>
                <w:sz w:val="24"/>
              </w:rPr>
              <w:t>本项目选址确定在云阳山北门半山腰，即原茶陵县电信公司已废弃发射铁塔旧址</w:t>
            </w:r>
            <w:r>
              <w:rPr>
                <w:rFonts w:hint="eastAsia" w:cs="Times New Roman"/>
                <w:color w:val="auto"/>
                <w:sz w:val="24"/>
                <w:lang w:eastAsia="zh-CN"/>
              </w:rPr>
              <w:t>。建设单位于</w:t>
            </w:r>
            <w:r>
              <w:rPr>
                <w:rFonts w:hint="eastAsia"/>
                <w:color w:val="auto"/>
                <w:sz w:val="24"/>
                <w:lang w:val="en-US" w:eastAsia="zh-CN"/>
              </w:rPr>
              <w:t>2016年3月19日填写了“建设项目规划选址意见书申请审批表”，经茶陵县发展和改革局、茶陵县云阳森林公园管理局、茶陵县林业局、茶陵县国土资源局、茶陵县环境保护局确认盖章同意了工程项目的选址。</w:t>
            </w:r>
          </w:p>
          <w:p>
            <w:pPr>
              <w:spacing w:before="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2、平面布置合理性分析</w:t>
            </w:r>
          </w:p>
          <w:p>
            <w:pPr>
              <w:pStyle w:val="5"/>
              <w:spacing w:line="360" w:lineRule="auto"/>
              <w:ind w:firstLine="480"/>
              <w:rPr>
                <w:rFonts w:hint="default" w:ascii="Times New Roman" w:hAnsi="Times New Roman" w:cs="Times New Roman"/>
                <w:b/>
                <w:color w:val="auto"/>
                <w:sz w:val="24"/>
              </w:rPr>
            </w:pPr>
            <w:r>
              <w:rPr>
                <w:rFonts w:hint="default" w:ascii="Times New Roman" w:hAnsi="Times New Roman" w:cs="Times New Roman"/>
                <w:color w:val="auto"/>
                <w:kern w:val="0"/>
                <w:sz w:val="24"/>
              </w:rPr>
              <w:t>茶陵县无线广播电视发射台</w:t>
            </w:r>
            <w:r>
              <w:rPr>
                <w:rFonts w:hint="default" w:ascii="Times New Roman" w:hAnsi="Times New Roman" w:cs="Times New Roman"/>
                <w:color w:val="auto"/>
                <w:sz w:val="24"/>
              </w:rPr>
              <w:t>站区呈长条形，进站道路由场地西南侧进站，发射铁塔布置在最北侧，紧邻发电机房。技术用房为两层砖混结构楼房，首层布置工作人员卧室、厨房、餐厅、小型会议室；二层布置发射机房、设备维修间、库房及配电室。位于控制室和维修间之间设置了平行双跑疏散楼梯一部。台站的平面布置图见附图3，发射塔总平面布置图见附图4</w:t>
            </w:r>
            <w:r>
              <w:rPr>
                <w:rFonts w:hint="default" w:ascii="Times New Roman" w:hAnsi="Times New Roman" w:cs="Times New Roman"/>
                <w:b/>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平面布置具有以下特点：①平面布置整齐紧凑，用地节约；②功能分区明显，满足工艺流程要求；③进站道路距离云阳山现有的盘山公路道路很近，尽可能的减少了进站道路的长度，道路方便运输；④遵守《建筑设计防火规范》等国家现行规程规范要求；⑤站内工作环境舒适，为职工工作创造了良好条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从工艺、环保、安全、防火的角度分析，该总图布置合理。</w:t>
            </w:r>
          </w:p>
          <w:p>
            <w:pPr>
              <w:spacing w:before="156" w:beforeLines="50" w:after="156" w:afterLines="50" w:line="360" w:lineRule="auto"/>
              <w:ind w:firstLine="480"/>
              <w:jc w:val="left"/>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3、供配电</w:t>
            </w:r>
          </w:p>
          <w:p>
            <w:pPr>
              <w:spacing w:before="156" w:beforeLines="50" w:after="156" w:afterLines="50" w:line="360" w:lineRule="auto"/>
              <w:ind w:firstLine="480"/>
              <w:jc w:val="left"/>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发射塔址用电由茶陵县电网引入，由塔址西侧10KV架空线路空引入10KV电源，距离约为300m，引入至塔址附近，再采用地埋式引入发射塔址，</w:t>
            </w:r>
            <w:r>
              <w:rPr>
                <w:rFonts w:hint="default" w:ascii="Times New Roman" w:hAnsi="Times New Roman" w:cs="Times New Roman"/>
                <w:color w:val="auto"/>
                <w:sz w:val="24"/>
                <w:u w:val="single"/>
                <w:lang w:eastAsia="zh-CN"/>
              </w:rPr>
              <w:t>埋设深度一般不小于</w:t>
            </w:r>
            <w:r>
              <w:rPr>
                <w:rFonts w:hint="default" w:ascii="Times New Roman" w:hAnsi="Times New Roman" w:cs="Times New Roman"/>
                <w:color w:val="auto"/>
                <w:sz w:val="24"/>
                <w:u w:val="single"/>
                <w:lang w:val="en-US" w:eastAsia="zh-CN"/>
              </w:rPr>
              <w:t>0.7m，过车道时不小于1m，且需包封加固。</w:t>
            </w:r>
            <w:r>
              <w:rPr>
                <w:rFonts w:hint="default" w:ascii="Times New Roman" w:hAnsi="Times New Roman" w:cs="Times New Roman"/>
                <w:color w:val="auto"/>
                <w:sz w:val="24"/>
                <w:u w:val="single"/>
              </w:rPr>
              <w:t>项目拟设置箱式变电站，满足项目使用需求。</w:t>
            </w:r>
          </w:p>
          <w:p>
            <w:pPr>
              <w:spacing w:line="360" w:lineRule="auto"/>
              <w:ind w:firstLine="480" w:firstLineChars="200"/>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为保证气象观测、分析等设备的供电，在发射塔址配备不间断（UPS）电源2台，一用一备。由于UPS电源只能坚持一段时间，因此，发射塔址配备GF-50柴油发电机2台，一用一备。</w:t>
            </w:r>
          </w:p>
          <w:p>
            <w:pPr>
              <w:spacing w:line="360" w:lineRule="auto"/>
              <w:rPr>
                <w:rFonts w:hint="default" w:ascii="Times New Roman" w:hAnsi="Times New Roman" w:cs="Times New Roman"/>
                <w:color w:val="auto"/>
                <w:sz w:val="24"/>
              </w:rPr>
            </w:pP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、给排水</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（1）给水系统：</w:t>
            </w:r>
            <w:r>
              <w:rPr>
                <w:rFonts w:hint="default" w:ascii="Times New Roman" w:hAnsi="Times New Roman" w:cs="Times New Roman"/>
                <w:color w:val="auto"/>
                <w:sz w:val="24"/>
                <w:u w:val="single"/>
              </w:rPr>
              <w:t>项目工程处于山地地形，无市政水源，给水水源来自西侧约800m处的酒店水井。</w:t>
            </w:r>
            <w:r>
              <w:rPr>
                <w:rFonts w:hint="default" w:ascii="Times New Roman" w:hAnsi="Times New Roman" w:cs="Times New Roman" w:eastAsiaTheme="minorEastAsia"/>
                <w:color w:val="auto"/>
                <w:sz w:val="24"/>
                <w:u w:val="single"/>
                <w:lang w:val="en-US" w:eastAsia="zh-CN"/>
              </w:rPr>
              <w:t>水管</w:t>
            </w:r>
            <w:r>
              <w:rPr>
                <w:rFonts w:hint="default" w:ascii="Times New Roman" w:hAnsi="Times New Roman" w:cs="Times New Roman" w:eastAsiaTheme="minorEastAsia"/>
                <w:color w:val="auto"/>
                <w:sz w:val="24"/>
                <w:u w:val="single"/>
              </w:rPr>
              <w:t>埋设采取即挖即埋方式施工</w:t>
            </w:r>
            <w:r>
              <w:rPr>
                <w:rFonts w:hint="eastAsia" w:cs="Times New Roman" w:eastAsiaTheme="minorEastAsia"/>
                <w:color w:val="auto"/>
                <w:sz w:val="24"/>
                <w:u w:val="single"/>
                <w:lang w:eastAsia="zh-CN"/>
              </w:rPr>
              <w:t>，</w:t>
            </w:r>
            <w:r>
              <w:rPr>
                <w:rFonts w:hint="eastAsia" w:ascii="Times New Roman" w:hAnsi="Times New Roman" w:cs="Times New Roman" w:eastAsiaTheme="minorEastAsia"/>
                <w:color w:val="auto"/>
                <w:sz w:val="24"/>
                <w:u w:val="single"/>
              </w:rPr>
              <w:t>开挖的时候</w:t>
            </w:r>
            <w:r>
              <w:rPr>
                <w:rFonts w:hint="eastAsia" w:cs="Times New Roman" w:eastAsiaTheme="minorEastAsia"/>
                <w:color w:val="auto"/>
                <w:sz w:val="24"/>
                <w:u w:val="single"/>
                <w:lang w:eastAsia="zh-CN"/>
              </w:rPr>
              <w:t>注意</w:t>
            </w:r>
            <w:r>
              <w:rPr>
                <w:rFonts w:hint="eastAsia" w:ascii="Times New Roman" w:hAnsi="Times New Roman" w:cs="Times New Roman" w:eastAsiaTheme="minorEastAsia"/>
                <w:color w:val="auto"/>
                <w:sz w:val="24"/>
                <w:u w:val="single"/>
              </w:rPr>
              <w:t>土层按顺序存放，回填的时候要把表层土放在最上层</w:t>
            </w:r>
            <w:r>
              <w:rPr>
                <w:rFonts w:hint="eastAsia" w:cs="Times New Roman" w:eastAsiaTheme="minorEastAsia"/>
                <w:color w:val="auto"/>
                <w:sz w:val="24"/>
                <w:u w:val="single"/>
                <w:lang w:eastAsia="zh-CN"/>
              </w:rPr>
              <w:t>，可以最大限度地还原地貌</w:t>
            </w:r>
            <w:r>
              <w:rPr>
                <w:rFonts w:hint="eastAsia" w:ascii="Times New Roman" w:hAnsi="Times New Roman" w:cs="Times New Roman" w:eastAsiaTheme="minorEastAsia"/>
                <w:color w:val="auto"/>
                <w:sz w:val="24"/>
                <w:u w:val="single"/>
              </w:rPr>
              <w:t>。</w:t>
            </w:r>
            <w:r>
              <w:rPr>
                <w:rFonts w:hint="eastAsia" w:cs="Times New Roman" w:eastAsiaTheme="minorEastAsia"/>
                <w:color w:val="auto"/>
                <w:sz w:val="24"/>
                <w:u w:val="single"/>
                <w:lang w:eastAsia="zh-CN"/>
              </w:rPr>
              <w:t>且</w:t>
            </w:r>
            <w:r>
              <w:rPr>
                <w:rFonts w:hint="default" w:ascii="Times New Roman" w:hAnsi="Times New Roman" w:cs="Times New Roman" w:eastAsiaTheme="minorEastAsia"/>
                <w:color w:val="auto"/>
                <w:sz w:val="24"/>
                <w:u w:val="single"/>
              </w:rPr>
              <w:t>尽可能减少挖土堆放时间。在采取以上措施后，评价区域内景观生物恢复力受到的影响不大。</w:t>
            </w:r>
          </w:p>
          <w:p>
            <w:pPr>
              <w:spacing w:before="156" w:beforeLines="50" w:after="156" w:afterLines="50" w:line="360" w:lineRule="auto"/>
              <w:jc w:val="left"/>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生活用水量：本项目职工定员8人，项目常驻人员4人，用水</w:t>
            </w:r>
            <w:r>
              <w:rPr>
                <w:rFonts w:hint="default" w:ascii="Times New Roman" w:hAnsi="Times New Roman" w:cs="Times New Roman"/>
                <w:color w:val="auto"/>
                <w:sz w:val="24"/>
                <w:lang w:eastAsia="zh-CN"/>
              </w:rPr>
              <w:t>量按</w:t>
            </w:r>
            <w:r>
              <w:rPr>
                <w:rFonts w:hint="default" w:ascii="Times New Roman" w:hAnsi="Times New Roman" w:cs="Times New Roman"/>
                <w:color w:val="auto"/>
                <w:sz w:val="24"/>
              </w:rPr>
              <w:t>300L/</w:t>
            </w:r>
            <w:r>
              <w:rPr>
                <w:rFonts w:hint="default" w:ascii="Times New Roman" w:hAnsi="Times New Roman" w:cs="Times New Roman"/>
                <w:color w:val="auto"/>
                <w:sz w:val="24"/>
                <w:lang w:eastAsia="zh-CN"/>
              </w:rPr>
              <w:t>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d计算</w:t>
            </w:r>
            <w:r>
              <w:rPr>
                <w:rFonts w:hint="default" w:ascii="Times New Roman" w:hAnsi="Times New Roman" w:cs="Times New Roman"/>
                <w:color w:val="auto"/>
                <w:sz w:val="24"/>
              </w:rPr>
              <w:t>，污水</w:t>
            </w:r>
            <w:r>
              <w:rPr>
                <w:rFonts w:hint="default" w:ascii="Times New Roman" w:hAnsi="Times New Roman" w:cs="Times New Roman"/>
                <w:color w:val="auto"/>
                <w:sz w:val="24"/>
                <w:lang w:eastAsia="zh-CN"/>
              </w:rPr>
              <w:t>产生</w:t>
            </w:r>
            <w:r>
              <w:rPr>
                <w:rFonts w:hint="default" w:ascii="Times New Roman" w:hAnsi="Times New Roman" w:cs="Times New Roman"/>
                <w:color w:val="auto"/>
                <w:sz w:val="24"/>
              </w:rPr>
              <w:t>量按用水量的90%计，</w:t>
            </w:r>
            <w:r>
              <w:rPr>
                <w:rFonts w:hint="default" w:ascii="Times New Roman" w:hAnsi="Times New Roman" w:cs="Times New Roman" w:eastAsiaTheme="minorEastAsia"/>
                <w:color w:val="auto"/>
                <w:sz w:val="24"/>
              </w:rPr>
              <w:t>排放量约为</w:t>
            </w:r>
            <w:r>
              <w:rPr>
                <w:rFonts w:hint="default" w:ascii="Times New Roman" w:hAnsi="Times New Roman" w:cs="Times New Roman"/>
                <w:color w:val="auto"/>
                <w:sz w:val="24"/>
              </w:rPr>
              <w:t>1.1</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color w:val="auto"/>
                <w:sz w:val="24"/>
              </w:rPr>
              <w:t>/d（402</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eastAsiaTheme="minorEastAsia"/>
                <w:color w:val="auto"/>
                <w:sz w:val="24"/>
              </w:rPr>
              <w:t>。</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排水系统：本项目地处于山地地形，无市政排水系统，环评要求建设</w:t>
            </w:r>
            <w:r>
              <w:rPr>
                <w:rFonts w:hint="default" w:ascii="Times New Roman" w:hAnsi="Times New Roman" w:cs="Times New Roman"/>
                <w:color w:val="auto"/>
                <w:sz w:val="24"/>
                <w:lang w:eastAsia="zh-CN"/>
              </w:rPr>
              <w:t>单位</w:t>
            </w:r>
            <w:r>
              <w:rPr>
                <w:rFonts w:hint="default" w:ascii="Times New Roman" w:hAnsi="Times New Roman" w:cs="Times New Roman"/>
                <w:color w:val="auto"/>
                <w:sz w:val="24"/>
              </w:rPr>
              <w:t>将污水收集处理后全部用于场地绿化，不外排。</w:t>
            </w:r>
          </w:p>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七、劳动定员及工作时间</w:t>
            </w:r>
            <w:r>
              <w:rPr>
                <w:rFonts w:hint="eastAsia" w:cs="Times New Roman"/>
                <w:b/>
                <w:color w:val="auto"/>
                <w:sz w:val="28"/>
                <w:szCs w:val="28"/>
                <w:lang w:eastAsia="zh-CN"/>
              </w:rPr>
              <w:t>及</w:t>
            </w:r>
            <w:r>
              <w:rPr>
                <w:rFonts w:hint="default" w:ascii="Times New Roman" w:hAnsi="Times New Roman" w:cs="Times New Roman"/>
                <w:b/>
                <w:color w:val="auto"/>
                <w:sz w:val="28"/>
                <w:szCs w:val="28"/>
              </w:rPr>
              <w:t>工程占地情况</w:t>
            </w:r>
          </w:p>
          <w:p>
            <w:pPr>
              <w:spacing w:before="156" w:beforeLines="50" w:after="156" w:afterLines="50" w:line="360" w:lineRule="auto"/>
              <w:ind w:firstLine="480"/>
              <w:jc w:val="left"/>
              <w:rPr>
                <w:rFonts w:hint="default" w:ascii="Times New Roman" w:hAnsi="Times New Roman" w:cs="Times New Roman"/>
                <w:color w:val="auto"/>
                <w:kern w:val="0"/>
                <w:sz w:val="24"/>
              </w:rPr>
            </w:pPr>
            <w:r>
              <w:rPr>
                <w:rFonts w:hint="default" w:ascii="Times New Roman" w:hAnsi="Times New Roman" w:cs="Times New Roman"/>
                <w:color w:val="auto"/>
                <w:sz w:val="24"/>
              </w:rPr>
              <w:t>本项目职工定员8人，项目常驻</w:t>
            </w:r>
            <w:r>
              <w:rPr>
                <w:rFonts w:hint="default" w:ascii="Times New Roman" w:hAnsi="Times New Roman" w:cs="Times New Roman"/>
                <w:color w:val="auto"/>
                <w:sz w:val="24"/>
                <w:lang w:eastAsia="zh-CN"/>
              </w:rPr>
              <w:t>职工</w:t>
            </w:r>
            <w:r>
              <w:rPr>
                <w:rFonts w:hint="default" w:ascii="Times New Roman" w:hAnsi="Times New Roman" w:cs="Times New Roman"/>
                <w:color w:val="auto"/>
                <w:sz w:val="24"/>
              </w:rPr>
              <w:t>4人，实行两班制，</w:t>
            </w:r>
            <w:r>
              <w:rPr>
                <w:rFonts w:hint="default" w:ascii="Times New Roman" w:hAnsi="Times New Roman" w:cs="Times New Roman"/>
                <w:color w:val="auto"/>
                <w:sz w:val="24"/>
                <w:lang w:eastAsia="zh-CN"/>
              </w:rPr>
              <w:t>每班</w:t>
            </w:r>
            <w:r>
              <w:rPr>
                <w:rFonts w:hint="default" w:ascii="Times New Roman" w:hAnsi="Times New Roman" w:cs="Times New Roman"/>
                <w:color w:val="auto"/>
                <w:sz w:val="24"/>
                <w:lang w:val="en-US" w:eastAsia="zh-CN"/>
              </w:rPr>
              <w:t>2人，</w:t>
            </w:r>
            <w:r>
              <w:rPr>
                <w:rFonts w:hint="default" w:ascii="Times New Roman" w:hAnsi="Times New Roman" w:cs="Times New Roman"/>
                <w:color w:val="auto"/>
                <w:sz w:val="24"/>
              </w:rPr>
              <w:t>工作7天轮班，年工作365天。</w:t>
            </w:r>
            <w:r>
              <w:rPr>
                <w:rFonts w:hint="default" w:ascii="Times New Roman" w:hAnsi="Times New Roman" w:cs="Times New Roman"/>
                <w:color w:val="auto"/>
                <w:kern w:val="0"/>
                <w:sz w:val="24"/>
              </w:rPr>
              <w:t>突发性故障时工程人员立即赴发射塔修理，通常情况下为每月1次常规维护及每季度1次检修。</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w:t>
            </w:r>
            <w:r>
              <w:rPr>
                <w:rFonts w:hint="default" w:ascii="Times New Roman" w:hAnsi="Times New Roman" w:cs="Times New Roman"/>
                <w:color w:val="auto"/>
                <w:kern w:val="0"/>
                <w:sz w:val="24"/>
              </w:rPr>
              <w:t>茶陵县广播电视发射台</w:t>
            </w:r>
            <w:r>
              <w:rPr>
                <w:rFonts w:hint="default" w:ascii="Times New Roman" w:hAnsi="Times New Roman" w:cs="Times New Roman"/>
                <w:color w:val="auto"/>
                <w:sz w:val="24"/>
              </w:rPr>
              <w:t>场址范围内无居民住户，工程建设没有拆迁问题，不涉及环保拆迁。</w:t>
            </w:r>
            <w:bookmarkStart w:id="44" w:name="OLE_LINK6"/>
            <w:r>
              <w:rPr>
                <w:rFonts w:hint="default" w:ascii="Times New Roman" w:hAnsi="Times New Roman" w:cs="Times New Roman"/>
                <w:color w:val="auto"/>
                <w:kern w:val="0"/>
                <w:sz w:val="24"/>
              </w:rPr>
              <w:t>本工程总占地面积约为399.6m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w:t>
            </w:r>
            <w:r>
              <w:rPr>
                <w:rFonts w:hint="default" w:ascii="Times New Roman" w:hAnsi="Times New Roman" w:cs="Times New Roman"/>
                <w:color w:val="auto"/>
                <w:sz w:val="24"/>
              </w:rPr>
              <w:t>原茶陵县电信公司已废弃发射铁塔旧址</w:t>
            </w:r>
            <w:r>
              <w:rPr>
                <w:rFonts w:hint="default" w:ascii="Times New Roman" w:hAnsi="Times New Roman" w:cs="Times New Roman"/>
                <w:color w:val="auto"/>
                <w:kern w:val="0"/>
                <w:sz w:val="24"/>
              </w:rPr>
              <w:t>占地面积约153.7m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，新占用地245.9m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，占地类型为林地和草地，不占用旅游用地。</w:t>
            </w:r>
            <w:bookmarkEnd w:id="44"/>
          </w:p>
          <w:p>
            <w:pPr>
              <w:spacing w:line="360" w:lineRule="auto"/>
              <w:rPr>
                <w:rFonts w:hint="default" w:ascii="Times New Roman" w:hAnsi="Times New Roman" w:cs="Times New Roman"/>
                <w:b/>
                <w:color w:val="auto"/>
                <w:sz w:val="28"/>
                <w:szCs w:val="28"/>
              </w:rPr>
            </w:pPr>
            <w:r>
              <w:rPr>
                <w:rFonts w:hint="eastAsia" w:cs="Times New Roman"/>
                <w:b/>
                <w:color w:val="auto"/>
                <w:sz w:val="28"/>
                <w:szCs w:val="28"/>
                <w:lang w:eastAsia="zh-CN"/>
              </w:rPr>
              <w:t>八</w:t>
            </w:r>
            <w:r>
              <w:rPr>
                <w:rFonts w:hint="default" w:ascii="Times New Roman" w:hAnsi="Times New Roman" w:cs="Times New Roman"/>
                <w:b/>
                <w:color w:val="auto"/>
                <w:sz w:val="28"/>
                <w:szCs w:val="28"/>
              </w:rPr>
              <w:t>、施工组织措施</w:t>
            </w:r>
          </w:p>
          <w:p>
            <w:pPr>
              <w:spacing w:before="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1、交通运输</w:t>
            </w:r>
          </w:p>
          <w:p>
            <w:pPr>
              <w:spacing w:line="360" w:lineRule="auto"/>
              <w:ind w:firstLine="437" w:firstLineChars="182"/>
              <w:rPr>
                <w:rFonts w:hint="default" w:ascii="Times New Roman" w:hAnsi="Times New Roman" w:cs="Times New Roman"/>
                <w:color w:val="auto"/>
                <w:sz w:val="24"/>
              </w:rPr>
            </w:pPr>
            <w:r>
              <w:rPr>
                <w:rFonts w:hint="default" w:ascii="Times New Roman" w:hAnsi="Times New Roman" w:cs="Times New Roman"/>
                <w:color w:val="auto"/>
                <w:sz w:val="24"/>
              </w:rPr>
              <w:t>项目用地位于茶陵县云阳山北门半山腰，西侧临盘山道路，交通较为便利。</w:t>
            </w:r>
          </w:p>
          <w:p>
            <w:pPr>
              <w:spacing w:line="360" w:lineRule="auto"/>
              <w:ind w:firstLine="437" w:firstLineChars="182"/>
              <w:rPr>
                <w:rFonts w:hint="default" w:ascii="Times New Roman" w:hAnsi="Times New Roman" w:cs="Times New Roman"/>
                <w:color w:val="auto"/>
                <w:sz w:val="28"/>
                <w:szCs w:val="28"/>
              </w:rPr>
            </w:pPr>
            <w:r>
              <w:rPr>
                <w:rFonts w:hint="default" w:ascii="Times New Roman" w:hAnsi="Times New Roman" w:cs="Times New Roman"/>
                <w:color w:val="auto"/>
                <w:sz w:val="24"/>
              </w:rPr>
              <w:t>本工程拟建站址处进站道路可由站区西南侧进站，需将长度约为87m的阶梯拓宽至3m，与盘山道路相连。</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项目选址交通较为便利，交通运输条件较好。</w:t>
            </w:r>
          </w:p>
          <w:p>
            <w:pPr>
              <w:spacing w:before="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2、施工工序</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本工程施工工序为场地平整、修筑围墙、构筑基础、设备安装，施工周围约6个月，每天需布置技工6人左右，民工20人左右。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Ex>
        <w:trPr>
          <w:trHeight w:val="90" w:hRule="atLeast"/>
          <w:jc w:val="center"/>
        </w:trPr>
        <w:tc>
          <w:tcPr>
            <w:tcW w:w="8500"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eastAsia="黑体" w:cs="Times New Roman"/>
                <w:b/>
                <w:bCs/>
                <w:color w:val="auto"/>
                <w:sz w:val="28"/>
                <w:szCs w:val="28"/>
              </w:rPr>
            </w:pPr>
            <w:r>
              <w:rPr>
                <w:rFonts w:hint="default" w:ascii="Times New Roman" w:hAnsi="Times New Roman" w:eastAsia="黑体" w:cs="Times New Roman"/>
                <w:b/>
                <w:bCs/>
                <w:color w:val="auto"/>
                <w:sz w:val="28"/>
                <w:szCs w:val="28"/>
              </w:rPr>
              <w:t>与本项目有关的原有污染情况及主要环境问题</w:t>
            </w:r>
          </w:p>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560"/>
              <w:jc w:val="both"/>
              <w:rPr>
                <w:rFonts w:hint="default" w:ascii="Times New Roman" w:hAnsi="Times New Roman" w:cs="Times New Roman"/>
                <w:color w:val="auto"/>
                <w:sz w:val="24"/>
              </w:rPr>
            </w:pPr>
            <w:bookmarkStart w:id="45" w:name="OLE_LINK67"/>
            <w:r>
              <w:rPr>
                <w:rFonts w:hint="default" w:ascii="Times New Roman" w:hAnsi="Times New Roman" w:cs="Times New Roman"/>
                <w:color w:val="auto"/>
                <w:sz w:val="24"/>
                <w:szCs w:val="24"/>
                <w:lang w:val="en-US" w:eastAsia="zh-CN"/>
              </w:rPr>
              <w:t>原茶陵县广播电视发射</w:t>
            </w:r>
            <w:bookmarkEnd w:id="45"/>
            <w:r>
              <w:rPr>
                <w:rFonts w:hint="default" w:ascii="Times New Roman" w:hAnsi="Times New Roman" w:cs="Times New Roman"/>
                <w:color w:val="auto"/>
                <w:sz w:val="24"/>
                <w:szCs w:val="24"/>
                <w:lang w:val="en-US" w:eastAsia="zh-CN"/>
              </w:rPr>
              <w:t>台位于茶陵县烈士陵园内，根据《广播电视设施保护条例》相关规定，禁止在天线周围规划范围内建筑施工，根据有关要求，周边数平方公里均属于天线限高保护范围。这一要求对周边区域的发展造成多方面的不利影响，且周边居民也受到了一定的电磁影响。原茶陵县广播电视发射塔</w:t>
            </w:r>
            <w:r>
              <w:rPr>
                <w:rFonts w:hint="default" w:ascii="Times New Roman" w:hAnsi="Times New Roman" w:cs="Times New Roman"/>
                <w:color w:val="auto"/>
                <w:sz w:val="24"/>
                <w:lang w:eastAsia="zh-CN"/>
              </w:rPr>
              <w:t>已于</w:t>
            </w:r>
            <w:r>
              <w:rPr>
                <w:rFonts w:hint="default" w:ascii="Times New Roman" w:hAnsi="Times New Roman" w:cs="Times New Roman"/>
                <w:color w:val="auto"/>
                <w:sz w:val="24"/>
                <w:lang w:val="en-US" w:eastAsia="zh-CN"/>
              </w:rPr>
              <w:t>2010年拆除，对环境无污染情况</w:t>
            </w:r>
            <w:r>
              <w:rPr>
                <w:rFonts w:hint="default" w:ascii="Times New Roman" w:hAnsi="Times New Roman" w:cs="Times New Roman"/>
                <w:color w:val="auto"/>
                <w:sz w:val="24"/>
              </w:rPr>
              <w:t>。</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茶陵县广播电视发射塔选址在云阳山北门半山腰上，由茶陵县电信公司设立的发射铁塔，已废弃多年，无任何利用的价值，与云阳山景区的格调严重不配套、不协调。现已安全成功拆除。拟建地区域内环境质量现状良好。</w:t>
            </w: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tc>
      </w:tr>
    </w:tbl>
    <w:p>
      <w:pPr>
        <w:outlineLvl w:val="0"/>
        <w:rPr>
          <w:rFonts w:hint="default" w:ascii="Times New Roman" w:hAnsi="Times New Roman" w:eastAsia="黑体" w:cs="Times New Roman"/>
          <w:b/>
          <w:color w:val="auto"/>
          <w:sz w:val="32"/>
          <w:szCs w:val="32"/>
        </w:rPr>
      </w:pPr>
      <w:bookmarkStart w:id="46" w:name="_Toc421802296"/>
      <w:bookmarkStart w:id="47" w:name="_Toc254"/>
      <w:r>
        <w:rPr>
          <w:rFonts w:hint="default" w:ascii="Times New Roman" w:hAnsi="Times New Roman" w:eastAsia="黑体" w:cs="Times New Roman"/>
          <w:b/>
          <w:color w:val="auto"/>
          <w:sz w:val="32"/>
          <w:szCs w:val="32"/>
        </w:rPr>
        <w:t>建设项目所在地自然环境社会环境简况</w:t>
      </w:r>
      <w:bookmarkEnd w:id="46"/>
      <w:bookmarkEnd w:id="47"/>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4"/>
              <w:spacing w:line="360" w:lineRule="auto"/>
              <w:rPr>
                <w:rFonts w:hint="default" w:ascii="Times New Roman" w:hAnsi="Times New Roman" w:eastAsia="黑体" w:cs="Times New Roman"/>
                <w:b/>
                <w:bCs/>
                <w:color w:val="auto"/>
                <w:sz w:val="28"/>
                <w:szCs w:val="28"/>
              </w:rPr>
            </w:pPr>
            <w:r>
              <w:rPr>
                <w:rFonts w:hint="default" w:ascii="Times New Roman" w:hAnsi="Times New Roman" w:eastAsia="黑体" w:cs="Times New Roman"/>
                <w:b/>
                <w:bCs/>
                <w:color w:val="auto"/>
                <w:sz w:val="28"/>
                <w:szCs w:val="28"/>
              </w:rPr>
              <w:t>自然环境简况（地形、地貌、地质、气候、气象、水文、植被、生物多样性等）：</w:t>
            </w:r>
          </w:p>
          <w:p>
            <w:pPr>
              <w:spacing w:line="360" w:lineRule="auto"/>
              <w:rPr>
                <w:rFonts w:hint="default" w:ascii="Times New Roman" w:hAnsi="Times New Roman" w:cs="Times New Roman"/>
                <w:b/>
                <w:color w:val="auto"/>
                <w:sz w:val="28"/>
                <w:szCs w:val="28"/>
              </w:rPr>
            </w:pPr>
            <w:bookmarkStart w:id="48" w:name="_Toc417906488"/>
            <w:bookmarkStart w:id="49" w:name="_Toc406570817"/>
            <w:r>
              <w:rPr>
                <w:rFonts w:hint="default" w:ascii="Times New Roman" w:hAnsi="Times New Roman" w:cs="Times New Roman"/>
                <w:b/>
                <w:color w:val="auto"/>
                <w:sz w:val="28"/>
                <w:szCs w:val="28"/>
              </w:rPr>
              <w:t>一、地理位置</w:t>
            </w:r>
            <w:bookmarkEnd w:id="48"/>
            <w:bookmarkEnd w:id="49"/>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云阳</w:t>
            </w:r>
            <w:r>
              <w:rPr>
                <w:rFonts w:hint="default" w:ascii="Times New Roman" w:hAnsi="Times New Roman" w:cs="Times New Roman"/>
                <w:color w:val="auto"/>
                <w:sz w:val="24"/>
                <w:lang w:eastAsia="zh-CN"/>
              </w:rPr>
              <w:t>山风景名胜区</w:t>
            </w:r>
            <w:r>
              <w:rPr>
                <w:rFonts w:hint="default" w:ascii="Times New Roman" w:hAnsi="Times New Roman" w:cs="Times New Roman"/>
                <w:color w:val="auto"/>
                <w:sz w:val="24"/>
              </w:rPr>
              <w:t>位于湖南省茶陵县城西，离县城中心仅2.5千米，地处东经113°21′～113 °34′、北纬26°43ˊ～27°01′之间。东与茶陵县下东、城关二乡镇交界，南与枣市镇相连，西与安仁县毗邻，北与攸县的银巧乡、茶陵县的七地乡接壤，总面积8941.4公顷。</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茶陵县广播电视发射台项目位于</w:t>
            </w:r>
            <w:r>
              <w:rPr>
                <w:rFonts w:hint="default" w:ascii="Times New Roman" w:hAnsi="Times New Roman" w:cs="Times New Roman"/>
                <w:color w:val="auto"/>
                <w:sz w:val="24"/>
                <w:shd w:val="clear" w:color="auto" w:fill="FFFFFF"/>
              </w:rPr>
              <w:t>云阳山半山腰。具体地理位置见附图1。</w:t>
            </w:r>
          </w:p>
          <w:p>
            <w:pPr>
              <w:spacing w:line="360" w:lineRule="auto"/>
              <w:rPr>
                <w:rFonts w:hint="default" w:ascii="Times New Roman" w:hAnsi="Times New Roman" w:cs="Times New Roman"/>
                <w:b/>
                <w:color w:val="auto"/>
                <w:sz w:val="28"/>
                <w:szCs w:val="28"/>
              </w:rPr>
            </w:pPr>
            <w:bookmarkStart w:id="50" w:name="_Toc406570818"/>
            <w:bookmarkStart w:id="51" w:name="_Toc417906489"/>
            <w:r>
              <w:rPr>
                <w:rFonts w:hint="default" w:ascii="Times New Roman" w:hAnsi="Times New Roman" w:cs="Times New Roman"/>
                <w:b/>
                <w:color w:val="auto"/>
                <w:sz w:val="28"/>
                <w:szCs w:val="28"/>
              </w:rPr>
              <w:t>二、地形、地貌</w:t>
            </w:r>
            <w:bookmarkEnd w:id="50"/>
            <w:bookmarkEnd w:id="51"/>
          </w:p>
          <w:p>
            <w:pPr>
              <w:tabs>
                <w:tab w:val="left" w:leader="middleDot" w:pos="9360"/>
              </w:tabs>
              <w:spacing w:line="360" w:lineRule="auto"/>
              <w:ind w:firstLine="480" w:firstLineChars="200"/>
              <w:rPr>
                <w:rFonts w:hint="default" w:ascii="Times New Roman" w:hAnsi="Times New Roman" w:cs="Times New Roman"/>
                <w:color w:val="auto"/>
                <w:sz w:val="24"/>
              </w:rPr>
            </w:pPr>
            <w:bookmarkStart w:id="52" w:name="_Toc417906490"/>
            <w:bookmarkStart w:id="53" w:name="_Toc406570819"/>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地处湘赣交界的罗霄山脉武功山系，由云阳山、天堂山、杨柳山、岩鹰嘴等几大山头组成，属中低山地貌。最高峰天堂山海拔1130米，最低海拔仙人湾110米，相对高差1000余米。山脉多为东北向西南走向，整个地形是南、北高，中间低，西边高，东边低，形成由西向东的倾斜地形，地势波状起伏，复杂多变，山坡多陡峻，坡度在25°～35°之间。</w:t>
            </w:r>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最古老的地层是震旦纪，由于多次造山运动的结果，志留纪、寒武纪、泥盆纪和中、上石炭纪的岩层覆盖于前震旦纪变质地层之上，因而该地区地层复杂，岩石多样，主要有砂页岩、石灰岩。</w:t>
            </w:r>
          </w:p>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三、气候、气象</w:t>
            </w:r>
            <w:bookmarkEnd w:id="52"/>
            <w:bookmarkEnd w:id="53"/>
          </w:p>
          <w:p>
            <w:pPr>
              <w:tabs>
                <w:tab w:val="left" w:leader="middleDot" w:pos="9360"/>
              </w:tabs>
              <w:spacing w:line="360" w:lineRule="auto"/>
              <w:ind w:firstLine="480" w:firstLineChars="200"/>
              <w:rPr>
                <w:rFonts w:hint="default" w:ascii="Times New Roman" w:hAnsi="Times New Roman" w:cs="Times New Roman"/>
                <w:color w:val="auto"/>
                <w:sz w:val="24"/>
              </w:rPr>
            </w:pPr>
            <w:bookmarkStart w:id="54" w:name="_Toc417906491"/>
            <w:bookmarkStart w:id="55" w:name="_Toc406570820"/>
            <w:bookmarkStart w:id="56" w:name="_Toc376176734"/>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属中亚热带湿润气候区。云阳山山脚年平均气温17.9℃，最冷月一月平均气温5.9℃，最热月七月平均气温29.2℃，无霜期294天。年平均降雨量为1360.8毫米，雨季在3～6月，占全年降水的54％；年均相对湿度为78％。</w:t>
            </w:r>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的气候特点是四季分明，雨量充沛，冬无严寒，夏无酷暑，地形多样，差异明显。海拔每上升100米，气温下降0.45～0.5℃，山顶年平均气温只有12.6℃。海拔500多米的云阳仙一带，在炎热的夏季气温保持在25℃左右，宜人的森林气候，是游人避暑消夏休闲度假的理想之地。</w:t>
            </w:r>
          </w:p>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四、水文</w:t>
            </w:r>
            <w:bookmarkEnd w:id="54"/>
            <w:bookmarkEnd w:id="55"/>
            <w:bookmarkEnd w:id="56"/>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山高谷深，溪河纵横，有大小溪流l0余条。湘江一级支流洣水流经</w:t>
            </w:r>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15千米，年平均流量每秒13.157立方米，终年通航。</w:t>
            </w:r>
          </w:p>
          <w:p>
            <w:pPr>
              <w:numPr>
                <w:ilvl w:val="0"/>
                <w:numId w:val="2"/>
              </w:num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植被</w:t>
            </w:r>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内以人工栽植的杉木和天然马尾松林为主，有少量天然次生林分布。据调查，有木本植物71科347种，有药用植物59科117种。公园内的主要乔木树种有马尾松、杉木、湿地松、楠竹、樟树、檫木、木荷、厚朴、柏木等，主要灌木有继木、杜鹃、白栎、盐肤木等，主要草本有蕨类、五节芒、铁芒箕等，其中列入国家及省级保护的有银杏、杜仲、檫木、银木荷等。</w:t>
            </w:r>
          </w:p>
          <w:p>
            <w:pPr>
              <w:tabs>
                <w:tab w:val="left" w:pos="3240"/>
              </w:tabs>
              <w:spacing w:line="360" w:lineRule="auto"/>
              <w:ind w:firstLine="480" w:firstLineChars="200"/>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本项目</w:t>
            </w:r>
            <w:r>
              <w:rPr>
                <w:rFonts w:hint="default" w:ascii="Times New Roman" w:hAnsi="Times New Roman" w:cs="Times New Roman"/>
                <w:color w:val="auto"/>
                <w:sz w:val="24"/>
                <w:shd w:val="clear" w:color="auto" w:fill="FFFFFF"/>
                <w:lang w:eastAsia="zh-CN"/>
              </w:rPr>
              <w:t>评价</w:t>
            </w:r>
            <w:r>
              <w:rPr>
                <w:rFonts w:hint="default" w:ascii="Times New Roman" w:hAnsi="Times New Roman" w:cs="Times New Roman"/>
                <w:color w:val="auto"/>
                <w:sz w:val="24"/>
                <w:shd w:val="clear" w:color="auto" w:fill="FFFFFF"/>
              </w:rPr>
              <w:t>区域内植被较好，主要植被为低矮灌木和杂草。评价区域内无国家重点保护的珍稀濒危植物。</w:t>
            </w:r>
          </w:p>
          <w:p>
            <w:pPr>
              <w:numPr>
                <w:ilvl w:val="0"/>
                <w:numId w:val="2"/>
              </w:num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动物</w:t>
            </w:r>
          </w:p>
          <w:p>
            <w:pPr>
              <w:numPr>
                <w:ilvl w:val="0"/>
                <w:numId w:val="0"/>
              </w:numPr>
              <w:spacing w:line="360" w:lineRule="auto"/>
              <w:rPr>
                <w:rFonts w:hint="default" w:ascii="Times New Roman" w:hAnsi="Times New Roman" w:cs="Times New Roman"/>
                <w:b/>
                <w:color w:val="auto"/>
                <w:sz w:val="28"/>
                <w:szCs w:val="28"/>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内动物资源丰富，茂密的森林和幽静的环境又是动物的天然乐园，据统计</w:t>
            </w:r>
            <w:r>
              <w:rPr>
                <w:rFonts w:hint="default" w:ascii="Times New Roman" w:hAnsi="Times New Roman" w:cs="Times New Roman"/>
                <w:color w:val="auto"/>
                <w:sz w:val="24"/>
                <w:lang w:eastAsia="zh-CN"/>
              </w:rPr>
              <w:t>云阳山风景名胜区</w:t>
            </w:r>
            <w:r>
              <w:rPr>
                <w:rFonts w:hint="default" w:ascii="Times New Roman" w:hAnsi="Times New Roman" w:cs="Times New Roman"/>
                <w:color w:val="auto"/>
                <w:sz w:val="24"/>
              </w:rPr>
              <w:t>有鸟兽类200余种，兽类主要有黑鹿、穿山甲、獐、狐狸、松鼠、水獭等。鸟类常见的有猴面鹰、猫头鹰、山鹰、画眉、竹鸡、锦鸡、斑鸠等，水生和两栖动物有娃娃鱼、蛇龟、山龟、石蛙等；蛇类有金环蛇、银环蛇、眼睛蛇、竹叶青等。</w:t>
            </w:r>
          </w:p>
          <w:p>
            <w:pPr>
              <w:tabs>
                <w:tab w:val="left" w:pos="3240"/>
              </w:tabs>
              <w:spacing w:line="360" w:lineRule="auto"/>
              <w:ind w:firstLine="480" w:firstLineChars="200"/>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本项目</w:t>
            </w:r>
            <w:r>
              <w:rPr>
                <w:rFonts w:hint="default" w:ascii="Times New Roman" w:hAnsi="Times New Roman" w:cs="Times New Roman"/>
                <w:color w:val="auto"/>
                <w:sz w:val="24"/>
                <w:shd w:val="clear" w:color="auto" w:fill="FFFFFF"/>
                <w:lang w:eastAsia="zh-CN"/>
              </w:rPr>
              <w:t>评价</w:t>
            </w:r>
            <w:r>
              <w:rPr>
                <w:rFonts w:hint="default" w:ascii="Times New Roman" w:hAnsi="Times New Roman" w:cs="Times New Roman"/>
                <w:color w:val="auto"/>
                <w:sz w:val="24"/>
                <w:shd w:val="clear" w:color="auto" w:fill="FFFFFF"/>
              </w:rPr>
              <w:t>区域</w:t>
            </w:r>
            <w:r>
              <w:rPr>
                <w:rFonts w:hint="default" w:ascii="Times New Roman" w:hAnsi="Times New Roman" w:cs="Times New Roman"/>
                <w:color w:val="auto"/>
                <w:sz w:val="24"/>
                <w:shd w:val="clear" w:color="auto" w:fill="FFFFFF"/>
                <w:lang w:eastAsia="zh-CN"/>
              </w:rPr>
              <w:t>内</w:t>
            </w:r>
            <w:r>
              <w:rPr>
                <w:rFonts w:hint="default" w:ascii="Times New Roman" w:hAnsi="Times New Roman" w:cs="Times New Roman"/>
                <w:color w:val="auto"/>
                <w:sz w:val="24"/>
                <w:shd w:val="clear" w:color="auto" w:fill="FFFFFF"/>
              </w:rPr>
              <w:t>主要常见的动物有麻雀、乌鸦等。工程建设影响范围及评价区域内，无国家重点保护的野生动物分布。</w:t>
            </w:r>
          </w:p>
          <w:p>
            <w:pPr>
              <w:spacing w:line="600" w:lineRule="exact"/>
              <w:ind w:firstLine="22" w:firstLineChars="8"/>
              <w:rPr>
                <w:rFonts w:hint="default" w:ascii="Times New Roman" w:hAnsi="Times New Roman" w:eastAsia="黑体" w:cs="Times New Roman"/>
                <w:b/>
                <w:bCs/>
                <w:color w:val="auto"/>
                <w:sz w:val="28"/>
                <w:szCs w:val="28"/>
              </w:rPr>
            </w:pPr>
            <w:r>
              <w:rPr>
                <w:rFonts w:hint="default" w:ascii="Times New Roman" w:hAnsi="Times New Roman" w:eastAsia="黑体" w:cs="Times New Roman"/>
                <w:b/>
                <w:bCs/>
                <w:color w:val="auto"/>
                <w:sz w:val="28"/>
                <w:szCs w:val="28"/>
              </w:rPr>
              <w:t>社会环境简况（社会经济结构、教育、文化、文物保护等）</w:t>
            </w:r>
          </w:p>
          <w:p>
            <w:pPr>
              <w:numPr>
                <w:ilvl w:val="0"/>
                <w:numId w:val="3"/>
              </w:numPr>
              <w:spacing w:line="360" w:lineRule="auto"/>
              <w:rPr>
                <w:rFonts w:hint="default" w:ascii="Times New Roman" w:hAnsi="Times New Roman" w:eastAsia="宋体" w:cs="Times New Roman"/>
                <w:color w:val="auto"/>
                <w:kern w:val="2"/>
                <w:sz w:val="24"/>
                <w:szCs w:val="24"/>
                <w:lang w:val="en-US" w:eastAsia="zh-CN" w:bidi="ar-SA"/>
              </w:rPr>
            </w:pPr>
            <w:bookmarkStart w:id="57" w:name="_Toc417906493"/>
            <w:bookmarkStart w:id="58" w:name="_Toc406570822"/>
            <w:r>
              <w:rPr>
                <w:rFonts w:hint="default" w:ascii="Times New Roman" w:hAnsi="Times New Roman" w:cs="Times New Roman"/>
                <w:b/>
                <w:color w:val="auto"/>
                <w:sz w:val="28"/>
                <w:szCs w:val="28"/>
              </w:rPr>
              <w:t>人口及行政区划</w:t>
            </w:r>
            <w:bookmarkEnd w:id="57"/>
            <w:bookmarkEnd w:id="58"/>
          </w:p>
          <w:p>
            <w:pPr>
              <w:numPr>
                <w:ilvl w:val="0"/>
                <w:numId w:val="0"/>
              </w:numPr>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lang w:val="en-US" w:eastAsia="zh-CN"/>
              </w:rPr>
              <w:t>2015年全县年末户籍人口631036人，比上年增加4386人。年末常住人口58.6万人，分性别看，男性常住人口29.88万人，女性常住人口28.72万人，人口性别比为104：100（男比女）。全年出生人口10390人，出生率为17.73‰；死亡人口5419人，死亡率为9.25‰；自然增长率为7.52‰。</w:t>
            </w:r>
          </w:p>
          <w:p>
            <w:pPr>
              <w:numPr>
                <w:ilvl w:val="0"/>
                <w:numId w:val="0"/>
              </w:numPr>
              <w:spacing w:line="360" w:lineRule="auto"/>
              <w:rPr>
                <w:rFonts w:hint="default" w:ascii="Times New Roman" w:hAnsi="Times New Roman" w:cs="Times New Roman"/>
                <w:color w:val="auto"/>
                <w:sz w:val="24"/>
                <w:lang w:val="en-US" w:eastAsia="zh-CN"/>
              </w:rPr>
            </w:pPr>
            <w:bookmarkStart w:id="59" w:name="_Toc406570823"/>
            <w:bookmarkStart w:id="60" w:name="_Toc417906494"/>
            <w:r>
              <w:rPr>
                <w:rFonts w:hint="default" w:ascii="Times New Roman" w:hAnsi="Times New Roman" w:cs="Times New Roman"/>
                <w:color w:val="auto"/>
                <w:sz w:val="24"/>
                <w:lang w:val="en-US" w:eastAsia="zh-CN"/>
              </w:rPr>
              <w:t xml:space="preserve">    截至2015年11月20日，茶陵县辖16个乡镇(街道)。根据《湖南省民政厅关于同意茶陵县乡镇区划调整方案的批复》，茶陵县共撤销4个乡镇建制，现辖舲舫、桃坑2个乡，秩堂、高陇、火田、腰潞、虎踞、马江、枣市、界首、湖口、严塘10个镇，云阳、下东、洣江、思聪4个街道，总面积2500平方千米，总人口62万人。</w:t>
            </w:r>
          </w:p>
          <w:p>
            <w:pPr>
              <w:numPr>
                <w:ilvl w:val="0"/>
                <w:numId w:val="3"/>
              </w:num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资源</w:t>
            </w:r>
            <w:bookmarkEnd w:id="59"/>
            <w:bookmarkEnd w:id="60"/>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全县土地面积392万亩，其中耕地41万亩，林地262万亩，可放牧草地90万亩，土地肥沃，水源充沛。适宜发展水果，烤烟生产以及高效农业开发。</w:t>
            </w:r>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全县木材蓄积量达256万立方米，其中杉木94万立方米，松木53万立方米，阔叶林29万立方米。松脂林面积62万亩，楠竹面积13.7万亩，油茶面积28.2亩，茶陵是全国商品粮生产基地、茶叶生产基地和瘦肉型生猪生产基地，被誉为“茶陵三宝”的大蒜、生姜、白芷享誉东南亚。</w:t>
            </w:r>
          </w:p>
          <w:p>
            <w:pPr>
              <w:tabs>
                <w:tab w:val="left" w:leader="middleDot" w:pos="93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茶陵矿产资源丰富，钽铌矿储量居亚洲第二，全国第一，品质居全省第一。铁矿石储量近亿吨，煤矿储量1100万吨，铅储量8700吨，钨储量28000吨，还有铜、锡、锌、花岗石等20余种矿产资源的储量和品位均占相当优势。</w:t>
            </w:r>
          </w:p>
          <w:p>
            <w:pPr>
              <w:tabs>
                <w:tab w:val="left" w:leader="middleDot" w:pos="9360"/>
              </w:tabs>
              <w:spacing w:line="360" w:lineRule="auto"/>
              <w:ind w:firstLine="480" w:firstLineChars="200"/>
              <w:rPr>
                <w:rFonts w:hint="default" w:ascii="Times New Roman" w:hAnsi="Times New Roman" w:cs="Times New Roman"/>
                <w:color w:val="auto"/>
                <w:sz w:val="21"/>
                <w:szCs w:val="21"/>
              </w:rPr>
            </w:pPr>
            <w:r>
              <w:rPr>
                <w:rFonts w:hint="default" w:ascii="Times New Roman" w:hAnsi="Times New Roman" w:cs="Times New Roman"/>
                <w:color w:val="auto"/>
                <w:sz w:val="24"/>
                <w:lang w:val="en-US" w:eastAsia="zh-CN"/>
              </w:rPr>
              <w:t>茶陵自然景观、人文景观十分丰富，有南宋古城、南浦铁犀、隋朝的“古南岳”寺庙云阳仙、丹霞地貌奇观“灵岩八景”、云阳国家级森林公园等等。这些景观的开发利用，必将使茶陵成为长沙——炎帝陵——井冈山黄金旅游线上的重要板块。</w:t>
            </w:r>
          </w:p>
          <w:p>
            <w:pPr>
              <w:numPr>
                <w:ilvl w:val="0"/>
                <w:numId w:val="3"/>
              </w:numPr>
              <w:spacing w:line="360" w:lineRule="auto"/>
              <w:rPr>
                <w:rFonts w:hint="default" w:ascii="Times New Roman" w:hAnsi="Times New Roman" w:eastAsia="宋体" w:cs="Times New Roman"/>
                <w:color w:val="auto"/>
                <w:kern w:val="2"/>
                <w:sz w:val="24"/>
                <w:szCs w:val="24"/>
                <w:lang w:val="en-US" w:eastAsia="zh-CN" w:bidi="ar-SA"/>
              </w:rPr>
            </w:pPr>
            <w:bookmarkStart w:id="61" w:name="_Toc406570824"/>
            <w:bookmarkStart w:id="62" w:name="_Toc417906495"/>
            <w:r>
              <w:rPr>
                <w:rFonts w:hint="default" w:ascii="Times New Roman" w:hAnsi="Times New Roman" w:cs="Times New Roman"/>
                <w:b/>
                <w:color w:val="auto"/>
                <w:sz w:val="28"/>
                <w:szCs w:val="28"/>
              </w:rPr>
              <w:t>社会经济</w:t>
            </w:r>
            <w:bookmarkEnd w:id="61"/>
            <w:bookmarkEnd w:id="62"/>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eastAsia="宋体" w:cs="Times New Roman"/>
                <w:color w:val="auto"/>
                <w:kern w:val="2"/>
                <w:sz w:val="24"/>
                <w:szCs w:val="24"/>
                <w:lang w:val="en-US" w:eastAsia="zh-CN" w:bidi="ar-SA"/>
              </w:rPr>
              <w:t>2015年全县完成县内生产总值1574472万元，按可比价格计算，比去年同期增长9.7%。其中：实现第一产业增加值301308万元，增长3.7%；实现第二产业增加值643421万元，增长 8.9%，其中完成工业增加值 542246万元，增长9.3 %，完成建筑业增加值103111万元，增长6.6%；实现第三产业增加值 620743万元，增长14.1%。三次产业分别拉动GDP增长0.8、3.9、5.0个百分点，三次产业结构比由上年的21.3：41.5：37.2调整为19.7:40.9:39.4。</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8"/>
                <w:szCs w:val="28"/>
              </w:rPr>
              <w:t>四、土地利用现状</w:t>
            </w:r>
          </w:p>
          <w:p>
            <w:pPr>
              <w:tabs>
                <w:tab w:val="left" w:pos="324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茶陵县的</w:t>
            </w:r>
            <w:bookmarkStart w:id="63" w:name="OLE_LINK4"/>
            <w:r>
              <w:rPr>
                <w:rFonts w:hint="default" w:ascii="Times New Roman" w:hAnsi="Times New Roman" w:cs="Times New Roman"/>
                <w:color w:val="auto"/>
                <w:sz w:val="24"/>
              </w:rPr>
              <w:t>土地利用结构</w:t>
            </w:r>
            <w:bookmarkEnd w:id="63"/>
            <w:r>
              <w:rPr>
                <w:rFonts w:hint="default" w:ascii="Times New Roman" w:hAnsi="Times New Roman" w:cs="Times New Roman"/>
                <w:color w:val="auto"/>
                <w:sz w:val="24"/>
              </w:rPr>
              <w:t>包括林地、耕地、草地、水域占地、其他占地（含建设用地和交通用地等）、未利用地等。本项目施工地所在区域土地利用主要为林地和草地，不涉及景观用地</w:t>
            </w:r>
            <w:r>
              <w:rPr>
                <w:rFonts w:hint="default" w:ascii="Times New Roman" w:hAnsi="Times New Roman" w:cs="Times New Roman"/>
                <w:color w:val="auto"/>
                <w:sz w:val="24"/>
                <w:lang w:eastAsia="zh-CN"/>
              </w:rPr>
              <w:t>，不占用耕地</w:t>
            </w:r>
            <w:r>
              <w:rPr>
                <w:rFonts w:hint="default" w:ascii="Times New Roman" w:hAnsi="Times New Roman" w:cs="Times New Roman"/>
                <w:color w:val="auto"/>
                <w:sz w:val="24"/>
              </w:rPr>
              <w:t>。</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8"/>
                <w:szCs w:val="28"/>
              </w:rPr>
              <w:t>五、生态敏感目标情况</w:t>
            </w:r>
          </w:p>
          <w:p>
            <w:pPr>
              <w:spacing w:before="156" w:beforeLines="50" w:after="156" w:afterLines="5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本项目所选址在</w:t>
            </w:r>
            <w:r>
              <w:rPr>
                <w:rFonts w:hint="default" w:ascii="Times New Roman" w:hAnsi="Times New Roman" w:cs="Times New Roman"/>
                <w:color w:val="auto"/>
                <w:sz w:val="24"/>
                <w:lang w:eastAsia="zh-CN"/>
              </w:rPr>
              <w:t>云阳山风景名胜区内</w:t>
            </w:r>
            <w:r>
              <w:rPr>
                <w:rFonts w:hint="default" w:ascii="Times New Roman" w:hAnsi="Times New Roman" w:cs="Times New Roman"/>
                <w:color w:val="auto"/>
                <w:sz w:val="24"/>
              </w:rPr>
              <w:t>，属于生态敏感区。施工范围内无居民，无国家珍稀重点保护的野生动植物。</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8"/>
                <w:szCs w:val="28"/>
              </w:rPr>
              <w:t>六、与城镇规划的符合性</w:t>
            </w:r>
          </w:p>
          <w:p>
            <w:pPr>
              <w:spacing w:line="360" w:lineRule="auto"/>
              <w:ind w:firstLine="478" w:firstLineChars="199"/>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rPr>
              <w:t>本工程项目选址</w:t>
            </w:r>
            <w:r>
              <w:rPr>
                <w:rFonts w:hint="default" w:ascii="Times New Roman" w:hAnsi="Times New Roman" w:cs="Times New Roman"/>
                <w:color w:val="auto"/>
                <w:sz w:val="24"/>
                <w:shd w:val="clear" w:color="auto" w:fill="FFFFFF"/>
              </w:rPr>
              <w:t>经茶陵县住房和城乡规划建设局确认，该选址符合县总体规划；选址</w:t>
            </w:r>
            <w:r>
              <w:rPr>
                <w:rFonts w:hint="default" w:ascii="Times New Roman" w:hAnsi="Times New Roman" w:cs="Times New Roman"/>
                <w:color w:val="auto"/>
                <w:sz w:val="24"/>
              </w:rPr>
              <w:t>位于云阳旅游景区度假休闲区，非核心区，</w:t>
            </w:r>
            <w:r>
              <w:rPr>
                <w:rFonts w:hint="default" w:ascii="Times New Roman" w:hAnsi="Times New Roman" w:cs="Times New Roman"/>
                <w:color w:val="auto"/>
                <w:sz w:val="24"/>
                <w:shd w:val="clear" w:color="auto" w:fill="FFFFFF"/>
              </w:rPr>
              <w:t>符合</w:t>
            </w:r>
            <w:bookmarkStart w:id="64" w:name="OLE_LINK51"/>
            <w:r>
              <w:rPr>
                <w:rFonts w:hint="default" w:ascii="Times New Roman" w:hAnsi="Times New Roman" w:cs="Times New Roman"/>
                <w:color w:val="auto"/>
                <w:sz w:val="24"/>
                <w:shd w:val="clear" w:color="auto" w:fill="FFFFFF"/>
              </w:rPr>
              <w:t>云阳山风景名胜区总体体规划</w:t>
            </w:r>
            <w:bookmarkEnd w:id="64"/>
            <w:r>
              <w:rPr>
                <w:rFonts w:hint="default" w:ascii="Times New Roman" w:hAnsi="Times New Roman" w:cs="Times New Roman"/>
                <w:color w:val="auto"/>
                <w:sz w:val="24"/>
                <w:shd w:val="clear" w:color="auto" w:fill="FFFFFF"/>
              </w:rPr>
              <w:t>（</w:t>
            </w:r>
            <w:r>
              <w:rPr>
                <w:rFonts w:hint="default" w:ascii="Times New Roman" w:hAnsi="Times New Roman" w:cs="Times New Roman"/>
                <w:color w:val="auto"/>
                <w:sz w:val="24"/>
                <w:shd w:val="clear" w:color="auto" w:fill="FFFFFF"/>
                <w:lang w:eastAsia="zh-CN"/>
              </w:rPr>
              <w:t>附图5</w:t>
            </w:r>
            <w:r>
              <w:rPr>
                <w:rFonts w:hint="default" w:ascii="Times New Roman" w:hAnsi="Times New Roman" w:cs="Times New Roman"/>
                <w:color w:val="auto"/>
                <w:sz w:val="24"/>
                <w:shd w:val="clear" w:color="auto" w:fill="FFFFFF"/>
              </w:rPr>
              <w:t>）。</w:t>
            </w:r>
          </w:p>
          <w:p>
            <w:pPr>
              <w:spacing w:line="360" w:lineRule="auto"/>
              <w:ind w:firstLine="480" w:firstLineChars="200"/>
              <w:rPr>
                <w:rFonts w:hint="default" w:ascii="Times New Roman" w:hAnsi="Times New Roman" w:cs="Times New Roman"/>
                <w:color w:val="auto"/>
                <w:sz w:val="24"/>
                <w:shd w:val="clear" w:color="auto" w:fill="FFFFFF"/>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tc>
      </w:tr>
    </w:tbl>
    <w:p>
      <w:pPr>
        <w:outlineLvl w:val="0"/>
        <w:rPr>
          <w:rFonts w:hint="default" w:ascii="Times New Roman" w:hAnsi="Times New Roman" w:eastAsia="黑体" w:cs="Times New Roman"/>
          <w:b/>
          <w:color w:val="auto"/>
          <w:sz w:val="32"/>
          <w:szCs w:val="32"/>
        </w:rPr>
      </w:pPr>
      <w:bookmarkStart w:id="65" w:name="_Toc421802297"/>
      <w:bookmarkStart w:id="66" w:name="_Toc856"/>
    </w:p>
    <w:p>
      <w:pPr>
        <w:outlineLvl w:val="0"/>
        <w:rPr>
          <w:rFonts w:hint="default" w:ascii="Times New Roman" w:hAnsi="Times New Roman" w:eastAsia="黑体" w:cs="Times New Roman"/>
          <w:b/>
          <w:color w:val="auto"/>
          <w:sz w:val="32"/>
          <w:szCs w:val="32"/>
        </w:rPr>
      </w:pPr>
      <w:r>
        <w:rPr>
          <w:rFonts w:hint="default" w:ascii="Times New Roman" w:hAnsi="Times New Roman" w:eastAsia="黑体" w:cs="Times New Roman"/>
          <w:b/>
          <w:color w:val="auto"/>
          <w:sz w:val="32"/>
          <w:szCs w:val="32"/>
        </w:rPr>
        <w:t>环境质量状况</w:t>
      </w:r>
      <w:bookmarkEnd w:id="65"/>
      <w:bookmarkEnd w:id="66"/>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2" w:type="dxa"/>
          </w:tcPr>
          <w:p>
            <w:pPr>
              <w:pStyle w:val="4"/>
              <w:spacing w:line="360" w:lineRule="auto"/>
              <w:rPr>
                <w:rFonts w:hint="default" w:ascii="Times New Roman" w:hAnsi="Times New Roman" w:eastAsia="黑体" w:cs="Times New Roman"/>
                <w:b/>
                <w:bCs/>
                <w:color w:val="auto"/>
                <w:sz w:val="28"/>
                <w:szCs w:val="28"/>
              </w:rPr>
            </w:pPr>
            <w:r>
              <w:rPr>
                <w:rFonts w:hint="default" w:ascii="Times New Roman" w:hAnsi="Times New Roman" w:eastAsia="黑体" w:cs="Times New Roman"/>
                <w:b/>
                <w:bCs/>
                <w:color w:val="auto"/>
                <w:sz w:val="28"/>
                <w:szCs w:val="28"/>
              </w:rPr>
              <w:t>建设项目所在地区域环境质量现状及主要环境问题（环境空气、地面水、地下水、声环境、景观及生态环境等）：</w:t>
            </w:r>
          </w:p>
          <w:p>
            <w:pPr>
              <w:spacing w:before="156" w:beforeLines="50" w:after="156" w:afterLines="50" w:line="360" w:lineRule="auto"/>
              <w:ind w:firstLine="480"/>
              <w:rPr>
                <w:rFonts w:hint="default" w:ascii="Times New Roman" w:hAnsi="Times New Roman" w:eastAsia="黑体" w:cs="Times New Roman"/>
                <w:b/>
                <w:bCs/>
                <w:color w:val="auto"/>
                <w:sz w:val="28"/>
                <w:szCs w:val="28"/>
                <w:lang w:eastAsia="zh-CN"/>
              </w:rPr>
            </w:pPr>
            <w:r>
              <w:rPr>
                <w:rFonts w:hint="default" w:ascii="Times New Roman" w:hAnsi="Times New Roman" w:cs="Times New Roman"/>
                <w:color w:val="auto"/>
                <w:sz w:val="24"/>
                <w:lang w:eastAsia="zh-CN"/>
              </w:rPr>
              <w:t>因本工程投运后不涉及新增水污染物的排放，对区域地表水环境、地下水环境质量无影响。因此，本次环境没有对区域环境地表水、地下水质量现状进行调查评价，重点针对评价区域开展了环境空气质量、电磁环境、环境噪声和生态环境的现状进行评价。</w:t>
            </w:r>
          </w:p>
          <w:p>
            <w:pPr>
              <w:numPr>
                <w:ilvl w:val="0"/>
                <w:numId w:val="4"/>
              </w:numPr>
              <w:spacing w:before="156" w:beforeLines="50" w:after="156" w:afterLines="50" w:line="360" w:lineRule="auto"/>
              <w:rPr>
                <w:rFonts w:hint="default" w:ascii="Times New Roman" w:hAnsi="Times New Roman" w:cs="Times New Roman" w:eastAsiaTheme="majorEastAsia"/>
                <w:b/>
                <w:bCs/>
                <w:color w:val="auto"/>
                <w:sz w:val="28"/>
                <w:szCs w:val="28"/>
              </w:rPr>
            </w:pPr>
            <w:r>
              <w:rPr>
                <w:rFonts w:hint="default" w:ascii="Times New Roman" w:hAnsi="Times New Roman" w:cs="Times New Roman" w:eastAsiaTheme="majorEastAsia"/>
                <w:b/>
                <w:bCs/>
                <w:color w:val="auto"/>
                <w:sz w:val="28"/>
                <w:szCs w:val="28"/>
              </w:rPr>
              <w:t>环境空气质量现状</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lang w:eastAsia="zh-CN"/>
              </w:rPr>
              <w:t>收集</w:t>
            </w:r>
            <w:r>
              <w:rPr>
                <w:rFonts w:hint="default" w:ascii="Times New Roman" w:hAnsi="Times New Roman" w:cs="Times New Roman"/>
                <w:color w:val="auto"/>
                <w:sz w:val="24"/>
              </w:rPr>
              <w:t>《湖南云阳国家森林公园总体规划（</w:t>
            </w:r>
            <w:r>
              <w:rPr>
                <w:rFonts w:hint="default" w:ascii="Times New Roman" w:hAnsi="Times New Roman" w:cs="Times New Roman"/>
                <w:color w:val="auto"/>
                <w:sz w:val="24"/>
                <w:lang w:val="en-US" w:eastAsia="zh-CN"/>
              </w:rPr>
              <w:t>2014年</w:t>
            </w:r>
            <w:r>
              <w:rPr>
                <w:rFonts w:hint="default" w:ascii="Times New Roman" w:hAnsi="Times New Roman" w:cs="Times New Roman"/>
                <w:color w:val="auto"/>
                <w:sz w:val="24"/>
              </w:rPr>
              <w:t>修编）》</w:t>
            </w:r>
            <w:r>
              <w:rPr>
                <w:rFonts w:hint="default" w:ascii="Times New Roman" w:hAnsi="Times New Roman" w:cs="Times New Roman"/>
                <w:color w:val="auto"/>
                <w:sz w:val="24"/>
                <w:lang w:eastAsia="zh-CN"/>
              </w:rPr>
              <w:t>资料表明</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云阳山</w:t>
            </w:r>
            <w:r>
              <w:rPr>
                <w:rFonts w:hint="default" w:ascii="Times New Roman" w:hAnsi="Times New Roman" w:cs="Times New Roman"/>
                <w:color w:val="auto"/>
                <w:sz w:val="24"/>
              </w:rPr>
              <w:t>园内的一氧化碳（CO）、二氧化氮（NO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）、总悬浮颗粒物（TSP）月均值均达到国家环境空气质量一级标准。本项目所在地环境空气功能区分为一类区，空气质量优，满足《环境空气质量标准》（GB3095-2012）中的一级标准要求。</w:t>
            </w:r>
          </w:p>
          <w:p>
            <w:pPr>
              <w:spacing w:before="156" w:beforeLines="50" w:after="156" w:afterLines="50" w:line="360" w:lineRule="auto"/>
              <w:rPr>
                <w:rFonts w:hint="default" w:ascii="Times New Roman" w:hAnsi="Times New Roman" w:cs="Times New Roman" w:eastAsiaTheme="majorEastAsia"/>
                <w:b/>
                <w:bCs/>
                <w:color w:val="auto"/>
                <w:sz w:val="28"/>
                <w:szCs w:val="28"/>
              </w:rPr>
            </w:pPr>
            <w:r>
              <w:rPr>
                <w:rFonts w:hint="default" w:ascii="Times New Roman" w:hAnsi="Times New Roman" w:cs="Times New Roman" w:eastAsiaTheme="majorEastAsia"/>
                <w:b/>
                <w:bCs/>
                <w:color w:val="auto"/>
                <w:sz w:val="28"/>
                <w:szCs w:val="28"/>
              </w:rPr>
              <w:t>二、声环境质量现状</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监测布点：根据发射塔址周围情况布设4个监测点，具体位置详见</w:t>
            </w:r>
            <w:r>
              <w:rPr>
                <w:rFonts w:hint="default" w:ascii="Times New Roman" w:hAnsi="Times New Roman" w:cs="Times New Roman"/>
                <w:color w:val="auto"/>
                <w:sz w:val="24"/>
                <w:lang w:eastAsia="zh-CN"/>
              </w:rPr>
              <w:t>附图7</w:t>
            </w:r>
            <w:r>
              <w:rPr>
                <w:rFonts w:hint="default" w:ascii="Times New Roman" w:hAnsi="Times New Roman" w:cs="Times New Roman"/>
                <w:color w:val="auto"/>
                <w:sz w:val="24"/>
              </w:rPr>
              <w:t>。</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监测方法：按《声环境质量标准》（GB3096-2008）的要求进行，测量仪器为AWA5636型声级计，</w:t>
            </w:r>
            <w:r>
              <w:rPr>
                <w:rFonts w:hint="default" w:ascii="Times New Roman" w:hAnsi="Times New Roman" w:cs="Times New Roman"/>
                <w:color w:val="auto"/>
                <w:sz w:val="24"/>
                <w:lang w:eastAsia="zh-CN"/>
              </w:rPr>
              <w:t>检出下限为</w:t>
            </w:r>
            <w:r>
              <w:rPr>
                <w:rFonts w:hint="default" w:ascii="Times New Roman" w:hAnsi="Times New Roman" w:cs="Times New Roman"/>
                <w:color w:val="auto"/>
                <w:sz w:val="24"/>
                <w:lang w:val="en-US" w:eastAsia="zh-CN"/>
              </w:rPr>
              <w:t>30dB（A），</w:t>
            </w:r>
            <w:r>
              <w:rPr>
                <w:rFonts w:hint="default" w:ascii="Times New Roman" w:hAnsi="Times New Roman" w:cs="Times New Roman"/>
                <w:color w:val="auto"/>
                <w:sz w:val="24"/>
              </w:rPr>
              <w:t>声校准器为HY603型。</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监测时间：2016年5月</w:t>
            </w:r>
            <w:r>
              <w:rPr>
                <w:rFonts w:hint="default" w:ascii="Times New Roman" w:hAnsi="Times New Roman" w:cs="Times New Roman"/>
                <w:color w:val="auto"/>
                <w:sz w:val="24"/>
                <w:lang w:eastAsia="zh-CN"/>
              </w:rPr>
              <w:t>18日</w:t>
            </w:r>
            <w:r>
              <w:rPr>
                <w:rFonts w:hint="default" w:ascii="Times New Roman" w:hAnsi="Times New Roman" w:cs="Times New Roman"/>
                <w:color w:val="auto"/>
                <w:sz w:val="24"/>
              </w:rPr>
              <w:t>11:00至22:00。</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声环境现状监测结果统计见表3-1。</w:t>
            </w:r>
          </w:p>
          <w:p>
            <w:pPr>
              <w:ind w:firstLine="48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表3-1  发射塔周围声环境现状监测结果</w:t>
            </w:r>
          </w:p>
          <w:tbl>
            <w:tblPr>
              <w:tblStyle w:val="16"/>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054"/>
              <w:gridCol w:w="2056"/>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监测点</w:t>
                  </w:r>
                </w:p>
              </w:tc>
              <w:tc>
                <w:tcPr>
                  <w:tcW w:w="2054"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单位</w:t>
                  </w:r>
                </w:p>
              </w:tc>
              <w:tc>
                <w:tcPr>
                  <w:tcW w:w="2056"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昼间</w:t>
                  </w:r>
                </w:p>
              </w:tc>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1</w:t>
                  </w:r>
                  <w:r>
                    <w:rPr>
                      <w:rFonts w:hint="default" w:ascii="Times New Roman" w:hAnsi="Times New Roman" w:cs="Times New Roman"/>
                      <w:color w:val="auto"/>
                      <w:szCs w:val="21"/>
                      <w:vertAlign w:val="superscript"/>
                    </w:rPr>
                    <w:t>#</w:t>
                  </w:r>
                </w:p>
              </w:tc>
              <w:tc>
                <w:tcPr>
                  <w:tcW w:w="2054" w:type="dxa"/>
                  <w:vMerge w:val="restart"/>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dB（A）</w:t>
                  </w:r>
                </w:p>
              </w:tc>
              <w:tc>
                <w:tcPr>
                  <w:tcW w:w="2056"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42.1</w:t>
                  </w:r>
                </w:p>
              </w:tc>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36.4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2</w:t>
                  </w:r>
                  <w:r>
                    <w:rPr>
                      <w:rFonts w:hint="default" w:ascii="Times New Roman" w:hAnsi="Times New Roman" w:cs="Times New Roman"/>
                      <w:color w:val="auto"/>
                      <w:szCs w:val="21"/>
                      <w:vertAlign w:val="superscript"/>
                    </w:rPr>
                    <w:t>#</w:t>
                  </w:r>
                </w:p>
              </w:tc>
              <w:tc>
                <w:tcPr>
                  <w:tcW w:w="2054" w:type="dxa"/>
                  <w:vMerge w:val="continue"/>
                  <w:tcBorders>
                    <w:tl2br w:val="nil"/>
                    <w:tr2bl w:val="nil"/>
                  </w:tcBorders>
                  <w:vAlign w:val="center"/>
                </w:tcPr>
                <w:p>
                  <w:pPr>
                    <w:jc w:val="center"/>
                    <w:rPr>
                      <w:rFonts w:hint="default" w:ascii="Times New Roman" w:hAnsi="Times New Roman" w:cs="Times New Roman"/>
                      <w:color w:val="auto"/>
                    </w:rPr>
                  </w:pPr>
                </w:p>
              </w:tc>
              <w:tc>
                <w:tcPr>
                  <w:tcW w:w="2056"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44.3</w:t>
                  </w:r>
                </w:p>
              </w:tc>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3</w:t>
                  </w:r>
                  <w:r>
                    <w:rPr>
                      <w:rFonts w:hint="default" w:ascii="Times New Roman" w:hAnsi="Times New Roman" w:cs="Times New Roman"/>
                      <w:color w:val="auto"/>
                      <w:szCs w:val="21"/>
                      <w:vertAlign w:val="superscript"/>
                    </w:rPr>
                    <w:t>#</w:t>
                  </w:r>
                </w:p>
              </w:tc>
              <w:tc>
                <w:tcPr>
                  <w:tcW w:w="2054" w:type="dxa"/>
                  <w:vMerge w:val="continue"/>
                  <w:tcBorders>
                    <w:tl2br w:val="nil"/>
                    <w:tr2bl w:val="nil"/>
                  </w:tcBorders>
                  <w:vAlign w:val="center"/>
                </w:tcPr>
                <w:p>
                  <w:pPr>
                    <w:jc w:val="center"/>
                    <w:rPr>
                      <w:rFonts w:hint="default" w:ascii="Times New Roman" w:hAnsi="Times New Roman" w:cs="Times New Roman"/>
                      <w:color w:val="auto"/>
                    </w:rPr>
                  </w:pPr>
                </w:p>
              </w:tc>
              <w:tc>
                <w:tcPr>
                  <w:tcW w:w="2056"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41.6</w:t>
                  </w:r>
                </w:p>
              </w:tc>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4</w:t>
                  </w:r>
                  <w:r>
                    <w:rPr>
                      <w:rFonts w:hint="default" w:ascii="Times New Roman" w:hAnsi="Times New Roman" w:cs="Times New Roman"/>
                      <w:color w:val="auto"/>
                      <w:szCs w:val="21"/>
                      <w:vertAlign w:val="superscript"/>
                    </w:rPr>
                    <w:t>#</w:t>
                  </w:r>
                </w:p>
              </w:tc>
              <w:tc>
                <w:tcPr>
                  <w:tcW w:w="2054" w:type="dxa"/>
                  <w:vMerge w:val="continue"/>
                  <w:tcBorders>
                    <w:tl2br w:val="nil"/>
                    <w:tr2bl w:val="nil"/>
                  </w:tcBorders>
                  <w:vAlign w:val="center"/>
                </w:tcPr>
                <w:p>
                  <w:pPr>
                    <w:jc w:val="center"/>
                    <w:rPr>
                      <w:rFonts w:hint="default" w:ascii="Times New Roman" w:hAnsi="Times New Roman" w:cs="Times New Roman"/>
                      <w:color w:val="auto"/>
                    </w:rPr>
                  </w:pPr>
                </w:p>
              </w:tc>
              <w:tc>
                <w:tcPr>
                  <w:tcW w:w="2056"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41.9</w:t>
                  </w:r>
                </w:p>
              </w:tc>
              <w:tc>
                <w:tcPr>
                  <w:tcW w:w="205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35.5</w:t>
                  </w:r>
                </w:p>
              </w:tc>
            </w:tr>
          </w:tbl>
          <w:p>
            <w:pPr>
              <w:ind w:firstLine="480"/>
              <w:jc w:val="center"/>
              <w:rPr>
                <w:rFonts w:hint="default" w:ascii="Times New Roman" w:hAnsi="Times New Roman" w:eastAsia="黑体" w:cs="Times New Roman"/>
                <w:color w:val="auto"/>
                <w:sz w:val="24"/>
              </w:rPr>
            </w:pP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由表4-3可知，发射塔周围声环境现状监测昼间等效连续A声级检测值41.9至44.3dB（A）之间，夜间等效连续A声级监测值在34.2至36.8dB（A）之间。</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根据监测结果，茶陵县无线广播电视发射塔复建工程项目声环境质量昼间、夜间均能满足《声环境质量标准》（GB3096-2008）中1类标准。</w:t>
            </w:r>
          </w:p>
          <w:p>
            <w:pPr>
              <w:numPr>
                <w:ilvl w:val="0"/>
                <w:numId w:val="0"/>
              </w:numPr>
              <w:spacing w:before="156" w:beforeLines="50" w:after="156" w:afterLines="50" w:line="360" w:lineRule="auto"/>
              <w:rPr>
                <w:rFonts w:hint="default" w:ascii="Times New Roman" w:hAnsi="Times New Roman" w:cs="Times New Roman" w:eastAsiaTheme="majorEastAsia"/>
                <w:b/>
                <w:bCs/>
                <w:color w:val="auto"/>
                <w:sz w:val="28"/>
                <w:szCs w:val="28"/>
              </w:rPr>
            </w:pPr>
            <w:r>
              <w:rPr>
                <w:rFonts w:hint="default" w:ascii="Times New Roman" w:hAnsi="Times New Roman" w:cs="Times New Roman" w:eastAsiaTheme="majorEastAsia"/>
                <w:b/>
                <w:bCs/>
                <w:color w:val="auto"/>
                <w:sz w:val="28"/>
                <w:szCs w:val="28"/>
                <w:lang w:eastAsia="zh-CN"/>
              </w:rPr>
              <w:t>三、</w:t>
            </w:r>
            <w:r>
              <w:rPr>
                <w:rFonts w:hint="default" w:ascii="Times New Roman" w:hAnsi="Times New Roman" w:cs="Times New Roman" w:eastAsiaTheme="majorEastAsia"/>
                <w:b/>
                <w:bCs/>
                <w:color w:val="auto"/>
                <w:sz w:val="28"/>
                <w:szCs w:val="28"/>
              </w:rPr>
              <w:t>景区及生态环境质量现状</w:t>
            </w:r>
          </w:p>
          <w:p>
            <w:pPr>
              <w:spacing w:before="156" w:beforeLines="50" w:after="156" w:afterLines="50" w:line="360" w:lineRule="auto"/>
              <w:ind w:firstLine="480"/>
              <w:rPr>
                <w:rFonts w:hint="default" w:ascii="Times New Roman" w:hAnsi="Times New Roman" w:cs="Times New Roman" w:eastAsiaTheme="majorEastAsia"/>
                <w:b/>
                <w:bCs/>
                <w:color w:val="auto"/>
                <w:sz w:val="24"/>
              </w:rPr>
            </w:pPr>
            <w:r>
              <w:rPr>
                <w:rFonts w:hint="default" w:ascii="Times New Roman" w:hAnsi="Times New Roman" w:cs="Times New Roman" w:eastAsiaTheme="majorEastAsia"/>
                <w:b/>
                <w:bCs/>
                <w:color w:val="auto"/>
                <w:sz w:val="24"/>
              </w:rPr>
              <w:t>1、景区主要景点</w:t>
            </w:r>
          </w:p>
          <w:p>
            <w:pPr>
              <w:pStyle w:val="2"/>
              <w:widowControl/>
              <w:spacing w:before="156" w:beforeLines="50" w:beforeAutospacing="0" w:after="156" w:afterLines="50" w:afterAutospacing="0" w:line="360" w:lineRule="auto"/>
              <w:outlineLvl w:val="2"/>
              <w:rPr>
                <w:rFonts w:hint="default" w:ascii="Times New Roman" w:hAnsi="Times New Roman" w:cs="Times New Roman" w:eastAsiaTheme="minorEastAsia"/>
                <w:b w:val="0"/>
                <w:color w:val="auto"/>
                <w:sz w:val="24"/>
                <w:szCs w:val="24"/>
              </w:rPr>
            </w:pPr>
            <w:r>
              <w:rPr>
                <w:rFonts w:hint="default" w:ascii="Times New Roman" w:hAnsi="Times New Roman" w:cs="Times New Roman" w:eastAsiaTheme="minorEastAsia"/>
                <w:color w:val="auto"/>
                <w:sz w:val="24"/>
                <w:szCs w:val="24"/>
                <w:shd w:val="clear" w:color="auto" w:fill="FFFFFF"/>
              </w:rPr>
              <w:t xml:space="preserve">   </w:t>
            </w:r>
            <w:r>
              <w:rPr>
                <w:rFonts w:hint="default" w:ascii="Times New Roman" w:hAnsi="Times New Roman" w:cs="Times New Roman" w:eastAsiaTheme="minorEastAsia"/>
                <w:b w:val="0"/>
                <w:bCs/>
                <w:color w:val="auto"/>
                <w:sz w:val="24"/>
                <w:szCs w:val="24"/>
                <w:shd w:val="clear" w:color="auto" w:fill="FFFFFF"/>
              </w:rPr>
              <w:t xml:space="preserve"> 云阳仙:云</w:t>
            </w:r>
            <w:r>
              <w:rPr>
                <w:rFonts w:hint="default" w:ascii="Times New Roman" w:hAnsi="Times New Roman" w:cs="Times New Roman" w:eastAsiaTheme="minorEastAsia"/>
                <w:b w:val="0"/>
                <w:color w:val="auto"/>
                <w:sz w:val="24"/>
                <w:szCs w:val="24"/>
                <w:shd w:val="clear" w:color="auto" w:fill="FFFFFF"/>
              </w:rPr>
              <w:t>阳仙系佛、道合一的宗教场所。位于紫峰东腋的峰峡环抱之中，古人称之为“可以避世，可以隐居”的神仙福地。宋代著名文学家黄庭坚、元代茶陵藉状元</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"http://baike.baidu.com/subview/216811/5613749.htm"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李祁</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、明代史部主事刘应峰、清代状元肖锦忠、晚清</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"http://baike.baidu.com/subview/209839/209839.htm"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两广总督</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"http://baike.baidu.com/subview/598583/598583.htm"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谭钟麟</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等历代名人所留题咏甚多。明代著名旅行家徐霞客也慕名前来控幽揽胜。</w:t>
            </w:r>
          </w:p>
          <w:p>
            <w:pPr>
              <w:pStyle w:val="2"/>
              <w:widowControl/>
              <w:spacing w:before="156" w:beforeLines="50" w:beforeAutospacing="0" w:after="156" w:afterLines="50" w:afterAutospacing="0" w:line="360" w:lineRule="auto"/>
              <w:outlineLvl w:val="2"/>
              <w:rPr>
                <w:rFonts w:hint="default" w:ascii="Times New Roman" w:hAnsi="Times New Roman" w:cs="Times New Roman" w:eastAsiaTheme="minorEastAsia"/>
                <w:b w:val="0"/>
                <w:color w:val="auto"/>
                <w:sz w:val="24"/>
                <w:szCs w:val="24"/>
              </w:rPr>
            </w:pPr>
            <w:bookmarkStart w:id="67" w:name="4_2"/>
            <w:bookmarkEnd w:id="67"/>
            <w:bookmarkStart w:id="68" w:name="张良试剑"/>
            <w:bookmarkEnd w:id="68"/>
            <w:bookmarkStart w:id="69" w:name="sub1815929_4_2"/>
            <w:bookmarkEnd w:id="69"/>
            <w:r>
              <w:rPr>
                <w:rFonts w:hint="default" w:ascii="Times New Roman" w:hAnsi="Times New Roman" w:cs="Times New Roman" w:eastAsiaTheme="minorEastAsia"/>
                <w:b w:val="0"/>
                <w:bCs/>
                <w:color w:val="auto"/>
                <w:sz w:val="24"/>
                <w:szCs w:val="24"/>
                <w:shd w:val="clear" w:color="auto" w:fill="FFFFFF"/>
              </w:rPr>
              <w:t xml:space="preserve">    张良试剑：</w:t>
            </w:r>
            <w:r>
              <w:rPr>
                <w:rFonts w:hint="default" w:ascii="Times New Roman" w:hAnsi="Times New Roman" w:cs="Times New Roman" w:eastAsiaTheme="minorEastAsia"/>
                <w:b w:val="0"/>
                <w:color w:val="auto"/>
                <w:sz w:val="24"/>
                <w:szCs w:val="24"/>
                <w:shd w:val="clear" w:color="auto" w:fill="FFFFFF"/>
              </w:rPr>
              <w:t>云阳仙左后侧，有一断裂的巨石，高3米，长4米，似被人挥剑居中劈开。刻有“</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"http://baike.baidu.com/subview/9442/5565691.htm"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张良</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试剑”4个正楷大字。据传张良曾随赤松子隐此读书铸剑。刘邦特上山请张良出山，共图大业，张以剑未铸剑劈石，岩石被劈成两半，遂随刘出山。</w:t>
            </w:r>
          </w:p>
          <w:p>
            <w:pPr>
              <w:pStyle w:val="2"/>
              <w:widowControl/>
              <w:spacing w:before="156" w:beforeLines="50" w:beforeAutospacing="0" w:after="156" w:afterLines="50" w:afterAutospacing="0" w:line="360" w:lineRule="auto"/>
              <w:outlineLvl w:val="2"/>
              <w:rPr>
                <w:rFonts w:hint="default" w:ascii="Times New Roman" w:hAnsi="Times New Roman" w:cs="Times New Roman" w:eastAsiaTheme="minorEastAsia"/>
                <w:b w:val="0"/>
                <w:color w:val="auto"/>
                <w:sz w:val="24"/>
                <w:szCs w:val="24"/>
                <w:shd w:val="clear" w:color="auto" w:fill="FFFFFF"/>
              </w:rPr>
            </w:pPr>
            <w:bookmarkStart w:id="70" w:name="4_3"/>
            <w:bookmarkEnd w:id="70"/>
            <w:bookmarkStart w:id="71" w:name="sub1815929_4_3"/>
            <w:bookmarkEnd w:id="71"/>
            <w:bookmarkStart w:id="72" w:name="五雷池"/>
            <w:bookmarkEnd w:id="72"/>
            <w:r>
              <w:rPr>
                <w:rFonts w:hint="default" w:ascii="Times New Roman" w:hAnsi="Times New Roman" w:cs="Times New Roman" w:eastAsiaTheme="minorEastAsia"/>
                <w:b w:val="0"/>
                <w:bCs/>
                <w:color w:val="auto"/>
                <w:sz w:val="24"/>
                <w:szCs w:val="24"/>
                <w:shd w:val="clear" w:color="auto" w:fill="FFFFFF"/>
              </w:rPr>
              <w:t xml:space="preserve">    五雷池：</w:t>
            </w:r>
            <w:r>
              <w:rPr>
                <w:rFonts w:hint="default" w:ascii="Times New Roman" w:hAnsi="Times New Roman" w:cs="Times New Roman" w:eastAsiaTheme="minorEastAsia"/>
                <w:b w:val="0"/>
                <w:color w:val="auto"/>
                <w:sz w:val="24"/>
                <w:szCs w:val="24"/>
                <w:shd w:val="clear" w:color="auto" w:fill="FFFFFF"/>
              </w:rPr>
              <w:t>相传古时，云阳山下常遭旱灾，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"http://baike.baidu.com/subview/13767/13767.htm"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神农</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命</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"http://baike.baidu.com/subview/2542616/2542616.htm"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雨师赤松子</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求雨，屡次求雨，却未下一点雨。后来，发现掌管这一带布雨的龙躲进岩缝睡懒觉。赤松子大怒，使五</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"http://baike.baidu.com/subview/983443/983443.htm"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雷法</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，将神龙锁在岩缝中，命其向外吐水。这股水汇入山溪，灌溉山下的土地。</w:t>
            </w:r>
          </w:p>
          <w:p>
            <w:pPr>
              <w:pStyle w:val="2"/>
              <w:widowControl/>
              <w:spacing w:before="156" w:beforeLines="50" w:beforeAutospacing="0" w:after="156" w:afterLines="50" w:afterAutospacing="0" w:line="360" w:lineRule="auto"/>
              <w:outlineLvl w:val="2"/>
              <w:rPr>
                <w:rFonts w:hint="default" w:ascii="Times New Roman" w:hAnsi="Times New Roman" w:cs="Times New Roman" w:eastAsiaTheme="minorEastAsia"/>
                <w:b w:val="0"/>
                <w:color w:val="auto"/>
                <w:sz w:val="24"/>
                <w:szCs w:val="24"/>
              </w:rPr>
            </w:pPr>
            <w:r>
              <w:rPr>
                <w:rFonts w:hint="default" w:ascii="Times New Roman" w:hAnsi="Times New Roman" w:cs="Times New Roman" w:eastAsiaTheme="minorEastAsia"/>
                <w:b w:val="0"/>
                <w:color w:val="auto"/>
                <w:sz w:val="24"/>
                <w:szCs w:val="24"/>
                <w:shd w:val="clear" w:color="auto" w:fill="FFFFFF"/>
              </w:rPr>
              <w:t xml:space="preserve">    </w:t>
            </w:r>
            <w:r>
              <w:rPr>
                <w:rFonts w:hint="default" w:ascii="Times New Roman" w:hAnsi="Times New Roman" w:cs="Times New Roman" w:eastAsiaTheme="minorEastAsia"/>
                <w:b w:val="0"/>
                <w:bCs/>
                <w:color w:val="auto"/>
                <w:sz w:val="24"/>
                <w:szCs w:val="24"/>
                <w:shd w:val="clear" w:color="auto" w:fill="FFFFFF"/>
              </w:rPr>
              <w:t>观音岩：</w:t>
            </w:r>
            <w:r>
              <w:rPr>
                <w:rFonts w:hint="default" w:ascii="Times New Roman" w:hAnsi="Times New Roman" w:cs="Times New Roman" w:eastAsiaTheme="minorEastAsia"/>
                <w:b w:val="0"/>
                <w:color w:val="auto"/>
                <w:sz w:val="24"/>
                <w:szCs w:val="24"/>
                <w:shd w:val="clear" w:color="auto" w:fill="FFFFFF"/>
              </w:rPr>
              <w:t>云阳仙后的五雷池西侧有一高13米，宽7米的自然石窟。窟门上窄下阔，似向侧拉开的帏幕，内置观音石像，故名观音岩。窟顶，石岩倒悬；右侧崖壁断层形成一个宽约1.5米的平台上，上枕一约3-4吨重的巨石，巨石的三分之一悬空，使人感到有随时滚下来的危险，但千百年来稳如磐石。</w:t>
            </w:r>
          </w:p>
          <w:p>
            <w:pPr>
              <w:pStyle w:val="2"/>
              <w:widowControl/>
              <w:spacing w:before="156" w:beforeLines="50" w:beforeAutospacing="0" w:after="156" w:afterLines="50" w:afterAutospacing="0" w:line="360" w:lineRule="auto"/>
              <w:outlineLvl w:val="2"/>
              <w:rPr>
                <w:rFonts w:hint="default" w:ascii="Times New Roman" w:hAnsi="Times New Roman" w:cs="Times New Roman" w:eastAsiaTheme="minorEastAsia"/>
                <w:b w:val="0"/>
                <w:color w:val="auto"/>
                <w:sz w:val="24"/>
                <w:szCs w:val="24"/>
              </w:rPr>
            </w:pPr>
            <w:bookmarkStart w:id="73" w:name="4_5"/>
            <w:bookmarkEnd w:id="73"/>
            <w:bookmarkStart w:id="74" w:name="sub1815929_4_5"/>
            <w:bookmarkEnd w:id="74"/>
            <w:bookmarkStart w:id="75" w:name="云阳诸洞"/>
            <w:bookmarkEnd w:id="75"/>
            <w:r>
              <w:rPr>
                <w:rFonts w:hint="default" w:ascii="Times New Roman" w:hAnsi="Times New Roman" w:cs="Times New Roman" w:eastAsiaTheme="minorEastAsia"/>
                <w:b w:val="0"/>
                <w:bCs/>
                <w:color w:val="auto"/>
                <w:sz w:val="24"/>
                <w:szCs w:val="24"/>
                <w:shd w:val="clear" w:color="auto" w:fill="FFFFFF"/>
              </w:rPr>
              <w:t xml:space="preserve">    云阳诸洞：</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"http://baike.baidu.com/subview/46789/15299246.htm"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云阳</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山麓溶洞很多。已见诸史志的有秦人、玉华、真仙、麻叶诸洞。南麓有秦人三洞，今下洞可入。洞中钟乳石遍布，堪称奇观。入洞犹入大厅，“厅”高3至4米，阔10余米，左有溪流潺潺而过，离洞13米处，石乳倒县，状若莲花倒垂，又似牛肝马肺，当地人称之为“牛肝马肺”，下有钟乳上突，列为廊、柱。西麓的平水乡水源村溶犹多。当地人称“水源仙洞九十九。”其中</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"http://baike.baidu.com/subview/4035357/4035357.htm"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麻叶洞</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自徐霞客考查，揭开其神秘的面纱后，名播遐迩。</w:t>
            </w:r>
          </w:p>
          <w:p>
            <w:pPr>
              <w:pStyle w:val="2"/>
              <w:widowControl/>
              <w:spacing w:before="156" w:beforeLines="50" w:beforeAutospacing="0" w:after="156" w:afterLines="50" w:afterAutospacing="0" w:line="360" w:lineRule="auto"/>
              <w:outlineLvl w:val="2"/>
              <w:rPr>
                <w:rFonts w:hint="default" w:ascii="Times New Roman" w:hAnsi="Times New Roman" w:cs="Times New Roman" w:eastAsiaTheme="minorEastAsia"/>
                <w:b w:val="0"/>
                <w:color w:val="auto"/>
                <w:sz w:val="24"/>
                <w:szCs w:val="24"/>
              </w:rPr>
            </w:pPr>
            <w:bookmarkStart w:id="76" w:name="4_6"/>
            <w:bookmarkEnd w:id="76"/>
            <w:bookmarkStart w:id="77" w:name="云阳山道观"/>
            <w:bookmarkEnd w:id="77"/>
            <w:bookmarkStart w:id="78" w:name="sub1815929_4_6"/>
            <w:bookmarkEnd w:id="78"/>
            <w:r>
              <w:rPr>
                <w:rFonts w:hint="default" w:ascii="Times New Roman" w:hAnsi="Times New Roman" w:cs="Times New Roman" w:eastAsiaTheme="minorEastAsia"/>
                <w:b w:val="0"/>
                <w:bCs/>
                <w:color w:val="auto"/>
                <w:sz w:val="24"/>
                <w:szCs w:val="24"/>
                <w:shd w:val="clear" w:color="auto" w:fill="FFFFFF"/>
              </w:rPr>
              <w:t xml:space="preserve">    云阳山道观：</w:t>
            </w:r>
            <w:r>
              <w:rPr>
                <w:rFonts w:hint="default" w:ascii="Times New Roman" w:hAnsi="Times New Roman" w:cs="Times New Roman" w:eastAsiaTheme="minorEastAsia"/>
                <w:b w:val="0"/>
                <w:color w:val="auto"/>
                <w:sz w:val="24"/>
                <w:szCs w:val="24"/>
                <w:shd w:val="clear" w:color="auto" w:fill="FFFFFF"/>
              </w:rPr>
              <w:t>始建于南北朝。宋淳熙十年（1183），改建为云阳仙道观，开山道祖是陈善宗。南宋末，改建为紫微书院。明代先后改为云阳寺、旌忠书院、云阳仙道观。此后一直是云阳仙道观。“文化大革命”期间，在“破四旧”运动中，神像被捣毁殆尽。1989年，修复了古南岳宫、慈航殿、三官殿和山门牌坊等部分建筑。2006年，按照明、清时的形制，重建原有的宫、殿。</w:t>
            </w:r>
          </w:p>
          <w:p>
            <w:pPr>
              <w:widowControl/>
              <w:shd w:val="clear" w:color="auto" w:fill="FFFFFF"/>
              <w:spacing w:before="156" w:beforeLines="50" w:after="156" w:afterLines="50" w:line="360" w:lineRule="auto"/>
              <w:ind w:firstLine="42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bCs/>
                <w:color w:val="auto"/>
                <w:sz w:val="24"/>
                <w:shd w:val="clear" w:color="auto" w:fill="FFFFFF"/>
              </w:rPr>
              <w:t>白云寺：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"http://baike.baidu.com/subview/26172/13567239.htm"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color w:val="auto"/>
                <w:sz w:val="24"/>
                <w:u w:val="none"/>
                <w:shd w:val="clear" w:color="auto" w:fill="FFFFFF"/>
              </w:rPr>
              <w:t>白云寺</w:t>
            </w:r>
            <w:r>
              <w:rPr>
                <w:rStyle w:val="13"/>
                <w:rFonts w:hint="default" w:ascii="Times New Roman" w:hAnsi="Times New Roman" w:cs="Times New Roman" w:eastAsiaTheme="minorEastAsia"/>
                <w:color w:val="auto"/>
                <w:sz w:val="24"/>
                <w:u w:val="none"/>
                <w:shd w:val="clear" w:color="auto" w:fill="FFFFFF"/>
              </w:rPr>
              <w:fldChar w:fldCharType="end"/>
            </w:r>
            <w:r>
              <w:rPr>
                <w:rFonts w:hint="default" w:ascii="Times New Roman" w:hAnsi="Times New Roman" w:cs="Times New Roman" w:eastAsiaTheme="minorEastAsia"/>
                <w:color w:val="auto"/>
                <w:kern w:val="0"/>
                <w:sz w:val="24"/>
                <w:shd w:val="clear" w:color="auto" w:fill="FFFFFF"/>
                <w:lang w:bidi="ar"/>
              </w:rPr>
              <w:t>原名</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"http://baike.baidu.com/subview/374715/10816774.htm"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color w:val="auto"/>
                <w:sz w:val="24"/>
                <w:u w:val="none"/>
                <w:shd w:val="clear" w:color="auto" w:fill="FFFFFF"/>
              </w:rPr>
              <w:t>白云庵</w:t>
            </w:r>
            <w:r>
              <w:rPr>
                <w:rStyle w:val="13"/>
                <w:rFonts w:hint="default" w:ascii="Times New Roman" w:hAnsi="Times New Roman" w:cs="Times New Roman" w:eastAsiaTheme="minorEastAsia"/>
                <w:color w:val="auto"/>
                <w:sz w:val="24"/>
                <w:u w:val="none"/>
                <w:shd w:val="clear" w:color="auto" w:fill="FFFFFF"/>
              </w:rPr>
              <w:fldChar w:fldCharType="end"/>
            </w:r>
            <w:r>
              <w:rPr>
                <w:rFonts w:hint="default" w:ascii="Times New Roman" w:hAnsi="Times New Roman" w:cs="Times New Roman" w:eastAsiaTheme="minorEastAsia"/>
                <w:color w:val="auto"/>
                <w:kern w:val="0"/>
                <w:sz w:val="24"/>
                <w:shd w:val="clear" w:color="auto" w:fill="FFFFFF"/>
                <w:lang w:bidi="ar"/>
              </w:rPr>
              <w:t>，民间称之为白云仙。元代及元代以前原是个默默无闻的山野小庵，到明代洪武年间（1368~1398），声名鹊起，香火兴旺。原因是曾任云南</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"http://baike.baidu.com/subview/59920/59920.htm"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color w:val="auto"/>
                <w:sz w:val="24"/>
                <w:u w:val="none"/>
                <w:shd w:val="clear" w:color="auto" w:fill="FFFFFF"/>
              </w:rPr>
              <w:t>镇守使</w:t>
            </w:r>
            <w:r>
              <w:rPr>
                <w:rStyle w:val="13"/>
                <w:rFonts w:hint="default" w:ascii="Times New Roman" w:hAnsi="Times New Roman" w:cs="Times New Roman" w:eastAsiaTheme="minorEastAsia"/>
                <w:color w:val="auto"/>
                <w:sz w:val="24"/>
                <w:u w:val="none"/>
                <w:shd w:val="clear" w:color="auto" w:fill="FFFFFF"/>
              </w:rPr>
              <w:fldChar w:fldCharType="end"/>
            </w:r>
            <w:r>
              <w:rPr>
                <w:rFonts w:hint="default" w:ascii="Times New Roman" w:hAnsi="Times New Roman" w:cs="Times New Roman" w:eastAsiaTheme="minorEastAsia"/>
                <w:color w:val="auto"/>
                <w:kern w:val="0"/>
                <w:sz w:val="24"/>
                <w:shd w:val="clear" w:color="auto" w:fill="FFFFFF"/>
                <w:lang w:bidi="ar"/>
              </w:rPr>
              <w:t>的段文看中了这块地盘。段文，字思丰，</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"http://baike.baidu.com/subview/1690/7140248.htm"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color w:val="auto"/>
                <w:sz w:val="24"/>
                <w:u w:val="none"/>
                <w:shd w:val="clear" w:color="auto" w:fill="FFFFFF"/>
              </w:rPr>
              <w:t>朱元璋</w:t>
            </w:r>
            <w:r>
              <w:rPr>
                <w:rStyle w:val="13"/>
                <w:rFonts w:hint="default" w:ascii="Times New Roman" w:hAnsi="Times New Roman" w:cs="Times New Roman" w:eastAsiaTheme="minorEastAsia"/>
                <w:color w:val="auto"/>
                <w:sz w:val="24"/>
                <w:u w:val="none"/>
                <w:shd w:val="clear" w:color="auto" w:fill="FFFFFF"/>
              </w:rPr>
              <w:fldChar w:fldCharType="end"/>
            </w:r>
            <w:r>
              <w:rPr>
                <w:rFonts w:hint="default" w:ascii="Times New Roman" w:hAnsi="Times New Roman" w:cs="Times New Roman" w:eastAsiaTheme="minorEastAsia"/>
                <w:color w:val="auto"/>
                <w:kern w:val="0"/>
                <w:sz w:val="24"/>
                <w:shd w:val="clear" w:color="auto" w:fill="FFFFFF"/>
                <w:lang w:bidi="ar"/>
              </w:rPr>
              <w:t>定鼎天下后，时任茶陵卫千户的段文被征调云南戍守，屡建战功，授明德将军，洪武十九年（1586）晋升武德将军。据说段文年青时，有一次登微峰途经白云庵时，忽然听到一声巨响，只见紫微峰山腰崩裂，露出一个巨石，象威武的将军屹立山腰。</w:t>
            </w:r>
          </w:p>
          <w:p>
            <w:pPr>
              <w:pStyle w:val="2"/>
              <w:widowControl/>
              <w:spacing w:before="156" w:beforeLines="50" w:beforeAutospacing="0" w:after="156" w:afterLines="50" w:afterAutospacing="0" w:line="360" w:lineRule="auto"/>
              <w:outlineLvl w:val="2"/>
              <w:rPr>
                <w:rFonts w:hint="default" w:ascii="Times New Roman" w:hAnsi="Times New Roman" w:cs="Times New Roman" w:eastAsiaTheme="minorEastAsia"/>
                <w:b w:val="0"/>
                <w:color w:val="auto"/>
                <w:sz w:val="24"/>
                <w:szCs w:val="24"/>
              </w:rPr>
            </w:pPr>
            <w:bookmarkStart w:id="79" w:name="4_8"/>
            <w:bookmarkEnd w:id="79"/>
            <w:bookmarkStart w:id="80" w:name="紫微峰与祈丰台"/>
            <w:bookmarkEnd w:id="80"/>
            <w:bookmarkStart w:id="81" w:name="sub1815929_4_8"/>
            <w:bookmarkEnd w:id="81"/>
            <w:r>
              <w:rPr>
                <w:rFonts w:hint="default" w:ascii="Times New Roman" w:hAnsi="Times New Roman" w:cs="Times New Roman" w:eastAsiaTheme="minorEastAsia"/>
                <w:b w:val="0"/>
                <w:bCs/>
                <w:color w:val="auto"/>
                <w:sz w:val="24"/>
                <w:szCs w:val="24"/>
                <w:shd w:val="clear" w:color="auto" w:fill="FFFFFF"/>
              </w:rPr>
              <w:t xml:space="preserve">    紫微峰与祈丰台：</w:t>
            </w:r>
            <w:r>
              <w:rPr>
                <w:rFonts w:hint="default" w:ascii="Times New Roman" w:hAnsi="Times New Roman" w:cs="Times New Roman" w:eastAsiaTheme="minorEastAsia"/>
                <w:b w:val="0"/>
                <w:color w:val="auto"/>
                <w:sz w:val="24"/>
                <w:szCs w:val="24"/>
                <w:shd w:val="clear" w:color="auto" w:fill="FFFFFF"/>
              </w:rPr>
              <w:t>紫微峰海拔864.7米，是云阳山第二高峰。峰巅崖壁险峻，奇岩怪石嶙峋，如蹲如立、若跃若腾，峰侧岩柱林立。紫微峰是最佳的观景点，素有“一峰观三县”之说。东观</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"http://baike.baidu.com/subview/899254/899254.htm"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茶陵</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县城，南眺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"http://baike.baidu.com/subview/367677/367677.htm"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安仁</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"http://baike.baidu.com/subview/366386/11267844.htm" \t "http://baike.baidu.com/_blank" </w:instrText>
            </w:r>
            <w:r>
              <w:rPr>
                <w:rFonts w:hint="default" w:ascii="Times New Roman" w:hAnsi="Times New Roman" w:cs="Times New Roman"/>
                <w:color w:val="auto"/>
              </w:rPr>
              <w:fldChar w:fldCharType="separate"/>
            </w:r>
            <w:r>
              <w:rPr>
                <w:rStyle w:val="13"/>
                <w:rFonts w:hint="default" w:ascii="Times New Roman" w:hAnsi="Times New Roman" w:cs="Times New Roman" w:eastAsiaTheme="minorEastAsia"/>
                <w:b w:val="0"/>
                <w:color w:val="auto"/>
                <w:sz w:val="24"/>
                <w:szCs w:val="24"/>
                <w:u w:val="none"/>
                <w:shd w:val="clear" w:color="auto" w:fill="FFFFFF"/>
              </w:rPr>
              <w:t>熊耳山</w:t>
            </w:r>
            <w:r>
              <w:rPr>
                <w:rStyle w:val="13"/>
                <w:rFonts w:hint="default" w:ascii="Times New Roman" w:hAnsi="Times New Roman" w:cs="Times New Roman" w:eastAsiaTheme="minorEastAsia"/>
                <w:b w:val="0"/>
                <w:color w:val="auto"/>
                <w:sz w:val="24"/>
                <w:szCs w:val="24"/>
                <w:u w:val="none"/>
                <w:shd w:val="clear" w:color="auto" w:fill="FFFFFF"/>
              </w:rPr>
              <w:fldChar w:fldCharType="end"/>
            </w:r>
            <w:r>
              <w:rPr>
                <w:rFonts w:hint="default" w:ascii="Times New Roman" w:hAnsi="Times New Roman" w:cs="Times New Roman" w:eastAsiaTheme="minorEastAsia"/>
                <w:b w:val="0"/>
                <w:color w:val="auto"/>
                <w:sz w:val="24"/>
                <w:szCs w:val="24"/>
                <w:shd w:val="clear" w:color="auto" w:fill="FFFFFF"/>
              </w:rPr>
              <w:t>，北望攸县。登峰远眺，层峰叠嶂，耸碧拥翠，势若绿潮奔涌，尽呈眼底。如遇雨过初晴，群峰如洗，格外秀润，半露云海之上的秀峰，如座座蓬莱仙岛。紫微峰又是一处观日出的好地方。清晨，云海茫茫，势若涌潮，红日喷落而出，云蒸霞染，似乎举手可掬。使人走进“日照紫微云拂槛，潮奔石磴霞染衣”的意境。紫微峰是云阳山第二高峰，第一高峰是正阳峰（海拔963.2米）。紫微峰虽不是云阳山的第一高峰，但是因为它雄奇挺拔，风光秀美，所以名气很大，称之为“嵑嵑云阳第一峰”。除此之外，就是它的文化底蕴深厚，丰富多彩。每块岩石、每处石窟，甚至山形山貌都融合了浓厚的文化元素，都附载着神奇的故事。</w:t>
            </w:r>
          </w:p>
          <w:p>
            <w:pPr>
              <w:spacing w:before="156" w:beforeLines="50" w:after="156" w:afterLines="50" w:line="360" w:lineRule="auto"/>
              <w:ind w:firstLine="480"/>
              <w:rPr>
                <w:rFonts w:hint="default" w:ascii="Times New Roman" w:hAnsi="Times New Roman" w:cs="Times New Roman" w:eastAsiaTheme="majorEastAsia"/>
                <w:b/>
                <w:bCs/>
                <w:color w:val="auto"/>
                <w:sz w:val="24"/>
              </w:rPr>
            </w:pPr>
            <w:r>
              <w:rPr>
                <w:rFonts w:hint="default" w:ascii="Times New Roman" w:hAnsi="Times New Roman" w:cs="Times New Roman" w:eastAsiaTheme="majorEastAsia"/>
                <w:b/>
                <w:bCs/>
                <w:color w:val="auto"/>
                <w:sz w:val="24"/>
              </w:rPr>
              <w:t>2、生态环境质量现状</w:t>
            </w:r>
          </w:p>
          <w:p>
            <w:pPr>
              <w:spacing w:before="156" w:beforeLines="50" w:after="156" w:afterLines="50" w:line="360" w:lineRule="auto"/>
              <w:ind w:firstLine="480"/>
              <w:rPr>
                <w:rFonts w:hint="default" w:ascii="Times New Roman" w:hAnsi="Times New Roman" w:cs="Times New Roman" w:eastAsiaTheme="majorEastAsia"/>
                <w:b/>
                <w:bCs/>
                <w:color w:val="auto"/>
                <w:sz w:val="24"/>
              </w:rPr>
            </w:pPr>
            <w:r>
              <w:rPr>
                <w:rFonts w:hint="default" w:ascii="Times New Roman" w:hAnsi="Times New Roman" w:cs="Times New Roman" w:eastAsiaTheme="minorEastAsia"/>
                <w:color w:val="auto"/>
                <w:sz w:val="24"/>
              </w:rPr>
              <w:t>本工程项目位于云阳山北门半山腰上，评价范围及工程影响区域内以山脊矮林和灌草丛植被为主，未发现珍稀濒危及国家重点保护的野生植物分布。区域内野生动物较少，主要为常见的蛇、鼠、麻雀、斑鸠等，未发现珍稀濒危及国家重点保护的野生动物。</w:t>
            </w:r>
          </w:p>
          <w:p>
            <w:pPr>
              <w:spacing w:before="156" w:beforeLines="50" w:after="156" w:afterLines="50" w:line="360" w:lineRule="auto"/>
              <w:rPr>
                <w:rFonts w:hint="default" w:ascii="Times New Roman" w:hAnsi="Times New Roman" w:cs="Times New Roman" w:eastAsiaTheme="majorEastAsia"/>
                <w:b/>
                <w:bCs/>
                <w:color w:val="auto"/>
                <w:sz w:val="28"/>
                <w:szCs w:val="28"/>
              </w:rPr>
            </w:pPr>
            <w:r>
              <w:rPr>
                <w:rFonts w:hint="default" w:ascii="Times New Roman" w:hAnsi="Times New Roman" w:cs="Times New Roman" w:eastAsiaTheme="majorEastAsia"/>
                <w:b/>
                <w:bCs/>
                <w:color w:val="auto"/>
                <w:sz w:val="28"/>
                <w:szCs w:val="28"/>
                <w:lang w:eastAsia="zh-CN"/>
              </w:rPr>
              <w:t>四</w:t>
            </w:r>
            <w:r>
              <w:rPr>
                <w:rFonts w:hint="default" w:ascii="Times New Roman" w:hAnsi="Times New Roman" w:cs="Times New Roman" w:eastAsiaTheme="majorEastAsia"/>
                <w:b/>
                <w:bCs/>
                <w:color w:val="auto"/>
                <w:sz w:val="28"/>
                <w:szCs w:val="28"/>
              </w:rPr>
              <w:t>、电磁环境质量现状</w:t>
            </w:r>
          </w:p>
          <w:p>
            <w:pPr>
              <w:spacing w:before="156" w:beforeLines="50" w:after="156" w:afterLines="50"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湖南贝可辐射环境科技有限公司于2016年5月</w:t>
            </w:r>
            <w:r>
              <w:rPr>
                <w:rFonts w:hint="default" w:ascii="Times New Roman" w:hAnsi="Times New Roman" w:cs="Times New Roman"/>
                <w:color w:val="auto"/>
                <w:sz w:val="24"/>
                <w:lang w:eastAsia="zh-CN"/>
              </w:rPr>
              <w:t>18日</w:t>
            </w:r>
            <w:r>
              <w:rPr>
                <w:rFonts w:hint="default" w:ascii="Times New Roman" w:hAnsi="Times New Roman" w:cs="Times New Roman"/>
                <w:color w:val="auto"/>
                <w:sz w:val="24"/>
              </w:rPr>
              <w:t>对茶陵县云阳山</w:t>
            </w:r>
            <w:r>
              <w:rPr>
                <w:rFonts w:hint="default" w:ascii="Times New Roman" w:hAnsi="Times New Roman" w:cs="Times New Roman"/>
                <w:color w:val="auto"/>
                <w:sz w:val="24"/>
                <w:lang w:eastAsia="zh-CN"/>
              </w:rPr>
              <w:t>项目所在地</w:t>
            </w:r>
            <w:r>
              <w:rPr>
                <w:rFonts w:hint="default" w:ascii="Times New Roman" w:hAnsi="Times New Roman" w:cs="Times New Roman"/>
                <w:color w:val="auto"/>
                <w:sz w:val="24"/>
              </w:rPr>
              <w:t>周围环境的电场强度进行了现状监测。根据对现场情况的勘查和电磁环境质量现状监测，场址周边无对电磁环境有贡献的污染源项。本次现状监测共布设9个测点，具体位置详见</w:t>
            </w:r>
            <w:r>
              <w:rPr>
                <w:rFonts w:hint="default" w:ascii="Times New Roman" w:hAnsi="Times New Roman" w:cs="Times New Roman"/>
                <w:color w:val="auto"/>
                <w:sz w:val="24"/>
                <w:lang w:eastAsia="zh-CN"/>
              </w:rPr>
              <w:t>附图6</w:t>
            </w:r>
            <w:r>
              <w:rPr>
                <w:rFonts w:hint="default" w:ascii="Times New Roman" w:hAnsi="Times New Roman" w:cs="Times New Roman"/>
                <w:color w:val="auto"/>
                <w:sz w:val="24"/>
              </w:rPr>
              <w:t>，监测结果详见表4。</w:t>
            </w:r>
          </w:p>
          <w:p>
            <w:pPr>
              <w:spacing w:before="156" w:beforeLines="50" w:after="156" w:afterLines="50"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1、环境现状监测点位的布置及合理性分析</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cs="Times New Roman"/>
                <w:color w:val="auto"/>
                <w:sz w:val="24"/>
                <w:lang w:eastAsia="zh-CN"/>
              </w:rPr>
              <w:t>辐射环境保护管理导则</w:t>
            </w:r>
            <w:r>
              <w:rPr>
                <w:rFonts w:hint="default" w:ascii="Times New Roman" w:hAnsi="Times New Roman" w:cs="Times New Roman"/>
                <w:color w:val="auto"/>
                <w:sz w:val="24"/>
              </w:rPr>
              <w:t xml:space="preserve"> 电磁辐射监测仪器和方法》(HJ/T10.2-1996)的布点原则和结合项目现有的发射塔周边环境敏感点分布情况。本次监测以现有的发射塔为中心按“米”字形分8个不同方向进行监测，充分考虑地形、</w:t>
            </w:r>
            <w:r>
              <w:rPr>
                <w:rFonts w:hint="default" w:ascii="Times New Roman" w:hAnsi="Times New Roman" w:cs="Times New Roman"/>
                <w:color w:val="auto"/>
                <w:sz w:val="24"/>
                <w:lang w:eastAsia="zh-CN"/>
              </w:rPr>
              <w:t>地貌</w:t>
            </w:r>
            <w:r>
              <w:rPr>
                <w:rFonts w:hint="default" w:ascii="Times New Roman" w:hAnsi="Times New Roman" w:cs="Times New Roman"/>
                <w:color w:val="auto"/>
                <w:sz w:val="24"/>
              </w:rPr>
              <w:t>影响，在进行地面监测布点时尽可能避开高层建筑物、树木、高压线以及金属结构等，选取了空旷地方进行布点。</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因此，本次监测布点严格执行了相应规范，监测布点的选取规范可靠，敏感点监测布点的选取适宜、具有代表性，监测点位布置较为合理。</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2、测量方法</w:t>
            </w:r>
          </w:p>
          <w:p>
            <w:pPr>
              <w:spacing w:before="156" w:beforeLines="50" w:after="156" w:afterLines="50"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取离地面约1.7高度位置测量，每个测点自动连续读数5次，每次测量观察时间20秒，自动记录并计算平均值。</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2、测量仪器</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NBM-550  电磁辐射分析仪。 </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3、监测工况</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监测日期：2016年5月</w:t>
            </w:r>
            <w:r>
              <w:rPr>
                <w:rFonts w:hint="default" w:ascii="Times New Roman" w:hAnsi="Times New Roman" w:cs="Times New Roman"/>
                <w:color w:val="auto"/>
                <w:sz w:val="24"/>
                <w:lang w:eastAsia="zh-CN"/>
              </w:rPr>
              <w:t>18日</w:t>
            </w:r>
            <w:r>
              <w:rPr>
                <w:rFonts w:hint="default" w:ascii="Times New Roman" w:hAnsi="Times New Roman" w:cs="Times New Roman"/>
                <w:color w:val="auto"/>
                <w:sz w:val="24"/>
              </w:rPr>
              <w:t xml:space="preserve">  天气：晴   温度：22℃   湿度：67%</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监测时，本项目尚未建设。监测结果代表了发射塔拟建地区周围电磁本地辐射水平。</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4、仪器质量保证</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测量仪器经过上海市计量测试技术研究院华东国家计量测试中心计量认证，详细情况见表3-3，监测结果见表3-4。</w:t>
            </w:r>
          </w:p>
          <w:p>
            <w:pPr>
              <w:spacing w:before="156" w:beforeLines="50" w:after="156" w:afterLines="50"/>
              <w:ind w:firstLine="48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表3-3  测量仪器参数表</w:t>
            </w:r>
          </w:p>
          <w:tbl>
            <w:tblPr>
              <w:tblStyle w:val="15"/>
              <w:tblW w:w="840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5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2492" w:type="dxa"/>
                  <w:tcBorders>
                    <w:tl2br w:val="nil"/>
                    <w:tr2bl w:val="nil"/>
                  </w:tcBorders>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仪器名称</w:t>
                  </w:r>
                </w:p>
              </w:tc>
              <w:tc>
                <w:tcPr>
                  <w:tcW w:w="5908" w:type="dxa"/>
                  <w:tcBorders>
                    <w:tl2br w:val="nil"/>
                    <w:tr2bl w:val="nil"/>
                  </w:tcBorders>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电磁辐射分析仪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exact"/>
                <w:jc w:val="center"/>
              </w:trPr>
              <w:tc>
                <w:tcPr>
                  <w:tcW w:w="2492" w:type="dxa"/>
                  <w:tcBorders>
                    <w:tl2br w:val="nil"/>
                    <w:tr2bl w:val="nil"/>
                  </w:tcBorders>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仪器型号</w:t>
                  </w:r>
                </w:p>
              </w:tc>
              <w:tc>
                <w:tcPr>
                  <w:tcW w:w="5908" w:type="dxa"/>
                  <w:tcBorders>
                    <w:tl2br w:val="nil"/>
                    <w:tr2bl w:val="nil"/>
                  </w:tcBorders>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NBM-550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exact"/>
                <w:jc w:val="center"/>
              </w:trPr>
              <w:tc>
                <w:tcPr>
                  <w:tcW w:w="2492" w:type="dxa"/>
                  <w:tcBorders>
                    <w:tl2br w:val="nil"/>
                    <w:tr2bl w:val="nil"/>
                  </w:tcBorders>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生产厂家</w:t>
                  </w:r>
                </w:p>
              </w:tc>
              <w:tc>
                <w:tcPr>
                  <w:tcW w:w="5908" w:type="dxa"/>
                  <w:tcBorders>
                    <w:tl2br w:val="nil"/>
                    <w:tr2bl w:val="nil"/>
                  </w:tcBorders>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Narda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4"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场强仪量程</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w:t>
                  </w:r>
                  <w:r>
                    <w:rPr>
                      <w:rFonts w:hint="default"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rPr>
                    <w:t>V/m~</w:t>
                  </w:r>
                  <w:r>
                    <w:rPr>
                      <w:rFonts w:hint="default" w:ascii="Times New Roman" w:hAnsi="Times New Roman" w:cs="Times New Roman"/>
                      <w:color w:val="auto"/>
                      <w:kern w:val="0"/>
                      <w:szCs w:val="21"/>
                      <w:lang w:val="en-US" w:eastAsia="zh-CN"/>
                    </w:rPr>
                    <w:t>100k</w:t>
                  </w:r>
                  <w:r>
                    <w:rPr>
                      <w:rFonts w:hint="default" w:ascii="Times New Roman" w:hAnsi="Times New Roman" w:cs="Times New Roman"/>
                      <w:color w:val="auto"/>
                      <w:kern w:val="0"/>
                      <w:szCs w:val="21"/>
                    </w:rPr>
                    <w:t>V/m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探头类型</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spacing w:val="-6"/>
                      <w:kern w:val="0"/>
                      <w:szCs w:val="21"/>
                    </w:rPr>
                  </w:pPr>
                  <w:r>
                    <w:rPr>
                      <w:rFonts w:hint="default" w:ascii="Times New Roman" w:hAnsi="Times New Roman" w:cs="Times New Roman"/>
                      <w:color w:val="auto"/>
                      <w:kern w:val="0"/>
                      <w:szCs w:val="21"/>
                    </w:rPr>
                    <w:t>EF-0</w:t>
                  </w:r>
                  <w:r>
                    <w:rPr>
                      <w:rFonts w:hint="default" w:ascii="Times New Roman" w:hAnsi="Times New Roman" w:cs="Times New Roman"/>
                      <w:color w:val="auto"/>
                      <w:kern w:val="0"/>
                      <w:szCs w:val="21"/>
                      <w:lang w:val="en-US" w:eastAsia="zh-CN"/>
                    </w:rPr>
                    <w:t>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6"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响应频率</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spacing w:val="-6"/>
                      <w:kern w:val="0"/>
                      <w:szCs w:val="21"/>
                    </w:rPr>
                  </w:pPr>
                  <w:r>
                    <w:rPr>
                      <w:rFonts w:hint="default" w:ascii="Times New Roman" w:hAnsi="Times New Roman" w:cs="Times New Roman"/>
                      <w:color w:val="auto"/>
                      <w:kern w:val="0"/>
                      <w:szCs w:val="21"/>
                    </w:rPr>
                    <w:t>100kHz~</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GHz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灵敏度</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0.2V/m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校准时间</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2015年11月11日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校准有效期</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至2016年11月11日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5"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校准证书编号</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2015F00-10-001091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5" w:hRule="exact"/>
                <w:jc w:val="center"/>
              </w:trPr>
              <w:tc>
                <w:tcPr>
                  <w:tcW w:w="2492"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校准单位</w:t>
                  </w:r>
                </w:p>
              </w:tc>
              <w:tc>
                <w:tcPr>
                  <w:tcW w:w="5908" w:type="dxa"/>
                  <w:tcBorders>
                    <w:tl2br w:val="nil"/>
                    <w:tr2bl w:val="nil"/>
                  </w:tcBorders>
                  <w:textDirection w:val="lrTb"/>
                  <w:vAlign w:val="center"/>
                </w:tcPr>
                <w:p>
                  <w:pPr>
                    <w:widowControl/>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上海市计量测试技术研究院华东国家计量测试中心</w:t>
                  </w:r>
                </w:p>
              </w:tc>
            </w:tr>
          </w:tbl>
          <w:p>
            <w:pPr>
              <w:spacing w:before="156" w:beforeLines="50" w:after="156" w:afterLines="50" w:line="360" w:lineRule="auto"/>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表3-4  电磁环境质量现状结果</w:t>
            </w:r>
          </w:p>
          <w:tbl>
            <w:tblPr>
              <w:tblStyle w:val="16"/>
              <w:tblW w:w="828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655"/>
              <w:gridCol w:w="1656"/>
              <w:gridCol w:w="1656"/>
              <w:gridCol w:w="1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点位代号</w:t>
                  </w:r>
                </w:p>
              </w:tc>
              <w:tc>
                <w:tcPr>
                  <w:tcW w:w="165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监测点位描述</w:t>
                  </w:r>
                </w:p>
              </w:tc>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w:t>
                  </w:r>
                  <w:r>
                    <w:rPr>
                      <w:rFonts w:hint="eastAsia" w:cs="Times New Roman"/>
                      <w:color w:val="auto"/>
                      <w:szCs w:val="21"/>
                      <w:lang w:eastAsia="zh-CN"/>
                    </w:rPr>
                    <w:t>发射塔直线</w:t>
                  </w:r>
                  <w:r>
                    <w:rPr>
                      <w:rFonts w:hint="default" w:ascii="Times New Roman" w:hAnsi="Times New Roman" w:cs="Times New Roman"/>
                      <w:color w:val="auto"/>
                      <w:szCs w:val="21"/>
                    </w:rPr>
                    <w:t>距离（m）</w:t>
                  </w:r>
                </w:p>
              </w:tc>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电场强度（V/m)</w:t>
                  </w:r>
                </w:p>
              </w:tc>
              <w:tc>
                <w:tcPr>
                  <w:tcW w:w="165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功率密度</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lang w:eastAsia="zh-CN"/>
                    </w:rPr>
                    <w:t>μ</w:t>
                  </w:r>
                  <w:r>
                    <w:rPr>
                      <w:rFonts w:hint="default" w:ascii="Times New Roman" w:hAnsi="Times New Roman" w:cs="Times New Roman"/>
                      <w:color w:val="auto"/>
                      <w:szCs w:val="21"/>
                    </w:rPr>
                    <w:t>W/</w:t>
                  </w:r>
                  <w:r>
                    <w:rPr>
                      <w:rFonts w:hint="eastAsia" w:cs="Times New Roman"/>
                      <w:color w:val="auto"/>
                      <w:szCs w:val="21"/>
                      <w:lang w:val="en-US" w:eastAsia="zh-CN"/>
                    </w:rPr>
                    <w:t>c</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bookmarkStart w:id="82" w:name="OLE_LINK1" w:colFirst="1" w:colLast="5"/>
                  <w:r>
                    <w:rPr>
                      <w:rFonts w:hint="default" w:ascii="Times New Roman" w:hAnsi="Times New Roman" w:cs="Times New Roman"/>
                      <w:color w:val="auto"/>
                      <w:szCs w:val="21"/>
                    </w:rPr>
                    <w:t>1</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拟建发射塔塔址中心</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拟建发射塔塔址西南侧</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拟建发射塔塔址东南侧</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拟建发射塔塔址西侧</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拟建发射塔塔址东方</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拟建发射塔塔址南方</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290</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拟建发射塔塔址北方</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拟建发射塔塔址北方</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420</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r>
                    <w:rPr>
                      <w:rFonts w:hint="default" w:ascii="Times New Roman" w:hAnsi="Times New Roman" w:cs="Times New Roman"/>
                      <w:color w:val="auto"/>
                      <w:szCs w:val="21"/>
                      <w:vertAlign w:val="superscript"/>
                    </w:rPr>
                    <w:t>#</w:t>
                  </w:r>
                </w:p>
              </w:tc>
              <w:tc>
                <w:tcPr>
                  <w:tcW w:w="1655" w:type="dxa"/>
                  <w:tcBorders>
                    <w:tl2br w:val="nil"/>
                    <w:tr2bl w:val="nil"/>
                  </w:tcBorders>
                  <w:vAlign w:val="center"/>
                </w:tcPr>
                <w:p>
                  <w:pPr>
                    <w:spacing w:before="156" w:beforeLines="50" w:after="156" w:afterLines="50"/>
                    <w:jc w:val="center"/>
                    <w:rPr>
                      <w:rFonts w:hint="default" w:ascii="Times New Roman" w:hAnsi="Times New Roman" w:cs="Times New Roman"/>
                      <w:color w:val="auto"/>
                      <w:szCs w:val="21"/>
                    </w:rPr>
                  </w:pPr>
                  <w:r>
                    <w:rPr>
                      <w:rFonts w:hint="default" w:ascii="Times New Roman" w:hAnsi="Times New Roman" w:cs="Times New Roman"/>
                      <w:color w:val="auto"/>
                      <w:szCs w:val="21"/>
                    </w:rPr>
                    <w:t>拟建发射塔塔址北方</w:t>
                  </w:r>
                </w:p>
              </w:tc>
              <w:tc>
                <w:tcPr>
                  <w:tcW w:w="1656" w:type="dxa"/>
                  <w:tcBorders>
                    <w:tl2br w:val="nil"/>
                    <w:tr2bl w:val="nil"/>
                  </w:tcBorders>
                  <w:vAlign w:val="center"/>
                </w:tcPr>
                <w:p>
                  <w:pPr>
                    <w:spacing w:before="156" w:beforeLines="50" w:after="156" w:afterLines="50"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656"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&lt;0.2</w:t>
                  </w:r>
                </w:p>
              </w:tc>
              <w:tc>
                <w:tcPr>
                  <w:tcW w:w="1657" w:type="dxa"/>
                  <w:tcBorders>
                    <w:tl2br w:val="nil"/>
                    <w:tr2bl w:val="nil"/>
                  </w:tcBorders>
                  <w:textDirection w:val="lrTb"/>
                  <w:vAlign w:val="center"/>
                </w:tcPr>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p>
              </w:tc>
            </w:tr>
            <w:bookmarkEnd w:id="82"/>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黑体" w:cs="Times New Roman"/>
                <w:b/>
                <w:color w:val="auto"/>
                <w:sz w:val="32"/>
                <w:szCs w:val="32"/>
              </w:rPr>
            </w:pPr>
            <w:r>
              <w:rPr>
                <w:rFonts w:hint="default" w:ascii="Times New Roman" w:hAnsi="Times New Roman" w:cs="Times New Roman"/>
                <w:color w:val="auto"/>
                <w:szCs w:val="21"/>
              </w:rPr>
              <w:t xml:space="preserve">     </w:t>
            </w:r>
            <w:r>
              <w:rPr>
                <w:rFonts w:hint="default" w:ascii="Times New Roman" w:hAnsi="Times New Roman" w:cs="Times New Roman"/>
                <w:color w:val="auto"/>
                <w:sz w:val="24"/>
                <w:szCs w:val="24"/>
                <w:lang w:val="en-US" w:eastAsia="zh-CN"/>
              </w:rPr>
              <w:t>根据监测结果可以看出，发射塔塔址周围电场强度均&lt;0.2V/m（低于检出限），功率密度均</w:t>
            </w:r>
            <w:r>
              <w:rPr>
                <w:rFonts w:hint="default" w:ascii="Times New Roman" w:hAnsi="Times New Roman" w:cs="Times New Roman"/>
                <w:color w:val="auto"/>
                <w:sz w:val="21"/>
                <w:szCs w:val="21"/>
                <w:vertAlign w:val="baseline"/>
                <w:lang w:val="en-US" w:eastAsia="zh-CN"/>
              </w:rPr>
              <w:t>&lt;1.06×10</w:t>
            </w:r>
            <w:r>
              <w:rPr>
                <w:rFonts w:hint="default" w:ascii="Times New Roman" w:hAnsi="Times New Roman" w:cs="Times New Roman"/>
                <w:color w:val="auto"/>
                <w:sz w:val="21"/>
                <w:szCs w:val="21"/>
                <w:vertAlign w:val="superscript"/>
                <w:lang w:val="en-US" w:eastAsia="zh-CN"/>
              </w:rPr>
              <w:t>-</w:t>
            </w:r>
            <w:r>
              <w:rPr>
                <w:rFonts w:hint="eastAsia" w:cs="Times New Roman"/>
                <w:color w:val="auto"/>
                <w:sz w:val="21"/>
                <w:szCs w:val="21"/>
                <w:vertAlign w:val="superscript"/>
                <w:lang w:val="en-US" w:eastAsia="zh-CN"/>
              </w:rPr>
              <w:t>2</w:t>
            </w:r>
            <w:r>
              <w:rPr>
                <w:rFonts w:hint="eastAsia" w:cs="Times New Roman"/>
                <w:color w:val="auto"/>
                <w:szCs w:val="21"/>
                <w:lang w:eastAsia="zh-CN"/>
              </w:rPr>
              <w:t>μ</w:t>
            </w:r>
            <w:r>
              <w:rPr>
                <w:rFonts w:hint="default" w:ascii="Times New Roman" w:hAnsi="Times New Roman" w:cs="Times New Roman"/>
                <w:color w:val="auto"/>
                <w:szCs w:val="21"/>
              </w:rPr>
              <w:t>W/</w:t>
            </w:r>
            <w:r>
              <w:rPr>
                <w:rFonts w:hint="eastAsia" w:cs="Times New Roman"/>
                <w:color w:val="auto"/>
                <w:szCs w:val="21"/>
                <w:lang w:val="en-US" w:eastAsia="zh-CN"/>
              </w:rPr>
              <w:t>c</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 w:val="24"/>
                <w:szCs w:val="24"/>
                <w:lang w:val="en-US" w:eastAsia="zh-CN"/>
              </w:rPr>
              <w:t>，监测结果表明茶陵县无线广播电视塔塔址周围电磁环境质量良好。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主要环境保护目标（列出名单及保护级别）</w:t>
            </w:r>
          </w:p>
          <w:p>
            <w:pPr>
              <w:spacing w:before="156" w:beforeLines="50" w:after="156" w:afterLines="50" w:line="360" w:lineRule="auto"/>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一、评价因子</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w:t>
            </w:r>
            <w:r>
              <w:rPr>
                <w:rFonts w:hint="default" w:ascii="Times New Roman" w:hAnsi="Times New Roman" w:cs="Times New Roman" w:eastAsiaTheme="minorEastAsia"/>
                <w:b/>
                <w:bCs/>
                <w:color w:val="auto"/>
                <w:sz w:val="24"/>
              </w:rPr>
              <w:t>1、施工期评价因子</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（1）噪声：等效连续A声级；</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（2）大气：TSP；</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（3）施工废水：SS；</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（4）生态环境：土地占用、水土流失</w:t>
            </w:r>
            <w:r>
              <w:rPr>
                <w:rFonts w:hint="default" w:ascii="Times New Roman" w:hAnsi="Times New Roman" w:cs="Times New Roman" w:eastAsiaTheme="minorEastAsia"/>
                <w:color w:val="auto"/>
                <w:sz w:val="24"/>
                <w:lang w:eastAsia="zh-CN"/>
              </w:rPr>
              <w:t>、植被破坏</w:t>
            </w:r>
            <w:r>
              <w:rPr>
                <w:rFonts w:hint="default" w:ascii="Times New Roman" w:hAnsi="Times New Roman" w:cs="Times New Roman" w:eastAsiaTheme="minorEastAsia"/>
                <w:color w:val="auto"/>
                <w:sz w:val="24"/>
              </w:rPr>
              <w:t>。</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w:t>
            </w:r>
            <w:r>
              <w:rPr>
                <w:rFonts w:hint="default" w:ascii="Times New Roman" w:hAnsi="Times New Roman" w:cs="Times New Roman" w:eastAsiaTheme="minorEastAsia"/>
                <w:b/>
                <w:bCs/>
                <w:color w:val="auto"/>
                <w:sz w:val="24"/>
              </w:rPr>
              <w:t>2、运营期评价因子</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（1）</w:t>
            </w:r>
            <w:r>
              <w:rPr>
                <w:rFonts w:hint="default" w:ascii="Times New Roman" w:hAnsi="Times New Roman" w:cs="Times New Roman" w:eastAsiaTheme="minorEastAsia"/>
                <w:color w:val="auto"/>
                <w:sz w:val="24"/>
              </w:rPr>
              <w:t>电磁</w:t>
            </w:r>
            <w:r>
              <w:rPr>
                <w:rFonts w:hint="default" w:ascii="Times New Roman" w:hAnsi="Times New Roman" w:cs="Times New Roman" w:eastAsiaTheme="minorEastAsia"/>
                <w:color w:val="auto"/>
                <w:sz w:val="24"/>
                <w:lang w:eastAsia="zh-CN"/>
              </w:rPr>
              <w:t>影响</w:t>
            </w:r>
            <w:r>
              <w:rPr>
                <w:rFonts w:hint="default" w:ascii="Times New Roman" w:hAnsi="Times New Roman" w:cs="Times New Roman" w:eastAsiaTheme="minorEastAsia"/>
                <w:color w:val="auto"/>
                <w:sz w:val="24"/>
              </w:rPr>
              <w:t>：射频电场、功率密度；</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（2）</w:t>
            </w:r>
            <w:r>
              <w:rPr>
                <w:rFonts w:hint="default" w:ascii="Times New Roman" w:hAnsi="Times New Roman" w:cs="Times New Roman" w:eastAsiaTheme="minorEastAsia"/>
                <w:color w:val="auto"/>
                <w:sz w:val="24"/>
              </w:rPr>
              <w:t>大气：厨房油烟；</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（3）</w:t>
            </w:r>
            <w:r>
              <w:rPr>
                <w:rFonts w:hint="default" w:ascii="Times New Roman" w:hAnsi="Times New Roman" w:cs="Times New Roman" w:eastAsiaTheme="minorEastAsia"/>
                <w:color w:val="auto"/>
                <w:sz w:val="24"/>
              </w:rPr>
              <w:t>生活废水：COD、BOD</w:t>
            </w:r>
            <w:r>
              <w:rPr>
                <w:rFonts w:hint="default" w:ascii="Times New Roman" w:hAnsi="Times New Roman" w:cs="Times New Roman" w:eastAsiaTheme="minorEastAsia"/>
                <w:color w:val="auto"/>
                <w:sz w:val="24"/>
                <w:vertAlign w:val="subscript"/>
              </w:rPr>
              <w:t>5</w:t>
            </w:r>
            <w:r>
              <w:rPr>
                <w:rFonts w:hint="default" w:ascii="Times New Roman" w:hAnsi="Times New Roman" w:cs="Times New Roman" w:eastAsiaTheme="minorEastAsia"/>
                <w:color w:val="auto"/>
                <w:sz w:val="24"/>
              </w:rPr>
              <w:t>、SS、TP、石油类、动植物油类、NH</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sz w:val="24"/>
              </w:rPr>
              <w:t>-N；</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（4）</w:t>
            </w:r>
            <w:r>
              <w:rPr>
                <w:rFonts w:hint="default" w:ascii="Times New Roman" w:hAnsi="Times New Roman" w:cs="Times New Roman" w:eastAsiaTheme="minorEastAsia"/>
                <w:color w:val="auto"/>
                <w:sz w:val="24"/>
              </w:rPr>
              <w:t>噪声：等效连续A声级；</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（5）</w:t>
            </w:r>
            <w:r>
              <w:rPr>
                <w:rFonts w:hint="default" w:ascii="Times New Roman" w:hAnsi="Times New Roman" w:cs="Times New Roman" w:eastAsiaTheme="minorEastAsia"/>
                <w:color w:val="auto"/>
                <w:sz w:val="24"/>
              </w:rPr>
              <w:t>其他：对生态、景观作一般分析评价，无相关评价因子。</w:t>
            </w:r>
          </w:p>
          <w:p>
            <w:pPr>
              <w:spacing w:before="156" w:beforeLines="50" w:after="156" w:afterLines="50" w:line="360" w:lineRule="auto"/>
              <w:rPr>
                <w:rStyle w:val="14"/>
                <w:rFonts w:hint="default" w:ascii="Times New Roman" w:hAnsi="Times New Roman" w:cs="Times New Roman"/>
                <w:color w:val="auto"/>
              </w:rPr>
            </w:pPr>
            <w:r>
              <w:rPr>
                <w:rFonts w:hint="default" w:ascii="Times New Roman" w:hAnsi="Times New Roman" w:cs="Times New Roman" w:eastAsiaTheme="minorEastAsia"/>
                <w:b/>
                <w:bCs/>
                <w:color w:val="auto"/>
                <w:sz w:val="28"/>
                <w:szCs w:val="28"/>
              </w:rPr>
              <w:t>二、评价范围</w:t>
            </w:r>
          </w:p>
          <w:p>
            <w:pPr>
              <w:spacing w:before="156" w:beforeLines="50" w:after="156" w:afterLines="50" w:line="360" w:lineRule="auto"/>
              <w:rPr>
                <w:rStyle w:val="14"/>
                <w:rFonts w:hint="default" w:ascii="Times New Roman" w:hAnsi="Times New Roman" w:cs="Times New Roman"/>
                <w:color w:val="auto"/>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因本工程</w:t>
            </w: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投运后</w:t>
            </w:r>
            <w:r>
              <w:rPr>
                <w:rFonts w:hint="default" w:ascii="Times New Roman" w:hAnsi="Times New Roman" w:cs="Times New Roman"/>
                <w:color w:val="auto"/>
                <w:sz w:val="24"/>
                <w:lang w:val="en-US" w:eastAsia="zh-CN"/>
              </w:rPr>
              <w:t>对</w:t>
            </w:r>
            <w:r>
              <w:rPr>
                <w:rFonts w:hint="default" w:ascii="Times New Roman" w:hAnsi="Times New Roman" w:cs="Times New Roman"/>
                <w:color w:val="auto"/>
                <w:sz w:val="24"/>
              </w:rPr>
              <w:t>大气</w:t>
            </w:r>
            <w:r>
              <w:rPr>
                <w:rFonts w:hint="default" w:ascii="Times New Roman" w:hAnsi="Times New Roman" w:cs="Times New Roman"/>
                <w:color w:val="auto"/>
                <w:sz w:val="24"/>
                <w:lang w:val="en-US" w:eastAsia="zh-CN"/>
              </w:rPr>
              <w:t>和</w:t>
            </w:r>
            <w:r>
              <w:rPr>
                <w:rFonts w:hint="default" w:ascii="Times New Roman" w:hAnsi="Times New Roman" w:cs="Times New Roman"/>
                <w:color w:val="auto"/>
                <w:sz w:val="24"/>
              </w:rPr>
              <w:t>水</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污染</w:t>
            </w:r>
            <w:r>
              <w:rPr>
                <w:rFonts w:hint="default" w:ascii="Times New Roman" w:hAnsi="Times New Roman" w:cs="Times New Roman"/>
                <w:color w:val="auto"/>
                <w:sz w:val="24"/>
                <w:lang w:val="en-US" w:eastAsia="zh-CN"/>
              </w:rPr>
              <w:t>影响程度很小，因此做一般分析评价，不设具体的评价范围。</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 xml:space="preserve"> 1、</w:t>
            </w:r>
            <w:r>
              <w:rPr>
                <w:rFonts w:hint="default" w:ascii="Times New Roman" w:hAnsi="Times New Roman" w:cs="Times New Roman" w:eastAsiaTheme="minorEastAsia"/>
                <w:b/>
                <w:bCs/>
                <w:color w:val="auto"/>
                <w:sz w:val="24"/>
              </w:rPr>
              <w:t>噪声</w:t>
            </w:r>
          </w:p>
          <w:p>
            <w:pPr>
              <w:spacing w:line="360" w:lineRule="auto"/>
              <w:rPr>
                <w:rFonts w:hint="default" w:ascii="Times New Roman" w:hAnsi="Times New Roman" w:cs="Times New Roman"/>
                <w:color w:val="auto"/>
                <w:sz w:val="24"/>
              </w:rPr>
            </w:pPr>
            <w:r>
              <w:rPr>
                <w:rFonts w:hint="default" w:ascii="Times New Roman" w:hAnsi="Times New Roman" w:cs="Times New Roman" w:eastAsiaTheme="minorEastAsia"/>
                <w:color w:val="auto"/>
                <w:sz w:val="24"/>
              </w:rPr>
              <w:t xml:space="preserve">    环境噪声：根据《环境影响评价技术导则-声环境》（HJ 2.4-2009），</w:t>
            </w:r>
            <w:r>
              <w:rPr>
                <w:rFonts w:hint="default" w:ascii="Times New Roman" w:hAnsi="Times New Roman" w:cs="Times New Roman"/>
                <w:color w:val="auto"/>
                <w:spacing w:val="4"/>
                <w:sz w:val="24"/>
              </w:rPr>
              <w:t>第4.6款规定，本项目声环境影响评价范围根据源强及实际影响适当缩小，最终确定声环境影响评价范围为以项目噪声源为中心，半径100m范围内的区域。</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2、</w:t>
            </w:r>
            <w:r>
              <w:rPr>
                <w:rFonts w:hint="default" w:ascii="Times New Roman" w:hAnsi="Times New Roman" w:cs="Times New Roman" w:eastAsiaTheme="minorEastAsia"/>
                <w:b/>
                <w:bCs/>
                <w:color w:val="auto"/>
                <w:sz w:val="24"/>
              </w:rPr>
              <w:t>电磁辐射</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根据《辐射环境保护管理导则电磁辐射环境影响评价方法与标准》（HJ-T10.3-1996）中第3.1.2款规定：发射机功率P≤100</w:t>
            </w:r>
            <w:r>
              <w:rPr>
                <w:rFonts w:hint="default" w:ascii="Times New Roman" w:hAnsi="Times New Roman" w:cs="Times New Roman"/>
                <w:color w:val="auto"/>
                <w:sz w:val="24"/>
              </w:rPr>
              <w:t>kW</w:t>
            </w:r>
            <w:r>
              <w:rPr>
                <w:rFonts w:hint="default" w:ascii="Times New Roman" w:hAnsi="Times New Roman" w:cs="Times New Roman" w:eastAsiaTheme="minorEastAsia"/>
                <w:color w:val="auto"/>
                <w:sz w:val="24"/>
              </w:rPr>
              <w:t>时，评价范围以天线为中心，半径为500m范围。</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w:t>
            </w:r>
            <w:r>
              <w:rPr>
                <w:rFonts w:hint="default" w:ascii="Times New Roman" w:hAnsi="Times New Roman" w:cs="Times New Roman" w:eastAsiaTheme="minorEastAsia"/>
                <w:b/>
                <w:bCs/>
                <w:color w:val="auto"/>
                <w:sz w:val="24"/>
              </w:rPr>
              <w:t>3、主要环境保护目标</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eastAsiaTheme="minorEastAsia"/>
                <w:color w:val="auto"/>
                <w:sz w:val="24"/>
              </w:rPr>
              <w:t>发射塔拟建云阳山北门的半山腰上，发射塔四周500m内无居民居住，附近的</w:t>
            </w:r>
            <w:r>
              <w:rPr>
                <w:rFonts w:hint="default" w:ascii="Times New Roman" w:hAnsi="Times New Roman" w:cs="Times New Roman"/>
                <w:color w:val="auto"/>
                <w:sz w:val="24"/>
              </w:rPr>
              <w:t>盘山</w:t>
            </w:r>
            <w:r>
              <w:rPr>
                <w:rFonts w:hint="default" w:ascii="Times New Roman" w:hAnsi="Times New Roman" w:cs="Times New Roman" w:eastAsiaTheme="minorEastAsia"/>
                <w:color w:val="auto"/>
                <w:sz w:val="24"/>
              </w:rPr>
              <w:t>公路上有流动人口经过。</w:t>
            </w:r>
            <w:r>
              <w:rPr>
                <w:rFonts w:hint="default" w:ascii="Times New Roman" w:hAnsi="Times New Roman" w:cs="Times New Roman"/>
                <w:color w:val="auto"/>
                <w:sz w:val="24"/>
              </w:rPr>
              <w:t>发射塔半径500m范围（红线内）现状图</w:t>
            </w:r>
            <w:r>
              <w:rPr>
                <w:rFonts w:hint="default" w:ascii="Times New Roman" w:hAnsi="Times New Roman" w:cs="Times New Roman" w:eastAsiaTheme="minorEastAsia"/>
                <w:color w:val="auto"/>
                <w:sz w:val="24"/>
              </w:rPr>
              <w:t>见附图2。本项目电磁环境保护对象为塔下机房工作人员（</w:t>
            </w:r>
            <w:r>
              <w:rPr>
                <w:rFonts w:hint="default" w:ascii="Times New Roman" w:hAnsi="Times New Roman" w:cs="Times New Roman"/>
                <w:color w:val="auto"/>
                <w:sz w:val="24"/>
              </w:rPr>
              <w:t>4</w:t>
            </w:r>
            <w:r>
              <w:rPr>
                <w:rFonts w:hint="default" w:ascii="Times New Roman" w:hAnsi="Times New Roman" w:cs="Times New Roman" w:eastAsiaTheme="minorEastAsia"/>
                <w:color w:val="auto"/>
                <w:sz w:val="24"/>
              </w:rPr>
              <w:t>人）</w:t>
            </w:r>
            <w:r>
              <w:rPr>
                <w:rFonts w:hint="default" w:ascii="Times New Roman" w:hAnsi="Times New Roman" w:cs="Times New Roman"/>
                <w:color w:val="auto"/>
                <w:sz w:val="24"/>
              </w:rPr>
              <w:t>、</w:t>
            </w:r>
            <w:r>
              <w:rPr>
                <w:rFonts w:hint="default" w:ascii="Times New Roman" w:hAnsi="Times New Roman" w:cs="Times New Roman" w:eastAsiaTheme="minorEastAsia"/>
                <w:color w:val="auto"/>
                <w:sz w:val="24"/>
              </w:rPr>
              <w:t>公路上流动人口（按5人计算）。详见表</w:t>
            </w:r>
            <w:r>
              <w:rPr>
                <w:rFonts w:hint="default" w:ascii="Times New Roman" w:hAnsi="Times New Roman" w:cs="Times New Roman"/>
                <w:color w:val="auto"/>
                <w:sz w:val="24"/>
              </w:rPr>
              <w:t>3-5。</w:t>
            </w:r>
          </w:p>
          <w:p>
            <w:pPr>
              <w:spacing w:before="156" w:beforeLines="50" w:after="156" w:afterLines="50"/>
              <w:ind w:firstLine="64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表3-5  环境保护目标</w:t>
            </w:r>
          </w:p>
          <w:tbl>
            <w:tblPr>
              <w:tblStyle w:val="16"/>
              <w:tblW w:w="826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968"/>
              <w:gridCol w:w="989"/>
              <w:gridCol w:w="1111"/>
              <w:gridCol w:w="1227"/>
              <w:gridCol w:w="3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环境要素</w:t>
                  </w:r>
                </w:p>
              </w:tc>
              <w:tc>
                <w:tcPr>
                  <w:tcW w:w="968"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敏感保护目标</w:t>
                  </w:r>
                </w:p>
              </w:tc>
              <w:tc>
                <w:tcPr>
                  <w:tcW w:w="98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规模及特征</w:t>
                  </w:r>
                </w:p>
              </w:tc>
              <w:tc>
                <w:tcPr>
                  <w:tcW w:w="1111"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距离</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影响时段</w:t>
                  </w:r>
                </w:p>
              </w:tc>
              <w:tc>
                <w:tcPr>
                  <w:tcW w:w="3266"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大气环境</w:t>
                  </w:r>
                </w:p>
              </w:tc>
              <w:tc>
                <w:tcPr>
                  <w:tcW w:w="968"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eastAsia="zh-CN"/>
                    </w:rPr>
                    <w:t>附近</w:t>
                  </w:r>
                  <w:r>
                    <w:rPr>
                      <w:rFonts w:hint="default" w:ascii="Times New Roman" w:hAnsi="Times New Roman" w:cs="Times New Roman" w:eastAsiaTheme="minorEastAsia"/>
                      <w:color w:val="auto"/>
                      <w:szCs w:val="21"/>
                    </w:rPr>
                    <w:t>公路</w:t>
                  </w:r>
                </w:p>
              </w:tc>
              <w:tc>
                <w:tcPr>
                  <w:tcW w:w="98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5人</w:t>
                  </w:r>
                </w:p>
              </w:tc>
              <w:tc>
                <w:tcPr>
                  <w:tcW w:w="1111"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最近距离为87m</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施工期</w:t>
                  </w:r>
                </w:p>
              </w:tc>
              <w:tc>
                <w:tcPr>
                  <w:tcW w:w="3266"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声环境</w:t>
                  </w:r>
                </w:p>
              </w:tc>
              <w:tc>
                <w:tcPr>
                  <w:tcW w:w="968"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eastAsia="zh-CN"/>
                    </w:rPr>
                    <w:t>附近</w:t>
                  </w:r>
                  <w:r>
                    <w:rPr>
                      <w:rFonts w:hint="default" w:ascii="Times New Roman" w:hAnsi="Times New Roman" w:cs="Times New Roman" w:eastAsiaTheme="minorEastAsia"/>
                      <w:color w:val="auto"/>
                      <w:szCs w:val="21"/>
                    </w:rPr>
                    <w:t>公路</w:t>
                  </w:r>
                </w:p>
              </w:tc>
              <w:tc>
                <w:tcPr>
                  <w:tcW w:w="98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5人</w:t>
                  </w:r>
                </w:p>
              </w:tc>
              <w:tc>
                <w:tcPr>
                  <w:tcW w:w="1111"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最近距离为87m</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施工期</w:t>
                  </w:r>
                </w:p>
              </w:tc>
              <w:tc>
                <w:tcPr>
                  <w:tcW w:w="3266"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《建筑施工场界</w:t>
                  </w:r>
                  <w:r>
                    <w:rPr>
                      <w:rFonts w:hint="default" w:ascii="Times New Roman" w:hAnsi="Times New Roman" w:cs="Times New Roman"/>
                      <w:color w:val="auto"/>
                      <w:szCs w:val="21"/>
                      <w:lang w:eastAsia="zh-CN"/>
                    </w:rPr>
                    <w:t>环境</w:t>
                  </w:r>
                  <w:r>
                    <w:rPr>
                      <w:rFonts w:hint="default" w:ascii="Times New Roman" w:hAnsi="Times New Roman" w:cs="Times New Roman"/>
                      <w:color w:val="auto"/>
                      <w:szCs w:val="21"/>
                    </w:rPr>
                    <w:t>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水环境</w:t>
                  </w:r>
                </w:p>
              </w:tc>
              <w:tc>
                <w:tcPr>
                  <w:tcW w:w="1957" w:type="dxa"/>
                  <w:gridSpan w:val="2"/>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洣水</w:t>
                  </w:r>
                </w:p>
              </w:tc>
              <w:tc>
                <w:tcPr>
                  <w:tcW w:w="1111"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山下约792m</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施工期</w:t>
                  </w:r>
                </w:p>
              </w:tc>
              <w:tc>
                <w:tcPr>
                  <w:tcW w:w="3266"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eastAsia="zh-CN"/>
                    </w:rPr>
                    <w:t>禁止排放废水。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vMerge w:val="restart"/>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生态环境</w:t>
                  </w:r>
                </w:p>
              </w:tc>
              <w:tc>
                <w:tcPr>
                  <w:tcW w:w="968"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发射塔拟建附近植被</w:t>
                  </w:r>
                </w:p>
              </w:tc>
              <w:tc>
                <w:tcPr>
                  <w:tcW w:w="98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评价范围内的主要植被分布为山脊矮林和灌草丛</w:t>
                  </w:r>
                </w:p>
              </w:tc>
              <w:tc>
                <w:tcPr>
                  <w:tcW w:w="1111"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施工范围内</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施工期</w:t>
                  </w:r>
                </w:p>
              </w:tc>
              <w:tc>
                <w:tcPr>
                  <w:tcW w:w="3266"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严格控制作业范围，尽量减少占地，。原始天然植被应尽可能移栽，临时占地施工结束后及时恢复原貌。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vMerge w:val="continue"/>
                  <w:tcBorders>
                    <w:tl2br w:val="nil"/>
                    <w:tr2bl w:val="nil"/>
                  </w:tcBorders>
                  <w:vAlign w:val="center"/>
                </w:tcPr>
                <w:p>
                  <w:pPr>
                    <w:jc w:val="center"/>
                    <w:rPr>
                      <w:rFonts w:hint="default" w:ascii="Times New Roman" w:hAnsi="Times New Roman" w:cs="Times New Roman" w:eastAsiaTheme="minorEastAsia"/>
                      <w:color w:val="auto"/>
                      <w:szCs w:val="21"/>
                    </w:rPr>
                  </w:pPr>
                </w:p>
              </w:tc>
              <w:tc>
                <w:tcPr>
                  <w:tcW w:w="968"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水土保持</w:t>
                  </w:r>
                </w:p>
              </w:tc>
              <w:tc>
                <w:tcPr>
                  <w:tcW w:w="98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扰动地表面积约399.6m</w:t>
                  </w:r>
                  <w:r>
                    <w:rPr>
                      <w:rFonts w:hint="default" w:ascii="Times New Roman" w:hAnsi="Times New Roman" w:cs="Times New Roman" w:eastAsiaTheme="minorEastAsia"/>
                      <w:color w:val="auto"/>
                      <w:szCs w:val="21"/>
                      <w:vertAlign w:val="superscript"/>
                    </w:rPr>
                    <w:t>2</w:t>
                  </w:r>
                </w:p>
              </w:tc>
              <w:tc>
                <w:tcPr>
                  <w:tcW w:w="1111"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施工范围内</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施工期</w:t>
                  </w:r>
                </w:p>
              </w:tc>
              <w:tc>
                <w:tcPr>
                  <w:tcW w:w="3266"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严格限制施工范围，尽量少占用地；弃渣场要先挡后弃；做好雨期防水土流失措施；开展环境监测工作。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vMerge w:val="restart"/>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电磁辐射</w:t>
                  </w:r>
                </w:p>
              </w:tc>
              <w:tc>
                <w:tcPr>
                  <w:tcW w:w="968"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发射塔机房</w:t>
                  </w:r>
                </w:p>
              </w:tc>
              <w:tc>
                <w:tcPr>
                  <w:tcW w:w="98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8人</w:t>
                  </w:r>
                </w:p>
              </w:tc>
              <w:tc>
                <w:tcPr>
                  <w:tcW w:w="1111"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塔下机房</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运营期</w:t>
                  </w:r>
                </w:p>
              </w:tc>
              <w:tc>
                <w:tcPr>
                  <w:tcW w:w="3266" w:type="dxa"/>
                  <w:vMerge w:val="restart"/>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《电磁环境控制限值》（GB8702-2014）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699" w:type="dxa"/>
                  <w:vMerge w:val="continue"/>
                  <w:tcBorders>
                    <w:tl2br w:val="nil"/>
                    <w:tr2bl w:val="nil"/>
                  </w:tcBorders>
                  <w:vAlign w:val="center"/>
                </w:tcPr>
                <w:p>
                  <w:pPr>
                    <w:jc w:val="center"/>
                    <w:rPr>
                      <w:rFonts w:hint="default" w:ascii="Times New Roman" w:hAnsi="Times New Roman" w:cs="Times New Roman" w:eastAsiaTheme="minorEastAsia"/>
                      <w:color w:val="auto"/>
                      <w:szCs w:val="21"/>
                    </w:rPr>
                  </w:pPr>
                </w:p>
              </w:tc>
              <w:tc>
                <w:tcPr>
                  <w:tcW w:w="968"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公路上的流动人口</w:t>
                  </w:r>
                </w:p>
              </w:tc>
              <w:tc>
                <w:tcPr>
                  <w:tcW w:w="989"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4</w:t>
                  </w:r>
                  <w:r>
                    <w:rPr>
                      <w:rFonts w:hint="default" w:ascii="Times New Roman" w:hAnsi="Times New Roman" w:cs="Times New Roman" w:eastAsiaTheme="minorEastAsia"/>
                      <w:color w:val="auto"/>
                      <w:szCs w:val="21"/>
                    </w:rPr>
                    <w:t>人</w:t>
                  </w:r>
                </w:p>
              </w:tc>
              <w:tc>
                <w:tcPr>
                  <w:tcW w:w="111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最近距离为87m</w:t>
                  </w:r>
                </w:p>
              </w:tc>
              <w:tc>
                <w:tcPr>
                  <w:tcW w:w="1227" w:type="dxa"/>
                  <w:tcBorders>
                    <w:tl2br w:val="nil"/>
                    <w:tr2bl w:val="nil"/>
                  </w:tcBorders>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运营期</w:t>
                  </w:r>
                </w:p>
              </w:tc>
              <w:tc>
                <w:tcPr>
                  <w:tcW w:w="3266" w:type="dxa"/>
                  <w:vMerge w:val="continue"/>
                  <w:tcBorders>
                    <w:tl2br w:val="nil"/>
                    <w:tr2bl w:val="nil"/>
                  </w:tcBorders>
                  <w:vAlign w:val="center"/>
                </w:tcPr>
                <w:p>
                  <w:pPr>
                    <w:jc w:val="center"/>
                    <w:rPr>
                      <w:rFonts w:hint="default" w:ascii="Times New Roman" w:hAnsi="Times New Roman" w:cs="Times New Roman"/>
                      <w:color w:val="auto"/>
                      <w:szCs w:val="21"/>
                    </w:rPr>
                  </w:pPr>
                </w:p>
              </w:tc>
            </w:tr>
          </w:tbl>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p>
            <w:pPr>
              <w:outlineLvl w:val="0"/>
              <w:rPr>
                <w:rFonts w:hint="default" w:ascii="Times New Roman" w:hAnsi="Times New Roman" w:eastAsia="黑体" w:cs="Times New Roman"/>
                <w:b/>
                <w:color w:val="auto"/>
                <w:sz w:val="32"/>
                <w:szCs w:val="32"/>
              </w:rPr>
            </w:pPr>
          </w:p>
        </w:tc>
      </w:tr>
    </w:tbl>
    <w:p>
      <w:pPr>
        <w:outlineLvl w:val="0"/>
        <w:rPr>
          <w:rFonts w:hint="default" w:ascii="Times New Roman" w:hAnsi="Times New Roman" w:eastAsia="黑体" w:cs="Times New Roman"/>
          <w:b/>
          <w:bCs/>
          <w:color w:val="auto"/>
          <w:sz w:val="32"/>
          <w:szCs w:val="32"/>
        </w:rPr>
        <w:sectPr>
          <w:footerReference r:id="rId5" w:type="default"/>
          <w:pgSz w:w="11906" w:h="16838"/>
          <w:pgMar w:top="1440" w:right="1800" w:bottom="1440" w:left="1800" w:header="851" w:footer="992" w:gutter="0"/>
          <w:pgNumType w:fmt="numberInDash" w:start="1"/>
          <w:cols w:space="720" w:num="1"/>
          <w:docGrid w:type="linesAndChars" w:linePitch="312" w:charSpace="0"/>
        </w:sectPr>
      </w:pPr>
      <w:bookmarkStart w:id="83" w:name="_Toc11498"/>
      <w:bookmarkStart w:id="84" w:name="_Toc421802298"/>
    </w:p>
    <w:p>
      <w:pPr>
        <w:outlineLvl w:val="0"/>
        <w:rPr>
          <w:rFonts w:hint="default" w:ascii="Times New Roman" w:hAnsi="Times New Roman" w:eastAsia="黑体" w:cs="Times New Roman"/>
          <w:b/>
          <w:bCs/>
          <w:color w:val="auto"/>
          <w:sz w:val="32"/>
          <w:szCs w:val="32"/>
        </w:rPr>
      </w:pPr>
      <w:r>
        <w:rPr>
          <w:rFonts w:hint="default" w:ascii="Times New Roman" w:hAnsi="Times New Roman" w:eastAsia="黑体" w:cs="Times New Roman"/>
          <w:b/>
          <w:bCs/>
          <w:color w:val="auto"/>
          <w:sz w:val="32"/>
          <w:szCs w:val="32"/>
        </w:rPr>
        <w:t>评价适用标准</w:t>
      </w:r>
      <w:bookmarkEnd w:id="83"/>
      <w:bookmarkEnd w:id="84"/>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vAlign w:val="center"/>
          </w:tcPr>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环</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境</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质</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量</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标</w:t>
            </w:r>
          </w:p>
          <w:p>
            <w:pPr>
              <w:pStyle w:val="4"/>
              <w:spacing w:line="560" w:lineRule="exact"/>
              <w:jc w:val="center"/>
              <w:rPr>
                <w:rFonts w:hint="default" w:ascii="Times New Roman" w:hAnsi="Times New Roman" w:eastAsia="黑体" w:cs="Times New Roman"/>
                <w:b/>
                <w:bCs/>
                <w:color w:val="auto"/>
                <w:sz w:val="32"/>
                <w:szCs w:val="32"/>
              </w:rPr>
            </w:pPr>
            <w:r>
              <w:rPr>
                <w:rFonts w:hint="default" w:ascii="Times New Roman" w:hAnsi="Times New Roman" w:cs="Times New Roman"/>
                <w:b/>
                <w:color w:val="auto"/>
                <w:sz w:val="28"/>
                <w:szCs w:val="28"/>
              </w:rPr>
              <w:t>准</w:t>
            </w:r>
          </w:p>
        </w:tc>
        <w:tc>
          <w:tcPr>
            <w:tcW w:w="7810" w:type="dxa"/>
            <w:vAlign w:val="center"/>
          </w:tcPr>
          <w:p>
            <w:pPr>
              <w:snapToGrid w:val="0"/>
              <w:spacing w:line="360" w:lineRule="auto"/>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、环境空气质量</w:t>
            </w:r>
          </w:p>
          <w:p>
            <w:pPr>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执行《</w:t>
            </w:r>
            <w:bookmarkStart w:id="85" w:name="OLE_LINK70"/>
            <w:r>
              <w:rPr>
                <w:rFonts w:hint="default" w:ascii="Times New Roman" w:hAnsi="Times New Roman" w:cs="Times New Roman" w:eastAsiaTheme="minorEastAsia"/>
                <w:color w:val="auto"/>
                <w:sz w:val="24"/>
              </w:rPr>
              <w:t>环境空气质量标准</w:t>
            </w:r>
            <w:bookmarkEnd w:id="85"/>
            <w:r>
              <w:rPr>
                <w:rFonts w:hint="default" w:ascii="Times New Roman" w:hAnsi="Times New Roman" w:cs="Times New Roman" w:eastAsiaTheme="minorEastAsia"/>
                <w:color w:val="auto"/>
                <w:sz w:val="24"/>
              </w:rPr>
              <w:t>》（GB3095-</w:t>
            </w:r>
            <w:r>
              <w:rPr>
                <w:rFonts w:hint="default" w:ascii="Times New Roman" w:hAnsi="Times New Roman" w:cs="Times New Roman"/>
                <w:color w:val="auto"/>
                <w:sz w:val="24"/>
              </w:rPr>
              <w:t>2012</w:t>
            </w:r>
            <w:r>
              <w:rPr>
                <w:rFonts w:hint="default" w:ascii="Times New Roman" w:hAnsi="Times New Roman" w:cs="Times New Roman" w:eastAsiaTheme="minorEastAsia"/>
                <w:color w:val="auto"/>
                <w:sz w:val="24"/>
              </w:rPr>
              <w:t>）中的</w:t>
            </w:r>
            <w:r>
              <w:rPr>
                <w:rFonts w:hint="default" w:ascii="Times New Roman" w:hAnsi="Times New Roman" w:cs="Times New Roman"/>
                <w:color w:val="auto"/>
                <w:sz w:val="24"/>
              </w:rPr>
              <w:t>一</w:t>
            </w:r>
            <w:r>
              <w:rPr>
                <w:rFonts w:hint="default" w:ascii="Times New Roman" w:hAnsi="Times New Roman" w:cs="Times New Roman" w:eastAsiaTheme="minorEastAsia"/>
                <w:color w:val="auto"/>
                <w:sz w:val="24"/>
              </w:rPr>
              <w:t>级标准。</w:t>
            </w:r>
          </w:p>
          <w:p>
            <w:pPr>
              <w:snapToGrid w:val="0"/>
              <w:spacing w:line="360" w:lineRule="auto"/>
              <w:rPr>
                <w:rFonts w:hint="default" w:ascii="Times New Roman" w:hAnsi="Times New Roman" w:cs="Times New Roman"/>
                <w:color w:val="auto"/>
                <w:sz w:val="24"/>
              </w:rPr>
            </w:pPr>
            <w:r>
              <w:rPr>
                <w:rFonts w:hint="eastAsia"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b/>
                <w:bCs/>
                <w:color w:val="auto"/>
                <w:sz w:val="24"/>
              </w:rPr>
              <w:t>声环境</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执行《声环境质量标准》（GB3096-2008）中的1类标准（昼间：</w:t>
            </w:r>
            <w:r>
              <w:rPr>
                <w:rFonts w:hint="default" w:ascii="Times New Roman" w:hAnsi="Times New Roman" w:cs="Times New Roman"/>
                <w:color w:val="auto"/>
                <w:sz w:val="24"/>
                <w:lang w:val="en-US" w:eastAsia="zh-CN"/>
              </w:rPr>
              <w:t>55</w:t>
            </w:r>
            <w:r>
              <w:rPr>
                <w:rFonts w:hint="default" w:ascii="Times New Roman" w:hAnsi="Times New Roman" w:cs="Times New Roman"/>
                <w:color w:val="auto"/>
                <w:sz w:val="24"/>
              </w:rPr>
              <w:t>dB(A) 夜间：4</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dB(A)）。</w:t>
            </w:r>
          </w:p>
          <w:p>
            <w:pPr>
              <w:snapToGrid w:val="0"/>
              <w:spacing w:line="360" w:lineRule="auto"/>
              <w:rPr>
                <w:rFonts w:hint="default" w:ascii="Times New Roman" w:hAnsi="Times New Roman" w:cs="Times New Roman"/>
                <w:b/>
                <w:color w:val="auto"/>
                <w:sz w:val="24"/>
              </w:rPr>
            </w:pPr>
            <w:r>
              <w:rPr>
                <w:rFonts w:hint="eastAsia" w:cs="Times New Roman"/>
                <w:b/>
                <w:color w:val="auto"/>
                <w:sz w:val="24"/>
                <w:lang w:val="en-US" w:eastAsia="zh-CN"/>
              </w:rPr>
              <w:t>3</w:t>
            </w:r>
            <w:r>
              <w:rPr>
                <w:rFonts w:hint="default" w:ascii="Times New Roman" w:hAnsi="Times New Roman" w:cs="Times New Roman"/>
                <w:b/>
                <w:color w:val="auto"/>
                <w:sz w:val="24"/>
              </w:rPr>
              <w:t>、景观及生态环境</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以不减少区域内濒危珍惜动植物种类和不破坏生态系统完整性为目标；水土流失以不增加土壤侵蚀强度为标准。</w:t>
            </w:r>
          </w:p>
          <w:p>
            <w:pPr>
              <w:snapToGrid w:val="0"/>
              <w:spacing w:line="360" w:lineRule="auto"/>
              <w:rPr>
                <w:rFonts w:hint="default" w:ascii="Times New Roman" w:hAnsi="Times New Roman" w:cs="Times New Roman"/>
                <w:b/>
                <w:color w:val="auto"/>
                <w:sz w:val="24"/>
              </w:rPr>
            </w:pPr>
            <w:r>
              <w:rPr>
                <w:rFonts w:hint="eastAsia" w:cs="Times New Roman"/>
                <w:b/>
                <w:color w:val="auto"/>
                <w:sz w:val="24"/>
                <w:lang w:val="en-US" w:eastAsia="zh-CN"/>
              </w:rPr>
              <w:t>4</w:t>
            </w:r>
            <w:r>
              <w:rPr>
                <w:rFonts w:hint="default" w:ascii="Times New Roman" w:hAnsi="Times New Roman" w:cs="Times New Roman"/>
                <w:b/>
                <w:color w:val="auto"/>
                <w:sz w:val="24"/>
              </w:rPr>
              <w:t>、电磁环境</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执行《电磁环境控制限值》（GB8702-2014）。</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4.1公众曝露控制限值：为控制电场、磁场、电磁场所致公众曝露，环境中电场、磁场、电磁场场量参数的方均根值应满足表4-1要求。</w:t>
            </w:r>
          </w:p>
          <w:p>
            <w:pPr>
              <w:pStyle w:val="18"/>
              <w:spacing w:beforeLines="0" w:line="360" w:lineRule="auto"/>
              <w:rPr>
                <w:rFonts w:hint="default" w:ascii="Times New Roman" w:hAnsi="Times New Roman" w:eastAsia="黑体" w:cs="Times New Roman"/>
                <w:b w:val="0"/>
                <w:color w:val="auto"/>
              </w:rPr>
            </w:pPr>
            <w:r>
              <w:rPr>
                <w:rFonts w:hint="default" w:ascii="Times New Roman" w:hAnsi="Times New Roman" w:eastAsia="黑体" w:cs="Times New Roman"/>
                <w:b w:val="0"/>
                <w:color w:val="auto"/>
              </w:rPr>
              <w:t>表4-1  公众曝露控制限值</w:t>
            </w:r>
          </w:p>
          <w:tbl>
            <w:tblPr>
              <w:tblStyle w:val="15"/>
              <w:tblW w:w="760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2257"/>
              <w:gridCol w:w="2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278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频率范围</w:t>
                  </w:r>
                </w:p>
              </w:tc>
              <w:tc>
                <w:tcPr>
                  <w:tcW w:w="225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电场强度E</w:t>
                  </w:r>
                </w:p>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（V/m）</w:t>
                  </w:r>
                </w:p>
              </w:tc>
              <w:tc>
                <w:tcPr>
                  <w:tcW w:w="25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等效平面波功率密度S</w:t>
                  </w:r>
                  <w:r>
                    <w:rPr>
                      <w:rFonts w:hint="default" w:ascii="Times New Roman" w:hAnsi="Times New Roman" w:cs="Times New Roman"/>
                      <w:bCs/>
                      <w:color w:val="auto"/>
                      <w:szCs w:val="21"/>
                      <w:vertAlign w:val="subscript"/>
                    </w:rPr>
                    <w:t>eq</w:t>
                  </w:r>
                  <w:r>
                    <w:rPr>
                      <w:rFonts w:hint="default" w:ascii="Times New Roman" w:hAnsi="Times New Roman" w:cs="Times New Roman"/>
                      <w:bCs/>
                      <w:color w:val="auto"/>
                      <w:szCs w:val="21"/>
                    </w:rPr>
                    <w:t>（W/m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278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30MHz~3000MHz</w:t>
                  </w:r>
                </w:p>
              </w:tc>
              <w:tc>
                <w:tcPr>
                  <w:tcW w:w="2257"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w:t>
                  </w:r>
                </w:p>
              </w:tc>
              <w:tc>
                <w:tcPr>
                  <w:tcW w:w="25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0.4</w:t>
                  </w:r>
                </w:p>
              </w:tc>
            </w:tr>
          </w:tbl>
          <w:p>
            <w:pPr>
              <w:spacing w:line="360" w:lineRule="auto"/>
              <w:ind w:firstLine="643" w:firstLineChars="200"/>
              <w:rPr>
                <w:rFonts w:hint="default" w:ascii="Times New Roman" w:hAnsi="Times New Roman" w:eastAsia="黑体" w:cs="Times New Roman"/>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Pr>
          <w:p>
            <w:pPr>
              <w:pStyle w:val="4"/>
              <w:spacing w:line="560" w:lineRule="exact"/>
              <w:jc w:val="center"/>
              <w:rPr>
                <w:rFonts w:hint="default" w:ascii="Times New Roman" w:hAnsi="Times New Roman" w:cs="Times New Roman"/>
                <w:b/>
                <w:color w:val="auto"/>
                <w:szCs w:val="24"/>
              </w:rPr>
            </w:pPr>
          </w:p>
          <w:p>
            <w:pPr>
              <w:pStyle w:val="4"/>
              <w:spacing w:line="560" w:lineRule="exact"/>
              <w:jc w:val="center"/>
              <w:rPr>
                <w:rFonts w:hint="default" w:ascii="Times New Roman" w:hAnsi="Times New Roman" w:cs="Times New Roman"/>
                <w:b/>
                <w:color w:val="auto"/>
                <w:szCs w:val="24"/>
              </w:rPr>
            </w:pPr>
          </w:p>
          <w:p>
            <w:pPr>
              <w:pStyle w:val="4"/>
              <w:spacing w:line="560" w:lineRule="exact"/>
              <w:jc w:val="center"/>
              <w:rPr>
                <w:rFonts w:hint="default" w:ascii="Times New Roman" w:hAnsi="Times New Roman" w:cs="Times New Roman"/>
                <w:b/>
                <w:color w:val="auto"/>
                <w:szCs w:val="24"/>
              </w:rPr>
            </w:pPr>
          </w:p>
          <w:p>
            <w:pPr>
              <w:pStyle w:val="4"/>
              <w:spacing w:line="560" w:lineRule="exact"/>
              <w:jc w:val="center"/>
              <w:rPr>
                <w:rFonts w:hint="default" w:ascii="Times New Roman" w:hAnsi="Times New Roman" w:cs="Times New Roman"/>
                <w:b/>
                <w:color w:val="auto"/>
                <w:szCs w:val="24"/>
              </w:rPr>
            </w:pPr>
          </w:p>
          <w:p>
            <w:pPr>
              <w:pStyle w:val="4"/>
              <w:spacing w:line="560" w:lineRule="exact"/>
              <w:jc w:val="center"/>
              <w:rPr>
                <w:rFonts w:hint="default" w:ascii="Times New Roman" w:hAnsi="Times New Roman" w:cs="Times New Roman"/>
                <w:b/>
                <w:color w:val="auto"/>
                <w:szCs w:val="24"/>
              </w:rPr>
            </w:pP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污</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染</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物</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排</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放</w:t>
            </w:r>
          </w:p>
          <w:p>
            <w:pPr>
              <w:pStyle w:val="4"/>
              <w:spacing w:line="560" w:lineRule="exact"/>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标</w:t>
            </w:r>
          </w:p>
          <w:p>
            <w:pPr>
              <w:pStyle w:val="4"/>
              <w:spacing w:line="560" w:lineRule="exact"/>
              <w:jc w:val="center"/>
              <w:rPr>
                <w:rFonts w:hint="default" w:ascii="Times New Roman" w:hAnsi="Times New Roman" w:eastAsia="仿宋_GB2312" w:cs="Times New Roman"/>
                <w:b/>
                <w:color w:val="auto"/>
                <w:sz w:val="32"/>
                <w:szCs w:val="32"/>
              </w:rPr>
            </w:pPr>
            <w:r>
              <w:rPr>
                <w:rFonts w:hint="default" w:ascii="Times New Roman" w:hAnsi="Times New Roman" w:cs="Times New Roman"/>
                <w:b/>
                <w:color w:val="auto"/>
                <w:sz w:val="28"/>
                <w:szCs w:val="28"/>
              </w:rPr>
              <w:t>准</w:t>
            </w:r>
          </w:p>
          <w:p>
            <w:pPr>
              <w:outlineLvl w:val="0"/>
              <w:rPr>
                <w:rFonts w:hint="default" w:ascii="Times New Roman" w:hAnsi="Times New Roman" w:eastAsia="黑体" w:cs="Times New Roman"/>
                <w:b/>
                <w:bCs/>
                <w:color w:val="auto"/>
                <w:sz w:val="32"/>
                <w:szCs w:val="32"/>
              </w:rPr>
            </w:pPr>
          </w:p>
        </w:tc>
        <w:tc>
          <w:tcPr>
            <w:tcW w:w="7810" w:type="dxa"/>
          </w:tcPr>
          <w:p>
            <w:pPr>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1、废水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执行</w:t>
            </w:r>
            <w:r>
              <w:rPr>
                <w:rFonts w:hint="default" w:ascii="Times New Roman" w:hAnsi="Times New Roman" w:cs="Times New Roman" w:eastAsiaTheme="minorEastAsia"/>
                <w:color w:val="auto"/>
                <w:sz w:val="24"/>
                <w:lang w:val="en-US" w:eastAsia="zh-CN"/>
              </w:rPr>
              <w:t>《城市污水再生利用</w:t>
            </w:r>
            <w:r>
              <w:rPr>
                <w:rFonts w:hint="eastAsia"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lang w:val="en-US" w:eastAsia="zh-CN"/>
              </w:rPr>
              <w:t>城市杂用水水质（GB/T18920-2002）》标准</w:t>
            </w:r>
            <w:r>
              <w:rPr>
                <w:rFonts w:hint="default" w:ascii="Times New Roman" w:hAnsi="Times New Roman" w:cs="Times New Roman"/>
                <w:color w:val="auto"/>
                <w:sz w:val="24"/>
              </w:rPr>
              <w:t>。</w:t>
            </w:r>
          </w:p>
          <w:p>
            <w:pPr>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2、噪声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施工期：执行《建筑施工场界环境噪声排放标准》（GB12523-2011）中规定的昼间70dB（A）和夜间55dB（A）的排放限值。</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运营期：执行《工业企业厂界环境噪声排放标准》（GB12348-2008）中的1类标准（昼间：5</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dB（A）夜间：4</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dB（A））；</w:t>
            </w:r>
          </w:p>
          <w:p>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3、</w:t>
            </w:r>
            <w:r>
              <w:rPr>
                <w:rFonts w:hint="default" w:ascii="Times New Roman" w:hAnsi="Times New Roman" w:cs="Times New Roman"/>
                <w:b/>
                <w:bCs/>
                <w:color w:val="auto"/>
                <w:sz w:val="24"/>
              </w:rPr>
              <w:t>废气</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执行《大气污染物综合排放标准》（GB16297-1996）中表2中的一级标准。</w:t>
            </w:r>
          </w:p>
          <w:p>
            <w:pPr>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5、电磁</w:t>
            </w:r>
            <w:r>
              <w:rPr>
                <w:rFonts w:hint="default" w:ascii="Times New Roman" w:hAnsi="Times New Roman" w:cs="Times New Roman"/>
                <w:b/>
                <w:color w:val="auto"/>
                <w:sz w:val="24"/>
                <w:lang w:eastAsia="zh-CN"/>
              </w:rPr>
              <w:t>影响</w:t>
            </w:r>
          </w:p>
          <w:p>
            <w:pPr>
              <w:pStyle w:val="19"/>
              <w:spacing w:before="0" w:beforeLines="0" w:after="0" w:afterLines="0"/>
              <w:ind w:firstLine="480"/>
              <w:rPr>
                <w:rFonts w:hint="default" w:ascii="Times New Roman" w:hAnsi="Times New Roman" w:cs="Times New Roman"/>
                <w:b w:val="0"/>
                <w:color w:val="auto"/>
              </w:rPr>
            </w:pPr>
            <w:r>
              <w:rPr>
                <w:rFonts w:hint="default" w:ascii="Times New Roman" w:hAnsi="Times New Roman" w:cs="Times New Roman"/>
                <w:b w:val="0"/>
                <w:color w:val="auto"/>
              </w:rPr>
              <w:t>根据《辐射环境保护管理导则·电磁辐射环境影响评价方法与标准》（HJ/T 10.3-1996）</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4.1 公众总的受照射剂量包括各种电磁</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对其影响的总和，即包括拟建设施可能或已经造成的影响，还要包括已有背景电磁的影响。总的受照射剂量限值不应大于国家标准GB8702的要求。</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4.2 单个项目的影响：为使公众受到的总照射剂量小于GB8702的规定值，对单个项目的影响必须限制在GB8702限值的若干分之一。在评价时，对于国家环境保护总局负责审批的大型项目可取GB8702中场强限值的</w:t>
            </w:r>
            <w:r>
              <w:rPr>
                <w:rFonts w:hint="default" w:ascii="Times New Roman" w:hAnsi="Times New Roman" w:cs="Times New Roman"/>
                <w:color w:val="auto"/>
                <w:position w:val="-26"/>
                <w:sz w:val="24"/>
              </w:rPr>
              <w:object>
                <v:shape id="_x0000_i1025" o:spt="75" type="#_x0000_t75" style="height:27.8pt;width:26.2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r>
              <w:rPr>
                <w:rFonts w:hint="default" w:ascii="Times New Roman" w:hAnsi="Times New Roman" w:cs="Times New Roman"/>
                <w:color w:val="auto"/>
                <w:sz w:val="24"/>
              </w:rPr>
              <w:t>，或功率密度限值的1/2。其他项目则取场强限值的</w:t>
            </w:r>
            <w:r>
              <w:rPr>
                <w:rFonts w:hint="default" w:ascii="Times New Roman" w:hAnsi="Times New Roman" w:cs="Times New Roman"/>
                <w:color w:val="auto"/>
                <w:position w:val="-28"/>
                <w:sz w:val="24"/>
              </w:rPr>
              <w:object>
                <v:shape id="_x0000_i1026" o:spt="75" type="#_x0000_t75" style="height:28.7pt;width:25.05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r>
              <w:rPr>
                <w:rFonts w:hint="default" w:ascii="Times New Roman" w:hAnsi="Times New Roman" w:cs="Times New Roman"/>
                <w:color w:val="auto"/>
                <w:sz w:val="24"/>
              </w:rPr>
              <w:t>，或功率密度限值的1/5作为评价标准。</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b/>
                <w:color w:val="auto"/>
                <w:sz w:val="24"/>
              </w:rPr>
              <w:t>由上述所列电磁</w:t>
            </w:r>
            <w:r>
              <w:rPr>
                <w:rFonts w:hint="default" w:ascii="Times New Roman" w:hAnsi="Times New Roman" w:cs="Times New Roman"/>
                <w:b/>
                <w:color w:val="auto"/>
                <w:sz w:val="24"/>
                <w:lang w:eastAsia="zh-CN"/>
              </w:rPr>
              <w:t>环境</w:t>
            </w:r>
            <w:r>
              <w:rPr>
                <w:rFonts w:hint="default" w:ascii="Times New Roman" w:hAnsi="Times New Roman" w:cs="Times New Roman"/>
                <w:b/>
                <w:color w:val="auto"/>
                <w:sz w:val="24"/>
              </w:rPr>
              <w:t>标准，确定本项目的评价标准为：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本项目对公众的曝露控制限值取《电磁环境控制限值》（GB8702-2014）电场强度限值的</w:t>
            </w:r>
            <w:r>
              <w:rPr>
                <w:rFonts w:hint="default" w:ascii="Times New Roman" w:hAnsi="Times New Roman" w:cs="Times New Roman"/>
                <w:color w:val="auto"/>
                <w:position w:val="-28"/>
                <w:sz w:val="24"/>
              </w:rPr>
              <w:object>
                <v:shape id="_x0000_i1027" o:spt="75" type="#_x0000_t75" style="height:28.7pt;width:25.05pt;" o:ole="t" filled="f" o:preferrelative="t" stroked="f" coordsize="21600,21600">
                  <v:path/>
                  <v:fill on="f" focussize="0,0"/>
                  <v:stroke on="f" joinstyle="miter"/>
                  <v:imagedata r:id="rId11" o:title=""/>
                  <o:lock v:ext="edit" aspectratio="t"/>
                  <w10:wrap type="none"/>
                  <w10:anchorlock/>
                </v:shape>
                <o:OLEObject Type="Embed" ProgID="Equation.3" ShapeID="_x0000_i1027" DrawAspect="Content" ObjectID="_1468075727" r:id="rId12">
                  <o:LockedField>false</o:LockedField>
                </o:OLEObject>
              </w:object>
            </w:r>
            <w:r>
              <w:rPr>
                <w:rFonts w:hint="default" w:ascii="Times New Roman" w:hAnsi="Times New Roman" w:cs="Times New Roman"/>
                <w:color w:val="auto"/>
                <w:sz w:val="24"/>
              </w:rPr>
              <w:t>、功率密度限值的1/5作为评价标准。</w:t>
            </w:r>
          </w:p>
          <w:p>
            <w:pPr>
              <w:pStyle w:val="18"/>
              <w:spacing w:beforeLines="0" w:line="360" w:lineRule="auto"/>
              <w:rPr>
                <w:rFonts w:hint="default" w:ascii="Times New Roman" w:hAnsi="Times New Roman" w:eastAsia="黑体" w:cs="Times New Roman"/>
                <w:b w:val="0"/>
                <w:color w:val="auto"/>
              </w:rPr>
            </w:pPr>
            <w:r>
              <w:rPr>
                <w:rFonts w:hint="default" w:ascii="Times New Roman" w:hAnsi="Times New Roman" w:eastAsia="黑体" w:cs="Times New Roman"/>
                <w:b w:val="0"/>
                <w:color w:val="auto"/>
              </w:rPr>
              <w:t>表4-2  本项目公众曝露控制限值</w:t>
            </w:r>
          </w:p>
          <w:tbl>
            <w:tblPr>
              <w:tblStyle w:val="15"/>
              <w:tblW w:w="754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17"/>
              <w:gridCol w:w="1702"/>
              <w:gridCol w:w="1549"/>
              <w:gridCol w:w="1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145" w:type="dxa"/>
                  <w:vMerge w:val="restart"/>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频率范围 MHz</w:t>
                  </w:r>
                </w:p>
              </w:tc>
              <w:tc>
                <w:tcPr>
                  <w:tcW w:w="6395" w:type="dxa"/>
                  <w:gridSpan w:val="4"/>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公众曝露控制限值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145" w:type="dxa"/>
                  <w:vMerge w:val="continue"/>
                  <w:tcBorders>
                    <w:tl2br w:val="nil"/>
                    <w:tr2bl w:val="nil"/>
                  </w:tcBorders>
                  <w:vAlign w:val="center"/>
                </w:tcPr>
                <w:p>
                  <w:pPr>
                    <w:jc w:val="center"/>
                    <w:rPr>
                      <w:rFonts w:hint="default" w:ascii="Times New Roman" w:hAnsi="Times New Roman" w:cs="Times New Roman"/>
                      <w:color w:val="auto"/>
                    </w:rPr>
                  </w:pPr>
                </w:p>
              </w:tc>
              <w:tc>
                <w:tcPr>
                  <w:tcW w:w="3219" w:type="dxa"/>
                  <w:gridSpan w:val="2"/>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电场强度E（V/m）</w:t>
                  </w:r>
                </w:p>
              </w:tc>
              <w:tc>
                <w:tcPr>
                  <w:tcW w:w="3176" w:type="dxa"/>
                  <w:gridSpan w:val="2"/>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bCs/>
                      <w:color w:val="auto"/>
                      <w:szCs w:val="21"/>
                    </w:rPr>
                    <w:t>等效平面波功率密度S</w:t>
                  </w:r>
                  <w:r>
                    <w:rPr>
                      <w:rFonts w:hint="default" w:ascii="Times New Roman" w:hAnsi="Times New Roman" w:cs="Times New Roman"/>
                      <w:bCs/>
                      <w:color w:val="auto"/>
                      <w:szCs w:val="21"/>
                      <w:vertAlign w:val="subscript"/>
                    </w:rPr>
                    <w:t>eq</w:t>
                  </w:r>
                  <w:r>
                    <w:rPr>
                      <w:rFonts w:hint="default" w:ascii="Times New Roman" w:hAnsi="Times New Roman" w:cs="Times New Roman"/>
                      <w:bCs/>
                      <w:color w:val="auto"/>
                      <w:szCs w:val="21"/>
                    </w:rPr>
                    <w:t>（W/m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145" w:type="dxa"/>
                  <w:vMerge w:val="continue"/>
                  <w:tcBorders>
                    <w:tl2br w:val="nil"/>
                    <w:tr2bl w:val="nil"/>
                  </w:tcBorders>
                  <w:vAlign w:val="center"/>
                </w:tcPr>
                <w:p>
                  <w:pPr>
                    <w:jc w:val="center"/>
                    <w:rPr>
                      <w:rFonts w:hint="default" w:ascii="Times New Roman" w:hAnsi="Times New Roman" w:cs="Times New Roman"/>
                      <w:color w:val="auto"/>
                    </w:rPr>
                  </w:pPr>
                </w:p>
              </w:tc>
              <w:tc>
                <w:tcPr>
                  <w:tcW w:w="151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台站周围公众总的控制限值</w:t>
                  </w:r>
                </w:p>
              </w:tc>
              <w:tc>
                <w:tcPr>
                  <w:tcW w:w="1702"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单个台站对公众的控制限值</w:t>
                  </w:r>
                </w:p>
              </w:tc>
              <w:tc>
                <w:tcPr>
                  <w:tcW w:w="1549"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台站周围公众总的控制限值</w:t>
                  </w:r>
                </w:p>
              </w:tc>
              <w:tc>
                <w:tcPr>
                  <w:tcW w:w="162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单个台站对公众的控制限值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114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30～3000</w:t>
                  </w:r>
                </w:p>
              </w:tc>
              <w:tc>
                <w:tcPr>
                  <w:tcW w:w="151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12</w:t>
                  </w:r>
                </w:p>
              </w:tc>
              <w:tc>
                <w:tcPr>
                  <w:tcW w:w="1702"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5.37</w:t>
                  </w:r>
                </w:p>
              </w:tc>
              <w:tc>
                <w:tcPr>
                  <w:tcW w:w="1549"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0.4</w:t>
                  </w:r>
                </w:p>
              </w:tc>
              <w:tc>
                <w:tcPr>
                  <w:tcW w:w="1627"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0.08</w:t>
                  </w:r>
                </w:p>
              </w:tc>
            </w:tr>
          </w:tbl>
          <w:p>
            <w:pPr>
              <w:outlineLvl w:val="0"/>
              <w:rPr>
                <w:rFonts w:hint="default" w:ascii="Times New Roman" w:hAnsi="Times New Roman" w:eastAsia="黑体" w:cs="Times New Roman"/>
                <w:b/>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vAlign w:val="center"/>
          </w:tcPr>
          <w:p>
            <w:pPr>
              <w:pStyle w:val="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总</w:t>
            </w:r>
          </w:p>
          <w:p>
            <w:pPr>
              <w:pStyle w:val="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量</w:t>
            </w:r>
          </w:p>
          <w:p>
            <w:pPr>
              <w:pStyle w:val="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控</w:t>
            </w:r>
          </w:p>
          <w:p>
            <w:pPr>
              <w:pStyle w:val="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制</w:t>
            </w:r>
          </w:p>
          <w:p>
            <w:pPr>
              <w:pStyle w:val="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指</w:t>
            </w:r>
          </w:p>
          <w:p>
            <w:pPr>
              <w:pStyle w:val="4"/>
              <w:jc w:val="center"/>
              <w:rPr>
                <w:rFonts w:hint="default" w:ascii="Times New Roman" w:hAnsi="Times New Roman" w:eastAsia="黑体" w:cs="Times New Roman"/>
                <w:b/>
                <w:bCs/>
                <w:color w:val="auto"/>
                <w:sz w:val="32"/>
                <w:szCs w:val="32"/>
              </w:rPr>
            </w:pPr>
            <w:r>
              <w:rPr>
                <w:rFonts w:hint="default" w:ascii="Times New Roman" w:hAnsi="Times New Roman" w:cs="Times New Roman"/>
                <w:b/>
                <w:color w:val="auto"/>
                <w:sz w:val="28"/>
                <w:szCs w:val="28"/>
              </w:rPr>
              <w:t>标</w:t>
            </w:r>
          </w:p>
        </w:tc>
        <w:tc>
          <w:tcPr>
            <w:tcW w:w="7810" w:type="dxa"/>
            <w:vAlign w:val="center"/>
          </w:tcPr>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本项目为广播电视发射台站项目，项目运行期主要环境影响为电磁影响，不属于总量控制指标，因此，无需设置总量控制指标。</w:t>
            </w:r>
          </w:p>
        </w:tc>
      </w:tr>
    </w:tbl>
    <w:p>
      <w:pPr>
        <w:outlineLvl w:val="0"/>
        <w:rPr>
          <w:rFonts w:hint="default" w:ascii="Times New Roman" w:hAnsi="Times New Roman" w:eastAsia="黑体" w:cs="Times New Roman"/>
          <w:b/>
          <w:bCs/>
          <w:color w:val="auto"/>
          <w:sz w:val="32"/>
          <w:szCs w:val="32"/>
        </w:rPr>
      </w:pPr>
      <w:bookmarkStart w:id="86" w:name="_Toc421802299"/>
      <w:bookmarkStart w:id="87" w:name="_Toc23812"/>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r>
        <w:rPr>
          <w:rFonts w:hint="default" w:ascii="Times New Roman" w:hAnsi="Times New Roman" w:eastAsia="黑体" w:cs="Times New Roman"/>
          <w:b/>
          <w:bCs/>
          <w:color w:val="auto"/>
          <w:sz w:val="32"/>
          <w:szCs w:val="32"/>
        </w:rPr>
        <w:t>建设项目工程分析</w:t>
      </w:r>
      <w:bookmarkEnd w:id="86"/>
      <w:bookmarkEnd w:id="87"/>
    </w:p>
    <w:tbl>
      <w:tblPr>
        <w:tblStyle w:val="15"/>
        <w:tblW w:w="8555" w:type="dxa"/>
        <w:jc w:val="center"/>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jc w:val="center"/>
        </w:trPr>
        <w:tc>
          <w:tcPr>
            <w:tcW w:w="8555" w:type="dxa"/>
          </w:tcPr>
          <w:p>
            <w:pPr>
              <w:spacing w:line="360" w:lineRule="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工艺流程图简述：</w:t>
            </w:r>
          </w:p>
          <w:p>
            <w:pPr>
              <w:spacing w:before="156" w:beforeLines="50" w:after="156" w:afterLines="50" w:line="360" w:lineRule="auto"/>
              <w:rPr>
                <w:rFonts w:hint="default" w:ascii="Times New Roman" w:hAnsi="Times New Roman" w:cs="Times New Roman" w:eastAsiaTheme="minorEastAsia"/>
                <w:color w:val="auto"/>
                <w:sz w:val="28"/>
                <w:szCs w:val="28"/>
              </w:rPr>
            </w:pPr>
            <w:r>
              <w:rPr>
                <w:rFonts w:hint="default" w:ascii="Times New Roman" w:hAnsi="Times New Roman" w:cs="Times New Roman"/>
                <w:b/>
                <w:bCs/>
                <w:color w:val="auto"/>
                <w:sz w:val="28"/>
                <w:szCs w:val="28"/>
              </w:rPr>
              <w:t>一、施工期</w:t>
            </w:r>
          </w:p>
          <w:p>
            <w:pPr>
              <w:spacing w:before="156" w:beforeLines="50" w:after="156" w:afterLines="50" w:line="360" w:lineRule="auto"/>
              <w:ind w:firstLine="480" w:firstLineChars="200"/>
              <w:rPr>
                <w:rFonts w:hint="default" w:ascii="Times New Roman" w:hAnsi="Times New Roman" w:cs="Times New Roman"/>
                <w:color w:val="auto"/>
                <w:sz w:val="24"/>
              </w:rPr>
            </w:pPr>
            <w:bookmarkStart w:id="88" w:name="OLE_LINK28"/>
            <w:r>
              <w:rPr>
                <w:rFonts w:hint="default" w:ascii="Times New Roman" w:hAnsi="Times New Roman" w:cs="Times New Roman"/>
                <w:color w:val="auto"/>
                <w:sz w:val="24"/>
              </w:rPr>
              <w:t>本项目主要施工工序为：前期准备、地基开挖、发射机房及铁塔等主体工程建设、设备安装及调试等，施工期流程及产生的主要影响见下图：</w:t>
            </w:r>
          </w:p>
          <w:p>
            <w:pPr>
              <w:spacing w:before="156" w:beforeLines="50" w:after="156" w:afterLines="50" w:line="360" w:lineRule="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0185" cy="2197100"/>
                  <wp:effectExtent l="0" t="0" r="5715" b="1270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13"/>
                          <a:stretch>
                            <a:fillRect/>
                          </a:stretch>
                        </pic:blipFill>
                        <pic:spPr>
                          <a:xfrm>
                            <a:off x="0" y="0"/>
                            <a:ext cx="5290185" cy="2197100"/>
                          </a:xfrm>
                          <a:prstGeom prst="rect">
                            <a:avLst/>
                          </a:prstGeom>
                          <a:noFill/>
                          <a:ln w="9525">
                            <a:noFill/>
                          </a:ln>
                        </pic:spPr>
                      </pic:pic>
                    </a:graphicData>
                  </a:graphic>
                </wp:inline>
              </w:drawing>
            </w:r>
          </w:p>
          <w:p>
            <w:pPr>
              <w:spacing w:before="156" w:beforeLines="50" w:after="156" w:afterLines="50" w:line="360" w:lineRule="auto"/>
              <w:ind w:firstLine="480" w:firstLineChars="2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图5-1  本项目施工期阶段及产污位置图</w:t>
            </w:r>
          </w:p>
          <w:bookmarkEnd w:id="88"/>
          <w:p>
            <w:pPr>
              <w:ind w:firstLine="480" w:firstLineChars="200"/>
              <w:jc w:val="center"/>
              <w:rPr>
                <w:rFonts w:hint="default" w:ascii="Times New Roman" w:hAnsi="Times New Roman" w:eastAsia="黑体" w:cs="Times New Roman"/>
                <w:color w:val="auto"/>
                <w:sz w:val="24"/>
              </w:rPr>
            </w:pPr>
          </w:p>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二、运行期</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广播电视发射系统简介：本项目广播电视发射塔主要由调频广播、模拟电视发射系统组成，包括全固态电视反射机、全固态调频发射机、发射天线、同轴转换开关、假负载等设备。</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本项目采用的广播电视全固态发射机是一种高性能、高可靠、高效率的新一代发射机，并具有多种保护电路及微单机监控功能，给实现无人值班提供了有利的保证。具有以下特点、优点：</w:t>
            </w:r>
          </w:p>
          <w:p>
            <w:pPr>
              <w:numPr>
                <w:ilvl w:val="0"/>
                <w:numId w:val="5"/>
              </w:num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发射机多个功放并联冗余设计，可互为微分，热插拔替换，确保发射机整机无单故障点，工作安全性好。</w:t>
            </w:r>
          </w:p>
          <w:p>
            <w:pPr>
              <w:numPr>
                <w:ilvl w:val="0"/>
                <w:numId w:val="5"/>
              </w:num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由于全固态发射机集成化程度高，与同功率等级电子管式发射机相比，体积小，占地少。</w:t>
            </w:r>
          </w:p>
          <w:p>
            <w:pPr>
              <w:numPr>
                <w:ilvl w:val="0"/>
                <w:numId w:val="5"/>
              </w:num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末级功放</w:t>
            </w:r>
            <w:r>
              <w:rPr>
                <w:rFonts w:hint="default" w:ascii="Times New Roman" w:hAnsi="Times New Roman" w:cs="Times New Roman"/>
                <w:color w:val="auto"/>
                <w:sz w:val="24"/>
                <w:lang w:eastAsia="zh-CN"/>
              </w:rPr>
              <w:t>散热</w:t>
            </w:r>
            <w:r>
              <w:rPr>
                <w:rFonts w:hint="default" w:ascii="Times New Roman" w:hAnsi="Times New Roman" w:cs="Times New Roman"/>
                <w:color w:val="auto"/>
                <w:sz w:val="24"/>
              </w:rPr>
              <w:t>采用高性能200mm的轴流风机低压风机，功耗低，噪声小。</w:t>
            </w:r>
          </w:p>
          <w:p>
            <w:pPr>
              <w:numPr>
                <w:ilvl w:val="0"/>
                <w:numId w:val="5"/>
              </w:num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具有完善的过流、过压、过温、欠压、缺相机驻波比保护系统和完善的故障声、光告警系统和完善可靠的避雷措施；具有良好的防尘、防雾措施，耐高温等性能。</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广播电视发射塔由室内设备和室外天线两部分组成。室内设备在设计制造时已采取屏蔽措施，对周围环境产生电磁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较小。室外部分主要设备有发射天线和馈线。拟建广播电视发射塔电视信号及广播信号使用不同的天线发射。广播电视发射塔运行时，发射天线向周围发射电磁波，导致周围环境电场强度（功率密度）增高。</w:t>
            </w:r>
          </w:p>
          <w:p>
            <w:pPr>
              <w:spacing w:line="36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rPr>
              <w:t>影响电磁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大小的因素：</w:t>
            </w:r>
            <w:r>
              <w:rPr>
                <w:rFonts w:hint="default" w:ascii="Times New Roman" w:hAnsi="Times New Roman" w:cs="Times New Roman"/>
                <w:color w:val="auto"/>
                <w:sz w:val="24"/>
                <w:szCs w:val="20"/>
              </w:rPr>
              <w:t>项目主要电磁影响环节是台站发射天线。发射天线产生的电磁</w:t>
            </w:r>
            <w:r>
              <w:rPr>
                <w:rFonts w:hint="default" w:ascii="Times New Roman" w:hAnsi="Times New Roman" w:cs="Times New Roman"/>
                <w:color w:val="auto"/>
                <w:sz w:val="24"/>
                <w:szCs w:val="20"/>
                <w:lang w:eastAsia="zh-CN"/>
              </w:rPr>
              <w:t>影响</w:t>
            </w:r>
            <w:r>
              <w:rPr>
                <w:rFonts w:hint="default" w:ascii="Times New Roman" w:hAnsi="Times New Roman" w:cs="Times New Roman"/>
                <w:color w:val="auto"/>
                <w:sz w:val="24"/>
                <w:szCs w:val="20"/>
              </w:rPr>
              <w:t>大小与诸多因素相关，包括发射频率、发射功率、天线形式、天线增益、系统损耗及台站多频系统等。</w:t>
            </w:r>
          </w:p>
          <w:p>
            <w:pPr>
              <w:numPr>
                <w:ilvl w:val="0"/>
                <w:numId w:val="6"/>
              </w:numPr>
              <w:spacing w:line="360" w:lineRule="auto"/>
              <w:ind w:lef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发射功率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发射天线发射的信号强度与诸多因素相关，发射功率是其中的主要因素之一。发射信号功率大小直接关系节目信号的覆盖范围，信号功率大小也直接关系发射塔电磁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的大小。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本项目发射机配备见下表5-1。</w:t>
            </w:r>
          </w:p>
          <w:p>
            <w:pPr>
              <w:spacing w:line="360" w:lineRule="auto"/>
              <w:ind w:firstLine="480" w:firstLineChars="2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表5-1  发射机配备表</w:t>
            </w:r>
          </w:p>
          <w:tbl>
            <w:tblPr>
              <w:tblStyle w:val="16"/>
              <w:tblW w:w="8320"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63"/>
              <w:gridCol w:w="1664"/>
              <w:gridCol w:w="1664"/>
              <w:gridCol w:w="1665"/>
              <w:gridCol w:w="166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30" w:hRule="atLeast"/>
              </w:trPr>
              <w:tc>
                <w:tcPr>
                  <w:tcW w:w="16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节目名称</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发射频点、频道</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发射机功率</w:t>
                  </w:r>
                </w:p>
              </w:tc>
              <w:tc>
                <w:tcPr>
                  <w:tcW w:w="166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发射机价格</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30" w:hRule="atLeast"/>
              </w:trPr>
              <w:tc>
                <w:tcPr>
                  <w:tcW w:w="1663" w:type="dxa"/>
                  <w:tcBorders>
                    <w:tl2br w:val="nil"/>
                    <w:tr2bl w:val="nil"/>
                  </w:tcBorders>
                  <w:vAlign w:val="center"/>
                </w:tcPr>
                <w:p>
                  <w:pPr>
                    <w:jc w:val="center"/>
                    <w:rPr>
                      <w:rFonts w:hint="default" w:ascii="Times New Roman" w:hAnsi="Times New Roman" w:cs="Times New Roman"/>
                      <w:bCs/>
                      <w:color w:val="auto"/>
                      <w:szCs w:val="21"/>
                    </w:rPr>
                  </w:pPr>
                  <w:bookmarkStart w:id="89" w:name="OLE_LINK12" w:colFirst="1" w:colLast="1"/>
                  <w:r>
                    <w:rPr>
                      <w:rFonts w:hint="default" w:ascii="Times New Roman" w:hAnsi="Times New Roman" w:cs="Times New Roman"/>
                      <w:bCs/>
                      <w:color w:val="auto"/>
                      <w:szCs w:val="21"/>
                    </w:rPr>
                    <w:t>调频广播</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104MHz</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1000</w:t>
                  </w:r>
                  <w:r>
                    <w:rPr>
                      <w:rFonts w:hint="default" w:ascii="Times New Roman" w:hAnsi="Times New Roman" w:cs="Times New Roman"/>
                      <w:bCs/>
                      <w:color w:val="auto"/>
                      <w:szCs w:val="21"/>
                    </w:rPr>
                    <w:t>w</w:t>
                  </w:r>
                </w:p>
              </w:tc>
              <w:tc>
                <w:tcPr>
                  <w:tcW w:w="166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16万元</w:t>
                  </w:r>
                </w:p>
              </w:tc>
              <w:tc>
                <w:tcPr>
                  <w:tcW w:w="1664" w:type="dxa"/>
                  <w:tcBorders>
                    <w:tl2br w:val="nil"/>
                    <w:tr2bl w:val="nil"/>
                  </w:tcBorders>
                  <w:vAlign w:val="center"/>
                </w:tcPr>
                <w:p>
                  <w:pPr>
                    <w:jc w:val="center"/>
                    <w:rPr>
                      <w:rFonts w:hint="default" w:ascii="Times New Roman" w:hAnsi="Times New Roman" w:cs="Times New Roman"/>
                      <w:bCs/>
                      <w:color w:val="auto"/>
                      <w:szCs w:val="21"/>
                    </w:rPr>
                  </w:pPr>
                  <w:bookmarkStart w:id="90" w:name="OLE_LINK11"/>
                  <w:r>
                    <w:rPr>
                      <w:rFonts w:hint="default" w:ascii="Times New Roman" w:hAnsi="Times New Roman" w:cs="Times New Roman"/>
                      <w:bCs/>
                      <w:color w:val="auto"/>
                      <w:szCs w:val="21"/>
                    </w:rPr>
                    <w:t>两台，一用一备</w:t>
                  </w:r>
                  <w:bookmarkEnd w:id="90"/>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30" w:hRule="atLeast"/>
              </w:trPr>
              <w:tc>
                <w:tcPr>
                  <w:tcW w:w="16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县电视台</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9频道</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1000</w:t>
                  </w:r>
                  <w:r>
                    <w:rPr>
                      <w:rFonts w:hint="default" w:ascii="Times New Roman" w:hAnsi="Times New Roman" w:cs="Times New Roman"/>
                      <w:bCs/>
                      <w:color w:val="auto"/>
                      <w:szCs w:val="21"/>
                    </w:rPr>
                    <w:t>w</w:t>
                  </w:r>
                </w:p>
              </w:tc>
              <w:tc>
                <w:tcPr>
                  <w:tcW w:w="166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16万元</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两台，一用一备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30" w:hRule="atLeast"/>
              </w:trPr>
              <w:tc>
                <w:tcPr>
                  <w:tcW w:w="16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中央一台</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20频道</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r>
                    <w:rPr>
                      <w:rFonts w:hint="default" w:ascii="Times New Roman" w:hAnsi="Times New Roman" w:cs="Times New Roman"/>
                      <w:bCs/>
                      <w:color w:val="auto"/>
                      <w:szCs w:val="21"/>
                      <w:lang w:val="en-US" w:eastAsia="zh-CN"/>
                    </w:rPr>
                    <w:t>000</w:t>
                  </w:r>
                  <w:r>
                    <w:rPr>
                      <w:rFonts w:hint="default" w:ascii="Times New Roman" w:hAnsi="Times New Roman" w:cs="Times New Roman"/>
                      <w:bCs/>
                      <w:color w:val="auto"/>
                      <w:szCs w:val="21"/>
                    </w:rPr>
                    <w:t>w</w:t>
                  </w:r>
                </w:p>
              </w:tc>
              <w:tc>
                <w:tcPr>
                  <w:tcW w:w="166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上级调拨</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两台，一用一备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30" w:hRule="atLeast"/>
              </w:trPr>
              <w:tc>
                <w:tcPr>
                  <w:tcW w:w="16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中央七台</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26频道</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r>
                    <w:rPr>
                      <w:rFonts w:hint="default" w:ascii="Times New Roman" w:hAnsi="Times New Roman" w:cs="Times New Roman"/>
                      <w:bCs/>
                      <w:color w:val="auto"/>
                      <w:szCs w:val="21"/>
                      <w:lang w:val="en-US" w:eastAsia="zh-CN"/>
                    </w:rPr>
                    <w:t>000</w:t>
                  </w:r>
                  <w:r>
                    <w:rPr>
                      <w:rFonts w:hint="default" w:ascii="Times New Roman" w:hAnsi="Times New Roman" w:cs="Times New Roman"/>
                      <w:bCs/>
                      <w:color w:val="auto"/>
                      <w:szCs w:val="21"/>
                    </w:rPr>
                    <w:t>w</w:t>
                  </w:r>
                </w:p>
              </w:tc>
              <w:tc>
                <w:tcPr>
                  <w:tcW w:w="166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上级调拨</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两台，一用一备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30" w:hRule="atLeast"/>
              </w:trPr>
              <w:tc>
                <w:tcPr>
                  <w:tcW w:w="16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数字电视</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15频道</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r>
                    <w:rPr>
                      <w:rFonts w:hint="default" w:ascii="Times New Roman" w:hAnsi="Times New Roman" w:cs="Times New Roman"/>
                      <w:bCs/>
                      <w:color w:val="auto"/>
                      <w:szCs w:val="21"/>
                      <w:lang w:val="en-US" w:eastAsia="zh-CN"/>
                    </w:rPr>
                    <w:t>000</w:t>
                  </w:r>
                  <w:r>
                    <w:rPr>
                      <w:rFonts w:hint="default" w:ascii="Times New Roman" w:hAnsi="Times New Roman" w:cs="Times New Roman"/>
                      <w:bCs/>
                      <w:color w:val="auto"/>
                      <w:szCs w:val="21"/>
                    </w:rPr>
                    <w:t>w</w:t>
                  </w:r>
                </w:p>
              </w:tc>
              <w:tc>
                <w:tcPr>
                  <w:tcW w:w="166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上级调拨</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两台，一用一备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trPr>
              <w:tc>
                <w:tcPr>
                  <w:tcW w:w="1663"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数字电视</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43频道</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r>
                    <w:rPr>
                      <w:rFonts w:hint="default" w:ascii="Times New Roman" w:hAnsi="Times New Roman" w:cs="Times New Roman"/>
                      <w:bCs/>
                      <w:color w:val="auto"/>
                      <w:szCs w:val="21"/>
                      <w:lang w:val="en-US" w:eastAsia="zh-CN"/>
                    </w:rPr>
                    <w:t>000</w:t>
                  </w:r>
                  <w:r>
                    <w:rPr>
                      <w:rFonts w:hint="default" w:ascii="Times New Roman" w:hAnsi="Times New Roman" w:cs="Times New Roman"/>
                      <w:bCs/>
                      <w:color w:val="auto"/>
                      <w:szCs w:val="21"/>
                    </w:rPr>
                    <w:t>w</w:t>
                  </w:r>
                </w:p>
              </w:tc>
              <w:tc>
                <w:tcPr>
                  <w:tcW w:w="1665"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上级调拨</w:t>
                  </w:r>
                </w:p>
              </w:tc>
              <w:tc>
                <w:tcPr>
                  <w:tcW w:w="16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两台，一用一备</w:t>
                  </w:r>
                </w:p>
              </w:tc>
            </w:tr>
            <w:bookmarkEnd w:id="89"/>
          </w:tbl>
          <w:p>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注：调频广播和县电视台需添置新发射机，原发射机作为备机。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（2）项目发射天线</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本项目调频广播、20频道、26频道、15频道和43频道采用偶极板天线。其中20频道和26频道</w:t>
            </w:r>
            <w:bookmarkStart w:id="91" w:name="OLE_LINK54"/>
            <w:r>
              <w:rPr>
                <w:rFonts w:hint="default" w:ascii="Times New Roman" w:hAnsi="Times New Roman" w:cs="Times New Roman"/>
                <w:color w:val="auto"/>
                <w:sz w:val="24"/>
              </w:rPr>
              <w:t>共用1副天线</w:t>
            </w:r>
            <w:bookmarkEnd w:id="91"/>
            <w:r>
              <w:rPr>
                <w:rFonts w:hint="default" w:ascii="Times New Roman" w:hAnsi="Times New Roman" w:cs="Times New Roman"/>
                <w:color w:val="auto"/>
                <w:sz w:val="24"/>
              </w:rPr>
              <w:t>。15频道、43频道共用1副天线</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偶极板天线具有频带宽、增益高，容易调试等特点，且改换频点无需更换天线。</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茶陵县电视台9频道采用一副缝隙天线。缝隙天线具有带宽窄（小于50MHz），增益高等特点，使用于单频点。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具体天线配置如下表5-2。</w:t>
            </w:r>
          </w:p>
          <w:p>
            <w:pPr>
              <w:spacing w:line="360" w:lineRule="auto"/>
              <w:ind w:firstLine="480" w:firstLineChars="2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表5-2  天线配置表</w:t>
            </w:r>
          </w:p>
          <w:tbl>
            <w:tblPr>
              <w:tblStyle w:val="16"/>
              <w:tblW w:w="840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3360"/>
              <w:gridCol w:w="1681"/>
              <w:gridCol w:w="1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679"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频点或频道</w:t>
                  </w:r>
                </w:p>
              </w:tc>
              <w:tc>
                <w:tcPr>
                  <w:tcW w:w="336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天线形式</w:t>
                  </w:r>
                </w:p>
              </w:tc>
              <w:tc>
                <w:tcPr>
                  <w:tcW w:w="168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增益</w:t>
                  </w:r>
                </w:p>
              </w:tc>
              <w:tc>
                <w:tcPr>
                  <w:tcW w:w="168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价格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679"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FM104</w:t>
                  </w:r>
                </w:p>
              </w:tc>
              <w:tc>
                <w:tcPr>
                  <w:tcW w:w="336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 w:val="24"/>
                    </w:rPr>
                    <w:t>四层</w:t>
                  </w:r>
                  <w:bookmarkStart w:id="92" w:name="OLE_LINK13"/>
                  <w:r>
                    <w:rPr>
                      <w:rFonts w:hint="default" w:ascii="Times New Roman" w:hAnsi="Times New Roman" w:cs="Times New Roman"/>
                      <w:color w:val="auto"/>
                      <w:sz w:val="24"/>
                    </w:rPr>
                    <w:t>垂直极化天线</w:t>
                  </w:r>
                  <w:bookmarkEnd w:id="92"/>
                </w:p>
              </w:tc>
              <w:tc>
                <w:tcPr>
                  <w:tcW w:w="1681" w:type="dxa"/>
                  <w:tcBorders>
                    <w:tl2br w:val="nil"/>
                    <w:tr2bl w:val="nil"/>
                  </w:tcBorders>
                  <w:vAlign w:val="center"/>
                </w:tcPr>
                <w:p>
                  <w:pPr>
                    <w:jc w:val="center"/>
                    <w:rPr>
                      <w:rFonts w:hint="default" w:ascii="Times New Roman" w:hAnsi="Times New Roman" w:cs="Times New Roman"/>
                      <w:bCs/>
                      <w:color w:val="auto"/>
                      <w:szCs w:val="21"/>
                    </w:rPr>
                  </w:pPr>
                  <w:bookmarkStart w:id="93" w:name="OLE_LINK14"/>
                  <w:r>
                    <w:rPr>
                      <w:rFonts w:hint="default" w:ascii="Times New Roman" w:hAnsi="Times New Roman" w:cs="Times New Roman"/>
                      <w:bCs/>
                      <w:color w:val="auto"/>
                      <w:szCs w:val="21"/>
                    </w:rPr>
                    <w:t>8.5dB</w:t>
                  </w:r>
                  <w:bookmarkEnd w:id="93"/>
                  <w:r>
                    <w:rPr>
                      <w:rFonts w:hint="default" w:ascii="Times New Roman" w:hAnsi="Times New Roman" w:cs="Times New Roman"/>
                      <w:bCs/>
                      <w:color w:val="auto"/>
                      <w:szCs w:val="21"/>
                      <w:lang w:val="en-US" w:eastAsia="zh-CN"/>
                    </w:rPr>
                    <w:t>d</w:t>
                  </w:r>
                </w:p>
              </w:tc>
              <w:tc>
                <w:tcPr>
                  <w:tcW w:w="168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679"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9频道</w:t>
                  </w:r>
                </w:p>
              </w:tc>
              <w:tc>
                <w:tcPr>
                  <w:tcW w:w="336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 w:val="24"/>
                    </w:rPr>
                    <w:t>缝隙天线</w:t>
                  </w:r>
                </w:p>
              </w:tc>
              <w:tc>
                <w:tcPr>
                  <w:tcW w:w="168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8dB</w:t>
                  </w:r>
                  <w:r>
                    <w:rPr>
                      <w:rFonts w:hint="default" w:ascii="Times New Roman" w:hAnsi="Times New Roman" w:cs="Times New Roman"/>
                      <w:bCs/>
                      <w:color w:val="auto"/>
                      <w:szCs w:val="21"/>
                      <w:lang w:val="en-US" w:eastAsia="zh-CN"/>
                    </w:rPr>
                    <w:t>d</w:t>
                  </w:r>
                </w:p>
              </w:tc>
              <w:tc>
                <w:tcPr>
                  <w:tcW w:w="168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47" w:hRule="atLeast"/>
                <w:jc w:val="center"/>
              </w:trPr>
              <w:tc>
                <w:tcPr>
                  <w:tcW w:w="1679"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20频道、26频道</w:t>
                  </w:r>
                </w:p>
              </w:tc>
              <w:tc>
                <w:tcPr>
                  <w:tcW w:w="336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 w:val="24"/>
                    </w:rPr>
                    <w:t>四层四</w:t>
                  </w:r>
                  <w:bookmarkStart w:id="94" w:name="OLE_LINK26"/>
                  <w:r>
                    <w:rPr>
                      <w:rFonts w:hint="default" w:ascii="Times New Roman" w:hAnsi="Times New Roman" w:cs="Times New Roman"/>
                      <w:color w:val="auto"/>
                      <w:sz w:val="24"/>
                    </w:rPr>
                    <w:t>偶极子板</w:t>
                  </w:r>
                  <w:bookmarkEnd w:id="94"/>
                  <w:r>
                    <w:rPr>
                      <w:rFonts w:hint="default" w:ascii="Times New Roman" w:hAnsi="Times New Roman" w:cs="Times New Roman"/>
                      <w:color w:val="auto"/>
                      <w:sz w:val="24"/>
                    </w:rPr>
                    <w:t>天线</w:t>
                  </w:r>
                </w:p>
              </w:tc>
              <w:tc>
                <w:tcPr>
                  <w:tcW w:w="168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12dB</w:t>
                  </w:r>
                  <w:r>
                    <w:rPr>
                      <w:rFonts w:hint="default" w:ascii="Times New Roman" w:hAnsi="Times New Roman" w:cs="Times New Roman"/>
                      <w:bCs/>
                      <w:color w:val="auto"/>
                      <w:szCs w:val="21"/>
                      <w:lang w:val="en-US" w:eastAsia="zh-CN"/>
                    </w:rPr>
                    <w:t>i</w:t>
                  </w:r>
                </w:p>
              </w:tc>
              <w:tc>
                <w:tcPr>
                  <w:tcW w:w="168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上级调拨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679" w:type="dxa"/>
                  <w:tcBorders>
                    <w:tl2br w:val="nil"/>
                    <w:tr2bl w:val="nil"/>
                  </w:tcBorders>
                  <w:vAlign w:val="center"/>
                </w:tcPr>
                <w:p>
                  <w:pPr>
                    <w:jc w:val="center"/>
                    <w:rPr>
                      <w:rFonts w:hint="default" w:ascii="Times New Roman" w:hAnsi="Times New Roman" w:cs="Times New Roman"/>
                      <w:bCs/>
                      <w:color w:val="auto"/>
                      <w:szCs w:val="21"/>
                    </w:rPr>
                  </w:pPr>
                  <w:bookmarkStart w:id="95" w:name="OLE_LINK15"/>
                  <w:r>
                    <w:rPr>
                      <w:rFonts w:hint="default" w:ascii="Times New Roman" w:hAnsi="Times New Roman" w:cs="Times New Roman"/>
                      <w:bCs/>
                      <w:color w:val="auto"/>
                      <w:szCs w:val="21"/>
                    </w:rPr>
                    <w:t>15频道、43频道</w:t>
                  </w:r>
                  <w:bookmarkEnd w:id="95"/>
                </w:p>
              </w:tc>
              <w:tc>
                <w:tcPr>
                  <w:tcW w:w="336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 w:val="24"/>
                    </w:rPr>
                    <w:t>四层四偶极子板天线</w:t>
                  </w:r>
                </w:p>
              </w:tc>
              <w:tc>
                <w:tcPr>
                  <w:tcW w:w="168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12dB</w:t>
                  </w:r>
                  <w:r>
                    <w:rPr>
                      <w:rFonts w:hint="default" w:ascii="Times New Roman" w:hAnsi="Times New Roman" w:cs="Times New Roman"/>
                      <w:bCs/>
                      <w:color w:val="auto"/>
                      <w:szCs w:val="21"/>
                      <w:lang w:val="en-US" w:eastAsia="zh-CN"/>
                    </w:rPr>
                    <w:t>i</w:t>
                  </w:r>
                </w:p>
              </w:tc>
              <w:tc>
                <w:tcPr>
                  <w:tcW w:w="168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上级调拨</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（3）天线架设方式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本项目发射塔处海拔高度330m，发射塔采用落地铁塔形式，塔高50m（不含桅杆），总高63.5m。如图所示：</w:t>
            </w: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4210685" cy="5201285"/>
                  <wp:effectExtent l="0" t="0" r="18415" b="18415"/>
                  <wp:docPr id="7" name="图片 7" descr="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副本"/>
                          <pic:cNvPicPr>
                            <a:picLocks noChangeAspect="1"/>
                          </pic:cNvPicPr>
                        </pic:nvPicPr>
                        <pic:blipFill>
                          <a:blip r:embed="rId14"/>
                          <a:stretch>
                            <a:fillRect/>
                          </a:stretch>
                        </pic:blipFill>
                        <pic:spPr>
                          <a:xfrm>
                            <a:off x="0" y="0"/>
                            <a:ext cx="4210685" cy="5201285"/>
                          </a:xfrm>
                          <a:prstGeom prst="rect">
                            <a:avLst/>
                          </a:prstGeom>
                        </pic:spPr>
                      </pic:pic>
                    </a:graphicData>
                  </a:graphic>
                </wp:inline>
              </w:drawing>
            </w:r>
          </w:p>
          <w:p>
            <w:pPr>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eastAsia="黑体" w:cs="Times New Roman"/>
                <w:color w:val="auto"/>
                <w:sz w:val="24"/>
              </w:rPr>
              <w:t>图5-2  塔形图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8555" w:type="dxa"/>
          </w:tcPr>
          <w:p>
            <w:pPr>
              <w:spacing w:line="360" w:lineRule="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主要污染工序：</w:t>
            </w:r>
          </w:p>
          <w:p>
            <w:pPr>
              <w:spacing w:before="156" w:beforeLines="50" w:after="156" w:afterLines="50" w:line="360" w:lineRule="auto"/>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一、施工期</w:t>
            </w:r>
          </w:p>
          <w:p>
            <w:pPr>
              <w:spacing w:before="156" w:beforeLines="50" w:after="156" w:afterLines="50"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土石方（挖方、填方）、地基处理与基础施工过程中，施工机械主要有打桩机、挖掘机、搅拌机、运土卡车等，会产生噪声。施工机械运行将产生机械尾气，同时有扬尘产生。施工地面填挖、场地平整将破坏原地貌及植被，加剧水土流失，但随着施工结束及各项水土保持措施实施后将逐渐消失。项目开挖土石方全部用于回填和场内周转，基本不会产生弃土。</w:t>
            </w:r>
          </w:p>
          <w:p>
            <w:pPr>
              <w:spacing w:before="156" w:beforeLines="50" w:after="156" w:afterLines="50"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给水系统</w:t>
            </w:r>
            <w:r>
              <w:rPr>
                <w:rFonts w:hint="default" w:ascii="Times New Roman" w:hAnsi="Times New Roman" w:cs="Times New Roman"/>
                <w:color w:val="auto"/>
                <w:sz w:val="24"/>
                <w:lang w:val="en-US" w:eastAsia="zh-CN"/>
              </w:rPr>
              <w:t>和供配电施工过程中，开挖和填满管道以及安装电线杆，将破环沿线的绿化植物，施工机械产生噪声，同时产生一定量的弃土弃渣和扬尘</w:t>
            </w:r>
            <w:r>
              <w:rPr>
                <w:rFonts w:hint="eastAsia" w:ascii="Times New Roman" w:hAnsi="Times New Roman" w:cs="Times New Roman"/>
                <w:color w:val="auto"/>
                <w:sz w:val="24"/>
                <w:lang w:val="en-US" w:eastAsia="zh-CN"/>
              </w:rPr>
              <w:t>，造成水土流失</w:t>
            </w:r>
            <w:r>
              <w:rPr>
                <w:rFonts w:hint="default" w:ascii="Times New Roman" w:hAnsi="Times New Roman" w:cs="Times New Roman"/>
                <w:color w:val="auto"/>
                <w:sz w:val="24"/>
                <w:lang w:val="en-US" w:eastAsia="zh-CN"/>
              </w:rPr>
              <w:t>。</w:t>
            </w:r>
          </w:p>
          <w:p>
            <w:pPr>
              <w:spacing w:before="156" w:beforeLines="50" w:after="156" w:afterLines="50"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混凝土搅拌机运行会产生噪声，同时产生建筑垃圾和生产废水。建筑垃圾全部送当地的建筑垃圾填埋场填埋，生产废水经临时沉淀池处理后用于场地洒水抑尘。</w:t>
            </w:r>
          </w:p>
          <w:p>
            <w:pPr>
              <w:spacing w:before="156" w:beforeLines="50" w:after="156" w:afterLines="50"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在对构筑物的室内外进行装修与设备安装时，钻机、电锤、切割机等产生噪声，同时产生少量的废弃物料。</w:t>
            </w:r>
          </w:p>
          <w:p>
            <w:pPr>
              <w:spacing w:before="156" w:beforeLines="50" w:after="156" w:afterLines="50"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土建施工期约有26人施工，总施工期约为6个月。施工人员就餐和居住都在山下民房，生活垃圾和污水利用原有设施处理。</w:t>
            </w:r>
          </w:p>
          <w:p>
            <w:pPr>
              <w:spacing w:before="156" w:beforeLines="50" w:after="156" w:afterLines="50" w:line="360" w:lineRule="auto"/>
              <w:ind w:firstLine="48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4"/>
              </w:rPr>
              <w:t>本项目在施工活动中，会产生施工噪声、施工弃土、施工扬尘和少量的废水及废气，对环境存在一定的影响。但只要建设方在施工期严格按照有关要求进行施工，就可以使其对环境的影响降至最小程度。一旦施工结束，其对环境的影响即可消除</w:t>
            </w:r>
            <w:r>
              <w:rPr>
                <w:rFonts w:hint="default" w:ascii="Times New Roman" w:hAnsi="Times New Roman" w:cs="Times New Roman" w:eastAsiaTheme="minorEastAsia"/>
                <w:color w:val="auto"/>
                <w:sz w:val="28"/>
                <w:szCs w:val="28"/>
              </w:rPr>
              <w:t>。</w:t>
            </w:r>
          </w:p>
          <w:p>
            <w:pPr>
              <w:spacing w:before="156" w:beforeLines="50" w:after="156" w:afterLines="50" w:line="360" w:lineRule="auto"/>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二、运营期</w:t>
            </w:r>
          </w:p>
          <w:p>
            <w:pPr>
              <w:spacing w:before="156" w:beforeLines="50" w:after="156" w:afterLines="50" w:line="360" w:lineRule="auto"/>
              <w:ind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1、水环境和固体废物影响</w:t>
            </w:r>
          </w:p>
          <w:p>
            <w:pPr>
              <w:spacing w:before="156" w:beforeLines="50" w:after="156" w:afterLines="50" w:line="360" w:lineRule="auto"/>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rPr>
              <w:t>根据建设单位提供的资料，本项</w:t>
            </w:r>
            <w:r>
              <w:rPr>
                <w:rFonts w:hint="default" w:ascii="Times New Roman" w:hAnsi="Times New Roman" w:cs="Times New Roman"/>
                <w:color w:val="auto"/>
                <w:sz w:val="24"/>
              </w:rPr>
              <w:t>常驻人员4人</w:t>
            </w:r>
            <w:r>
              <w:rPr>
                <w:rFonts w:hint="default" w:ascii="Times New Roman" w:hAnsi="Times New Roman" w:cs="Times New Roman" w:eastAsiaTheme="minorEastAsia"/>
                <w:color w:val="auto"/>
                <w:sz w:val="24"/>
              </w:rPr>
              <w:t>，</w:t>
            </w:r>
            <w:r>
              <w:rPr>
                <w:rFonts w:hint="default" w:ascii="Times New Roman" w:hAnsi="Times New Roman" w:cs="Times New Roman"/>
                <w:color w:val="auto"/>
                <w:sz w:val="24"/>
              </w:rPr>
              <w:t>生活垃圾产生系数为0.35（kg/人.天)，则产生生活垃圾0.7kg/d（256kg/a）。污水来源主要为</w:t>
            </w:r>
            <w:r>
              <w:rPr>
                <w:rFonts w:hint="default" w:ascii="Times New Roman" w:hAnsi="Times New Roman" w:cs="Times New Roman" w:eastAsiaTheme="minorEastAsia"/>
                <w:color w:val="auto"/>
                <w:sz w:val="24"/>
              </w:rPr>
              <w:t>员工卫生清洁用水和厨房含油废水，</w:t>
            </w:r>
            <w:r>
              <w:rPr>
                <w:rFonts w:hint="default" w:ascii="Times New Roman" w:hAnsi="Times New Roman" w:cs="Times New Roman"/>
                <w:color w:val="auto"/>
                <w:sz w:val="24"/>
              </w:rPr>
              <w:t>用水</w:t>
            </w:r>
            <w:r>
              <w:rPr>
                <w:rFonts w:hint="default" w:ascii="Times New Roman" w:hAnsi="Times New Roman" w:cs="Times New Roman"/>
                <w:color w:val="auto"/>
                <w:sz w:val="24"/>
                <w:lang w:eastAsia="zh-CN"/>
              </w:rPr>
              <w:t>量按</w:t>
            </w:r>
            <w:r>
              <w:rPr>
                <w:rFonts w:hint="default" w:ascii="Times New Roman" w:hAnsi="Times New Roman" w:cs="Times New Roman"/>
                <w:color w:val="auto"/>
                <w:sz w:val="24"/>
              </w:rPr>
              <w:t>300L/</w:t>
            </w:r>
            <w:r>
              <w:rPr>
                <w:rFonts w:hint="default" w:ascii="Times New Roman" w:hAnsi="Times New Roman" w:cs="Times New Roman"/>
                <w:color w:val="auto"/>
                <w:sz w:val="24"/>
                <w:lang w:eastAsia="zh-CN"/>
              </w:rPr>
              <w:t>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d计算</w:t>
            </w:r>
            <w:r>
              <w:rPr>
                <w:rFonts w:hint="default" w:ascii="Times New Roman" w:hAnsi="Times New Roman" w:cs="Times New Roman"/>
                <w:color w:val="auto"/>
                <w:sz w:val="24"/>
              </w:rPr>
              <w:t>，污水</w:t>
            </w:r>
            <w:r>
              <w:rPr>
                <w:rFonts w:hint="default" w:ascii="Times New Roman" w:hAnsi="Times New Roman" w:cs="Times New Roman"/>
                <w:color w:val="auto"/>
                <w:sz w:val="24"/>
                <w:lang w:eastAsia="zh-CN"/>
              </w:rPr>
              <w:t>产生</w:t>
            </w:r>
            <w:r>
              <w:rPr>
                <w:rFonts w:hint="default" w:ascii="Times New Roman" w:hAnsi="Times New Roman" w:cs="Times New Roman"/>
                <w:color w:val="auto"/>
                <w:sz w:val="24"/>
              </w:rPr>
              <w:t>量按用水量的90%计，</w:t>
            </w:r>
            <w:r>
              <w:rPr>
                <w:rFonts w:hint="default" w:ascii="Times New Roman" w:hAnsi="Times New Roman" w:cs="Times New Roman" w:eastAsiaTheme="minorEastAsia"/>
                <w:color w:val="auto"/>
                <w:sz w:val="24"/>
              </w:rPr>
              <w:t>排放量约为</w:t>
            </w:r>
            <w:r>
              <w:rPr>
                <w:rFonts w:hint="default" w:ascii="Times New Roman" w:hAnsi="Times New Roman" w:cs="Times New Roman"/>
                <w:color w:val="auto"/>
                <w:sz w:val="24"/>
              </w:rPr>
              <w:t>1.1</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color w:val="auto"/>
                <w:sz w:val="24"/>
              </w:rPr>
              <w:t>/d（402</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eastAsiaTheme="minorEastAsia"/>
                <w:color w:val="auto"/>
                <w:sz w:val="24"/>
              </w:rPr>
              <w:t>。本项目产生废水量小，废水中的主要污染物为：COD、BOD、SS、NH</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sz w:val="24"/>
              </w:rPr>
              <w:t>、动植物油。</w:t>
            </w:r>
            <w:r>
              <w:rPr>
                <w:rFonts w:hint="default" w:ascii="Times New Roman" w:hAnsi="Times New Roman" w:cs="Times New Roman" w:eastAsiaTheme="minorEastAsia"/>
                <w:color w:val="auto"/>
                <w:sz w:val="24"/>
                <w:u w:val="single"/>
              </w:rPr>
              <w:t>本项目</w:t>
            </w:r>
            <w:r>
              <w:rPr>
                <w:rFonts w:hint="default" w:ascii="Times New Roman" w:hAnsi="Times New Roman" w:cs="Times New Roman" w:eastAsiaTheme="minorEastAsia"/>
                <w:color w:val="auto"/>
                <w:sz w:val="24"/>
                <w:u w:val="single"/>
                <w:lang w:eastAsia="zh-CN"/>
              </w:rPr>
              <w:t>场地处于山地地形，无市政排水系统，环评要求建设方将污水收集处理后全部用于场地绿化，不外排。污水</w:t>
            </w:r>
            <w:r>
              <w:rPr>
                <w:rFonts w:hint="eastAsia" w:cs="Times New Roman" w:eastAsiaTheme="minorEastAsia"/>
                <w:color w:val="auto"/>
                <w:sz w:val="24"/>
                <w:u w:val="single"/>
                <w:lang w:eastAsia="zh-CN"/>
              </w:rPr>
              <w:t>可</w:t>
            </w:r>
            <w:r>
              <w:rPr>
                <w:rFonts w:hint="default" w:ascii="Times New Roman" w:hAnsi="Times New Roman" w:cs="Times New Roman" w:eastAsiaTheme="minorEastAsia"/>
                <w:color w:val="auto"/>
                <w:sz w:val="24"/>
                <w:u w:val="single"/>
                <w:lang w:eastAsia="zh-CN"/>
              </w:rPr>
              <w:t>采用地埋式</w:t>
            </w:r>
            <w:r>
              <w:rPr>
                <w:rFonts w:hint="eastAsia" w:cs="Times New Roman" w:eastAsiaTheme="minorEastAsia"/>
                <w:color w:val="auto"/>
                <w:sz w:val="24"/>
                <w:u w:val="single"/>
                <w:lang w:eastAsia="zh-CN"/>
              </w:rPr>
              <w:t>三级化粪池处理</w:t>
            </w:r>
            <w:r>
              <w:rPr>
                <w:rFonts w:hint="default" w:ascii="Times New Roman" w:hAnsi="Times New Roman" w:cs="Times New Roman" w:eastAsiaTheme="minorEastAsia"/>
                <w:color w:val="auto"/>
                <w:sz w:val="24"/>
                <w:u w:val="single"/>
                <w:lang w:eastAsia="zh-CN"/>
              </w:rPr>
              <w:t>，经过</w:t>
            </w:r>
            <w:r>
              <w:rPr>
                <w:rFonts w:hint="eastAsia" w:cs="Times New Roman" w:eastAsiaTheme="minorEastAsia"/>
                <w:color w:val="auto"/>
                <w:sz w:val="24"/>
                <w:u w:val="single"/>
                <w:lang w:eastAsia="zh-CN"/>
              </w:rPr>
              <w:t>一级池</w:t>
            </w:r>
            <w:r>
              <w:rPr>
                <w:rFonts w:hint="default" w:ascii="Times New Roman" w:hAnsi="Times New Roman" w:cs="Times New Roman" w:eastAsiaTheme="minorEastAsia"/>
                <w:color w:val="auto"/>
                <w:sz w:val="24"/>
                <w:u w:val="single"/>
                <w:lang w:eastAsia="zh-CN"/>
              </w:rPr>
              <w:t>沉淀</w:t>
            </w:r>
            <w:r>
              <w:rPr>
                <w:rFonts w:hint="eastAsia" w:cs="Times New Roman" w:eastAsiaTheme="minorEastAsia"/>
                <w:color w:val="auto"/>
                <w:sz w:val="24"/>
                <w:u w:val="single"/>
                <w:lang w:val="en-US" w:eastAsia="zh-CN"/>
              </w:rPr>
              <w:t>+二级池</w:t>
            </w:r>
            <w:r>
              <w:rPr>
                <w:rFonts w:hint="default" w:ascii="Times New Roman" w:hAnsi="Times New Roman" w:cs="Times New Roman" w:eastAsiaTheme="minorEastAsia"/>
                <w:color w:val="auto"/>
                <w:sz w:val="24"/>
                <w:u w:val="single"/>
                <w:lang w:val="en-US" w:eastAsia="zh-CN"/>
              </w:rPr>
              <w:t>过滤+</w:t>
            </w:r>
            <w:r>
              <w:rPr>
                <w:rFonts w:hint="eastAsia" w:cs="Times New Roman" w:eastAsiaTheme="minorEastAsia"/>
                <w:color w:val="auto"/>
                <w:sz w:val="24"/>
                <w:u w:val="single"/>
                <w:lang w:val="en-US" w:eastAsia="zh-CN"/>
              </w:rPr>
              <w:t>三级池曝气</w:t>
            </w:r>
            <w:r>
              <w:rPr>
                <w:rFonts w:hint="default" w:ascii="Times New Roman" w:hAnsi="Times New Roman" w:cs="Times New Roman" w:eastAsiaTheme="minorEastAsia"/>
                <w:color w:val="auto"/>
                <w:sz w:val="24"/>
                <w:u w:val="single"/>
                <w:lang w:val="en-US" w:eastAsia="zh-CN"/>
              </w:rPr>
              <w:t>处理工艺，出水水质达到《</w:t>
            </w:r>
            <w:bookmarkStart w:id="96" w:name="OLE_LINK10"/>
            <w:r>
              <w:rPr>
                <w:rFonts w:hint="default" w:ascii="Times New Roman" w:hAnsi="Times New Roman" w:cs="Times New Roman" w:eastAsiaTheme="minorEastAsia"/>
                <w:color w:val="auto"/>
                <w:sz w:val="24"/>
                <w:u w:val="single"/>
                <w:lang w:val="en-US" w:eastAsia="zh-CN"/>
              </w:rPr>
              <w:t>城市污水再生</w:t>
            </w:r>
            <w:bookmarkEnd w:id="96"/>
            <w:r>
              <w:rPr>
                <w:rFonts w:hint="default" w:ascii="Times New Roman" w:hAnsi="Times New Roman" w:cs="Times New Roman" w:eastAsiaTheme="minorEastAsia"/>
                <w:color w:val="auto"/>
                <w:sz w:val="24"/>
                <w:u w:val="single"/>
                <w:lang w:val="en-US" w:eastAsia="zh-CN"/>
              </w:rPr>
              <w:t>利用</w:t>
            </w:r>
            <w:r>
              <w:rPr>
                <w:rFonts w:hint="eastAsia" w:cs="Times New Roman" w:eastAsiaTheme="minorEastAsia"/>
                <w:color w:val="auto"/>
                <w:sz w:val="24"/>
                <w:u w:val="single"/>
                <w:lang w:val="en-US" w:eastAsia="zh-CN"/>
              </w:rPr>
              <w:t xml:space="preserve"> </w:t>
            </w:r>
            <w:r>
              <w:rPr>
                <w:rFonts w:hint="default" w:ascii="Times New Roman" w:hAnsi="Times New Roman" w:cs="Times New Roman" w:eastAsiaTheme="minorEastAsia"/>
                <w:color w:val="auto"/>
                <w:sz w:val="24"/>
                <w:u w:val="single"/>
                <w:lang w:val="en-US" w:eastAsia="zh-CN"/>
              </w:rPr>
              <w:t>城市杂用水水质（GB/T18920-2002）》标准后，全部用于电视台绿化。</w:t>
            </w:r>
          </w:p>
          <w:p>
            <w:pPr>
              <w:spacing w:before="156" w:beforeLines="50" w:after="156" w:afterLines="50" w:line="360" w:lineRule="auto"/>
              <w:ind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2、大气环境影响</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本</w:t>
            </w:r>
            <w:r>
              <w:rPr>
                <w:rFonts w:hint="default" w:ascii="Times New Roman" w:hAnsi="Times New Roman" w:cs="Times New Roman"/>
                <w:color w:val="auto"/>
                <w:sz w:val="24"/>
              </w:rPr>
              <w:t>项目常驻人员4人</w:t>
            </w:r>
            <w:r>
              <w:rPr>
                <w:rFonts w:hint="default" w:ascii="Times New Roman" w:hAnsi="Times New Roman" w:cs="Times New Roman" w:eastAsiaTheme="minorEastAsia"/>
                <w:color w:val="auto"/>
                <w:sz w:val="24"/>
              </w:rPr>
              <w:t>，根据当地的饮食习惯按一天三顿，人均每一顿食用油消耗量以</w:t>
            </w:r>
            <w:r>
              <w:rPr>
                <w:rFonts w:hint="default" w:ascii="Times New Roman" w:hAnsi="Times New Roman" w:cs="Times New Roman" w:eastAsiaTheme="minorEastAsia"/>
                <w:color w:val="auto"/>
                <w:sz w:val="24"/>
                <w:lang w:val="en-US" w:eastAsia="zh-CN"/>
              </w:rPr>
              <w:t>60</w:t>
            </w:r>
            <w:r>
              <w:rPr>
                <w:rFonts w:hint="default" w:ascii="Times New Roman" w:hAnsi="Times New Roman" w:cs="Times New Roman" w:eastAsiaTheme="minorEastAsia"/>
                <w:color w:val="auto"/>
                <w:sz w:val="24"/>
              </w:rPr>
              <w:t>g每人计，则本项目食堂食用油消耗量为0.</w:t>
            </w:r>
            <w:r>
              <w:rPr>
                <w:rFonts w:hint="default" w:ascii="Times New Roman" w:hAnsi="Times New Roman" w:cs="Times New Roman" w:eastAsiaTheme="minorEastAsia"/>
                <w:color w:val="auto"/>
                <w:sz w:val="24"/>
                <w:lang w:val="en-US" w:eastAsia="zh-CN"/>
              </w:rPr>
              <w:t>72</w:t>
            </w:r>
            <w:r>
              <w:rPr>
                <w:rFonts w:hint="default" w:ascii="Times New Roman" w:hAnsi="Times New Roman" w:cs="Times New Roman" w:eastAsiaTheme="minorEastAsia"/>
                <w:color w:val="auto"/>
                <w:sz w:val="24"/>
              </w:rPr>
              <w:t>Kg/d。根据调查本项目厨房一般以家常菜为主，有别于对外营业的餐饮企业，其所排油烟气中油烟量相对较低。</w:t>
            </w:r>
          </w:p>
          <w:p>
            <w:pPr>
              <w:spacing w:before="156" w:beforeLines="50" w:after="156" w:afterLines="50" w:line="360" w:lineRule="auto"/>
              <w:ind w:firstLine="482"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b/>
                <w:bCs/>
                <w:color w:val="auto"/>
                <w:sz w:val="24"/>
              </w:rPr>
              <w:t>3、声环境影响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eastAsiaTheme="minorEastAsia"/>
                <w:color w:val="auto"/>
                <w:sz w:val="24"/>
              </w:rPr>
              <w:t>本项目的噪声主要来源于散热风机、空调和柴油发电机，</w:t>
            </w:r>
            <w:r>
              <w:rPr>
                <w:rFonts w:hint="default" w:ascii="Times New Roman" w:hAnsi="Times New Roman" w:cs="Times New Roman"/>
                <w:color w:val="auto"/>
                <w:sz w:val="24"/>
              </w:rPr>
              <w:t>本项</w:t>
            </w:r>
            <w:r>
              <w:rPr>
                <w:rFonts w:hint="default" w:ascii="Times New Roman" w:hAnsi="Times New Roman" w:cs="Times New Roman"/>
                <w:color w:val="auto"/>
                <w:sz w:val="24"/>
                <w:lang w:eastAsia="zh-CN"/>
              </w:rPr>
              <w:t>目</w:t>
            </w:r>
            <w:r>
              <w:rPr>
                <w:rFonts w:hint="default" w:ascii="Times New Roman" w:hAnsi="Times New Roman" w:cs="Times New Roman"/>
                <w:color w:val="auto"/>
                <w:sz w:val="24"/>
              </w:rPr>
              <w:t>设有备用柴油发电机</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台，备用柴油发电机组额定功率为</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rPr>
              <w:t>kW。设有单独的燃油发电机房，电网突发停电事故时，发电机组自动启动，发电机组启动时，将产生一定的噪声。为了发射设备的散热，本项目各设备柜均配有散热风扇</w:t>
            </w:r>
            <w:r>
              <w:rPr>
                <w:rFonts w:hint="default" w:ascii="Times New Roman" w:hAnsi="Times New Roman" w:cs="Times New Roman"/>
                <w:color w:val="auto"/>
                <w:sz w:val="24"/>
                <w:lang w:eastAsia="zh-CN"/>
              </w:rPr>
              <w:t>。空调</w:t>
            </w:r>
            <w:r>
              <w:rPr>
                <w:rFonts w:hint="default" w:ascii="Times New Roman" w:hAnsi="Times New Roman" w:cs="Times New Roman"/>
                <w:color w:val="auto"/>
                <w:sz w:val="24"/>
              </w:rPr>
              <w:t>为一般的家用空调，运行噪声符合产品出厂标准，噪声值较小。</w:t>
            </w:r>
            <w:r>
              <w:rPr>
                <w:rFonts w:hint="default" w:ascii="Times New Roman" w:hAnsi="Times New Roman" w:cs="Times New Roman"/>
                <w:color w:val="auto"/>
                <w:sz w:val="24"/>
                <w:lang w:eastAsia="zh-CN"/>
              </w:rPr>
              <w:t>且</w:t>
            </w:r>
            <w:r>
              <w:rPr>
                <w:rFonts w:hint="default" w:ascii="Times New Roman" w:hAnsi="Times New Roman" w:cs="Times New Roman"/>
                <w:color w:val="auto"/>
                <w:sz w:val="24"/>
              </w:rPr>
              <w:t>散热风扇和空调机均安装在房</w:t>
            </w:r>
            <w:r>
              <w:rPr>
                <w:rFonts w:hint="default" w:ascii="Times New Roman" w:hAnsi="Times New Roman" w:cs="Times New Roman"/>
                <w:color w:val="auto"/>
                <w:sz w:val="24"/>
                <w:lang w:eastAsia="zh-CN"/>
              </w:rPr>
              <w:t>间</w:t>
            </w:r>
            <w:r>
              <w:rPr>
                <w:rFonts w:hint="default" w:ascii="Times New Roman" w:hAnsi="Times New Roman" w:cs="Times New Roman"/>
                <w:color w:val="auto"/>
                <w:sz w:val="24"/>
              </w:rPr>
              <w:t>内，因此项目主要噪声源是</w:t>
            </w:r>
            <w:r>
              <w:rPr>
                <w:rFonts w:hint="default" w:ascii="Times New Roman" w:hAnsi="Times New Roman" w:cs="Times New Roman"/>
                <w:color w:val="auto"/>
                <w:sz w:val="24"/>
                <w:lang w:eastAsia="zh-CN"/>
              </w:rPr>
              <w:t>柴油发电机</w:t>
            </w:r>
            <w:r>
              <w:rPr>
                <w:rFonts w:hint="default" w:ascii="Times New Roman" w:hAnsi="Times New Roman" w:cs="Times New Roman"/>
                <w:color w:val="auto"/>
                <w:sz w:val="24"/>
              </w:rPr>
              <w:t>。发电机组型号和噪声源强见表5-</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pPr>
              <w:ind w:firstLine="480" w:firstLineChars="200"/>
              <w:jc w:val="center"/>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表5-</w:t>
            </w:r>
            <w:r>
              <w:rPr>
                <w:rFonts w:hint="default" w:ascii="Times New Roman" w:hAnsi="Times New Roman" w:eastAsia="黑体" w:cs="Times New Roman"/>
                <w:bCs/>
                <w:color w:val="auto"/>
                <w:sz w:val="24"/>
                <w:lang w:val="en-US" w:eastAsia="zh-CN"/>
              </w:rPr>
              <w:t>3</w:t>
            </w:r>
            <w:r>
              <w:rPr>
                <w:rFonts w:hint="default" w:ascii="Times New Roman" w:hAnsi="Times New Roman" w:eastAsia="黑体" w:cs="Times New Roman"/>
                <w:bCs/>
                <w:color w:val="auto"/>
                <w:sz w:val="24"/>
              </w:rPr>
              <w:t xml:space="preserve">   柴油发电机组噪声源强统计表</w:t>
            </w:r>
          </w:p>
          <w:tbl>
            <w:tblPr>
              <w:tblStyle w:val="15"/>
              <w:tblW w:w="8440" w:type="dxa"/>
              <w:jc w:val="center"/>
              <w:tblInd w:w="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964"/>
              <w:gridCol w:w="1131"/>
              <w:gridCol w:w="889"/>
              <w:gridCol w:w="1356"/>
              <w:gridCol w:w="31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632" w:hRule="atLeast"/>
                <w:jc w:val="center"/>
              </w:trPr>
              <w:tc>
                <w:tcPr>
                  <w:tcW w:w="19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设备名称</w:t>
                  </w:r>
                </w:p>
              </w:tc>
              <w:tc>
                <w:tcPr>
                  <w:tcW w:w="1131"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型号</w:t>
                  </w:r>
                </w:p>
              </w:tc>
              <w:tc>
                <w:tcPr>
                  <w:tcW w:w="889"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数量</w:t>
                  </w:r>
                </w:p>
              </w:tc>
              <w:tc>
                <w:tcPr>
                  <w:tcW w:w="1356"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额定功率（KW）</w:t>
                  </w:r>
                </w:p>
              </w:tc>
              <w:tc>
                <w:tcPr>
                  <w:tcW w:w="3100"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噪声值（dB（A））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435" w:hRule="atLeast"/>
                <w:jc w:val="center"/>
              </w:trPr>
              <w:tc>
                <w:tcPr>
                  <w:tcW w:w="1964" w:type="dxa"/>
                  <w:tcBorders>
                    <w:tl2br w:val="nil"/>
                    <w:tr2bl w:val="nil"/>
                  </w:tcBorders>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柴油发电机</w:t>
                  </w:r>
                </w:p>
              </w:tc>
              <w:tc>
                <w:tcPr>
                  <w:tcW w:w="1131" w:type="dxa"/>
                  <w:tcBorders>
                    <w:tl2br w:val="nil"/>
                    <w:tr2bl w:val="nil"/>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GF-50</w:t>
                  </w:r>
                </w:p>
              </w:tc>
              <w:tc>
                <w:tcPr>
                  <w:tcW w:w="889" w:type="dxa"/>
                  <w:tcBorders>
                    <w:tl2br w:val="nil"/>
                    <w:tr2bl w:val="nil"/>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1台</w:t>
                  </w:r>
                </w:p>
              </w:tc>
              <w:tc>
                <w:tcPr>
                  <w:tcW w:w="1356" w:type="dxa"/>
                  <w:tcBorders>
                    <w:tl2br w:val="nil"/>
                    <w:tr2bl w:val="nil"/>
                  </w:tcBorders>
                  <w:vAlign w:val="center"/>
                </w:tcPr>
                <w:p>
                  <w:pPr>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50</w:t>
                  </w:r>
                </w:p>
              </w:tc>
              <w:tc>
                <w:tcPr>
                  <w:tcW w:w="3100" w:type="dxa"/>
                  <w:tcBorders>
                    <w:tl2br w:val="nil"/>
                    <w:tr2bl w:val="nil"/>
                  </w:tcBorders>
                  <w:vAlign w:val="center"/>
                </w:tcPr>
                <w:p>
                  <w:pPr>
                    <w:rPr>
                      <w:rFonts w:hint="default" w:ascii="Times New Roman" w:hAnsi="Times New Roman" w:cs="Times New Roman"/>
                      <w:bCs/>
                      <w:color w:val="auto"/>
                      <w:szCs w:val="21"/>
                    </w:rPr>
                  </w:pPr>
                  <w:r>
                    <w:rPr>
                      <w:rFonts w:hint="default" w:ascii="Times New Roman" w:hAnsi="Times New Roman" w:cs="Times New Roman"/>
                      <w:bCs/>
                      <w:color w:val="auto"/>
                      <w:szCs w:val="21"/>
                    </w:rPr>
                    <w:t xml:space="preserve">         80~90</w:t>
                  </w:r>
                </w:p>
              </w:tc>
            </w:tr>
          </w:tbl>
          <w:p>
            <w:pPr>
              <w:spacing w:before="156" w:beforeLines="50" w:after="156" w:afterLines="50" w:line="360" w:lineRule="auto"/>
              <w:ind w:firstLine="482" w:firstLineChars="20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4、电磁环境影响</w:t>
            </w:r>
          </w:p>
          <w:p>
            <w:pPr>
              <w:spacing w:before="156" w:beforeLines="50" w:after="156" w:afterLines="50"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发射塔运行时，广播电视信号和调频广播信号反射天线向周围发射电磁波，导致周围环境电场强度、功率密度增高。发射塔整个发射系统由室内设备和室外天线两部分组成。室内设备在设计、制造时已经采取屏蔽措施，并且设备放置在机房内，对周围环境产生</w:t>
            </w:r>
            <w:r>
              <w:rPr>
                <w:rFonts w:hint="default" w:ascii="Times New Roman" w:hAnsi="Times New Roman" w:cs="Times New Roman" w:eastAsiaTheme="minorEastAsia"/>
                <w:color w:val="auto"/>
                <w:sz w:val="24"/>
                <w:lang w:eastAsia="zh-CN"/>
              </w:rPr>
              <w:t>的</w:t>
            </w:r>
            <w:r>
              <w:rPr>
                <w:rFonts w:hint="default" w:ascii="Times New Roman" w:hAnsi="Times New Roman" w:cs="Times New Roman" w:eastAsiaTheme="minorEastAsia"/>
                <w:color w:val="auto"/>
                <w:sz w:val="24"/>
              </w:rPr>
              <w:t>电磁</w:t>
            </w:r>
            <w:r>
              <w:rPr>
                <w:rFonts w:hint="default" w:ascii="Times New Roman" w:hAnsi="Times New Roman" w:cs="Times New Roman" w:eastAsiaTheme="minorEastAsia"/>
                <w:color w:val="auto"/>
                <w:sz w:val="24"/>
                <w:lang w:eastAsia="zh-CN"/>
              </w:rPr>
              <w:t>影响影响很小</w:t>
            </w:r>
            <w:r>
              <w:rPr>
                <w:rFonts w:hint="default" w:ascii="Times New Roman" w:hAnsi="Times New Roman" w:cs="Times New Roman" w:eastAsiaTheme="minorEastAsia"/>
                <w:color w:val="auto"/>
                <w:sz w:val="24"/>
              </w:rPr>
              <w:t>；室外部分的主要设备有发射天线和馈线。广播与电视信号通过发射天线以电磁波的形式将电磁能量传输出去。发射天线向空间发射有用信号的过程也就是产生电磁</w:t>
            </w:r>
            <w:r>
              <w:rPr>
                <w:rFonts w:hint="default" w:ascii="Times New Roman" w:hAnsi="Times New Roman" w:cs="Times New Roman" w:eastAsiaTheme="minorEastAsia"/>
                <w:color w:val="auto"/>
                <w:sz w:val="24"/>
                <w:lang w:eastAsia="zh-CN"/>
              </w:rPr>
              <w:t>影响</w:t>
            </w:r>
            <w:r>
              <w:rPr>
                <w:rFonts w:hint="default" w:ascii="Times New Roman" w:hAnsi="Times New Roman" w:cs="Times New Roman" w:eastAsiaTheme="minorEastAsia"/>
                <w:color w:val="auto"/>
                <w:sz w:val="24"/>
              </w:rPr>
              <w:t>的过程。</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w:t>
            </w:r>
            <w:bookmarkStart w:id="97" w:name="OLE_LINK16"/>
            <w:r>
              <w:rPr>
                <w:rFonts w:hint="default" w:ascii="Times New Roman" w:hAnsi="Times New Roman" w:cs="Times New Roman"/>
                <w:b/>
                <w:color w:val="auto"/>
                <w:sz w:val="24"/>
              </w:rPr>
              <w:t>景观及生态影响</w:t>
            </w:r>
          </w:p>
          <w:bookmarkEnd w:id="97"/>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进场道路利用</w:t>
            </w:r>
            <w:r>
              <w:rPr>
                <w:rFonts w:hint="default" w:ascii="Times New Roman" w:hAnsi="Times New Roman" w:cs="Times New Roman"/>
                <w:color w:val="auto"/>
                <w:sz w:val="24"/>
              </w:rPr>
              <w:t>原茶陵县电信公司已废弃发射铁塔</w:t>
            </w:r>
            <w:r>
              <w:rPr>
                <w:rFonts w:hint="default" w:ascii="Times New Roman" w:hAnsi="Times New Roman" w:cs="Times New Roman"/>
                <w:color w:val="auto"/>
                <w:sz w:val="24"/>
                <w:lang w:eastAsia="zh-CN"/>
              </w:rPr>
              <w:t>的进场道路，不会对景观生态造成影响。</w:t>
            </w:r>
            <w:r>
              <w:rPr>
                <w:rFonts w:hint="default" w:ascii="Times New Roman" w:hAnsi="Times New Roman" w:cs="Times New Roman"/>
                <w:color w:val="auto"/>
                <w:sz w:val="24"/>
              </w:rPr>
              <w:t>用地以林地和草丛地为主，不涉及景观景点地，位于云阳山风景名胜区的实验区。且铁塔本身也能成为云阳山新的景点，是集无线广播电视信号传输和森林防火、林业有害生物防治、生物多样性监测以及游客安全监测于一体的基础设施工程。因此，对景观无影响。项目永久占地面积399.6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,建成后绿地率为7.9%，较本项目建设之前的绿地率降低了，因此本建设项目对该地区的生态环境有一定的影响。</w:t>
            </w:r>
          </w:p>
        </w:tc>
      </w:tr>
    </w:tbl>
    <w:p>
      <w:pPr>
        <w:outlineLvl w:val="0"/>
        <w:rPr>
          <w:rFonts w:hint="default" w:ascii="Times New Roman" w:hAnsi="Times New Roman" w:eastAsia="黑体" w:cs="Times New Roman"/>
          <w:b/>
          <w:bCs/>
          <w:color w:val="auto"/>
          <w:sz w:val="32"/>
        </w:rPr>
      </w:pPr>
      <w:bookmarkStart w:id="98" w:name="_Toc421802300"/>
      <w:bookmarkStart w:id="99" w:name="_Toc18998"/>
      <w:r>
        <w:rPr>
          <w:rFonts w:hint="default" w:ascii="Times New Roman" w:hAnsi="Times New Roman" w:eastAsia="黑体" w:cs="Times New Roman"/>
          <w:b/>
          <w:bCs/>
          <w:color w:val="auto"/>
          <w:sz w:val="32"/>
        </w:rPr>
        <w:t>项目主要污染物产生及预计排放情况</w:t>
      </w:r>
      <w:bookmarkEnd w:id="98"/>
      <w:bookmarkEnd w:id="99"/>
    </w:p>
    <w:tbl>
      <w:tblPr>
        <w:tblStyle w:val="1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356"/>
        <w:gridCol w:w="1376"/>
        <w:gridCol w:w="1527"/>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42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bookmarkStart w:id="100" w:name="_Toc421802301"/>
            <w:r>
              <w:rPr>
                <w:rFonts w:hint="default" w:ascii="Times New Roman" w:hAnsi="Times New Roman" w:cs="Times New Roman" w:eastAsiaTheme="minorEastAsia"/>
                <w:color w:val="auto"/>
                <w:szCs w:val="21"/>
              </w:rPr>
              <w:t>内容</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类型</w:t>
            </w:r>
          </w:p>
        </w:tc>
        <w:tc>
          <w:tcPr>
            <w:tcW w:w="2776"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排放源</w:t>
            </w:r>
          </w:p>
        </w:tc>
        <w:tc>
          <w:tcPr>
            <w:tcW w:w="137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污染物名称</w:t>
            </w:r>
          </w:p>
        </w:tc>
        <w:tc>
          <w:tcPr>
            <w:tcW w:w="152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处理前产生浓度及产生量</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4" w:hRule="atLeast"/>
        </w:trPr>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大气污染物</w:t>
            </w:r>
          </w:p>
        </w:tc>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施工期</w:t>
            </w:r>
          </w:p>
        </w:tc>
        <w:tc>
          <w:tcPr>
            <w:tcW w:w="135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建筑机械、运输车辆、机动车尾气及装修废气</w:t>
            </w:r>
          </w:p>
        </w:tc>
        <w:tc>
          <w:tcPr>
            <w:tcW w:w="137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bookmarkStart w:id="101" w:name="OLE_LINK66"/>
            <w:bookmarkStart w:id="102" w:name="OLE_LINK64"/>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lang w:val="en-US" w:eastAsia="zh-CN"/>
              </w:rPr>
              <w:t>x</w:t>
            </w:r>
            <w:r>
              <w:rPr>
                <w:rFonts w:hint="default" w:ascii="Times New Roman" w:hAnsi="Times New Roman" w:cs="Times New Roman"/>
                <w:color w:val="auto"/>
                <w:szCs w:val="21"/>
              </w:rPr>
              <w:t>、CO、THC、TVOC</w:t>
            </w:r>
            <w:bookmarkEnd w:id="101"/>
            <w:bookmarkEnd w:id="102"/>
          </w:p>
        </w:tc>
        <w:tc>
          <w:tcPr>
            <w:tcW w:w="152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少量</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35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扬尘</w:t>
            </w:r>
          </w:p>
        </w:tc>
        <w:tc>
          <w:tcPr>
            <w:tcW w:w="137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TSP</w:t>
            </w:r>
          </w:p>
        </w:tc>
        <w:tc>
          <w:tcPr>
            <w:tcW w:w="152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少量</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42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35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厨房</w:t>
            </w:r>
          </w:p>
        </w:tc>
        <w:tc>
          <w:tcPr>
            <w:tcW w:w="137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油烟</w:t>
            </w:r>
          </w:p>
        </w:tc>
        <w:tc>
          <w:tcPr>
            <w:tcW w:w="152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 w:val="24"/>
              </w:rPr>
              <w:t>263Kg/a</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9" w:hRule="atLeast"/>
        </w:trPr>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水污染物</w:t>
            </w:r>
          </w:p>
        </w:tc>
        <w:tc>
          <w:tcPr>
            <w:tcW w:w="142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施工期</w:t>
            </w:r>
          </w:p>
        </w:tc>
        <w:tc>
          <w:tcPr>
            <w:tcW w:w="135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设备、车辆冲洗废水、在暴雨情况下，施工场地产生地面径流</w:t>
            </w:r>
          </w:p>
        </w:tc>
        <w:tc>
          <w:tcPr>
            <w:tcW w:w="137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SS</w:t>
            </w:r>
          </w:p>
        </w:tc>
        <w:tc>
          <w:tcPr>
            <w:tcW w:w="152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少量</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冲洗废水简单沉淀后，回用。对地表水环境影响不大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42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356"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员工生活污水</w:t>
            </w:r>
          </w:p>
        </w:tc>
        <w:tc>
          <w:tcPr>
            <w:tcW w:w="137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污水量</w:t>
            </w:r>
          </w:p>
        </w:tc>
        <w:tc>
          <w:tcPr>
            <w:tcW w:w="152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402</w:t>
            </w:r>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3</w:t>
            </w:r>
            <w:r>
              <w:rPr>
                <w:rFonts w:hint="default" w:ascii="Times New Roman" w:hAnsi="Times New Roman" w:cs="Times New Roman"/>
                <w:color w:val="auto"/>
                <w:szCs w:val="21"/>
              </w:rPr>
              <w:t>/a</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排水量少，经</w:t>
            </w:r>
            <w:r>
              <w:rPr>
                <w:rFonts w:hint="default" w:ascii="Times New Roman" w:hAnsi="Times New Roman" w:cs="Times New Roman"/>
                <w:color w:val="auto"/>
                <w:szCs w:val="21"/>
                <w:lang w:eastAsia="zh-CN"/>
              </w:rPr>
              <w:t>污水处理设施</w:t>
            </w:r>
            <w:r>
              <w:rPr>
                <w:rFonts w:hint="default" w:ascii="Times New Roman" w:hAnsi="Times New Roman" w:cs="Times New Roman"/>
                <w:color w:val="auto"/>
                <w:szCs w:val="21"/>
              </w:rPr>
              <w:t>处理后用于场地绿化，不外排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固体废物</w:t>
            </w:r>
          </w:p>
        </w:tc>
        <w:tc>
          <w:tcPr>
            <w:tcW w:w="142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施工期</w:t>
            </w:r>
          </w:p>
        </w:tc>
        <w:tc>
          <w:tcPr>
            <w:tcW w:w="135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施工过程中产生的建筑垃圾</w:t>
            </w:r>
          </w:p>
        </w:tc>
        <w:tc>
          <w:tcPr>
            <w:tcW w:w="137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建筑垃圾</w:t>
            </w:r>
          </w:p>
        </w:tc>
        <w:tc>
          <w:tcPr>
            <w:tcW w:w="152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少量</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建筑垃圾清运到指定弃渣场处置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42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35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生活区</w:t>
            </w:r>
          </w:p>
        </w:tc>
        <w:tc>
          <w:tcPr>
            <w:tcW w:w="137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生活垃圾</w:t>
            </w:r>
          </w:p>
        </w:tc>
        <w:tc>
          <w:tcPr>
            <w:tcW w:w="152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730Kg/a</w:t>
            </w:r>
          </w:p>
        </w:tc>
        <w:tc>
          <w:tcPr>
            <w:tcW w:w="142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730Kg/a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trPr>
        <w:tc>
          <w:tcPr>
            <w:tcW w:w="1420"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噪声</w:t>
            </w:r>
          </w:p>
        </w:tc>
        <w:tc>
          <w:tcPr>
            <w:tcW w:w="1420" w:type="dxa"/>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kern w:val="0"/>
                <w:szCs w:val="21"/>
              </w:rPr>
              <w:t>施工期</w:t>
            </w:r>
          </w:p>
        </w:tc>
        <w:tc>
          <w:tcPr>
            <w:tcW w:w="5680" w:type="dxa"/>
            <w:gridSpan w:val="4"/>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土石方阶段：推土机、挖掘机、运输车辆：80~110dB（A），装修阶段：升降机、切割机、电锯：80~150dB（A）。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420"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rPr>
            </w:pPr>
          </w:p>
        </w:tc>
        <w:tc>
          <w:tcPr>
            <w:tcW w:w="1420" w:type="dxa"/>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运营期</w:t>
            </w:r>
          </w:p>
        </w:tc>
        <w:tc>
          <w:tcPr>
            <w:tcW w:w="5680" w:type="dxa"/>
            <w:gridSpan w:val="4"/>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备用发电机、变配电室、空调：30~90dB(A)。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trPr>
        <w:tc>
          <w:tcPr>
            <w:tcW w:w="142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电磁</w:t>
            </w:r>
            <w:r>
              <w:rPr>
                <w:rFonts w:hint="default" w:ascii="Times New Roman" w:hAnsi="Times New Roman" w:cs="Times New Roman"/>
                <w:color w:val="auto"/>
                <w:szCs w:val="21"/>
                <w:lang w:eastAsia="zh-CN"/>
              </w:rPr>
              <w:t>影响</w:t>
            </w:r>
          </w:p>
        </w:tc>
        <w:tc>
          <w:tcPr>
            <w:tcW w:w="142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35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发射塔</w:t>
            </w:r>
          </w:p>
        </w:tc>
        <w:tc>
          <w:tcPr>
            <w:tcW w:w="4324" w:type="dxa"/>
            <w:gridSpan w:val="3"/>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lang w:val="zh-CN"/>
              </w:rPr>
              <w:t>经过预测评价，本项目对周围环境敏感点的电磁影响满足本次评价标准限值要求。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8520" w:type="dxa"/>
            <w:gridSpan w:val="6"/>
            <w:vAlign w:val="center"/>
          </w:tcPr>
          <w:p>
            <w:pPr>
              <w:spacing w:before="156" w:beforeLines="50" w:after="156" w:afterLines="50" w:line="360" w:lineRule="auto"/>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主要生态环境影响：</w:t>
            </w:r>
          </w:p>
          <w:p>
            <w:pPr>
              <w:spacing w:before="156" w:beforeLines="50" w:after="156" w:afterLines="50" w:line="360" w:lineRule="auto"/>
              <w:ind w:firstLine="420"/>
              <w:jc w:val="left"/>
              <w:rPr>
                <w:rFonts w:hint="default" w:ascii="Times New Roman" w:hAnsi="Times New Roman" w:cs="Times New Roman"/>
                <w:color w:val="auto"/>
                <w:sz w:val="24"/>
              </w:rPr>
            </w:pPr>
            <w:r>
              <w:rPr>
                <w:rFonts w:hint="default" w:ascii="Times New Roman" w:hAnsi="Times New Roman" w:cs="Times New Roman"/>
                <w:color w:val="auto"/>
                <w:sz w:val="24"/>
              </w:rPr>
              <w:t>本项目位于云阳山北门半山腰，发射塔位于一小山丘，海拔高度330m，与城区平均相对高度差为200m，总占地面积399.6m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。施工场地区域为丘陵、山地地貌，植被覆盖率高，植物主要以灌草丛为主。根据调查，未发现珍稀重点保护的野生动植物。</w:t>
            </w:r>
          </w:p>
          <w:p>
            <w:pPr>
              <w:spacing w:before="156" w:beforeLines="50" w:after="156" w:afterLines="50" w:line="360" w:lineRule="auto"/>
              <w:ind w:firstLine="420"/>
              <w:jc w:val="left"/>
              <w:rPr>
                <w:rFonts w:hint="default" w:ascii="Times New Roman" w:hAnsi="Times New Roman" w:cs="Times New Roman"/>
                <w:color w:val="auto"/>
                <w:sz w:val="24"/>
              </w:rPr>
            </w:pPr>
            <w:r>
              <w:rPr>
                <w:rFonts w:hint="default" w:ascii="Times New Roman" w:hAnsi="Times New Roman" w:cs="Times New Roman"/>
                <w:color w:val="auto"/>
                <w:sz w:val="24"/>
              </w:rPr>
              <w:t>由于项目的开工建设，将对拟建地植被造成破坏和造成水土流失，特别是在土石方的开挖阶段、地基阶段等形成的裸露地面，扰动和破坏了原地貌和植被，造成水土流失，对生态环境产生一定的影响。</w:t>
            </w:r>
          </w:p>
          <w:p>
            <w:pPr>
              <w:spacing w:before="156" w:beforeLines="50" w:after="156" w:afterLines="50" w:line="360" w:lineRule="auto"/>
              <w:ind w:firstLine="420"/>
              <w:jc w:val="left"/>
              <w:rPr>
                <w:rFonts w:hint="default" w:ascii="Times New Roman" w:hAnsi="Times New Roman" w:cs="Times New Roman"/>
                <w:color w:val="auto"/>
                <w:sz w:val="24"/>
              </w:rPr>
            </w:pPr>
            <w:r>
              <w:rPr>
                <w:rFonts w:hint="default" w:ascii="Times New Roman" w:hAnsi="Times New Roman" w:cs="Times New Roman"/>
                <w:color w:val="auto"/>
                <w:sz w:val="24"/>
              </w:rPr>
              <w:t>施工中，根据实际情况，对临时性松散表土做适当的压实，对较大坡面做防坡处理。项目竣工后，将种植草皮、树木，恢复植被，对区域生态有一定的补偿作用。</w:t>
            </w:r>
          </w:p>
          <w:p>
            <w:pPr>
              <w:spacing w:before="156" w:beforeLines="50" w:after="156" w:afterLines="50" w:line="360" w:lineRule="auto"/>
              <w:ind w:firstLine="420"/>
              <w:jc w:val="left"/>
              <w:rPr>
                <w:rFonts w:hint="default" w:ascii="Times New Roman" w:hAnsi="Times New Roman" w:cs="Times New Roman"/>
                <w:color w:val="auto"/>
                <w:sz w:val="24"/>
              </w:rPr>
            </w:pPr>
            <w:r>
              <w:rPr>
                <w:rFonts w:hint="default" w:ascii="Times New Roman" w:hAnsi="Times New Roman" w:cs="Times New Roman"/>
                <w:color w:val="auto"/>
                <w:sz w:val="24"/>
              </w:rPr>
              <w:t>综上所述，本项目的主要生态影响是施工期的水土流失，但施工队生态环境的影响是小范围的短暂的，随着工程建设的结束，对环境的影响将逐渐减弱，区域生态环境也将得到恢复。</w:t>
            </w:r>
          </w:p>
          <w:p>
            <w:pPr>
              <w:spacing w:before="156" w:beforeLines="50" w:after="156" w:afterLines="50" w:line="360" w:lineRule="auto"/>
              <w:ind w:firstLine="420"/>
              <w:jc w:val="left"/>
              <w:rPr>
                <w:rFonts w:hint="default" w:ascii="Times New Roman" w:hAnsi="Times New Roman" w:cs="Times New Roman"/>
                <w:color w:val="auto"/>
                <w:sz w:val="24"/>
              </w:rPr>
            </w:pPr>
          </w:p>
          <w:p>
            <w:pPr>
              <w:spacing w:before="156" w:beforeLines="50" w:after="156" w:afterLines="50" w:line="360" w:lineRule="auto"/>
              <w:ind w:firstLine="420"/>
              <w:jc w:val="left"/>
              <w:rPr>
                <w:rFonts w:hint="default" w:ascii="Times New Roman" w:hAnsi="Times New Roman" w:cs="Times New Roman"/>
                <w:color w:val="auto"/>
                <w:sz w:val="24"/>
              </w:rPr>
            </w:pPr>
          </w:p>
          <w:p>
            <w:pPr>
              <w:spacing w:before="156" w:beforeLines="50" w:after="156" w:afterLines="50" w:line="360" w:lineRule="auto"/>
              <w:ind w:firstLine="420"/>
              <w:jc w:val="left"/>
              <w:rPr>
                <w:rFonts w:hint="default" w:ascii="Times New Roman" w:hAnsi="Times New Roman" w:cs="Times New Roman"/>
                <w:color w:val="auto"/>
                <w:sz w:val="24"/>
              </w:rPr>
            </w:pPr>
          </w:p>
          <w:p>
            <w:pPr>
              <w:spacing w:before="156" w:beforeLines="50" w:after="156" w:afterLines="50" w:line="360" w:lineRule="auto"/>
              <w:ind w:firstLine="420"/>
              <w:jc w:val="left"/>
              <w:rPr>
                <w:rFonts w:hint="default" w:ascii="Times New Roman" w:hAnsi="Times New Roman" w:cs="Times New Roman"/>
                <w:color w:val="auto"/>
                <w:sz w:val="24"/>
              </w:rPr>
            </w:pPr>
          </w:p>
          <w:p>
            <w:pPr>
              <w:spacing w:before="156" w:beforeLines="50" w:after="156" w:afterLines="50" w:line="360" w:lineRule="auto"/>
              <w:ind w:firstLine="420"/>
              <w:jc w:val="left"/>
              <w:rPr>
                <w:rFonts w:hint="default" w:ascii="Times New Roman" w:hAnsi="Times New Roman" w:cs="Times New Roman"/>
                <w:color w:val="auto"/>
                <w:sz w:val="24"/>
              </w:rPr>
            </w:pPr>
          </w:p>
          <w:p>
            <w:pPr>
              <w:spacing w:before="156" w:beforeLines="50" w:after="156" w:afterLines="50" w:line="360" w:lineRule="auto"/>
              <w:ind w:firstLine="420"/>
              <w:jc w:val="left"/>
              <w:rPr>
                <w:rFonts w:hint="default" w:ascii="Times New Roman" w:hAnsi="Times New Roman" w:cs="Times New Roman"/>
                <w:color w:val="auto"/>
                <w:sz w:val="24"/>
              </w:rPr>
            </w:pPr>
          </w:p>
          <w:p>
            <w:pPr>
              <w:spacing w:before="156" w:beforeLines="50" w:after="156" w:afterLines="50" w:line="360" w:lineRule="auto"/>
              <w:ind w:firstLine="420"/>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p>
            <w:pPr>
              <w:spacing w:before="156" w:beforeLines="50" w:after="156" w:afterLines="50" w:line="360" w:lineRule="auto"/>
              <w:jc w:val="left"/>
              <w:rPr>
                <w:rFonts w:hint="default" w:ascii="Times New Roman" w:hAnsi="Times New Roman" w:cs="Times New Roman"/>
                <w:color w:val="auto"/>
                <w:sz w:val="24"/>
              </w:rPr>
            </w:pPr>
          </w:p>
        </w:tc>
      </w:tr>
    </w:tbl>
    <w:p>
      <w:pPr>
        <w:outlineLvl w:val="0"/>
        <w:rPr>
          <w:rFonts w:hint="default" w:ascii="Times New Roman" w:hAnsi="Times New Roman" w:eastAsia="黑体" w:cs="Times New Roman"/>
          <w:b/>
          <w:bCs/>
          <w:color w:val="auto"/>
          <w:sz w:val="32"/>
          <w:szCs w:val="32"/>
        </w:rPr>
      </w:pPr>
      <w:bookmarkStart w:id="103" w:name="_Toc15955"/>
    </w:p>
    <w:p>
      <w:pPr>
        <w:outlineLvl w:val="0"/>
        <w:rPr>
          <w:rFonts w:hint="default" w:ascii="Times New Roman" w:hAnsi="Times New Roman" w:eastAsia="黑体" w:cs="Times New Roman"/>
          <w:b/>
          <w:bCs/>
          <w:color w:val="auto"/>
          <w:sz w:val="32"/>
          <w:szCs w:val="32"/>
        </w:rPr>
      </w:pPr>
      <w:r>
        <w:rPr>
          <w:rFonts w:hint="default" w:ascii="Times New Roman" w:hAnsi="Times New Roman" w:eastAsia="黑体" w:cs="Times New Roman"/>
          <w:b/>
          <w:bCs/>
          <w:color w:val="auto"/>
          <w:sz w:val="32"/>
          <w:szCs w:val="32"/>
        </w:rPr>
        <w:t>环境影响分析</w:t>
      </w:r>
      <w:bookmarkEnd w:id="100"/>
      <w:bookmarkEnd w:id="103"/>
    </w:p>
    <w:tbl>
      <w:tblPr>
        <w:tblStyle w:val="16"/>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4" w:type="dxa"/>
          </w:tcPr>
          <w:p>
            <w:pPr>
              <w:spacing w:before="156" w:beforeLines="50" w:after="156" w:afterLines="50" w:line="360" w:lineRule="auto"/>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施工期环境影响分析</w:t>
            </w:r>
          </w:p>
          <w:p>
            <w:pPr>
              <w:spacing w:before="156" w:beforeLines="50" w:after="156" w:afterLines="50" w:line="360" w:lineRule="auto"/>
              <w:rPr>
                <w:rFonts w:hint="default" w:ascii="Times New Roman" w:hAnsi="Times New Roman" w:cs="Times New Roman" w:eastAsiaTheme="minorEastAsia"/>
                <w:b/>
                <w:bCs/>
                <w:color w:val="auto"/>
                <w:sz w:val="24"/>
              </w:rPr>
            </w:pPr>
            <w:r>
              <w:rPr>
                <w:rFonts w:hint="default" w:ascii="Times New Roman" w:hAnsi="Times New Roman" w:cs="Times New Roman"/>
                <w:b/>
                <w:bCs/>
                <w:color w:val="auto"/>
                <w:sz w:val="24"/>
              </w:rPr>
              <w:t>一、施工期</w:t>
            </w:r>
            <w:r>
              <w:rPr>
                <w:rFonts w:hint="default" w:ascii="Times New Roman" w:hAnsi="Times New Roman" w:cs="Times New Roman" w:eastAsiaTheme="minorEastAsia"/>
                <w:b/>
                <w:bCs/>
                <w:color w:val="auto"/>
                <w:sz w:val="24"/>
              </w:rPr>
              <w:t>空气环境影响分析</w:t>
            </w:r>
          </w:p>
          <w:p>
            <w:pPr>
              <w:spacing w:before="156" w:beforeLines="50" w:after="156" w:afterLines="50" w:line="360" w:lineRule="auto"/>
              <w:ind w:firstLine="480"/>
              <w:rPr>
                <w:rFonts w:hint="default" w:ascii="Times New Roman" w:hAnsi="Times New Roman" w:cs="Times New Roman" w:eastAsiaTheme="minorEastAsia"/>
                <w:color w:val="auto"/>
                <w:sz w:val="24"/>
              </w:rPr>
            </w:pPr>
            <w:bookmarkStart w:id="104" w:name="OLE_LINK34"/>
            <w:r>
              <w:rPr>
                <w:rFonts w:hint="default" w:ascii="Times New Roman" w:hAnsi="Times New Roman" w:cs="Times New Roman" w:eastAsiaTheme="minorEastAsia"/>
                <w:color w:val="auto"/>
                <w:sz w:val="24"/>
              </w:rPr>
              <w:t>施工期间大气污染影响主要来自施工机械和车辆产生的尾气</w:t>
            </w:r>
            <w:r>
              <w:rPr>
                <w:rFonts w:hint="eastAsia" w:cs="Times New Roman" w:eastAsiaTheme="minorEastAsia"/>
                <w:color w:val="auto"/>
                <w:sz w:val="24"/>
                <w:lang w:eastAsia="zh-CN"/>
              </w:rPr>
              <w:t>以及</w:t>
            </w:r>
            <w:r>
              <w:rPr>
                <w:rFonts w:hint="default" w:ascii="Times New Roman" w:hAnsi="Times New Roman" w:cs="Times New Roman" w:eastAsiaTheme="minorEastAsia"/>
                <w:color w:val="auto"/>
                <w:sz w:val="24"/>
              </w:rPr>
              <w:t>土石方开挖和车辆运输产生的扬尘等。</w:t>
            </w:r>
          </w:p>
          <w:bookmarkEnd w:id="104"/>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在施工期间的土石方阶段，由于土方的开挖所造成的地面扬尘污染也是施工活动的一个重要污染源。施工扬尘随施工季节、土方量大小、工程内容和施工管理等不同差别较大，影响范围可达150-300</w:t>
            </w:r>
            <w:r>
              <w:rPr>
                <w:rFonts w:hint="default" w:ascii="Times New Roman" w:hAnsi="Times New Roman" w:cs="Times New Roman"/>
                <w:color w:val="auto"/>
                <w:sz w:val="24"/>
              </w:rPr>
              <w:t>m</w:t>
            </w:r>
            <w:r>
              <w:rPr>
                <w:rFonts w:hint="default" w:ascii="Times New Roman" w:hAnsi="Times New Roman" w:cs="Times New Roman" w:eastAsiaTheme="minorEastAsia"/>
                <w:color w:val="auto"/>
                <w:sz w:val="24"/>
              </w:rPr>
              <w:t>。在一般气象条件下，平均风速在2.5</w:t>
            </w:r>
            <w:r>
              <w:rPr>
                <w:rFonts w:hint="default" w:ascii="Times New Roman" w:hAnsi="Times New Roman" w:cs="Times New Roman"/>
                <w:color w:val="auto"/>
                <w:sz w:val="24"/>
              </w:rPr>
              <w:t>m</w:t>
            </w:r>
            <w:r>
              <w:rPr>
                <w:rFonts w:hint="default" w:ascii="Times New Roman" w:hAnsi="Times New Roman" w:cs="Times New Roman" w:eastAsiaTheme="minorEastAsia"/>
                <w:color w:val="auto"/>
                <w:sz w:val="24"/>
              </w:rPr>
              <w:t>/</w:t>
            </w:r>
            <w:r>
              <w:rPr>
                <w:rFonts w:hint="default" w:ascii="Times New Roman" w:hAnsi="Times New Roman" w:cs="Times New Roman"/>
                <w:color w:val="auto"/>
                <w:sz w:val="24"/>
              </w:rPr>
              <w:t>s</w:t>
            </w:r>
            <w:r>
              <w:rPr>
                <w:rFonts w:hint="default" w:ascii="Times New Roman" w:hAnsi="Times New Roman" w:cs="Times New Roman" w:eastAsiaTheme="minorEastAsia"/>
                <w:color w:val="auto"/>
                <w:sz w:val="24"/>
              </w:rPr>
              <w:t>时，施工扬尘污染可导致：</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（1）建筑工地内TSP浓度是上风向对照点的1.5-2.3倍</w:t>
            </w:r>
            <w:r>
              <w:rPr>
                <w:rFonts w:hint="default" w:ascii="Times New Roman" w:hAnsi="Times New Roman" w:cs="Times New Roman"/>
                <w:color w:val="auto"/>
                <w:sz w:val="24"/>
              </w:rPr>
              <w:t>。</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（2）建筑工地扬尘影响下风向150米左右范围，被影响地区TSP平均浓度在0.49mg/Nm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左右。</w:t>
            </w:r>
          </w:p>
          <w:p>
            <w:pPr>
              <w:spacing w:before="156" w:beforeLines="50" w:after="156" w:afterLines="50" w:line="360" w:lineRule="auto"/>
              <w:ind w:firstLine="48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为了降低施工期对环境空气的影响根据《防止城市扬尘技术规范》（HJ/T393-2007）相应要求，在施工过程中要采取如下措施：</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1）施工期间，施工单位应根据《建设工程施工现场管理规定》的规定设置环境保护牌、管理人员名单及监督电话牌等，其边界应设置高度 2 米以上的围挡</w:t>
            </w:r>
            <w:r>
              <w:rPr>
                <w:rFonts w:hint="default" w:ascii="Times New Roman" w:hAnsi="Times New Roman" w:cs="Times New Roman"/>
                <w:color w:val="auto"/>
                <w:sz w:val="24"/>
              </w:rPr>
              <w:t>。</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w:t>
            </w: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2）遇到干燥、易起尘的土方工程作业时，辅以洒水压尘，尽量缩短起尘操作时间。遇到四级或四级以上大风天气，应停止土方作业，同时作业处覆以防尘网</w:t>
            </w:r>
            <w:r>
              <w:rPr>
                <w:rFonts w:hint="default" w:ascii="Times New Roman" w:hAnsi="Times New Roman" w:cs="Times New Roman"/>
                <w:color w:val="auto"/>
                <w:sz w:val="24"/>
              </w:rPr>
              <w:t>。</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w:t>
            </w: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3）施工过程中，密闭存储使用水泥、石灰、砂石、涂料、铺装材料等易产生扬尘的建筑材料。</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eastAsia" w:cs="Times New Roman" w:eastAsiaTheme="minorEastAsia"/>
                <w:color w:val="auto"/>
                <w:sz w:val="24"/>
                <w:lang w:val="en-US" w:eastAsia="zh-CN"/>
              </w:rPr>
              <w:t>4</w:t>
            </w:r>
            <w:r>
              <w:rPr>
                <w:rFonts w:hint="default" w:ascii="Times New Roman" w:hAnsi="Times New Roman" w:cs="Times New Roman" w:eastAsiaTheme="minorEastAsia"/>
                <w:color w:val="auto"/>
                <w:sz w:val="24"/>
              </w:rPr>
              <w:t>）进出工地的物料、渣土、垃圾运输车辆，采用密闭车斗，并保证物料不遗撒外漏。车辆按照批准的路线和时间进行物料、渣土、垃圾的运输。</w:t>
            </w:r>
          </w:p>
          <w:p>
            <w:pPr>
              <w:spacing w:before="156" w:beforeLines="50" w:after="156" w:afterLines="50" w:line="360" w:lineRule="auto"/>
              <w:ind w:firstLine="64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施工期扬尘污染源强难于定量估算，主要在措施上加以防范。对于施工单位必须做到文明施工，除执行城市管理条例外，应进一步采取以下措施：</w:t>
            </w:r>
          </w:p>
          <w:p>
            <w:pPr>
              <w:numPr>
                <w:ilvl w:val="0"/>
                <w:numId w:val="7"/>
              </w:numPr>
              <w:spacing w:before="156" w:beforeLines="50" w:after="156" w:afterLines="50" w:line="360" w:lineRule="auto"/>
              <w:ind w:firstLine="64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在挖或填方时，应做到湿式作业或随填随压，以防刮风时产生扬尘对周围环境造成影响。</w:t>
            </w:r>
          </w:p>
          <w:p>
            <w:pPr>
              <w:numPr>
                <w:ilvl w:val="0"/>
                <w:numId w:val="7"/>
              </w:numPr>
              <w:spacing w:before="156" w:beforeLines="50" w:after="156" w:afterLines="50" w:line="360" w:lineRule="auto"/>
              <w:ind w:firstLine="64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在运输道路及主要入口、砂土料堆场和裸露地表，无雨天应经常洒水以防止二次扬尘的产生，散装水泥和其它易飞扬的细颗粒建筑材料应密闭存放，下部出口处设置防尘袋，以防止散逸。施工现场的石灰、砂土等要集中堆放，采用覆盖等措施。</w:t>
            </w:r>
          </w:p>
          <w:p>
            <w:pPr>
              <w:spacing w:before="156" w:beforeLines="50" w:after="156" w:afterLines="50" w:line="360" w:lineRule="auto"/>
              <w:ind w:firstLine="48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本项目评价范围内的环境保护目标为公路上流动人员，距离场界最近距离约为87m，处于施工扬尘污染带影响范围。</w:t>
            </w:r>
            <w:bookmarkStart w:id="105" w:name="OLE_LINK35"/>
            <w:r>
              <w:rPr>
                <w:rFonts w:hint="default" w:ascii="Times New Roman" w:hAnsi="Times New Roman" w:cs="Times New Roman" w:eastAsiaTheme="minorEastAsia"/>
                <w:color w:val="auto"/>
                <w:sz w:val="24"/>
              </w:rPr>
              <w:t>施工期</w:t>
            </w:r>
            <w:r>
              <w:rPr>
                <w:rFonts w:hint="default" w:ascii="Times New Roman" w:hAnsi="Times New Roman" w:cs="Times New Roman" w:eastAsiaTheme="minorEastAsia"/>
                <w:color w:val="auto"/>
                <w:sz w:val="24"/>
                <w:lang w:val="en-US" w:eastAsia="zh-CN"/>
              </w:rPr>
              <w:t>产生的废气对环境有一定影响</w:t>
            </w:r>
            <w:r>
              <w:rPr>
                <w:rFonts w:hint="default" w:ascii="Times New Roman" w:hAnsi="Times New Roman" w:cs="Times New Roman" w:eastAsiaTheme="minorEastAsia"/>
                <w:color w:val="auto"/>
                <w:sz w:val="24"/>
              </w:rPr>
              <w:t>，但由于发射塔位于一小山丘山顶，海拔相对位置相对较高，且周边植被生长茂盛，人员停留时间段，加之场地对施工扬尘采取以上有效防尘降尘措施、扬尘经扩散、植被净化，</w:t>
            </w:r>
            <w:r>
              <w:rPr>
                <w:rFonts w:hint="default" w:ascii="Times New Roman" w:hAnsi="Times New Roman" w:cs="Times New Roman"/>
                <w:color w:val="auto"/>
                <w:sz w:val="24"/>
              </w:rPr>
              <w:t>且</w:t>
            </w:r>
            <w:r>
              <w:rPr>
                <w:rFonts w:hint="default" w:ascii="Times New Roman" w:hAnsi="Times New Roman" w:cs="Times New Roman" w:eastAsiaTheme="minorEastAsia"/>
                <w:color w:val="auto"/>
                <w:sz w:val="24"/>
              </w:rPr>
              <w:t>施工期空气污染是短期和局部的，施工行为结束后便会停止。</w:t>
            </w:r>
            <w:bookmarkEnd w:id="105"/>
          </w:p>
          <w:p>
            <w:pPr>
              <w:spacing w:before="156" w:beforeLines="50" w:after="156" w:afterLines="50" w:line="360" w:lineRule="auto"/>
              <w:rPr>
                <w:rFonts w:hint="default" w:ascii="Times New Roman" w:hAnsi="Times New Roman" w:cs="Times New Roman" w:eastAsiaTheme="minorEastAsia"/>
                <w:b/>
                <w:bCs/>
                <w:color w:val="auto"/>
                <w:sz w:val="24"/>
              </w:rPr>
            </w:pPr>
            <w:r>
              <w:rPr>
                <w:rFonts w:hint="default" w:ascii="Times New Roman" w:hAnsi="Times New Roman" w:cs="Times New Roman"/>
                <w:b/>
                <w:bCs/>
                <w:color w:val="auto"/>
                <w:sz w:val="24"/>
              </w:rPr>
              <w:t>二、施工期</w:t>
            </w:r>
            <w:r>
              <w:rPr>
                <w:rFonts w:hint="default" w:ascii="Times New Roman" w:hAnsi="Times New Roman" w:cs="Times New Roman" w:eastAsiaTheme="minorEastAsia"/>
                <w:b/>
                <w:bCs/>
                <w:color w:val="auto"/>
                <w:sz w:val="24"/>
              </w:rPr>
              <w:t>水环境影响分析</w:t>
            </w:r>
          </w:p>
          <w:p>
            <w:pPr>
              <w:spacing w:before="156" w:beforeLines="50" w:after="156" w:afterLines="50" w:line="360" w:lineRule="auto"/>
              <w:ind w:firstLine="480"/>
              <w:rPr>
                <w:rFonts w:hint="default" w:ascii="Times New Roman" w:hAnsi="Times New Roman" w:cs="Times New Roman" w:eastAsiaTheme="minorEastAsia"/>
                <w:color w:val="auto"/>
                <w:sz w:val="24"/>
                <w:lang w:eastAsia="zh-CN"/>
              </w:rPr>
            </w:pPr>
            <w:bookmarkStart w:id="106" w:name="OLE_LINK73"/>
            <w:r>
              <w:rPr>
                <w:rFonts w:hint="default" w:ascii="Times New Roman" w:hAnsi="Times New Roman" w:cs="Times New Roman"/>
                <w:color w:val="auto"/>
                <w:sz w:val="24"/>
              </w:rPr>
              <w:t>该项目施工期不设临时生活区，施工人员前往山下就餐和居住，施工期废水主要为施工废水。</w:t>
            </w:r>
            <w:r>
              <w:rPr>
                <w:rFonts w:hint="default" w:ascii="Times New Roman" w:hAnsi="Times New Roman" w:cs="Times New Roman" w:eastAsiaTheme="minorEastAsia"/>
                <w:color w:val="auto"/>
                <w:sz w:val="24"/>
              </w:rPr>
              <w:t>施工产生废水主要有建筑施工作业机由于雨天在施工场地形成的地表径流等废水，主要污染物为泥沙、悬浮物等</w:t>
            </w:r>
            <w:r>
              <w:rPr>
                <w:rFonts w:hint="default" w:ascii="Times New Roman" w:hAnsi="Times New Roman" w:cs="Times New Roman" w:eastAsiaTheme="minorEastAsia"/>
                <w:color w:val="auto"/>
                <w:sz w:val="24"/>
                <w:lang w:eastAsia="zh-CN"/>
              </w:rPr>
              <w:t>。</w:t>
            </w:r>
          </w:p>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为减轻施工废水对水环境的影响，环评要求建设方在建设地设置</w:t>
            </w:r>
            <w:r>
              <w:rPr>
                <w:rFonts w:hint="default" w:ascii="Times New Roman" w:hAnsi="Times New Roman" w:cs="Times New Roman"/>
                <w:color w:val="auto"/>
                <w:sz w:val="24"/>
                <w:lang w:eastAsia="zh-CN"/>
              </w:rPr>
              <w:t>临时</w:t>
            </w:r>
            <w:r>
              <w:rPr>
                <w:rFonts w:hint="default" w:ascii="Times New Roman" w:hAnsi="Times New Roman" w:cs="Times New Roman"/>
                <w:color w:val="auto"/>
                <w:sz w:val="24"/>
              </w:rPr>
              <w:t>沉淀池收集施工废水，沉淀处理后用作场地洒水降尘用水；对施工场地设置必要的挡渣设施，防止雨季产生暴雨径流带着大量的泥沙流入四周林地及周边水</w:t>
            </w:r>
            <w:r>
              <w:rPr>
                <w:rFonts w:hint="default" w:ascii="Times New Roman" w:hAnsi="Times New Roman" w:cs="Times New Roman"/>
                <w:color w:val="auto"/>
                <w:lang w:val="en-US" w:eastAsia="zh-CN"/>
              </w:rPr>
              <w:t>系</w:t>
            </w:r>
            <w:r>
              <w:rPr>
                <w:rFonts w:hint="default" w:ascii="Times New Roman" w:hAnsi="Times New Roman" w:cs="Times New Roman"/>
                <w:color w:val="auto"/>
                <w:sz w:val="24"/>
              </w:rPr>
              <w:t>。</w:t>
            </w:r>
          </w:p>
          <w:bookmarkEnd w:id="106"/>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通过采取上述措施后，施工期产生的污水对外环境的影响不大。施工人员一般住在山下农户家或城区，就餐在山下</w:t>
            </w:r>
            <w:r>
              <w:rPr>
                <w:rFonts w:hint="default" w:ascii="Times New Roman" w:hAnsi="Times New Roman" w:cs="Times New Roman"/>
                <w:color w:val="auto"/>
                <w:sz w:val="24"/>
                <w:lang w:eastAsia="zh-CN"/>
              </w:rPr>
              <w:t>农户</w:t>
            </w:r>
            <w:r>
              <w:rPr>
                <w:rFonts w:hint="default" w:ascii="Times New Roman" w:hAnsi="Times New Roman" w:cs="Times New Roman"/>
                <w:color w:val="auto"/>
                <w:sz w:val="24"/>
              </w:rPr>
              <w:t>家，只要加强施工期的管理，规范施工行为，施工期废水对水环境影响较小。</w:t>
            </w:r>
          </w:p>
          <w:p>
            <w:pPr>
              <w:spacing w:before="156" w:beforeLines="50" w:after="156" w:afterLines="50" w:line="360" w:lineRule="auto"/>
              <w:rPr>
                <w:rFonts w:hint="default" w:ascii="Times New Roman" w:hAnsi="Times New Roman" w:cs="Times New Roman" w:eastAsiaTheme="minorEastAsia"/>
                <w:b/>
                <w:bCs/>
                <w:color w:val="auto"/>
                <w:sz w:val="24"/>
              </w:rPr>
            </w:pPr>
            <w:r>
              <w:rPr>
                <w:rFonts w:hint="default" w:ascii="Times New Roman" w:hAnsi="Times New Roman" w:cs="Times New Roman"/>
                <w:b/>
                <w:bCs/>
                <w:color w:val="auto"/>
                <w:sz w:val="24"/>
              </w:rPr>
              <w:t>三、施工期</w:t>
            </w:r>
            <w:r>
              <w:rPr>
                <w:rFonts w:hint="default" w:ascii="Times New Roman" w:hAnsi="Times New Roman" w:cs="Times New Roman" w:eastAsiaTheme="minorEastAsia"/>
                <w:b/>
                <w:bCs/>
                <w:color w:val="auto"/>
                <w:sz w:val="24"/>
              </w:rPr>
              <w:t>声环境影响分析</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bookmarkStart w:id="107" w:name="OLE_LINK74"/>
            <w:r>
              <w:rPr>
                <w:rFonts w:hint="default" w:ascii="Times New Roman" w:hAnsi="Times New Roman" w:cs="Times New Roman" w:eastAsiaTheme="minorEastAsia"/>
                <w:color w:val="auto"/>
                <w:sz w:val="24"/>
              </w:rPr>
              <w:t>施工期噪声主要来源于施工现场各类机械设备作业噪声和物料运输的交通噪声。</w:t>
            </w:r>
          </w:p>
          <w:bookmarkEnd w:id="107"/>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不同的施工阶段使用的施工机械也不同，而且施工期间的施工机械一般是移动式的，其噪声源也不是固定的，并且在施工期间往往会有几种施工机械同时作业，导致施工噪声叠加现象，因此，难以十分准确地确定施工噪声源的源强。</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本评价把施工噪声近似为点声源，其衰减模式如下：</w:t>
            </w:r>
          </w:p>
          <w:p>
            <w:pPr>
              <w:spacing w:before="156" w:beforeLines="50" w:after="156" w:afterLines="50" w:line="360" w:lineRule="auto"/>
              <w:ind w:firstLine="64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Lp=Lpo-20lg（r/r</w:t>
            </w:r>
            <w:r>
              <w:rPr>
                <w:rFonts w:hint="default" w:ascii="Times New Roman" w:hAnsi="Times New Roman" w:cs="Times New Roman" w:eastAsiaTheme="minorEastAsia"/>
                <w:color w:val="auto"/>
                <w:sz w:val="24"/>
                <w:vertAlign w:val="subscript"/>
              </w:rPr>
              <w:t>o</w:t>
            </w:r>
            <w:r>
              <w:rPr>
                <w:rFonts w:hint="default" w:ascii="Times New Roman" w:hAnsi="Times New Roman" w:cs="Times New Roman" w:eastAsiaTheme="minorEastAsia"/>
                <w:color w:val="auto"/>
                <w:sz w:val="24"/>
              </w:rPr>
              <w:t>）</w:t>
            </w:r>
            <w:r>
              <w:rPr>
                <w:rFonts w:hint="default" w:ascii="Times New Roman" w:hAnsi="Times New Roman" w:cs="Times New Roman"/>
                <w:color w:val="auto"/>
                <w:sz w:val="24"/>
              </w:rPr>
              <w:t>……………………（式7-1）</w:t>
            </w:r>
          </w:p>
          <w:p>
            <w:pPr>
              <w:spacing w:before="156" w:beforeLines="50" w:after="156" w:afterLines="50" w:line="360" w:lineRule="auto"/>
              <w:ind w:firstLine="64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式中：Lp--距声源r米处的施工噪声预测值，dB（A）;</w:t>
            </w:r>
          </w:p>
          <w:p>
            <w:pPr>
              <w:spacing w:before="156" w:beforeLines="50" w:after="156" w:afterLines="50" w:line="360" w:lineRule="auto"/>
              <w:ind w:firstLine="64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Lpo--距声源r</w:t>
            </w:r>
            <w:r>
              <w:rPr>
                <w:rFonts w:hint="default" w:ascii="Times New Roman" w:hAnsi="Times New Roman" w:cs="Times New Roman" w:eastAsiaTheme="minorEastAsia"/>
                <w:color w:val="auto"/>
                <w:sz w:val="24"/>
                <w:vertAlign w:val="subscript"/>
              </w:rPr>
              <w:t>o</w:t>
            </w:r>
            <w:r>
              <w:rPr>
                <w:rFonts w:hint="default" w:ascii="Times New Roman" w:hAnsi="Times New Roman" w:cs="Times New Roman" w:eastAsiaTheme="minorEastAsia"/>
                <w:color w:val="auto"/>
                <w:sz w:val="24"/>
              </w:rPr>
              <w:t>米处的参考声级，dB（A）；</w:t>
            </w:r>
          </w:p>
          <w:p>
            <w:pPr>
              <w:spacing w:before="156" w:beforeLines="50" w:after="156" w:afterLines="50" w:line="360" w:lineRule="auto"/>
              <w:ind w:firstLine="64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      r</w:t>
            </w:r>
            <w:r>
              <w:rPr>
                <w:rFonts w:hint="default" w:ascii="Times New Roman" w:hAnsi="Times New Roman" w:cs="Times New Roman" w:eastAsiaTheme="minorEastAsia"/>
                <w:color w:val="auto"/>
                <w:sz w:val="24"/>
                <w:vertAlign w:val="subscript"/>
              </w:rPr>
              <w:t>o</w:t>
            </w:r>
            <w:r>
              <w:rPr>
                <w:rFonts w:hint="default" w:ascii="Times New Roman" w:hAnsi="Times New Roman" w:cs="Times New Roman" w:eastAsiaTheme="minorEastAsia"/>
                <w:color w:val="auto"/>
                <w:sz w:val="24"/>
              </w:rPr>
              <w:t>--Lpo噪声的测点距离（5m或1m），m。</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施工噪声主要来自于施工期内不同作业的机械产生的噪声和振动。打桩作业采用打桩机，会产生振动和机械轰鸣噪声；土石方作业采用挖掘机、运载车等施工车辆噪声；主体工程施工钢材切割、水泥搅拌机、震捣棒等机械噪声等；设备安装阶段运输产生的噪声等。</w:t>
            </w:r>
            <w:bookmarkStart w:id="108" w:name="OLE_LINK78"/>
            <w:r>
              <w:rPr>
                <w:rFonts w:hint="default" w:ascii="Times New Roman" w:hAnsi="Times New Roman" w:cs="Times New Roman" w:eastAsiaTheme="minorEastAsia"/>
                <w:color w:val="auto"/>
                <w:sz w:val="24"/>
              </w:rPr>
              <w:t>各施工阶段的主要产噪机械设备、运输车辆及其声级值见表</w:t>
            </w:r>
            <w:r>
              <w:rPr>
                <w:rFonts w:hint="default" w:ascii="Times New Roman" w:hAnsi="Times New Roman" w:cs="Times New Roman"/>
                <w:color w:val="auto"/>
                <w:sz w:val="24"/>
              </w:rPr>
              <w:t>7-</w:t>
            </w:r>
            <w:r>
              <w:rPr>
                <w:rFonts w:hint="eastAsia" w:cs="Times New Roman"/>
                <w:color w:val="auto"/>
                <w:sz w:val="24"/>
                <w:lang w:val="en-US" w:eastAsia="zh-CN"/>
              </w:rPr>
              <w:t>1</w:t>
            </w:r>
            <w:r>
              <w:rPr>
                <w:rFonts w:hint="default" w:ascii="Times New Roman" w:hAnsi="Times New Roman" w:cs="Times New Roman" w:eastAsiaTheme="minorEastAsia"/>
                <w:color w:val="auto"/>
                <w:sz w:val="24"/>
              </w:rPr>
              <w:t>。</w:t>
            </w:r>
          </w:p>
          <w:bookmarkEnd w:id="108"/>
          <w:p>
            <w:pPr>
              <w:spacing w:before="156" w:beforeLines="50" w:after="156" w:afterLines="50" w:line="360" w:lineRule="auto"/>
              <w:ind w:firstLine="64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表7-</w:t>
            </w:r>
            <w:r>
              <w:rPr>
                <w:rFonts w:hint="eastAsia" w:eastAsia="黑体" w:cs="Times New Roman"/>
                <w:color w:val="auto"/>
                <w:sz w:val="24"/>
                <w:lang w:val="en-US" w:eastAsia="zh-CN"/>
              </w:rPr>
              <w:t>1</w:t>
            </w:r>
            <w:r>
              <w:rPr>
                <w:rFonts w:hint="default" w:ascii="Times New Roman" w:hAnsi="Times New Roman" w:eastAsia="黑体" w:cs="Times New Roman"/>
                <w:color w:val="auto"/>
                <w:sz w:val="24"/>
              </w:rPr>
              <w:t xml:space="preserve">  工程主要施工机械噪声值</w:t>
            </w:r>
          </w:p>
          <w:tbl>
            <w:tblPr>
              <w:tblStyle w:val="16"/>
              <w:tblW w:w="828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030"/>
              <w:gridCol w:w="873"/>
              <w:gridCol w:w="586"/>
              <w:gridCol w:w="696"/>
              <w:gridCol w:w="668"/>
              <w:gridCol w:w="666"/>
              <w:gridCol w:w="754"/>
              <w:gridCol w:w="754"/>
              <w:gridCol w:w="754"/>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53" w:type="dxa"/>
                  <w:vMerge w:val="restart"/>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序号</w:t>
                  </w:r>
                </w:p>
              </w:tc>
              <w:tc>
                <w:tcPr>
                  <w:tcW w:w="1030" w:type="dxa"/>
                  <w:vMerge w:val="restart"/>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噪声源</w:t>
                  </w:r>
                </w:p>
              </w:tc>
              <w:tc>
                <w:tcPr>
                  <w:tcW w:w="873" w:type="dxa"/>
                  <w:vMerge w:val="restart"/>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源强dB（A）</w:t>
                  </w:r>
                </w:p>
              </w:tc>
              <w:tc>
                <w:tcPr>
                  <w:tcW w:w="5624" w:type="dxa"/>
                  <w:gridSpan w:val="8"/>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距声源不同距离处的噪声值（m）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53" w:type="dxa"/>
                  <w:vMerge w:val="continue"/>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p>
              </w:tc>
              <w:tc>
                <w:tcPr>
                  <w:tcW w:w="1030" w:type="dxa"/>
                  <w:vMerge w:val="continue"/>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p>
              </w:tc>
              <w:tc>
                <w:tcPr>
                  <w:tcW w:w="873" w:type="dxa"/>
                  <w:vMerge w:val="continue"/>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30</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50</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80</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90</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100</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75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w:t>
                  </w:r>
                </w:p>
              </w:tc>
              <w:tc>
                <w:tcPr>
                  <w:tcW w:w="10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挖掘机</w:t>
                  </w:r>
                </w:p>
              </w:tc>
              <w:tc>
                <w:tcPr>
                  <w:tcW w:w="87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95</w:t>
                  </w: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81</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75</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65.4</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61</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57</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55</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75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w:t>
                  </w:r>
                </w:p>
              </w:tc>
              <w:tc>
                <w:tcPr>
                  <w:tcW w:w="10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打桩机</w:t>
                  </w:r>
                </w:p>
              </w:tc>
              <w:tc>
                <w:tcPr>
                  <w:tcW w:w="87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95</w:t>
                  </w: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81</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75</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65.4</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61</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57</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55</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75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w:t>
                  </w:r>
                </w:p>
              </w:tc>
              <w:tc>
                <w:tcPr>
                  <w:tcW w:w="10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搅拌机</w:t>
                  </w:r>
                </w:p>
              </w:tc>
              <w:tc>
                <w:tcPr>
                  <w:tcW w:w="87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85</w:t>
                  </w: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71</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65</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55.4</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51</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47</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46</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45</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633" w:hRule="atLeast"/>
              </w:trPr>
              <w:tc>
                <w:tcPr>
                  <w:tcW w:w="75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w:t>
                  </w:r>
                </w:p>
              </w:tc>
              <w:tc>
                <w:tcPr>
                  <w:tcW w:w="10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震捣棒</w:t>
                  </w:r>
                </w:p>
              </w:tc>
              <w:tc>
                <w:tcPr>
                  <w:tcW w:w="87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95</w:t>
                  </w: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81</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75</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65.4</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61</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57</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55</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75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w:t>
                  </w:r>
                </w:p>
              </w:tc>
              <w:tc>
                <w:tcPr>
                  <w:tcW w:w="10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切割机</w:t>
                  </w:r>
                </w:p>
              </w:tc>
              <w:tc>
                <w:tcPr>
                  <w:tcW w:w="87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90</w:t>
                  </w: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76</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70</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60.4</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56</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52</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51</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50</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5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w:t>
                  </w:r>
                </w:p>
              </w:tc>
              <w:tc>
                <w:tcPr>
                  <w:tcW w:w="10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吊车</w:t>
                  </w:r>
                </w:p>
              </w:tc>
              <w:tc>
                <w:tcPr>
                  <w:tcW w:w="87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80</w:t>
                  </w: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66</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60</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50.4</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46</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42</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41</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40</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75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w:t>
                  </w:r>
                </w:p>
              </w:tc>
              <w:tc>
                <w:tcPr>
                  <w:tcW w:w="10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运输</w:t>
                  </w:r>
                </w:p>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车辆</w:t>
                  </w:r>
                </w:p>
              </w:tc>
              <w:tc>
                <w:tcPr>
                  <w:tcW w:w="87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82</w:t>
                  </w:r>
                </w:p>
              </w:tc>
              <w:tc>
                <w:tcPr>
                  <w:tcW w:w="58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68</w:t>
                  </w:r>
                </w:p>
              </w:tc>
              <w:tc>
                <w:tcPr>
                  <w:tcW w:w="6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62</w:t>
                  </w:r>
                </w:p>
              </w:tc>
              <w:tc>
                <w:tcPr>
                  <w:tcW w:w="668"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52.4</w:t>
                  </w:r>
                </w:p>
              </w:tc>
              <w:tc>
                <w:tcPr>
                  <w:tcW w:w="66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48</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44</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43</w:t>
                  </w:r>
                </w:p>
              </w:tc>
              <w:tc>
                <w:tcPr>
                  <w:tcW w:w="75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42</w:t>
                  </w:r>
                </w:p>
              </w:tc>
              <w:tc>
                <w:tcPr>
                  <w:tcW w:w="74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38.5</w:t>
                  </w:r>
                </w:p>
              </w:tc>
            </w:tr>
          </w:tbl>
          <w:p>
            <w:pPr>
              <w:spacing w:before="156" w:beforeLines="50" w:after="156" w:afterLines="50" w:line="360" w:lineRule="auto"/>
              <w:jc w:val="left"/>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bookmarkStart w:id="109" w:name="OLE_LINK79"/>
            <w:r>
              <w:rPr>
                <w:rFonts w:hint="default" w:ascii="Times New Roman" w:hAnsi="Times New Roman" w:cs="Times New Roman" w:eastAsiaTheme="minorEastAsia"/>
                <w:color w:val="auto"/>
                <w:sz w:val="24"/>
              </w:rPr>
              <w:t>由上表可知，按《建筑施工场界环境噪声排放标准》（GB12523-2011）衡量，昼间施工机械在30m外即可达标，夜间则要100m外才能达标。项目施工场地周围环境保护目标为公路上流动人员，最近距离施工场地87m，但是公路上的流动人员停留时间段短且人流量小。因此，项目施工期场地虽然存在超标情况，但不会产生扰民现象。</w:t>
            </w:r>
          </w:p>
          <w:bookmarkEnd w:id="109"/>
          <w:p>
            <w:pPr>
              <w:spacing w:before="156" w:beforeLines="50" w:after="156" w:afterLines="50" w:line="360" w:lineRule="auto"/>
              <w:jc w:val="left"/>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尽管如此，建议施工单位加强施工管理，尽量采用低噪声机械，并注意对施工机械定期进行维修保养，使机械设备保持最佳工作状态，使噪声影响降低到最小范围。</w:t>
            </w:r>
          </w:p>
          <w:p>
            <w:pPr>
              <w:spacing w:before="156" w:beforeLines="50" w:after="156" w:afterLines="50" w:line="360" w:lineRule="auto"/>
              <w:ind w:firstLine="64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本项目施工期噪声影响是暂时性的，在采取相应的管理措施后可减至最低，并随着施工期的结束而消失。避免扰民事件的发生。</w:t>
            </w:r>
          </w:p>
          <w:p>
            <w:pPr>
              <w:spacing w:before="156" w:beforeLines="50" w:after="156" w:afterLines="50" w:line="360" w:lineRule="auto"/>
              <w:jc w:val="left"/>
              <w:rPr>
                <w:rFonts w:hint="default" w:ascii="Times New Roman" w:hAnsi="Times New Roman" w:cs="Times New Roman" w:eastAsiaTheme="minorEastAsia"/>
                <w:b/>
                <w:bCs/>
                <w:color w:val="auto"/>
                <w:sz w:val="24"/>
              </w:rPr>
            </w:pPr>
            <w:r>
              <w:rPr>
                <w:rFonts w:hint="default" w:ascii="Times New Roman" w:hAnsi="Times New Roman" w:cs="Times New Roman"/>
                <w:b/>
                <w:bCs/>
                <w:color w:val="auto"/>
                <w:sz w:val="24"/>
              </w:rPr>
              <w:t>四、施工期</w:t>
            </w:r>
            <w:r>
              <w:rPr>
                <w:rFonts w:hint="default" w:ascii="Times New Roman" w:hAnsi="Times New Roman" w:cs="Times New Roman" w:eastAsiaTheme="minorEastAsia"/>
                <w:b/>
                <w:bCs/>
                <w:color w:val="auto"/>
                <w:sz w:val="24"/>
              </w:rPr>
              <w:t>固体废弃物影响分析</w:t>
            </w:r>
          </w:p>
          <w:p>
            <w:pPr>
              <w:spacing w:before="156" w:beforeLines="50" w:after="156" w:afterLines="50" w:line="360" w:lineRule="auto"/>
              <w:ind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施工期间会有一定量的施工废弃物产生，包括废水泥、石子等。这些施工废弃物若处理不好，会影响堆放场地周围的环境，且影响周围景观，建设单位应引起足够的重视。因此，施工单位应对废弃物尽量分类堆放，发射塔修建施工产生的建筑垃圾可用于填方部分应就地处置，对于不适于填方的废弃物应该运往相关管理部门指定的场所处理。运输过程中应采取围挡、遮盖措施尽量减少散落的现象发生，以免影响周围环境的清洁和美观。</w:t>
            </w:r>
          </w:p>
          <w:p>
            <w:pPr>
              <w:numPr>
                <w:ilvl w:val="0"/>
                <w:numId w:val="8"/>
              </w:numPr>
              <w:spacing w:before="156" w:beforeLines="50" w:after="156" w:afterLines="50" w:line="360" w:lineRule="auto"/>
              <w:jc w:val="left"/>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景观及生态环境影响分析</w:t>
            </w:r>
          </w:p>
          <w:p>
            <w:pPr>
              <w:spacing w:before="156" w:beforeLines="50" w:after="156" w:afterLines="50" w:line="360" w:lineRule="auto"/>
              <w:ind w:firstLine="480"/>
              <w:jc w:val="left"/>
              <w:rPr>
                <w:rFonts w:hint="default" w:ascii="Times New Roman" w:hAnsi="Times New Roman" w:cs="Times New Roman" w:eastAsiaTheme="minorEastAsia"/>
                <w:b/>
                <w:bCs/>
                <w:color w:val="auto"/>
                <w:sz w:val="24"/>
                <w:u w:val="single"/>
              </w:rPr>
            </w:pPr>
            <w:r>
              <w:rPr>
                <w:rFonts w:hint="default" w:ascii="Times New Roman" w:hAnsi="Times New Roman" w:cs="Times New Roman" w:eastAsiaTheme="minorEastAsia"/>
                <w:b/>
                <w:bCs/>
                <w:color w:val="auto"/>
                <w:sz w:val="24"/>
                <w:u w:val="single"/>
              </w:rPr>
              <w:t>1、项目占用地对旅游资源地的影响分析</w:t>
            </w:r>
          </w:p>
          <w:p>
            <w:pPr>
              <w:spacing w:before="156" w:beforeLines="50" w:after="156" w:afterLines="50" w:line="360" w:lineRule="auto"/>
              <w:ind w:firstLine="480"/>
              <w:jc w:val="left"/>
              <w:rPr>
                <w:rFonts w:hint="default" w:ascii="Times New Roman" w:hAnsi="Times New Roman" w:cs="Times New Roman" w:eastAsiaTheme="minorEastAsia"/>
                <w:color w:val="auto"/>
                <w:sz w:val="24"/>
                <w:u w:val="single"/>
              </w:rPr>
            </w:pPr>
            <w:r>
              <w:rPr>
                <w:rFonts w:hint="default" w:ascii="Times New Roman" w:hAnsi="Times New Roman" w:cs="Times New Roman" w:eastAsiaTheme="minorEastAsia"/>
                <w:color w:val="auto"/>
                <w:sz w:val="24"/>
                <w:u w:val="single"/>
              </w:rPr>
              <w:t xml:space="preserve"> 电视台拟建地占地面积为</w:t>
            </w:r>
            <w:r>
              <w:rPr>
                <w:rFonts w:hint="default" w:ascii="Times New Roman" w:hAnsi="Times New Roman" w:cs="Times New Roman" w:eastAsiaTheme="minorEastAsia"/>
                <w:color w:val="auto"/>
                <w:sz w:val="24"/>
                <w:u w:val="single"/>
                <w:lang w:val="en-US" w:eastAsia="zh-CN"/>
              </w:rPr>
              <w:t>399</w:t>
            </w:r>
            <w:r>
              <w:rPr>
                <w:rFonts w:hint="default" w:ascii="Times New Roman" w:hAnsi="Times New Roman" w:cs="Times New Roman"/>
                <w:color w:val="auto"/>
                <w:kern w:val="0"/>
                <w:sz w:val="24"/>
                <w:u w:val="single"/>
              </w:rPr>
              <w:t>.</w:t>
            </w:r>
            <w:r>
              <w:rPr>
                <w:rFonts w:hint="default" w:ascii="Times New Roman" w:hAnsi="Times New Roman" w:cs="Times New Roman"/>
                <w:color w:val="auto"/>
                <w:kern w:val="0"/>
                <w:sz w:val="24"/>
                <w:u w:val="single"/>
                <w:lang w:val="en-US" w:eastAsia="zh-CN"/>
              </w:rPr>
              <w:t>6</w:t>
            </w:r>
            <w:r>
              <w:rPr>
                <w:rFonts w:hint="default" w:ascii="Times New Roman" w:hAnsi="Times New Roman" w:cs="Times New Roman" w:eastAsiaTheme="minorEastAsia"/>
                <w:color w:val="auto"/>
                <w:sz w:val="24"/>
                <w:u w:val="single"/>
              </w:rPr>
              <w:t>m</w:t>
            </w:r>
            <w:r>
              <w:rPr>
                <w:rFonts w:hint="default" w:ascii="Times New Roman" w:hAnsi="Times New Roman" w:cs="Times New Roman" w:eastAsiaTheme="minorEastAsia"/>
                <w:color w:val="auto"/>
                <w:sz w:val="24"/>
                <w:u w:val="single"/>
                <w:vertAlign w:val="superscript"/>
              </w:rPr>
              <w:t>2</w:t>
            </w:r>
            <w:r>
              <w:rPr>
                <w:rFonts w:hint="default" w:ascii="Times New Roman" w:hAnsi="Times New Roman" w:cs="Times New Roman" w:eastAsiaTheme="minorEastAsia"/>
                <w:color w:val="auto"/>
                <w:sz w:val="24"/>
                <w:u w:val="single"/>
              </w:rPr>
              <w:t xml:space="preserve">，位于云阳山风景名胜区的非核心景区，不涉及景观用地。项目占地规模小，施工结束后应对电视台拟建地周边进行植物物种恢复和绿化工作（主要引进本地植物树种），可以减少对景观的影响。电视所在区植被的生物恢复能力较强，在施工结束后，辅之必要的绿化和恢复措施，基本可以恢复到原来的自然状态，生态环境质量也基本得到恢复。 </w:t>
            </w:r>
          </w:p>
          <w:p>
            <w:pPr>
              <w:spacing w:before="156" w:beforeLines="50" w:after="156" w:afterLines="50" w:line="360" w:lineRule="auto"/>
              <w:ind w:firstLine="480"/>
              <w:jc w:val="left"/>
              <w:rPr>
                <w:rFonts w:hint="default" w:ascii="Times New Roman" w:hAnsi="Times New Roman" w:cs="Times New Roman" w:eastAsiaTheme="minorEastAsia"/>
                <w:color w:val="auto"/>
                <w:sz w:val="24"/>
                <w:u w:val="single"/>
              </w:rPr>
            </w:pPr>
            <w:r>
              <w:rPr>
                <w:rFonts w:hint="default" w:ascii="Times New Roman" w:hAnsi="Times New Roman" w:cs="Times New Roman" w:eastAsiaTheme="minorEastAsia"/>
                <w:color w:val="auto"/>
                <w:sz w:val="24"/>
                <w:u w:val="single"/>
                <w:lang w:val="en-US" w:eastAsia="zh-CN"/>
              </w:rPr>
              <w:t>此外</w:t>
            </w:r>
            <w:r>
              <w:rPr>
                <w:rFonts w:hint="default" w:ascii="Times New Roman" w:hAnsi="Times New Roman" w:cs="Times New Roman" w:eastAsiaTheme="minorEastAsia"/>
                <w:color w:val="auto"/>
                <w:sz w:val="24"/>
                <w:u w:val="single"/>
              </w:rPr>
              <w:t>，</w:t>
            </w:r>
            <w:r>
              <w:rPr>
                <w:rFonts w:hint="default" w:ascii="Times New Roman" w:hAnsi="Times New Roman" w:cs="Times New Roman"/>
                <w:color w:val="auto"/>
                <w:sz w:val="24"/>
                <w:u w:val="single"/>
              </w:rPr>
              <w:t>项目工程处于山地地形，无市政水源</w:t>
            </w:r>
            <w:r>
              <w:rPr>
                <w:rFonts w:hint="default" w:ascii="Times New Roman" w:hAnsi="Times New Roman" w:cs="Times New Roman"/>
                <w:color w:val="auto"/>
                <w:sz w:val="24"/>
                <w:u w:val="single"/>
                <w:lang w:val="en-US" w:eastAsia="zh-CN"/>
              </w:rPr>
              <w:t>和电网</w:t>
            </w:r>
            <w:r>
              <w:rPr>
                <w:rFonts w:hint="default" w:ascii="Times New Roman" w:hAnsi="Times New Roman" w:cs="Times New Roman"/>
                <w:color w:val="auto"/>
                <w:sz w:val="24"/>
                <w:u w:val="single"/>
              </w:rPr>
              <w:t>，</w:t>
            </w:r>
            <w:r>
              <w:rPr>
                <w:rFonts w:hint="default" w:ascii="Times New Roman" w:hAnsi="Times New Roman" w:cs="Times New Roman" w:eastAsiaTheme="minorEastAsia"/>
                <w:color w:val="auto"/>
                <w:sz w:val="24"/>
                <w:u w:val="single"/>
              </w:rPr>
              <w:t>为保证电视台</w:t>
            </w:r>
            <w:r>
              <w:rPr>
                <w:rFonts w:hint="default" w:ascii="Times New Roman" w:hAnsi="Times New Roman" w:cs="Times New Roman" w:eastAsiaTheme="minorEastAsia"/>
                <w:color w:val="auto"/>
                <w:sz w:val="24"/>
                <w:u w:val="single"/>
                <w:lang w:val="en-US" w:eastAsia="zh-CN"/>
              </w:rPr>
              <w:t>供水和</w:t>
            </w:r>
            <w:r>
              <w:rPr>
                <w:rFonts w:hint="default" w:ascii="Times New Roman" w:hAnsi="Times New Roman" w:cs="Times New Roman" w:eastAsiaTheme="minorEastAsia"/>
                <w:color w:val="auto"/>
                <w:sz w:val="24"/>
                <w:u w:val="single"/>
              </w:rPr>
              <w:t>电力需求，</w:t>
            </w:r>
            <w:r>
              <w:rPr>
                <w:rFonts w:hint="default" w:ascii="Times New Roman" w:hAnsi="Times New Roman" w:cs="Times New Roman"/>
                <w:color w:val="auto"/>
                <w:sz w:val="24"/>
                <w:u w:val="single"/>
              </w:rPr>
              <w:t>给水水源来自西侧约800m处的酒店水井</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lang w:val="en-US" w:eastAsia="zh-CN"/>
              </w:rPr>
              <w:t>供电</w:t>
            </w:r>
            <w:r>
              <w:rPr>
                <w:rFonts w:hint="default" w:ascii="Times New Roman" w:hAnsi="Times New Roman" w:cs="Times New Roman"/>
                <w:color w:val="auto"/>
                <w:sz w:val="24"/>
                <w:u w:val="single"/>
              </w:rPr>
              <w:t>由塔址西侧10KV架空线路空引入10KV电源，距离约为300m，引入至塔址附近，再采用地埋式引入发射塔址。</w:t>
            </w:r>
            <w:r>
              <w:rPr>
                <w:rFonts w:hint="default" w:ascii="Times New Roman" w:hAnsi="Times New Roman" w:cs="Times New Roman" w:eastAsiaTheme="minorEastAsia"/>
                <w:color w:val="auto"/>
                <w:sz w:val="24"/>
                <w:u w:val="single"/>
              </w:rPr>
              <w:t>需从锦绣路埋设高压电缆至电视台拟建地。环评要求在满足条件情况下，</w:t>
            </w:r>
            <w:r>
              <w:rPr>
                <w:rFonts w:hint="default" w:ascii="Times New Roman" w:hAnsi="Times New Roman" w:cs="Times New Roman" w:eastAsiaTheme="minorEastAsia"/>
                <w:color w:val="auto"/>
                <w:sz w:val="24"/>
                <w:u w:val="single"/>
                <w:lang w:val="en-US" w:eastAsia="zh-CN"/>
              </w:rPr>
              <w:t>水管和</w:t>
            </w:r>
            <w:r>
              <w:rPr>
                <w:rFonts w:hint="default" w:ascii="Times New Roman" w:hAnsi="Times New Roman" w:cs="Times New Roman" w:eastAsiaTheme="minorEastAsia"/>
                <w:color w:val="auto"/>
                <w:sz w:val="24"/>
                <w:u w:val="single"/>
              </w:rPr>
              <w:t>电缆埋设采取即挖即埋方式施工</w:t>
            </w:r>
            <w:r>
              <w:rPr>
                <w:rFonts w:hint="eastAsia" w:cs="Times New Roman" w:eastAsiaTheme="minorEastAsia"/>
                <w:color w:val="auto"/>
                <w:sz w:val="24"/>
                <w:u w:val="single"/>
                <w:lang w:eastAsia="zh-CN"/>
              </w:rPr>
              <w:t>，</w:t>
            </w:r>
            <w:r>
              <w:rPr>
                <w:rFonts w:hint="eastAsia" w:ascii="Times New Roman" w:hAnsi="Times New Roman" w:cs="Times New Roman" w:eastAsiaTheme="minorEastAsia"/>
                <w:color w:val="auto"/>
                <w:sz w:val="24"/>
                <w:u w:val="single"/>
              </w:rPr>
              <w:t>开挖的时候</w:t>
            </w:r>
            <w:r>
              <w:rPr>
                <w:rFonts w:hint="eastAsia" w:cs="Times New Roman" w:eastAsiaTheme="minorEastAsia"/>
                <w:color w:val="auto"/>
                <w:sz w:val="24"/>
                <w:u w:val="single"/>
                <w:lang w:eastAsia="zh-CN"/>
              </w:rPr>
              <w:t>注意</w:t>
            </w:r>
            <w:r>
              <w:rPr>
                <w:rFonts w:hint="eastAsia" w:ascii="Times New Roman" w:hAnsi="Times New Roman" w:cs="Times New Roman" w:eastAsiaTheme="minorEastAsia"/>
                <w:color w:val="auto"/>
                <w:sz w:val="24"/>
                <w:u w:val="single"/>
              </w:rPr>
              <w:t>土层按顺序存放，回填的时候要把表层土放在最上层</w:t>
            </w:r>
            <w:r>
              <w:rPr>
                <w:rFonts w:hint="eastAsia" w:cs="Times New Roman" w:eastAsiaTheme="minorEastAsia"/>
                <w:color w:val="auto"/>
                <w:sz w:val="24"/>
                <w:u w:val="single"/>
                <w:lang w:eastAsia="zh-CN"/>
              </w:rPr>
              <w:t>，可以最大限度地还原地貌</w:t>
            </w:r>
            <w:r>
              <w:rPr>
                <w:rFonts w:hint="eastAsia" w:ascii="Times New Roman" w:hAnsi="Times New Roman" w:cs="Times New Roman" w:eastAsiaTheme="minorEastAsia"/>
                <w:color w:val="auto"/>
                <w:sz w:val="24"/>
                <w:u w:val="single"/>
              </w:rPr>
              <w:t>。</w:t>
            </w:r>
            <w:r>
              <w:rPr>
                <w:rFonts w:hint="eastAsia" w:cs="Times New Roman" w:eastAsiaTheme="minorEastAsia"/>
                <w:color w:val="auto"/>
                <w:sz w:val="24"/>
                <w:u w:val="single"/>
                <w:lang w:eastAsia="zh-CN"/>
              </w:rPr>
              <w:t>且</w:t>
            </w:r>
            <w:r>
              <w:rPr>
                <w:rFonts w:hint="default" w:ascii="Times New Roman" w:hAnsi="Times New Roman" w:cs="Times New Roman" w:eastAsiaTheme="minorEastAsia"/>
                <w:color w:val="auto"/>
                <w:sz w:val="24"/>
                <w:u w:val="single"/>
              </w:rPr>
              <w:t>尽可能减少挖土堆放时间。在采取以上措施后，评价区域内景观生物恢复力受到的影响不大。</w:t>
            </w:r>
          </w:p>
          <w:p>
            <w:pPr>
              <w:spacing w:line="360" w:lineRule="auto"/>
              <w:ind w:firstLine="480" w:firstLineChars="200"/>
              <w:rPr>
                <w:rFonts w:hint="default" w:ascii="Times New Roman" w:hAnsi="Times New Roman" w:cs="Times New Roman" w:eastAsiaTheme="minorEastAsia"/>
                <w:color w:val="auto"/>
                <w:sz w:val="24"/>
                <w:u w:val="single"/>
              </w:rPr>
            </w:pPr>
            <w:r>
              <w:rPr>
                <w:rFonts w:hint="default" w:ascii="Times New Roman" w:hAnsi="Times New Roman" w:cs="Times New Roman" w:eastAsiaTheme="minorEastAsia"/>
                <w:color w:val="auto"/>
                <w:sz w:val="24"/>
                <w:u w:val="single"/>
              </w:rPr>
              <w:t>用地以林地和草丛地为主，位于云阳山风景名胜区的非核心景区，不涉及景观用地。</w:t>
            </w:r>
            <w:r>
              <w:rPr>
                <w:rFonts w:hint="default" w:ascii="Times New Roman" w:hAnsi="Times New Roman" w:cs="Times New Roman" w:eastAsiaTheme="minorEastAsia"/>
                <w:color w:val="auto"/>
                <w:sz w:val="24"/>
                <w:u w:val="single"/>
                <w:lang w:val="en-US" w:eastAsia="zh-CN"/>
              </w:rPr>
              <w:t>但新占用地</w:t>
            </w:r>
            <w:r>
              <w:rPr>
                <w:rFonts w:hint="default" w:ascii="Times New Roman" w:hAnsi="Times New Roman" w:cs="Times New Roman" w:eastAsiaTheme="minorEastAsia"/>
                <w:color w:val="auto"/>
                <w:sz w:val="24"/>
                <w:u w:val="single"/>
              </w:rPr>
              <w:t>原有植被情况为天然次生林，为主要的资源拼块，电视塔台，主楼等建筑建设后，次生林变为建筑用地，拼块结构发生了变化，但项目占地面积较小，</w:t>
            </w:r>
            <w:r>
              <w:rPr>
                <w:rFonts w:hint="default" w:ascii="Times New Roman" w:hAnsi="Times New Roman" w:cs="Times New Roman" w:eastAsiaTheme="minorEastAsia"/>
                <w:color w:val="auto"/>
                <w:sz w:val="24"/>
                <w:u w:val="single"/>
                <w:lang w:val="en-US" w:eastAsia="zh-CN"/>
              </w:rPr>
              <w:t>对区域自然体系景观的差异性影响不大。</w:t>
            </w:r>
            <w:r>
              <w:rPr>
                <w:rFonts w:hint="eastAsia" w:ascii="Times New Roman" w:hAnsi="Times New Roman" w:cs="Times New Roman"/>
                <w:color w:val="auto"/>
                <w:sz w:val="24"/>
                <w:u w:val="single"/>
                <w:lang w:eastAsia="zh-CN"/>
              </w:rPr>
              <w:t>环评建议在修建发射塔和技术用房时考虑作为云阳山景区配套设施来整体推进，与云阳山的格调相协调，有利于景区品味的提档升级。</w:t>
            </w:r>
          </w:p>
          <w:p>
            <w:pPr>
              <w:numPr>
                <w:ilvl w:val="0"/>
                <w:numId w:val="9"/>
              </w:numPr>
              <w:spacing w:before="156" w:beforeLines="50" w:after="156" w:afterLines="50" w:line="360" w:lineRule="auto"/>
              <w:ind w:firstLine="480"/>
              <w:jc w:val="left"/>
              <w:rPr>
                <w:rFonts w:hint="default" w:ascii="Times New Roman" w:hAnsi="Times New Roman" w:cs="Times New Roman" w:eastAsiaTheme="minorEastAsia"/>
                <w:b/>
                <w:bCs/>
                <w:color w:val="auto"/>
                <w:sz w:val="24"/>
                <w:u w:val="single"/>
              </w:rPr>
            </w:pPr>
            <w:r>
              <w:rPr>
                <w:rFonts w:hint="default" w:ascii="Times New Roman" w:hAnsi="Times New Roman" w:cs="Times New Roman" w:eastAsiaTheme="minorEastAsia"/>
                <w:b/>
                <w:bCs/>
                <w:color w:val="auto"/>
                <w:sz w:val="24"/>
                <w:u w:val="single"/>
              </w:rPr>
              <w:t>对植物群落与生态功能的影响分析</w:t>
            </w:r>
          </w:p>
          <w:p>
            <w:pPr>
              <w:spacing w:line="360" w:lineRule="auto"/>
              <w:ind w:firstLine="480" w:firstLineChars="200"/>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由于工程建设将不可避免破坏项目区的植被，会导致项目区的植物总量的下降。项目区的植被都是均为当地常见的物种，不会引起项目区域植物种和种群的灭绝。项目区内未发现其他国家和省重点保护的野生植物分布，也无古树名木，因此，项目建设用地并不会对项目区域的植物多样性保护产生不利影响。施工场地的植物因施工活动将大部分消失，本区域上绿地面积有一定的减少。绿地减少将导致该区域物种种群数量减少，因施工范围有限，不致使这些物种灭绝。仅只是某些居群数量减少。施工期大量裸地的增加，将可能导致杂草数量增加，使原有的群落结构遭受一定程度的破坏。</w:t>
            </w:r>
          </w:p>
          <w:p>
            <w:pPr>
              <w:spacing w:line="360" w:lineRule="auto"/>
              <w:ind w:firstLine="480" w:firstLineChars="200"/>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总体来看，该建设工程的实施，将在一定程度上对地方生态环境造成一定的影响。但只要建设和施工单位加强管理，认真落实和执行各项环保对策措施以及水土保持措施，可减轻项目的建设和运营对地方生态环境的负面影响，将影响程度降低。因此，本工程建设对评价区自然植被的影响很小，由此造成的生态影响也很小。</w:t>
            </w:r>
          </w:p>
          <w:p>
            <w:pPr>
              <w:spacing w:line="360" w:lineRule="auto"/>
              <w:ind w:firstLine="480" w:firstLineChars="200"/>
              <w:textAlignment w:val="baseline"/>
              <w:rPr>
                <w:rFonts w:hint="default" w:ascii="Times New Roman" w:hAnsi="Times New Roman" w:eastAsia="黑体" w:cs="Times New Roman"/>
                <w:color w:val="auto"/>
                <w:sz w:val="24"/>
                <w:u w:val="single"/>
              </w:rPr>
            </w:pPr>
            <w:r>
              <w:rPr>
                <w:rFonts w:hint="default" w:ascii="Times New Roman" w:hAnsi="Times New Roman" w:eastAsia="黑体" w:cs="Times New Roman"/>
                <w:color w:val="auto"/>
                <w:sz w:val="24"/>
                <w:u w:val="single"/>
              </w:rPr>
              <w:t>3、项目建设对野生动物的影响分析</w:t>
            </w:r>
          </w:p>
          <w:p>
            <w:pPr>
              <w:spacing w:line="360" w:lineRule="auto"/>
              <w:ind w:firstLine="480" w:firstLineChars="200"/>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在项目建设过程中，由于工程永久性占地不大，整个工程建设后对陆生动物影响很小。但是，在施工期间，由于机械噪声和施工人员的涌入，对陆生动物是有影响的。这些影响主要是工程施工惊吓陆生动物，使其逃离工程噪声影响区。由于本项目施工期较短，因此对动物的影响较小。</w:t>
            </w:r>
          </w:p>
          <w:p>
            <w:pPr>
              <w:spacing w:line="360" w:lineRule="auto"/>
              <w:ind w:firstLine="480" w:firstLineChars="200"/>
              <w:jc w:val="left"/>
              <w:rPr>
                <w:rFonts w:hint="default" w:ascii="Times New Roman" w:hAnsi="Times New Roman" w:eastAsia="黑体" w:cs="Times New Roman"/>
                <w:color w:val="auto"/>
                <w:sz w:val="24"/>
                <w:u w:val="single"/>
              </w:rPr>
            </w:pPr>
            <w:r>
              <w:rPr>
                <w:rFonts w:hint="default" w:ascii="Times New Roman" w:hAnsi="Times New Roman" w:eastAsia="黑体" w:cs="Times New Roman"/>
                <w:color w:val="auto"/>
                <w:sz w:val="24"/>
                <w:u w:val="single"/>
              </w:rPr>
              <w:t>4、项目建设对水土流失的影响</w:t>
            </w:r>
          </w:p>
          <w:p>
            <w:pPr>
              <w:spacing w:line="360" w:lineRule="auto"/>
              <w:ind w:firstLine="480" w:firstLineChars="200"/>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本项目发射台站占地后在一定区域上改变了原有的森林生态环境特征，对站址区域内原地表植被、地面组成物质以及地形地貌造成扰动，失去植被的防冲、固土能力，也使自然稳定受到破坏，产生冲刷现象，增加新的水土流失。工程土石开方量659.8m</w:t>
            </w:r>
            <w:r>
              <w:rPr>
                <w:rFonts w:hint="default" w:ascii="Times New Roman" w:hAnsi="Times New Roman" w:cs="Times New Roman"/>
                <w:color w:val="auto"/>
                <w:sz w:val="24"/>
                <w:u w:val="single"/>
                <w:vertAlign w:val="superscript"/>
              </w:rPr>
              <w:t>3</w:t>
            </w:r>
            <w:r>
              <w:rPr>
                <w:rFonts w:hint="default" w:ascii="Times New Roman" w:hAnsi="Times New Roman" w:cs="Times New Roman"/>
                <w:color w:val="auto"/>
                <w:sz w:val="24"/>
                <w:u w:val="single"/>
              </w:rPr>
              <w:t>，建设期弃土、弃渣用于平整场地，向外不产生弃土、弃渣，整个工程区内土石方总量平衡。本项目总占地面积为399.6m</w:t>
            </w:r>
            <w:r>
              <w:rPr>
                <w:rFonts w:hint="default" w:ascii="Times New Roman" w:hAnsi="Times New Roman" w:cs="Times New Roman"/>
                <w:color w:val="auto"/>
                <w:sz w:val="24"/>
                <w:u w:val="single"/>
                <w:vertAlign w:val="superscript"/>
              </w:rPr>
              <w:t>2</w:t>
            </w:r>
            <w:r>
              <w:rPr>
                <w:rFonts w:hint="default" w:ascii="Times New Roman" w:hAnsi="Times New Roman" w:cs="Times New Roman"/>
                <w:color w:val="auto"/>
                <w:sz w:val="24"/>
                <w:u w:val="single"/>
              </w:rPr>
              <w:t>（不含进站道路），建设地址位于茶陵县云阳山半山腰，场址周围森林密布，台站所在区域水土侵蚀作用不显著，施工期侵蚀强度表现为轻度水力侵蚀。</w:t>
            </w:r>
          </w:p>
          <w:p>
            <w:pPr>
              <w:spacing w:before="156" w:beforeLines="50" w:after="156" w:afterLines="50" w:line="360" w:lineRule="auto"/>
              <w:ind w:firstLine="640"/>
              <w:jc w:val="left"/>
              <w:rPr>
                <w:rFonts w:hint="default" w:ascii="Times New Roman" w:hAnsi="Times New Roman" w:cs="Times New Roman" w:eastAsiaTheme="minorEastAsia"/>
                <w:color w:val="auto"/>
                <w:sz w:val="24"/>
                <w:u w:val="single"/>
              </w:rPr>
            </w:pPr>
            <w:r>
              <w:rPr>
                <w:rFonts w:hint="default" w:ascii="Times New Roman" w:hAnsi="Times New Roman" w:cs="Times New Roman" w:eastAsiaTheme="minorEastAsia"/>
                <w:color w:val="auto"/>
                <w:sz w:val="24"/>
                <w:u w:val="single"/>
              </w:rPr>
              <w:t>因此，施工期间必须采取严格的防治措施以减少水土流失，采取措施如下：</w:t>
            </w:r>
          </w:p>
          <w:p>
            <w:pPr>
              <w:spacing w:before="156" w:beforeLines="50" w:after="156" w:afterLines="50" w:line="360" w:lineRule="auto"/>
              <w:jc w:val="left"/>
              <w:rPr>
                <w:rFonts w:hint="default" w:ascii="Times New Roman" w:hAnsi="Times New Roman" w:cs="Times New Roman" w:eastAsiaTheme="minorEastAsia"/>
                <w:color w:val="auto"/>
                <w:sz w:val="24"/>
                <w:u w:val="single"/>
              </w:rPr>
            </w:pPr>
            <w:r>
              <w:rPr>
                <w:rFonts w:hint="default" w:ascii="Times New Roman" w:hAnsi="Times New Roman" w:cs="Times New Roman"/>
                <w:color w:val="auto"/>
                <w:sz w:val="24"/>
                <w:u w:val="single"/>
              </w:rPr>
              <w:t xml:space="preserve">    （1）</w:t>
            </w:r>
            <w:r>
              <w:rPr>
                <w:rFonts w:hint="default" w:ascii="Times New Roman" w:hAnsi="Times New Roman" w:cs="Times New Roman" w:eastAsiaTheme="minorEastAsia"/>
                <w:color w:val="auto"/>
                <w:sz w:val="24"/>
                <w:u w:val="single"/>
              </w:rPr>
              <w:t>尽量缩短土地裸露时间，加快工程建设；</w:t>
            </w:r>
          </w:p>
          <w:p>
            <w:pPr>
              <w:spacing w:before="156" w:beforeLines="50" w:after="156" w:afterLines="50" w:line="360" w:lineRule="auto"/>
              <w:jc w:val="left"/>
              <w:rPr>
                <w:rFonts w:hint="default" w:ascii="Times New Roman" w:hAnsi="Times New Roman" w:cs="Times New Roman" w:eastAsiaTheme="minorEastAsia"/>
                <w:color w:val="auto"/>
                <w:sz w:val="24"/>
                <w:u w:val="single"/>
              </w:rPr>
            </w:pPr>
            <w:r>
              <w:rPr>
                <w:rFonts w:hint="default" w:ascii="Times New Roman" w:hAnsi="Times New Roman" w:cs="Times New Roman"/>
                <w:color w:val="auto"/>
                <w:sz w:val="24"/>
                <w:u w:val="single"/>
              </w:rPr>
              <w:t xml:space="preserve">    （2）</w:t>
            </w:r>
            <w:r>
              <w:rPr>
                <w:rFonts w:hint="default" w:ascii="Times New Roman" w:hAnsi="Times New Roman" w:cs="Times New Roman" w:eastAsiaTheme="minorEastAsia"/>
                <w:color w:val="auto"/>
                <w:sz w:val="24"/>
                <w:u w:val="single"/>
              </w:rPr>
              <w:t>工程建设过程中的开挖土方在回填之前，做好临时的防护措施，集中堆放，并注意堆放坡度，做好施工区内的排水工作；</w:t>
            </w:r>
          </w:p>
          <w:p>
            <w:pPr>
              <w:spacing w:before="156" w:beforeLines="50" w:after="156" w:afterLines="50" w:line="360" w:lineRule="auto"/>
              <w:jc w:val="left"/>
              <w:rPr>
                <w:rFonts w:hint="default" w:ascii="Times New Roman" w:hAnsi="Times New Roman" w:cs="Times New Roman" w:eastAsiaTheme="minorEastAsia"/>
                <w:color w:val="auto"/>
                <w:sz w:val="24"/>
                <w:u w:val="single"/>
              </w:rPr>
            </w:pPr>
            <w:r>
              <w:rPr>
                <w:rFonts w:hint="default" w:ascii="Times New Roman" w:hAnsi="Times New Roman" w:cs="Times New Roman"/>
                <w:color w:val="auto"/>
                <w:sz w:val="24"/>
                <w:u w:val="single"/>
              </w:rPr>
              <w:t xml:space="preserve">    （3）</w:t>
            </w:r>
            <w:r>
              <w:rPr>
                <w:rFonts w:hint="default" w:ascii="Times New Roman" w:hAnsi="Times New Roman" w:cs="Times New Roman" w:eastAsiaTheme="minorEastAsia"/>
                <w:color w:val="auto"/>
                <w:sz w:val="24"/>
                <w:u w:val="single"/>
              </w:rPr>
              <w:t>对于容易流失的建筑材料集中堆放、加强管理；</w:t>
            </w:r>
          </w:p>
          <w:p>
            <w:pPr>
              <w:spacing w:before="156" w:beforeLines="50" w:after="156" w:afterLines="50" w:line="360" w:lineRule="auto"/>
              <w:jc w:val="left"/>
              <w:rPr>
                <w:rFonts w:hint="default" w:ascii="Times New Roman" w:hAnsi="Times New Roman" w:cs="Times New Roman" w:eastAsiaTheme="minorEastAsia"/>
                <w:color w:val="auto"/>
                <w:sz w:val="24"/>
                <w:u w:val="single"/>
              </w:rPr>
            </w:pPr>
            <w:r>
              <w:rPr>
                <w:rFonts w:hint="default" w:ascii="Times New Roman" w:hAnsi="Times New Roman" w:cs="Times New Roman"/>
                <w:color w:val="auto"/>
                <w:sz w:val="24"/>
                <w:u w:val="single"/>
              </w:rPr>
              <w:t xml:space="preserve">    （4）</w:t>
            </w:r>
            <w:r>
              <w:rPr>
                <w:rFonts w:hint="default" w:ascii="Times New Roman" w:hAnsi="Times New Roman" w:cs="Times New Roman" w:eastAsiaTheme="minorEastAsia"/>
                <w:color w:val="auto"/>
                <w:sz w:val="24"/>
                <w:u w:val="single"/>
              </w:rPr>
              <w:t>在堆料场、堆土场等周边设置临时排水沟，挡土墙，用装土麻袋进行拦挡，堆料、堆土表面采用密网进行遮盖；</w:t>
            </w:r>
          </w:p>
          <w:p>
            <w:pPr>
              <w:spacing w:before="156" w:beforeLines="50" w:after="156" w:afterLines="50" w:line="360" w:lineRule="auto"/>
              <w:jc w:val="left"/>
              <w:rPr>
                <w:rFonts w:hint="default" w:ascii="Times New Roman" w:hAnsi="Times New Roman" w:cs="Times New Roman" w:eastAsiaTheme="minorEastAsia"/>
                <w:color w:val="auto"/>
                <w:sz w:val="24"/>
                <w:u w:val="single"/>
              </w:rPr>
            </w:pPr>
            <w:r>
              <w:rPr>
                <w:rFonts w:hint="default" w:ascii="Times New Roman" w:hAnsi="Times New Roman" w:cs="Times New Roman"/>
                <w:color w:val="auto"/>
                <w:sz w:val="24"/>
                <w:u w:val="single"/>
              </w:rPr>
              <w:t xml:space="preserve">   （5）</w:t>
            </w:r>
            <w:r>
              <w:rPr>
                <w:rFonts w:hint="default" w:ascii="Times New Roman" w:hAnsi="Times New Roman" w:cs="Times New Roman" w:eastAsiaTheme="minorEastAsia"/>
                <w:color w:val="auto"/>
                <w:sz w:val="24"/>
                <w:u w:val="single"/>
              </w:rPr>
              <w:t>及时清运废弃土方，回填时对开挖地块进行压实。</w:t>
            </w:r>
          </w:p>
          <w:p>
            <w:pPr>
              <w:spacing w:before="156" w:beforeLines="50" w:after="156" w:afterLines="50" w:line="360" w:lineRule="auto"/>
              <w:ind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u w:val="single"/>
              </w:rPr>
              <w:t>在工程施工时采取上述水土保持措施后，能有效地控制水土流失量，也能将水土流失带来的环境影响和环境风险降至最低。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4" w:type="dxa"/>
          </w:tcPr>
          <w:p>
            <w:pPr>
              <w:spacing w:before="156" w:beforeLines="50" w:after="156" w:afterLines="50" w:line="360" w:lineRule="auto"/>
              <w:jc w:val="left"/>
              <w:rPr>
                <w:rFonts w:hint="default" w:ascii="Times New Roman" w:hAnsi="Times New Roman" w:eastAsia="黑体" w:cs="Times New Roman"/>
                <w:b/>
                <w:bCs/>
                <w:color w:val="auto"/>
                <w:sz w:val="28"/>
                <w:szCs w:val="28"/>
              </w:rPr>
            </w:pPr>
            <w:r>
              <w:rPr>
                <w:rFonts w:hint="default" w:ascii="Times New Roman" w:hAnsi="Times New Roman" w:eastAsia="黑体" w:cs="Times New Roman"/>
                <w:b/>
                <w:bCs/>
                <w:color w:val="auto"/>
                <w:sz w:val="28"/>
                <w:szCs w:val="28"/>
              </w:rPr>
              <w:t>运营期环境影响分析</w:t>
            </w:r>
          </w:p>
          <w:p>
            <w:pPr>
              <w:spacing w:before="156" w:beforeLines="50" w:after="156" w:afterLines="50" w:line="360" w:lineRule="auto"/>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一、运营期环境空气影响分析</w:t>
            </w:r>
          </w:p>
          <w:p>
            <w:pPr>
              <w:spacing w:before="156" w:beforeLines="50" w:after="156" w:afterLines="50" w:line="360" w:lineRule="auto"/>
              <w:ind w:firstLine="480"/>
              <w:jc w:val="left"/>
              <w:rPr>
                <w:rFonts w:hint="default" w:ascii="Times New Roman" w:hAnsi="Times New Roman" w:cs="Times New Roman"/>
                <w:color w:val="auto"/>
                <w:sz w:val="24"/>
              </w:rPr>
            </w:pPr>
            <w:bookmarkStart w:id="110" w:name="OLE_LINK36"/>
            <w:r>
              <w:rPr>
                <w:rFonts w:hint="default" w:ascii="Times New Roman" w:hAnsi="Times New Roman" w:cs="Times New Roman"/>
                <w:color w:val="auto"/>
                <w:sz w:val="24"/>
              </w:rPr>
              <w:t>项目运营期大气污染主要来自厨房油烟废气</w:t>
            </w:r>
            <w:r>
              <w:rPr>
                <w:rFonts w:hint="eastAsia" w:ascii="Times New Roman" w:hAnsi="Times New Roman" w:cs="Times New Roman"/>
                <w:color w:val="auto"/>
                <w:sz w:val="24"/>
                <w:lang w:eastAsia="zh-CN"/>
              </w:rPr>
              <w:t>和少量的柴油机运行时产生的废气</w:t>
            </w:r>
            <w:r>
              <w:rPr>
                <w:rFonts w:hint="default" w:ascii="Times New Roman" w:hAnsi="Times New Roman" w:cs="Times New Roman"/>
                <w:color w:val="auto"/>
                <w:sz w:val="24"/>
              </w:rPr>
              <w:t>。</w:t>
            </w:r>
          </w:p>
          <w:bookmarkEnd w:id="110"/>
          <w:p>
            <w:pPr>
              <w:spacing w:before="156" w:beforeLines="50" w:after="156" w:afterLines="50" w:line="360" w:lineRule="auto"/>
              <w:ind w:firstLine="480"/>
              <w:jc w:val="left"/>
              <w:rPr>
                <w:rFonts w:hint="default" w:ascii="Times New Roman" w:hAnsi="Times New Roman" w:cs="Times New Roman"/>
                <w:color w:val="auto"/>
                <w:sz w:val="24"/>
              </w:rPr>
            </w:pPr>
            <w:bookmarkStart w:id="111" w:name="OLE_LINK63"/>
            <w:r>
              <w:rPr>
                <w:rFonts w:hint="default" w:ascii="Times New Roman" w:hAnsi="Times New Roman" w:cs="Times New Roman"/>
                <w:color w:val="auto"/>
                <w:sz w:val="24"/>
              </w:rPr>
              <w:t>厨房每天有4人就餐，一天3餐。厨房废气主要是天然气燃烧产生的废气和烹饪产生的油烟废气，天然气燃烧废气中主要污染物为：SO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、CO</w:t>
            </w:r>
            <w:r>
              <w:rPr>
                <w:rFonts w:hint="eastAsia" w:cs="Times New Roman"/>
                <w:color w:val="auto"/>
                <w:sz w:val="24"/>
                <w:lang w:eastAsia="zh-CN"/>
              </w:rPr>
              <w:t>，其</w:t>
            </w:r>
            <w:r>
              <w:rPr>
                <w:rFonts w:hint="default" w:ascii="Times New Roman" w:hAnsi="Times New Roman" w:cs="Times New Roman"/>
                <w:color w:val="auto"/>
                <w:sz w:val="24"/>
              </w:rPr>
              <w:t>排放的量非常小，可忽略。</w:t>
            </w:r>
            <w:r>
              <w:rPr>
                <w:rFonts w:hint="default" w:ascii="Times New Roman" w:hAnsi="Times New Roman" w:cs="Times New Roman"/>
                <w:color w:val="auto"/>
                <w:sz w:val="24"/>
                <w:lang w:val="en-US" w:eastAsia="zh-CN"/>
              </w:rPr>
              <w:t>根据就餐人数估算，其规模属小型，</w:t>
            </w:r>
            <w:bookmarkStart w:id="112" w:name="OLE_LINK38"/>
            <w:r>
              <w:rPr>
                <w:rFonts w:hint="default" w:ascii="Times New Roman" w:hAnsi="Times New Roman" w:cs="Times New Roman"/>
                <w:color w:val="auto"/>
                <w:sz w:val="24"/>
              </w:rPr>
              <w:t>按动植物油食用60g/人·d计，则每天动植物油食用量为0.72Kg/d（263Kg/a）。</w:t>
            </w:r>
            <w:r>
              <w:rPr>
                <w:rFonts w:hint="default" w:ascii="Times New Roman" w:hAnsi="Times New Roman" w:cs="Times New Roman"/>
                <w:color w:val="auto"/>
                <w:sz w:val="24"/>
                <w:lang w:val="en-US" w:eastAsia="zh-CN"/>
              </w:rPr>
              <w:t>且厨</w:t>
            </w:r>
            <w:r>
              <w:rPr>
                <w:rFonts w:hint="default" w:ascii="Times New Roman" w:hAnsi="Times New Roman" w:cs="Times New Roman"/>
                <w:color w:val="auto"/>
                <w:sz w:val="24"/>
              </w:rPr>
              <w:t>房废气经油烟</w:t>
            </w:r>
            <w:r>
              <w:rPr>
                <w:rFonts w:hint="default" w:ascii="Times New Roman" w:hAnsi="Times New Roman" w:cs="Times New Roman"/>
                <w:color w:val="auto"/>
                <w:sz w:val="24"/>
                <w:lang w:eastAsia="zh-CN"/>
              </w:rPr>
              <w:t>净化设施</w:t>
            </w:r>
            <w:r>
              <w:rPr>
                <w:rFonts w:hint="default" w:ascii="Times New Roman" w:hAnsi="Times New Roman" w:cs="Times New Roman"/>
                <w:color w:val="auto"/>
                <w:sz w:val="24"/>
              </w:rPr>
              <w:t>净化由排烟管道引至楼顶排放，对周围环境影响</w:t>
            </w:r>
            <w:r>
              <w:rPr>
                <w:rFonts w:hint="default" w:ascii="Times New Roman" w:hAnsi="Times New Roman" w:cs="Times New Roman"/>
                <w:color w:val="auto"/>
                <w:sz w:val="24"/>
                <w:lang w:val="en-US" w:eastAsia="zh-CN"/>
              </w:rPr>
              <w:t>很</w:t>
            </w:r>
            <w:r>
              <w:rPr>
                <w:rFonts w:hint="default" w:ascii="Times New Roman" w:hAnsi="Times New Roman" w:cs="Times New Roman"/>
                <w:color w:val="auto"/>
                <w:sz w:val="24"/>
              </w:rPr>
              <w:t>小。</w:t>
            </w:r>
          </w:p>
          <w:bookmarkEnd w:id="111"/>
          <w:bookmarkEnd w:id="112"/>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设有备用柴油发电机2台（一用一备），备用柴油发电机组额定功率为50kW，柴油发电机设置于发电机房内。柴油发电机在正常情况下部使用，在电网突发停电事故时，发电机组自动启动，将产生一定的燃油废气。根据近2年项目所在区域供电统计情况，每年正常停电的原因主要是供电部门检修，时间一般在半天之内。因此，预计柴油发电机年使用次数8次，每次约6h，累计年最大启动时间约为48h。</w:t>
            </w:r>
            <w:bookmarkStart w:id="113" w:name="OLE_LINK56"/>
            <w:r>
              <w:rPr>
                <w:rFonts w:hint="eastAsia" w:cs="Times New Roman"/>
                <w:color w:val="auto"/>
                <w:sz w:val="24"/>
                <w:lang w:eastAsia="zh-CN"/>
              </w:rPr>
              <w:t>发电机房窗户可用于换气处理，且</w:t>
            </w:r>
            <w:r>
              <w:rPr>
                <w:rFonts w:hint="default" w:ascii="Times New Roman" w:hAnsi="Times New Roman" w:cs="Times New Roman"/>
                <w:color w:val="auto"/>
                <w:sz w:val="24"/>
              </w:rPr>
              <w:t>发电机组本身装有尾气净化系统，运行时产生少量废气经设备自带</w:t>
            </w:r>
            <w:r>
              <w:rPr>
                <w:rFonts w:hint="default" w:ascii="Times New Roman" w:hAnsi="Times New Roman" w:cs="Times New Roman"/>
                <w:color w:val="auto"/>
                <w:sz w:val="24"/>
                <w:lang w:eastAsia="zh-CN"/>
              </w:rPr>
              <w:t>净化设施</w:t>
            </w:r>
            <w:r>
              <w:rPr>
                <w:rFonts w:hint="default" w:ascii="Times New Roman" w:hAnsi="Times New Roman" w:cs="Times New Roman"/>
                <w:color w:val="auto"/>
                <w:sz w:val="24"/>
              </w:rPr>
              <w:t>处理后对环境影响</w:t>
            </w:r>
            <w:r>
              <w:rPr>
                <w:rFonts w:hint="default" w:ascii="Times New Roman" w:hAnsi="Times New Roman" w:cs="Times New Roman"/>
                <w:color w:val="auto"/>
                <w:sz w:val="24"/>
                <w:lang w:val="en-US" w:eastAsia="zh-CN"/>
              </w:rPr>
              <w:t>较小</w:t>
            </w:r>
            <w:r>
              <w:rPr>
                <w:rFonts w:hint="default" w:ascii="Times New Roman" w:hAnsi="Times New Roman" w:cs="Times New Roman"/>
                <w:color w:val="auto"/>
                <w:sz w:val="24"/>
              </w:rPr>
              <w:t>。</w:t>
            </w:r>
          </w:p>
          <w:bookmarkEnd w:id="113"/>
          <w:p>
            <w:pPr>
              <w:spacing w:before="156" w:beforeLines="50" w:after="156" w:afterLines="50" w:line="360" w:lineRule="auto"/>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二、运营期水环境影响分析</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left"/>
              <w:textAlignment w:val="auto"/>
              <w:outlineLvl w:val="9"/>
              <w:rPr>
                <w:rFonts w:hint="default" w:ascii="Times New Roman" w:hAnsi="Times New Roman" w:cs="Times New Roman"/>
                <w:color w:val="auto"/>
                <w:sz w:val="24"/>
              </w:rPr>
            </w:pPr>
            <w:bookmarkStart w:id="114" w:name="OLE_LINK71"/>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项目水污染源主要是值班工作人员生活污水。</w:t>
            </w:r>
            <w:bookmarkEnd w:id="114"/>
            <w:r>
              <w:rPr>
                <w:rFonts w:hint="default" w:ascii="Times New Roman" w:hAnsi="Times New Roman" w:cs="Times New Roman"/>
                <w:color w:val="auto"/>
                <w:sz w:val="24"/>
              </w:rPr>
              <w:t>项目劳动定员为8人，常驻人员4人，用水</w:t>
            </w:r>
            <w:r>
              <w:rPr>
                <w:rFonts w:hint="default" w:ascii="Times New Roman" w:hAnsi="Times New Roman" w:cs="Times New Roman"/>
                <w:color w:val="auto"/>
                <w:sz w:val="24"/>
                <w:lang w:eastAsia="zh-CN"/>
              </w:rPr>
              <w:t>量按</w:t>
            </w:r>
            <w:r>
              <w:rPr>
                <w:rFonts w:hint="default" w:ascii="Times New Roman" w:hAnsi="Times New Roman" w:cs="Times New Roman"/>
                <w:color w:val="auto"/>
                <w:sz w:val="24"/>
              </w:rPr>
              <w:t>300L/</w:t>
            </w:r>
            <w:r>
              <w:rPr>
                <w:rFonts w:hint="default" w:ascii="Times New Roman" w:hAnsi="Times New Roman" w:cs="Times New Roman"/>
                <w:color w:val="auto"/>
                <w:sz w:val="24"/>
                <w:lang w:eastAsia="zh-CN"/>
              </w:rPr>
              <w:t>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d计算</w:t>
            </w:r>
            <w:r>
              <w:rPr>
                <w:rFonts w:hint="default" w:ascii="Times New Roman" w:hAnsi="Times New Roman" w:cs="Times New Roman"/>
                <w:color w:val="auto"/>
                <w:sz w:val="24"/>
              </w:rPr>
              <w:t>，污水</w:t>
            </w:r>
            <w:r>
              <w:rPr>
                <w:rFonts w:hint="default" w:ascii="Times New Roman" w:hAnsi="Times New Roman" w:cs="Times New Roman"/>
                <w:color w:val="auto"/>
                <w:sz w:val="24"/>
                <w:lang w:eastAsia="zh-CN"/>
              </w:rPr>
              <w:t>产生</w:t>
            </w:r>
            <w:r>
              <w:rPr>
                <w:rFonts w:hint="default" w:ascii="Times New Roman" w:hAnsi="Times New Roman" w:cs="Times New Roman"/>
                <w:color w:val="auto"/>
                <w:sz w:val="24"/>
              </w:rPr>
              <w:t>量按用水量的90%计，</w:t>
            </w:r>
            <w:bookmarkStart w:id="115" w:name="OLE_LINK72"/>
            <w:r>
              <w:rPr>
                <w:rFonts w:hint="default" w:ascii="Times New Roman" w:hAnsi="Times New Roman" w:cs="Times New Roman" w:eastAsiaTheme="minorEastAsia"/>
                <w:color w:val="auto"/>
                <w:sz w:val="24"/>
              </w:rPr>
              <w:t>排放量约为</w:t>
            </w:r>
            <w:r>
              <w:rPr>
                <w:rFonts w:hint="default" w:ascii="Times New Roman" w:hAnsi="Times New Roman" w:cs="Times New Roman"/>
                <w:color w:val="auto"/>
                <w:sz w:val="24"/>
              </w:rPr>
              <w:t>1.1</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color w:val="auto"/>
                <w:sz w:val="24"/>
              </w:rPr>
              <w:t>/d（402</w:t>
            </w:r>
            <w:r>
              <w:rPr>
                <w:rFonts w:hint="default" w:ascii="Times New Roman" w:hAnsi="Times New Roman" w:cs="Times New Roman" w:eastAsiaTheme="minorEastAsia"/>
                <w:color w:val="auto"/>
                <w:sz w:val="24"/>
              </w:rPr>
              <w:t>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eastAsiaTheme="minorEastAsia"/>
                <w:color w:val="auto"/>
                <w:sz w:val="24"/>
              </w:rPr>
              <w:t>。</w:t>
            </w:r>
            <w:r>
              <w:rPr>
                <w:rFonts w:hint="default" w:ascii="Times New Roman" w:hAnsi="Times New Roman" w:cs="Times New Roman"/>
                <w:color w:val="auto"/>
                <w:sz w:val="24"/>
              </w:rPr>
              <w:t>本项目地处于山地地形，无市政排水系统，环评要求建设将污水收集处理后全部用于场地绿化，不外排。</w:t>
            </w:r>
          </w:p>
          <w:bookmarkEnd w:id="115"/>
          <w:p>
            <w:pPr>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360" w:lineRule="auto"/>
              <w:ind w:left="0" w:leftChars="0" w:right="0" w:rightChars="0"/>
              <w:jc w:val="left"/>
              <w:textAlignment w:val="auto"/>
              <w:outlineLvl w:val="9"/>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运营期声环境影响分析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jc w:val="left"/>
              <w:textAlignment w:val="auto"/>
              <w:outlineLvl w:val="9"/>
              <w:rPr>
                <w:rFonts w:hint="default" w:ascii="Times New Roman" w:hAnsi="Times New Roman" w:eastAsia="黑体" w:cs="Times New Roman"/>
                <w:color w:val="auto"/>
                <w:sz w:val="24"/>
              </w:rPr>
            </w:pPr>
            <w:r>
              <w:rPr>
                <w:rFonts w:hint="default"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rPr>
              <w:t>本项目的噪声主要来源于散热风机、空调和柴油发电机，</w:t>
            </w:r>
            <w:r>
              <w:rPr>
                <w:rFonts w:hint="default" w:ascii="Times New Roman" w:hAnsi="Times New Roman" w:cs="Times New Roman"/>
                <w:color w:val="auto"/>
                <w:sz w:val="24"/>
              </w:rPr>
              <w:t>本项</w:t>
            </w:r>
            <w:r>
              <w:rPr>
                <w:rFonts w:hint="default" w:ascii="Times New Roman" w:hAnsi="Times New Roman" w:cs="Times New Roman"/>
                <w:color w:val="auto"/>
                <w:sz w:val="24"/>
                <w:lang w:eastAsia="zh-CN"/>
              </w:rPr>
              <w:t>目</w:t>
            </w:r>
            <w:r>
              <w:rPr>
                <w:rFonts w:hint="default" w:ascii="Times New Roman" w:hAnsi="Times New Roman" w:cs="Times New Roman"/>
                <w:color w:val="auto"/>
                <w:sz w:val="24"/>
              </w:rPr>
              <w:t>设有备用柴油发电机</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台，备用柴油发电机组额定功率为</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rPr>
              <w:t>kW。设有单独的燃油发电机房，电网突发停电事故时，发电机组自动启动，发电机组启动时，将产生一定的噪声。为了发射设备的散热，本项目各设备柜均配有散热风扇</w:t>
            </w:r>
            <w:r>
              <w:rPr>
                <w:rFonts w:hint="default" w:ascii="Times New Roman" w:hAnsi="Times New Roman" w:cs="Times New Roman"/>
                <w:color w:val="auto"/>
                <w:sz w:val="24"/>
                <w:lang w:eastAsia="zh-CN"/>
              </w:rPr>
              <w:t>。空调</w:t>
            </w:r>
            <w:r>
              <w:rPr>
                <w:rFonts w:hint="default" w:ascii="Times New Roman" w:hAnsi="Times New Roman" w:cs="Times New Roman"/>
                <w:color w:val="auto"/>
                <w:sz w:val="24"/>
              </w:rPr>
              <w:t>为一般的家用空调，运行噪声符合产品出厂标准，噪声值较小。</w:t>
            </w:r>
            <w:r>
              <w:rPr>
                <w:rFonts w:hint="default" w:ascii="Times New Roman" w:hAnsi="Times New Roman" w:cs="Times New Roman"/>
                <w:color w:val="auto"/>
                <w:sz w:val="24"/>
                <w:lang w:eastAsia="zh-CN"/>
              </w:rPr>
              <w:t>且</w:t>
            </w:r>
            <w:r>
              <w:rPr>
                <w:rFonts w:hint="default" w:ascii="Times New Roman" w:hAnsi="Times New Roman" w:cs="Times New Roman"/>
                <w:color w:val="auto"/>
                <w:sz w:val="24"/>
              </w:rPr>
              <w:t>散热风扇和空调机均安装在房</w:t>
            </w:r>
            <w:r>
              <w:rPr>
                <w:rFonts w:hint="default" w:ascii="Times New Roman" w:hAnsi="Times New Roman" w:cs="Times New Roman"/>
                <w:color w:val="auto"/>
                <w:sz w:val="24"/>
                <w:lang w:eastAsia="zh-CN"/>
              </w:rPr>
              <w:t>间</w:t>
            </w:r>
            <w:r>
              <w:rPr>
                <w:rFonts w:hint="default" w:ascii="Times New Roman" w:hAnsi="Times New Roman" w:cs="Times New Roman"/>
                <w:color w:val="auto"/>
                <w:sz w:val="24"/>
              </w:rPr>
              <w:t>内，因此项目主要噪声源是</w:t>
            </w:r>
            <w:r>
              <w:rPr>
                <w:rFonts w:hint="default" w:ascii="Times New Roman" w:hAnsi="Times New Roman" w:cs="Times New Roman"/>
                <w:color w:val="auto"/>
                <w:sz w:val="24"/>
                <w:lang w:eastAsia="zh-CN"/>
              </w:rPr>
              <w:t>柴油发电机</w:t>
            </w:r>
            <w:r>
              <w:rPr>
                <w:rFonts w:hint="default" w:ascii="Times New Roman" w:hAnsi="Times New Roman" w:cs="Times New Roman"/>
                <w:color w:val="auto"/>
                <w:sz w:val="24"/>
              </w:rPr>
              <w:t>。发电机组型号和噪声源强见</w:t>
            </w:r>
            <w:r>
              <w:rPr>
                <w:rFonts w:hint="default" w:ascii="Times New Roman" w:hAnsi="Times New Roman" w:cs="Times New Roman"/>
                <w:color w:val="auto"/>
                <w:sz w:val="24"/>
                <w:lang w:eastAsia="zh-CN"/>
              </w:rPr>
              <w:t>下</w:t>
            </w:r>
            <w:r>
              <w:rPr>
                <w:rFonts w:hint="default" w:ascii="Times New Roman" w:hAnsi="Times New Roman" w:cs="Times New Roman"/>
                <w:color w:val="auto"/>
                <w:sz w:val="24"/>
              </w:rPr>
              <w:t>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480"/>
              <w:jc w:val="center"/>
              <w:textAlignment w:val="auto"/>
              <w:outlineLvl w:val="9"/>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表7-</w:t>
            </w:r>
            <w:r>
              <w:rPr>
                <w:rFonts w:hint="eastAsia" w:eastAsia="黑体" w:cs="Times New Roman"/>
                <w:color w:val="auto"/>
                <w:sz w:val="24"/>
                <w:lang w:val="en-US" w:eastAsia="zh-CN"/>
              </w:rPr>
              <w:t>2</w:t>
            </w:r>
            <w:r>
              <w:rPr>
                <w:rFonts w:hint="default" w:ascii="Times New Roman" w:hAnsi="Times New Roman" w:eastAsia="黑体" w:cs="Times New Roman"/>
                <w:color w:val="auto"/>
                <w:sz w:val="24"/>
              </w:rPr>
              <w:t xml:space="preserve">  运营期噪声源强</w:t>
            </w:r>
          </w:p>
          <w:tbl>
            <w:tblPr>
              <w:tblStyle w:val="16"/>
              <w:tblW w:w="830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1"/>
              <w:gridCol w:w="1661"/>
              <w:gridCol w:w="1661"/>
              <w:gridCol w:w="1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1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1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型号</w:t>
                  </w:r>
                </w:p>
              </w:tc>
              <w:tc>
                <w:tcPr>
                  <w:tcW w:w="1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332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单台噪声值（dB（A））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柴油发电电机</w:t>
                  </w:r>
                </w:p>
              </w:tc>
              <w:tc>
                <w:tcPr>
                  <w:tcW w:w="1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GF-50</w:t>
                  </w:r>
                </w:p>
              </w:tc>
              <w:tc>
                <w:tcPr>
                  <w:tcW w:w="1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2台</w:t>
                  </w:r>
                </w:p>
              </w:tc>
              <w:tc>
                <w:tcPr>
                  <w:tcW w:w="1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80~90</w:t>
                  </w:r>
                </w:p>
              </w:tc>
              <w:tc>
                <w:tcPr>
                  <w:tcW w:w="1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480" w:firstLineChars="200"/>
              <w:jc w:val="both"/>
              <w:textAlignment w:val="auto"/>
              <w:outlineLvl w:val="9"/>
              <w:rPr>
                <w:rFonts w:hint="default" w:ascii="Times New Roman" w:hAnsi="Times New Roman" w:cs="Times New Roman"/>
                <w:bCs/>
                <w:color w:val="auto"/>
                <w:sz w:val="24"/>
              </w:rPr>
            </w:pPr>
            <w:r>
              <w:rPr>
                <w:rFonts w:hint="default" w:ascii="Times New Roman" w:hAnsi="Times New Roman" w:cs="Times New Roman"/>
                <w:bCs/>
                <w:color w:val="auto"/>
                <w:sz w:val="24"/>
              </w:rPr>
              <w:t>本项目应急发电机放置在发电机房内，噪声源经过建筑物的墙壁、门、窗隔声衰减至室外的隔声量TL可按下式计算：</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rightChars="0" w:firstLine="3264" w:firstLineChars="1360"/>
              <w:textAlignment w:val="auto"/>
              <w:outlineLvl w:val="9"/>
              <w:rPr>
                <w:rFonts w:hint="default" w:ascii="Times New Roman" w:hAnsi="Times New Roman" w:cs="Times New Roman"/>
                <w:color w:val="auto"/>
                <w:sz w:val="24"/>
              </w:rPr>
            </w:pPr>
            <w:r>
              <w:rPr>
                <w:rFonts w:hint="default" w:ascii="Times New Roman" w:hAnsi="Times New Roman" w:cs="Times New Roman"/>
                <w:i/>
                <w:color w:val="auto"/>
                <w:sz w:val="24"/>
              </w:rPr>
              <w:t>TL</w:t>
            </w:r>
            <w:r>
              <w:rPr>
                <w:rFonts w:hint="default" w:ascii="Times New Roman" w:hAnsi="Times New Roman" w:cs="Times New Roman"/>
                <w:color w:val="auto"/>
                <w:sz w:val="24"/>
              </w:rPr>
              <w:t>=</w:t>
            </w:r>
            <w:r>
              <w:rPr>
                <w:rFonts w:hint="default" w:ascii="Times New Roman" w:hAnsi="Times New Roman" w:cs="Times New Roman"/>
                <w:color w:val="auto"/>
                <w:position w:val="-10"/>
                <w:sz w:val="24"/>
              </w:rPr>
              <w:drawing>
                <wp:inline distT="0" distB="0" distL="114300" distR="114300">
                  <wp:extent cx="114300" cy="215900"/>
                  <wp:effectExtent l="0" t="0" r="0" b="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5"/>
                          <a:stretch>
                            <a:fillRect/>
                          </a:stretch>
                        </pic:blipFill>
                        <pic:spPr>
                          <a:xfrm>
                            <a:off x="0" y="0"/>
                            <a:ext cx="114300" cy="215900"/>
                          </a:xfrm>
                          <a:prstGeom prst="rect">
                            <a:avLst/>
                          </a:prstGeom>
                          <a:noFill/>
                          <a:ln w="9525">
                            <a:noFill/>
                          </a:ln>
                        </pic:spPr>
                      </pic:pic>
                    </a:graphicData>
                  </a:graphic>
                </wp:inline>
              </w:drawing>
            </w:r>
            <w:r>
              <w:rPr>
                <w:rFonts w:hint="default" w:ascii="Times New Roman" w:hAnsi="Times New Roman" w:cs="Times New Roman"/>
                <w:color w:val="auto"/>
                <w:sz w:val="24"/>
              </w:rPr>
              <w:t>10lg</w:t>
            </w:r>
            <w:r>
              <w:rPr>
                <w:rFonts w:hint="default" w:ascii="Times New Roman" w:hAnsi="Times New Roman" w:cs="Times New Roman"/>
                <w:color w:val="auto"/>
                <w:position w:val="-28"/>
                <w:sz w:val="24"/>
              </w:rPr>
              <w:drawing>
                <wp:inline distT="0" distB="0" distL="114300" distR="114300">
                  <wp:extent cx="292100" cy="431800"/>
                  <wp:effectExtent l="0" t="0" r="12700" b="5715"/>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16"/>
                          <a:stretch>
                            <a:fillRect/>
                          </a:stretch>
                        </pic:blipFill>
                        <pic:spPr>
                          <a:xfrm>
                            <a:off x="0" y="0"/>
                            <a:ext cx="292100" cy="431800"/>
                          </a:xfrm>
                          <a:prstGeom prst="rect">
                            <a:avLst/>
                          </a:prstGeom>
                          <a:noFill/>
                          <a:ln w="9525">
                            <a:noFill/>
                          </a:ln>
                        </pic:spPr>
                      </pic:pic>
                    </a:graphicData>
                  </a:graphic>
                </wp:inline>
              </w:drawing>
            </w:r>
            <w:r>
              <w:rPr>
                <w:rFonts w:hint="default" w:ascii="Times New Roman" w:hAnsi="Times New Roman" w:cs="Times New Roman"/>
                <w:color w:val="auto"/>
                <w:sz w:val="24"/>
              </w:rPr>
              <w:t xml:space="preserve">……………………（式7-3）                   </w:t>
            </w:r>
          </w:p>
          <w:p>
            <w:pPr>
              <w:keepNext w:val="0"/>
              <w:keepLines w:val="0"/>
              <w:pageBreakBefore w:val="0"/>
              <w:widowControl w:val="0"/>
              <w:tabs>
                <w:tab w:val="left" w:pos="720"/>
              </w:tabs>
              <w:kinsoku/>
              <w:wordWrap/>
              <w:overflowPunct/>
              <w:topLinePunct w:val="0"/>
              <w:autoSpaceDE/>
              <w:autoSpaceDN/>
              <w:bidi w:val="0"/>
              <w:adjustRightInd/>
              <w:snapToGrid/>
              <w:spacing w:before="157" w:beforeLines="50" w:after="157" w:afterLines="50" w:line="360" w:lineRule="auto"/>
              <w:ind w:left="359" w:leftChars="171" w:right="0" w:rightChars="0" w:firstLine="1920" w:firstLineChars="8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position w:val="-6"/>
                <w:sz w:val="24"/>
              </w:rPr>
              <w:drawing>
                <wp:inline distT="0" distB="0" distL="114300" distR="114300">
                  <wp:extent cx="127000" cy="215900"/>
                  <wp:effectExtent l="0" t="0" r="6350" b="1397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17"/>
                          <a:stretch>
                            <a:fillRect/>
                          </a:stretch>
                        </pic:blipFill>
                        <pic:spPr>
                          <a:xfrm>
                            <a:off x="0" y="0"/>
                            <a:ext cx="127000" cy="215900"/>
                          </a:xfrm>
                          <a:prstGeom prst="rect">
                            <a:avLst/>
                          </a:prstGeom>
                          <a:noFill/>
                          <a:ln w="9525">
                            <a:noFill/>
                          </a:ln>
                        </pic:spPr>
                      </pic:pic>
                    </a:graphicData>
                  </a:graphic>
                </wp:inline>
              </w:drawing>
            </w:r>
            <w:r>
              <w:rPr>
                <w:rFonts w:hint="default" w:ascii="Times New Roman" w:hAnsi="Times New Roman" w:cs="Times New Roman"/>
                <w:color w:val="auto"/>
                <w:sz w:val="24"/>
              </w:rPr>
              <w:t>=</w:t>
            </w:r>
            <w:r>
              <w:rPr>
                <w:rFonts w:hint="default" w:ascii="Times New Roman" w:hAnsi="Times New Roman" w:cs="Times New Roman"/>
                <w:color w:val="auto"/>
                <w:position w:val="-24"/>
                <w:sz w:val="24"/>
              </w:rPr>
              <w:drawing>
                <wp:inline distT="0" distB="0" distL="114300" distR="114300">
                  <wp:extent cx="139700" cy="393700"/>
                  <wp:effectExtent l="0" t="0" r="12700" b="5715"/>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18"/>
                          <a:stretch>
                            <a:fillRect/>
                          </a:stretch>
                        </pic:blipFill>
                        <pic:spPr>
                          <a:xfrm>
                            <a:off x="0" y="0"/>
                            <a:ext cx="139700" cy="393700"/>
                          </a:xfrm>
                          <a:prstGeom prst="rect">
                            <a:avLst/>
                          </a:prstGeom>
                          <a:noFill/>
                          <a:ln w="9525">
                            <a:noFill/>
                          </a:ln>
                        </pic:spPr>
                      </pic:pic>
                    </a:graphicData>
                  </a:graphic>
                </wp:inline>
              </w:drawing>
            </w:r>
            <w:r>
              <w:rPr>
                <w:rFonts w:hint="default" w:ascii="Times New Roman" w:hAnsi="Times New Roman" w:cs="Times New Roman"/>
                <w:color w:val="auto"/>
                <w:position w:val="-28"/>
                <w:sz w:val="24"/>
              </w:rPr>
              <w:drawing>
                <wp:inline distT="0" distB="0" distL="114300" distR="114300">
                  <wp:extent cx="545465" cy="431800"/>
                  <wp:effectExtent l="0" t="0" r="6985" b="571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19"/>
                          <a:stretch>
                            <a:fillRect/>
                          </a:stretch>
                        </pic:blipFill>
                        <pic:spPr>
                          <a:xfrm>
                            <a:off x="0" y="0"/>
                            <a:ext cx="545465" cy="431800"/>
                          </a:xfrm>
                          <a:prstGeom prst="rect">
                            <a:avLst/>
                          </a:prstGeom>
                          <a:noFill/>
                          <a:ln w="9525">
                            <a:noFill/>
                          </a:ln>
                        </pic:spPr>
                      </pic:pic>
                    </a:graphicData>
                  </a:graphic>
                </wp:inline>
              </w:drawing>
            </w:r>
            <w:r>
              <w:rPr>
                <w:rFonts w:hint="default" w:ascii="Times New Roman" w:hAnsi="Times New Roman" w:cs="Times New Roman"/>
                <w:color w:val="auto"/>
                <w:sz w:val="24"/>
              </w:rPr>
              <w:t>=</w:t>
            </w:r>
            <w:r>
              <w:rPr>
                <w:rFonts w:hint="default" w:ascii="Times New Roman" w:hAnsi="Times New Roman" w:cs="Times New Roman"/>
                <w:color w:val="auto"/>
                <w:position w:val="-34"/>
                <w:sz w:val="24"/>
              </w:rPr>
              <w:drawing>
                <wp:inline distT="0" distB="0" distL="114300" distR="114300">
                  <wp:extent cx="1524000" cy="495300"/>
                  <wp:effectExtent l="0" t="0" r="0" b="0"/>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20"/>
                          <a:stretch>
                            <a:fillRect/>
                          </a:stretch>
                        </pic:blipFill>
                        <pic:spPr>
                          <a:xfrm>
                            <a:off x="0" y="0"/>
                            <a:ext cx="1524000" cy="495300"/>
                          </a:xfrm>
                          <a:prstGeom prst="rect">
                            <a:avLst/>
                          </a:prstGeom>
                          <a:noFill/>
                          <a:ln w="9525">
                            <a:noFill/>
                          </a:ln>
                        </pic:spPr>
                      </pic:pic>
                    </a:graphicData>
                  </a:graphic>
                </wp:inline>
              </w:drawing>
            </w:r>
            <w:r>
              <w:rPr>
                <w:rFonts w:hint="default" w:ascii="Times New Roman" w:hAnsi="Times New Roman" w:cs="Times New Roman"/>
                <w:color w:val="auto"/>
                <w:sz w:val="24"/>
              </w:rPr>
              <w:t xml:space="preserve">……………（式7-4）       </w:t>
            </w:r>
          </w:p>
          <w:p>
            <w:pPr>
              <w:keepNext w:val="0"/>
              <w:keepLines w:val="0"/>
              <w:pageBreakBefore w:val="0"/>
              <w:widowControl w:val="0"/>
              <w:tabs>
                <w:tab w:val="left" w:pos="720"/>
              </w:tabs>
              <w:kinsoku/>
              <w:wordWrap/>
              <w:overflowPunct/>
              <w:topLinePunct w:val="0"/>
              <w:autoSpaceDE/>
              <w:autoSpaceDN/>
              <w:bidi w:val="0"/>
              <w:adjustRightInd/>
              <w:snapToGrid/>
              <w:spacing w:before="157" w:beforeLines="50" w:after="157" w:after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position w:val="-6"/>
                <w:sz w:val="24"/>
              </w:rPr>
              <w:drawing>
                <wp:inline distT="0" distB="0" distL="114300" distR="114300">
                  <wp:extent cx="127000" cy="215900"/>
                  <wp:effectExtent l="0" t="0" r="6350" b="1397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17"/>
                          <a:stretch>
                            <a:fillRect/>
                          </a:stretch>
                        </pic:blipFill>
                        <pic:spPr>
                          <a:xfrm>
                            <a:off x="0" y="0"/>
                            <a:ext cx="127000" cy="215900"/>
                          </a:xfrm>
                          <a:prstGeom prst="rect">
                            <a:avLst/>
                          </a:prstGeom>
                          <a:noFill/>
                          <a:ln w="9525">
                            <a:noFill/>
                          </a:ln>
                        </pic:spPr>
                      </pic:pic>
                    </a:graphicData>
                  </a:graphic>
                </wp:inline>
              </w:drawing>
            </w:r>
            <w:r>
              <w:rPr>
                <w:rFonts w:hint="default" w:ascii="Times New Roman" w:hAnsi="Times New Roman" w:cs="Times New Roman"/>
                <w:color w:val="auto"/>
                <w:sz w:val="24"/>
              </w:rPr>
              <w:t>——组合墙的平均透射系数；</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1200" w:firstLineChars="5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S——组合墙的总表面积。</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    对</w:t>
            </w:r>
            <w:r>
              <w:rPr>
                <w:rFonts w:hint="default" w:ascii="Times New Roman" w:hAnsi="Times New Roman" w:cs="Times New Roman"/>
                <w:color w:val="auto"/>
                <w:sz w:val="24"/>
              </w:rPr>
              <w:t>于墙壁、门、窗的透射系数：</w:t>
            </w:r>
            <w:r>
              <w:rPr>
                <w:rFonts w:hint="default" w:ascii="Times New Roman" w:hAnsi="Times New Roman" w:cs="Times New Roman"/>
                <w:color w:val="auto"/>
                <w:sz w:val="24"/>
              </w:rPr>
              <w:drawing>
                <wp:inline distT="0" distB="0" distL="114300" distR="114300">
                  <wp:extent cx="203200" cy="228600"/>
                  <wp:effectExtent l="0" t="0" r="6350"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21"/>
                          <a:stretch>
                            <a:fillRect/>
                          </a:stretch>
                        </pic:blipFill>
                        <pic:spPr>
                          <a:xfrm>
                            <a:off x="0" y="0"/>
                            <a:ext cx="203200" cy="228600"/>
                          </a:xfrm>
                          <a:prstGeom prst="rect">
                            <a:avLst/>
                          </a:prstGeom>
                          <a:noFill/>
                          <a:ln w="9525">
                            <a:noFill/>
                          </a:ln>
                        </pic:spPr>
                      </pic:pic>
                    </a:graphicData>
                  </a:graphic>
                </wp:inline>
              </w:drawing>
            </w:r>
            <w:r>
              <w:rPr>
                <w:rFonts w:hint="default" w:ascii="Times New Roman" w:hAnsi="Times New Roman" w:cs="Times New Roman"/>
                <w:color w:val="auto"/>
                <w:sz w:val="24"/>
              </w:rPr>
              <w:t>=5×10-5、</w:t>
            </w:r>
            <w:r>
              <w:rPr>
                <w:rFonts w:hint="default" w:ascii="Times New Roman" w:hAnsi="Times New Roman" w:cs="Times New Roman"/>
                <w:color w:val="auto"/>
                <w:sz w:val="24"/>
              </w:rPr>
              <w:drawing>
                <wp:inline distT="0" distB="0" distL="114300" distR="114300">
                  <wp:extent cx="190500" cy="228600"/>
                  <wp:effectExtent l="0" t="0" r="0" b="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22"/>
                          <a:stretch>
                            <a:fillRect/>
                          </a:stretch>
                        </pic:blipFill>
                        <pic:spPr>
                          <a:xfrm>
                            <a:off x="0" y="0"/>
                            <a:ext cx="190500" cy="228600"/>
                          </a:xfrm>
                          <a:prstGeom prst="rect">
                            <a:avLst/>
                          </a:prstGeom>
                          <a:noFill/>
                          <a:ln w="9525">
                            <a:noFill/>
                          </a:ln>
                        </pic:spPr>
                      </pic:pic>
                    </a:graphicData>
                  </a:graphic>
                </wp:inline>
              </w:drawing>
            </w:r>
            <w:r>
              <w:rPr>
                <w:rFonts w:hint="default" w:ascii="Times New Roman" w:hAnsi="Times New Roman" w:cs="Times New Roman"/>
                <w:color w:val="auto"/>
                <w:sz w:val="24"/>
              </w:rPr>
              <w:t>=10×10-2、</w:t>
            </w:r>
            <w:r>
              <w:rPr>
                <w:rFonts w:hint="default" w:ascii="Times New Roman" w:hAnsi="Times New Roman" w:cs="Times New Roman"/>
                <w:color w:val="auto"/>
                <w:sz w:val="24"/>
              </w:rPr>
              <w:drawing>
                <wp:inline distT="0" distB="0" distL="114300" distR="114300">
                  <wp:extent cx="203200" cy="241300"/>
                  <wp:effectExtent l="0" t="0" r="6350" b="444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23"/>
                          <a:stretch>
                            <a:fillRect/>
                          </a:stretch>
                        </pic:blipFill>
                        <pic:spPr>
                          <a:xfrm>
                            <a:off x="0" y="0"/>
                            <a:ext cx="203200" cy="241300"/>
                          </a:xfrm>
                          <a:prstGeom prst="rect">
                            <a:avLst/>
                          </a:prstGeom>
                          <a:noFill/>
                          <a:ln w="9525">
                            <a:noFill/>
                          </a:ln>
                        </pic:spPr>
                      </pic:pic>
                    </a:graphicData>
                  </a:graphic>
                </wp:inline>
              </w:drawing>
            </w:r>
            <w:r>
              <w:rPr>
                <w:rFonts w:hint="default" w:ascii="Times New Roman" w:hAnsi="Times New Roman" w:cs="Times New Roman"/>
                <w:color w:val="auto"/>
                <w:sz w:val="24"/>
              </w:rPr>
              <w:t>=3.7×10-2，根据以往同类工程，墙、门、窗的面积比例一般为85：10：5，则组合墙的平均透射系数为0.0119，总隔声量为19.2dB。</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噪声经距离衰减和组合墙隔声后到达预测点的噪声值可采用下式计算，计算不考虑空气吸收引起的衰减量：</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rightChars="0" w:firstLine="2292" w:firstLineChars="955"/>
              <w:textAlignment w:val="auto"/>
              <w:outlineLvl w:val="9"/>
              <w:rPr>
                <w:rFonts w:hint="default" w:ascii="Times New Roman" w:hAnsi="Times New Roman" w:cs="Times New Roman"/>
                <w:color w:val="auto"/>
                <w:sz w:val="24"/>
              </w:rPr>
            </w:pPr>
            <w:r>
              <w:rPr>
                <w:rFonts w:hint="default" w:ascii="Times New Roman" w:hAnsi="Times New Roman" w:cs="Times New Roman"/>
                <w:color w:val="auto"/>
                <w:position w:val="-14"/>
                <w:sz w:val="24"/>
              </w:rPr>
              <w:drawing>
                <wp:inline distT="0" distB="0" distL="114300" distR="114300">
                  <wp:extent cx="2445385" cy="257175"/>
                  <wp:effectExtent l="0" t="0" r="0" b="8255"/>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24"/>
                          <a:stretch>
                            <a:fillRect/>
                          </a:stretch>
                        </pic:blipFill>
                        <pic:spPr>
                          <a:xfrm>
                            <a:off x="0" y="0"/>
                            <a:ext cx="2445385" cy="257175"/>
                          </a:xfrm>
                          <a:prstGeom prst="rect">
                            <a:avLst/>
                          </a:prstGeom>
                          <a:noFill/>
                          <a:ln w="9525">
                            <a:noFill/>
                          </a:ln>
                        </pic:spPr>
                      </pic:pic>
                    </a:graphicData>
                  </a:graphic>
                </wp:inline>
              </w:drawing>
            </w:r>
            <w:r>
              <w:rPr>
                <w:rFonts w:hint="default" w:ascii="Times New Roman" w:hAnsi="Times New Roman" w:cs="Times New Roman"/>
                <w:i/>
                <w:color w:val="auto"/>
                <w:sz w:val="24"/>
              </w:rPr>
              <w:t xml:space="preserve"> </w:t>
            </w:r>
            <w:r>
              <w:rPr>
                <w:rFonts w:hint="default" w:ascii="Times New Roman" w:hAnsi="Times New Roman" w:cs="Times New Roman"/>
                <w:color w:val="auto"/>
                <w:sz w:val="24"/>
              </w:rPr>
              <w:t>……………（式</w:t>
            </w:r>
            <w:r>
              <w:rPr>
                <w:rFonts w:hint="default" w:ascii="Times New Roman" w:hAnsi="Times New Roman" w:cs="Times New Roman"/>
                <w:color w:val="auto"/>
                <w:sz w:val="24"/>
                <w:lang w:eastAsia="zh-CN"/>
              </w:rPr>
              <w:t>7-4</w:t>
            </w:r>
            <w:r>
              <w:rPr>
                <w:rFonts w:hint="default" w:ascii="Times New Roman" w:hAnsi="Times New Roman" w:cs="Times New Roman"/>
                <w:color w:val="auto"/>
                <w:sz w:val="24"/>
              </w:rPr>
              <w:t>）</w:t>
            </w:r>
            <w:r>
              <w:rPr>
                <w:rFonts w:hint="default" w:ascii="Times New Roman" w:hAnsi="Times New Roman" w:cs="Times New Roman"/>
                <w:i/>
                <w:color w:val="auto"/>
                <w:sz w:val="24"/>
              </w:rPr>
              <w:t xml:space="preserve">       </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color w:val="auto"/>
                <w:sz w:val="24"/>
              </w:rPr>
              <w:t>L</w:t>
            </w:r>
            <w:r>
              <w:rPr>
                <w:rFonts w:hint="default" w:ascii="Times New Roman" w:hAnsi="Times New Roman" w:cs="Times New Roman"/>
                <w:i/>
                <w:color w:val="auto"/>
                <w:sz w:val="24"/>
                <w:vertAlign w:val="subscript"/>
              </w:rPr>
              <w:t>A(r)</w:t>
            </w:r>
            <w:r>
              <w:rPr>
                <w:rFonts w:hint="default" w:ascii="Times New Roman" w:hAnsi="Times New Roman" w:cs="Times New Roman"/>
                <w:color w:val="auto"/>
                <w:sz w:val="24"/>
              </w:rPr>
              <w:t>——预测点的噪声A噪声级（dB）；</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1080" w:firstLineChars="450"/>
              <w:jc w:val="both"/>
              <w:textAlignment w:val="auto"/>
              <w:outlineLvl w:val="9"/>
              <w:rPr>
                <w:rFonts w:hint="default" w:ascii="Times New Roman" w:hAnsi="Times New Roman" w:cs="Times New Roman"/>
                <w:color w:val="auto"/>
                <w:sz w:val="24"/>
              </w:rPr>
            </w:pPr>
            <w:r>
              <w:rPr>
                <w:rFonts w:hint="default" w:ascii="Times New Roman" w:hAnsi="Times New Roman" w:cs="Times New Roman"/>
                <w:i/>
                <w:color w:val="auto"/>
                <w:sz w:val="24"/>
              </w:rPr>
              <w:t>L</w:t>
            </w:r>
            <w:r>
              <w:rPr>
                <w:rFonts w:hint="default" w:ascii="Times New Roman" w:hAnsi="Times New Roman" w:cs="Times New Roman"/>
                <w:i/>
                <w:color w:val="auto"/>
                <w:sz w:val="24"/>
                <w:vertAlign w:val="subscript"/>
              </w:rPr>
              <w:t>Aref</w:t>
            </w:r>
            <w:r>
              <w:rPr>
                <w:rFonts w:hint="default" w:ascii="Times New Roman" w:hAnsi="Times New Roman" w:cs="Times New Roman"/>
                <w:color w:val="auto"/>
                <w:sz w:val="24"/>
              </w:rPr>
              <w:t>(</w:t>
            </w:r>
            <w:r>
              <w:rPr>
                <w:rFonts w:hint="default" w:ascii="Times New Roman" w:hAnsi="Times New Roman" w:cs="Times New Roman"/>
                <w:i/>
                <w:color w:val="auto"/>
                <w:sz w:val="24"/>
              </w:rPr>
              <w:t>r</w:t>
            </w:r>
            <w:r>
              <w:rPr>
                <w:rFonts w:hint="default" w:ascii="Times New Roman" w:hAnsi="Times New Roman" w:cs="Times New Roman"/>
                <w:i/>
                <w:color w:val="auto"/>
                <w:sz w:val="24"/>
                <w:vertAlign w:val="subscript"/>
              </w:rPr>
              <w:t>0</w:t>
            </w:r>
            <w:r>
              <w:rPr>
                <w:rFonts w:hint="default" w:ascii="Times New Roman" w:hAnsi="Times New Roman" w:cs="Times New Roman"/>
                <w:color w:val="auto"/>
                <w:sz w:val="24"/>
              </w:rPr>
              <w:t>)——参照基准点的噪声A噪声级（dB），取90dB；</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1200" w:firstLineChars="500"/>
              <w:jc w:val="both"/>
              <w:textAlignment w:val="auto"/>
              <w:outlineLvl w:val="9"/>
              <w:rPr>
                <w:rFonts w:hint="default" w:ascii="Times New Roman" w:hAnsi="Times New Roman" w:cs="Times New Roman"/>
                <w:color w:val="auto"/>
                <w:sz w:val="24"/>
              </w:rPr>
            </w:pPr>
            <w:r>
              <w:rPr>
                <w:rFonts w:hint="default" w:ascii="Times New Roman" w:hAnsi="Times New Roman" w:cs="Times New Roman"/>
                <w:i/>
                <w:color w:val="auto"/>
                <w:sz w:val="24"/>
              </w:rPr>
              <w:t>r</w:t>
            </w:r>
            <w:r>
              <w:rPr>
                <w:rFonts w:hint="default" w:ascii="Times New Roman" w:hAnsi="Times New Roman" w:cs="Times New Roman"/>
                <w:color w:val="auto"/>
                <w:sz w:val="24"/>
              </w:rPr>
              <w:t>——预测点到噪声源的距离(m)；</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1200" w:firstLineChars="500"/>
              <w:jc w:val="both"/>
              <w:textAlignment w:val="auto"/>
              <w:outlineLvl w:val="9"/>
              <w:rPr>
                <w:rFonts w:hint="default" w:ascii="Times New Roman" w:hAnsi="Times New Roman" w:cs="Times New Roman"/>
                <w:color w:val="auto"/>
                <w:sz w:val="24"/>
              </w:rPr>
            </w:pPr>
            <w:r>
              <w:rPr>
                <w:rFonts w:hint="default" w:ascii="Times New Roman" w:hAnsi="Times New Roman" w:cs="Times New Roman"/>
                <w:i/>
                <w:color w:val="auto"/>
                <w:sz w:val="24"/>
              </w:rPr>
              <w:t>r</w:t>
            </w:r>
            <w:r>
              <w:rPr>
                <w:rFonts w:hint="default" w:ascii="Times New Roman" w:hAnsi="Times New Roman" w:cs="Times New Roman"/>
                <w:i/>
                <w:color w:val="auto"/>
                <w:sz w:val="24"/>
                <w:vertAlign w:val="subscript"/>
              </w:rPr>
              <w:t>0</w:t>
            </w:r>
            <w:r>
              <w:rPr>
                <w:rFonts w:hint="default" w:ascii="Times New Roman" w:hAnsi="Times New Roman" w:cs="Times New Roman"/>
                <w:color w:val="auto"/>
                <w:sz w:val="24"/>
              </w:rPr>
              <w:t>——参照点到噪声源的距离(m)，取1m。</w:t>
            </w:r>
          </w:p>
          <w:p>
            <w:pPr>
              <w:spacing w:before="156" w:beforeLines="50" w:after="156" w:afterLines="50" w:line="360" w:lineRule="auto"/>
              <w:ind w:firstLine="480"/>
              <w:jc w:val="left"/>
              <w:rPr>
                <w:rFonts w:hint="default" w:ascii="Times New Roman" w:hAnsi="Times New Roman" w:cs="Times New Roman"/>
                <w:color w:val="auto"/>
                <w:sz w:val="24"/>
              </w:rPr>
            </w:pPr>
            <w:bookmarkStart w:id="116" w:name="OLE_LINK77"/>
            <w:r>
              <w:rPr>
                <w:rFonts w:hint="default" w:ascii="Times New Roman" w:hAnsi="Times New Roman" w:cs="Times New Roman"/>
                <w:color w:val="auto"/>
                <w:sz w:val="24"/>
                <w:u w:val="single"/>
              </w:rPr>
              <w:t>发电机噪声预测结果可知，</w:t>
            </w:r>
            <w:r>
              <w:rPr>
                <w:rFonts w:hint="default" w:ascii="Times New Roman" w:hAnsi="Times New Roman" w:cs="Times New Roman"/>
                <w:color w:val="auto"/>
                <w:sz w:val="24"/>
                <w:u w:val="single"/>
                <w:lang w:eastAsia="zh-CN"/>
              </w:rPr>
              <w:t>柴油发电机运行时</w:t>
            </w:r>
            <w:r>
              <w:rPr>
                <w:rFonts w:hint="default" w:ascii="Times New Roman" w:hAnsi="Times New Roman" w:cs="Times New Roman"/>
                <w:bCs/>
                <w:color w:val="auto"/>
                <w:sz w:val="24"/>
                <w:u w:val="single"/>
              </w:rPr>
              <w:t>在距离发电机房</w:t>
            </w:r>
            <w:r>
              <w:rPr>
                <w:rFonts w:hint="default" w:ascii="Times New Roman" w:hAnsi="Times New Roman" w:cs="Times New Roman"/>
                <w:bCs/>
                <w:color w:val="auto"/>
                <w:sz w:val="24"/>
                <w:u w:val="single"/>
                <w:lang w:val="en-US" w:eastAsia="zh-CN"/>
              </w:rPr>
              <w:t>13</w:t>
            </w:r>
            <w:r>
              <w:rPr>
                <w:rFonts w:hint="default" w:ascii="Times New Roman" w:hAnsi="Times New Roman" w:cs="Times New Roman"/>
                <w:bCs/>
                <w:color w:val="auto"/>
                <w:sz w:val="24"/>
                <w:u w:val="single"/>
              </w:rPr>
              <w:t>m</w:t>
            </w:r>
            <w:r>
              <w:rPr>
                <w:rFonts w:hint="eastAsia" w:cs="Times New Roman"/>
                <w:bCs/>
                <w:color w:val="auto"/>
                <w:sz w:val="24"/>
                <w:u w:val="single"/>
                <w:lang w:eastAsia="zh-CN"/>
              </w:rPr>
              <w:t>处</w:t>
            </w:r>
            <w:r>
              <w:rPr>
                <w:rFonts w:hint="default" w:ascii="Times New Roman" w:hAnsi="Times New Roman" w:cs="Times New Roman"/>
                <w:bCs/>
                <w:color w:val="auto"/>
                <w:sz w:val="24"/>
                <w:u w:val="single"/>
              </w:rPr>
              <w:t>的</w:t>
            </w:r>
            <w:r>
              <w:rPr>
                <w:rFonts w:hint="default" w:ascii="Times New Roman" w:hAnsi="Times New Roman" w:cs="Times New Roman"/>
                <w:bCs/>
                <w:color w:val="auto"/>
                <w:sz w:val="24"/>
                <w:u w:val="single"/>
                <w:lang w:eastAsia="zh-CN"/>
              </w:rPr>
              <w:t>场界</w:t>
            </w:r>
            <w:r>
              <w:rPr>
                <w:rFonts w:hint="default" w:ascii="Times New Roman" w:hAnsi="Times New Roman" w:cs="Times New Roman"/>
                <w:color w:val="auto"/>
                <w:sz w:val="24"/>
                <w:u w:val="single"/>
              </w:rPr>
              <w:t>噪声预测最大值为</w:t>
            </w:r>
            <w:r>
              <w:rPr>
                <w:rFonts w:hint="default" w:ascii="Times New Roman" w:hAnsi="Times New Roman" w:cs="Times New Roman"/>
                <w:color w:val="auto"/>
                <w:sz w:val="24"/>
                <w:u w:val="single"/>
                <w:lang w:val="en-US" w:eastAsia="zh-CN"/>
              </w:rPr>
              <w:t>49.5dB（A）</w:t>
            </w:r>
            <w:r>
              <w:rPr>
                <w:rFonts w:hint="default" w:ascii="Times New Roman" w:hAnsi="Times New Roman" w:cs="Times New Roman"/>
                <w:color w:val="auto"/>
                <w:sz w:val="24"/>
                <w:u w:val="single"/>
              </w:rPr>
              <w:t>。</w:t>
            </w:r>
            <w:r>
              <w:rPr>
                <w:rFonts w:hint="default" w:ascii="Times New Roman" w:hAnsi="Times New Roman" w:cs="Times New Roman"/>
                <w:bCs/>
                <w:color w:val="auto"/>
                <w:sz w:val="24"/>
                <w:u w:val="single"/>
              </w:rPr>
              <w:t>可满足（GB22337-2008）中1类</w:t>
            </w:r>
            <w:r>
              <w:rPr>
                <w:rFonts w:hint="default" w:ascii="Times New Roman" w:hAnsi="Times New Roman" w:cs="Times New Roman"/>
                <w:bCs/>
                <w:color w:val="auto"/>
                <w:sz w:val="24"/>
                <w:u w:val="single"/>
                <w:lang w:eastAsia="zh-CN"/>
              </w:rPr>
              <w:t>声环境功能区类别昼间</w:t>
            </w:r>
            <w:r>
              <w:rPr>
                <w:rFonts w:hint="default" w:ascii="Times New Roman" w:hAnsi="Times New Roman" w:cs="Times New Roman"/>
                <w:bCs/>
                <w:color w:val="auto"/>
                <w:sz w:val="24"/>
                <w:u w:val="single"/>
                <w:lang w:val="en-US" w:eastAsia="zh-CN"/>
              </w:rPr>
              <w:t>55dB（A）的要求，夜间可能存在超标现象，应</w:t>
            </w:r>
            <w:r>
              <w:rPr>
                <w:rFonts w:hint="eastAsia" w:cs="Times New Roman"/>
                <w:bCs/>
                <w:color w:val="auto"/>
                <w:sz w:val="24"/>
                <w:u w:val="single"/>
                <w:lang w:val="en-US" w:eastAsia="zh-CN"/>
              </w:rPr>
              <w:t>尽量避免</w:t>
            </w:r>
            <w:r>
              <w:rPr>
                <w:rFonts w:hint="default" w:ascii="Times New Roman" w:hAnsi="Times New Roman" w:cs="Times New Roman"/>
                <w:bCs/>
                <w:color w:val="auto"/>
                <w:sz w:val="24"/>
                <w:u w:val="single"/>
                <w:lang w:val="en-US" w:eastAsia="zh-CN"/>
              </w:rPr>
              <w:t>柴油机在夜间运行。本项目柴油机房位于塔址北侧有效避开了公众可能到达的盘山公路，但为了进一步减低影响，环评建议选用低噪声的柴油发电机，设备安装过程中采取基础减震和机房墙体吸声处理，加装橡胶减震垫，</w:t>
            </w:r>
            <w:r>
              <w:rPr>
                <w:rFonts w:hint="eastAsia" w:cs="Times New Roman"/>
                <w:bCs/>
                <w:color w:val="auto"/>
                <w:sz w:val="24"/>
                <w:u w:val="single"/>
                <w:lang w:val="en-US" w:eastAsia="zh-CN"/>
              </w:rPr>
              <w:t>安</w:t>
            </w:r>
            <w:r>
              <w:rPr>
                <w:rFonts w:hint="default" w:ascii="Times New Roman" w:hAnsi="Times New Roman" w:cs="Times New Roman"/>
                <w:bCs/>
                <w:color w:val="auto"/>
                <w:sz w:val="24"/>
                <w:u w:val="single"/>
                <w:lang w:val="en-US" w:eastAsia="zh-CN"/>
              </w:rPr>
              <w:t>装隔声门</w:t>
            </w:r>
            <w:r>
              <w:rPr>
                <w:rFonts w:hint="eastAsia" w:cs="Times New Roman"/>
                <w:bCs/>
                <w:color w:val="auto"/>
                <w:sz w:val="24"/>
                <w:u w:val="single"/>
                <w:lang w:val="en-US" w:eastAsia="zh-CN"/>
              </w:rPr>
              <w:t>，针对废气安装排气管道</w:t>
            </w:r>
            <w:r>
              <w:rPr>
                <w:rFonts w:hint="default" w:ascii="Times New Roman" w:hAnsi="Times New Roman" w:cs="Times New Roman"/>
                <w:bCs/>
                <w:color w:val="auto"/>
                <w:sz w:val="24"/>
                <w:u w:val="single"/>
                <w:lang w:val="en-US" w:eastAsia="zh-CN"/>
              </w:rPr>
              <w:t>，柴油机运行期间严格控制机房大门的开启。采取上述措施后，噪声污染可得到有效消减。</w:t>
            </w:r>
            <w:r>
              <w:rPr>
                <w:rFonts w:hint="eastAsia" w:cs="Times New Roman"/>
                <w:bCs/>
                <w:color w:val="auto"/>
                <w:sz w:val="24"/>
                <w:u w:val="single"/>
                <w:lang w:val="en-US" w:eastAsia="zh-CN"/>
              </w:rPr>
              <w:t>且盘山公路上的流动人员停留时间短，因此，噪声对环境的影响较小。</w:t>
            </w:r>
          </w:p>
          <w:bookmarkEnd w:id="116"/>
          <w:p>
            <w:pPr>
              <w:spacing w:before="156" w:beforeLines="50" w:after="156" w:afterLines="50" w:line="360" w:lineRule="auto"/>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四、运营期固体废物环境影响分析</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项目运营期固体废物主要是工作人员产生的生活垃圾。项目常驻人员4人，产生的生活垃圾以0.5Kg/d·人计，则产生的生活垃圾总量为2Kg/d（730Kg/a）。建设单位应对这些垃圾分类收集，对废旧塑料、金属、玻璃等可以回收利用的送往废品收购站回收利用。不可回收利用的生活垃圾及时运往环卫部门设置的垃圾收集箱，交由当地环卫部门处理。禁止废旧电池、日光灯管、杀虫剂容器等危险废弃物进入生活垃圾。废旧电池、日光灯管、杀虫剂容器等危险废弃物应集中收集后，交由当地有资质的单位处理。</w:t>
            </w:r>
          </w:p>
          <w:p>
            <w:pPr>
              <w:numPr>
                <w:ilvl w:val="0"/>
                <w:numId w:val="11"/>
              </w:numPr>
              <w:spacing w:before="156" w:beforeLines="50" w:after="156" w:afterLines="50" w:line="360" w:lineRule="auto"/>
              <w:jc w:val="left"/>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电磁影响分析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本项目是新建项目，目前还未施工，电磁环境影响评价采用理论计算的方法进行。通过理论计算得出本项目发射塔周围空间中电磁</w:t>
            </w:r>
            <w:r>
              <w:rPr>
                <w:rFonts w:hint="default" w:ascii="Times New Roman" w:hAnsi="Times New Roman" w:cs="Times New Roman"/>
                <w:color w:val="auto"/>
                <w:sz w:val="24"/>
                <w:lang w:eastAsia="zh-CN"/>
              </w:rPr>
              <w:t>环境</w:t>
            </w:r>
            <w:r>
              <w:rPr>
                <w:rFonts w:hint="default" w:ascii="Times New Roman" w:hAnsi="Times New Roman" w:cs="Times New Roman"/>
                <w:color w:val="auto"/>
                <w:sz w:val="24"/>
              </w:rPr>
              <w:t>功率密度分布，划出本项目的</w:t>
            </w:r>
            <w:r>
              <w:rPr>
                <w:rFonts w:hint="default" w:ascii="Times New Roman" w:hAnsi="Times New Roman" w:cs="Times New Roman"/>
                <w:color w:val="auto"/>
                <w:sz w:val="24"/>
                <w:lang w:eastAsia="zh-CN"/>
              </w:rPr>
              <w:t>电磁环境达标控制图（见图7-1）</w:t>
            </w:r>
            <w:r>
              <w:rPr>
                <w:rFonts w:hint="default" w:ascii="Times New Roman" w:hAnsi="Times New Roman" w:cs="Times New Roman"/>
                <w:color w:val="auto"/>
                <w:sz w:val="24"/>
              </w:rPr>
              <w:t>。</w:t>
            </w:r>
          </w:p>
          <w:p>
            <w:pPr>
              <w:spacing w:before="156" w:beforeLines="50" w:after="156" w:afterLines="50"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（1）理论预测模型</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理论模式预测可以获得功率密度的空间分布情况以及对环境的影响程度，并可根据预测结果划定</w:t>
            </w:r>
            <w:r>
              <w:rPr>
                <w:rFonts w:hint="default" w:ascii="Times New Roman" w:hAnsi="Times New Roman" w:cs="Times New Roman"/>
                <w:color w:val="auto"/>
                <w:sz w:val="24"/>
                <w:lang w:eastAsia="zh-CN"/>
              </w:rPr>
              <w:t>电磁环境达标控制图（见图7-1）</w:t>
            </w:r>
            <w:r>
              <w:rPr>
                <w:rFonts w:hint="default" w:ascii="Times New Roman" w:hAnsi="Times New Roman" w:cs="Times New Roman"/>
                <w:color w:val="auto"/>
                <w:sz w:val="24"/>
              </w:rPr>
              <w:t>，为环境管理部门提供科学依据。</w:t>
            </w:r>
          </w:p>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本项目的FM104频道和县电视台</w:t>
            </w:r>
            <w:bookmarkStart w:id="117" w:name="OLE_LINK42"/>
            <w:r>
              <w:rPr>
                <w:rFonts w:hint="default" w:ascii="Times New Roman" w:hAnsi="Times New Roman" w:cs="Times New Roman"/>
                <w:color w:val="auto"/>
                <w:sz w:val="24"/>
              </w:rPr>
              <w:t>频率范围104MHz~195MHz内，属于超短波频段（30MHz~300MHz属于超短波）。</w:t>
            </w:r>
          </w:p>
          <w:bookmarkEnd w:id="117"/>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1）根据《辐射环境保护管理导则电磁辐射监测仪器和方法》（HJ/T10.2-96）中规定环境质量预测的场强计算公式，对于超短波（电视、调频）发射天线在环境中辐射场强按下式计算：</w:t>
            </w:r>
          </w:p>
          <w:p>
            <w:pPr>
              <w:spacing w:before="156" w:beforeLines="50" w:after="156" w:afterLines="50" w:line="360" w:lineRule="auto"/>
              <w:jc w:val="center"/>
              <w:rPr>
                <w:rFonts w:hint="default" w:ascii="Times New Roman" w:hAnsi="Times New Roman" w:cs="Times New Roman"/>
                <w:color w:val="auto"/>
                <w:sz w:val="24"/>
              </w:rPr>
            </w:pPr>
            <w:r>
              <w:rPr>
                <w:rFonts w:hint="default" w:ascii="Times New Roman" w:hAnsi="Times New Roman" w:cs="Times New Roman"/>
                <w:color w:val="auto"/>
                <w:position w:val="-24"/>
                <w:sz w:val="24"/>
              </w:rPr>
              <w:object>
                <v:shape id="_x0000_i1028" o:spt="75" type="#_x0000_t75" style="height:34pt;width:16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default" w:ascii="Times New Roman" w:hAnsi="Times New Roman" w:cs="Times New Roman"/>
                <w:color w:val="auto"/>
                <w:sz w:val="24"/>
              </w:rPr>
              <w:t>--------------------（式</w:t>
            </w:r>
            <w:r>
              <w:rPr>
                <w:rFonts w:hint="default" w:ascii="Times New Roman" w:hAnsi="Times New Roman" w:cs="Times New Roman"/>
                <w:color w:val="auto"/>
                <w:sz w:val="24"/>
                <w:lang w:eastAsia="zh-CN"/>
              </w:rPr>
              <w:t>7-5</w:t>
            </w:r>
            <w:r>
              <w:rPr>
                <w:rFonts w:hint="default" w:ascii="Times New Roman" w:hAnsi="Times New Roman" w:cs="Times New Roman"/>
                <w:color w:val="auto"/>
                <w:sz w:val="24"/>
              </w:rPr>
              <w:t>)</w:t>
            </w:r>
          </w:p>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式中：P—发射机标称功率（kW）；</w:t>
            </w:r>
          </w:p>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G—相对于半波偶极子天线增益（倍数）；</w:t>
            </w:r>
          </w:p>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r—测量位置与天线水平距离（km）；</w:t>
            </w:r>
          </w:p>
          <w:p>
            <w:pPr>
              <w:spacing w:before="156" w:beforeLines="50" w:after="156" w:afterLines="50" w:line="360" w:lineRule="auto"/>
              <w:rPr>
                <w:rFonts w:hint="default" w:ascii="Times New Roman" w:hAnsi="Times New Roman" w:cs="Times New Roman"/>
                <w:color w:val="auto"/>
                <w:sz w:val="24"/>
                <w:u w:val="single"/>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u w:val="single"/>
              </w:rPr>
              <w:t>F（θ）—</w:t>
            </w:r>
            <w:r>
              <w:rPr>
                <w:rFonts w:hint="default" w:ascii="Times New Roman" w:hAnsi="Times New Roman" w:cs="Times New Roman"/>
                <w:color w:val="auto"/>
                <w:sz w:val="24"/>
                <w:u w:val="single"/>
                <w:lang w:eastAsia="zh-CN"/>
              </w:rPr>
              <w:t>超短波</w:t>
            </w:r>
            <w:r>
              <w:rPr>
                <w:rFonts w:hint="default" w:ascii="Times New Roman" w:hAnsi="Times New Roman" w:cs="Times New Roman"/>
                <w:color w:val="auto"/>
                <w:sz w:val="24"/>
                <w:u w:val="single"/>
              </w:rPr>
              <w:t>天线垂直面方向性函数。</w:t>
            </w:r>
          </w:p>
          <w:p>
            <w:pPr>
              <w:spacing w:before="156" w:beforeLines="50" w:after="156" w:afterLines="50" w:line="360" w:lineRule="auto"/>
              <w:ind w:firstLine="480"/>
              <w:rPr>
                <w:rFonts w:hint="default" w:ascii="Times New Roman" w:hAnsi="Times New Roman" w:cs="Times New Roman"/>
                <w:color w:val="auto"/>
                <w:sz w:val="24"/>
              </w:rPr>
            </w:pPr>
            <w:bookmarkStart w:id="118" w:name="OLE_LINK45"/>
            <w:r>
              <w:rPr>
                <w:rFonts w:hint="default" w:ascii="Times New Roman" w:hAnsi="Times New Roman" w:cs="Times New Roman"/>
                <w:color w:val="auto"/>
                <w:sz w:val="24"/>
              </w:rPr>
              <w:t>2)本项目</w:t>
            </w:r>
            <w:r>
              <w:rPr>
                <w:rFonts w:hint="eastAsia" w:cs="Times New Roman"/>
                <w:color w:val="auto"/>
                <w:sz w:val="24"/>
                <w:lang w:eastAsia="zh-CN"/>
              </w:rPr>
              <w:t>20频道</w:t>
            </w:r>
            <w:r>
              <w:rPr>
                <w:rFonts w:hint="default" w:ascii="Times New Roman" w:hAnsi="Times New Roman" w:cs="Times New Roman"/>
                <w:color w:val="auto"/>
                <w:sz w:val="24"/>
              </w:rPr>
              <w:t>、</w:t>
            </w:r>
            <w:r>
              <w:rPr>
                <w:rFonts w:hint="eastAsia" w:cs="Times New Roman"/>
                <w:color w:val="auto"/>
                <w:sz w:val="24"/>
                <w:lang w:eastAsia="zh-CN"/>
              </w:rPr>
              <w:t>26频道</w:t>
            </w:r>
            <w:r>
              <w:rPr>
                <w:rFonts w:hint="default" w:ascii="Times New Roman" w:hAnsi="Times New Roman" w:cs="Times New Roman"/>
                <w:color w:val="auto"/>
                <w:sz w:val="24"/>
              </w:rPr>
              <w:t>和</w:t>
            </w:r>
            <w:r>
              <w:rPr>
                <w:rFonts w:hint="default" w:ascii="Times New Roman" w:hAnsi="Times New Roman" w:cs="Times New Roman"/>
                <w:color w:val="auto"/>
                <w:sz w:val="24"/>
                <w:lang w:eastAsia="zh-CN"/>
              </w:rPr>
              <w:t>数字电视15频道</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数字电视43</w:t>
            </w:r>
            <w:r>
              <w:rPr>
                <w:rFonts w:hint="default" w:ascii="Times New Roman" w:hAnsi="Times New Roman" w:cs="Times New Roman"/>
                <w:color w:val="auto"/>
                <w:sz w:val="24"/>
              </w:rPr>
              <w:t>频道频率范围在490MHz~754MHz内，属于微波频段（</w:t>
            </w:r>
            <w:bookmarkStart w:id="119" w:name="OLE_LINK44"/>
            <w:r>
              <w:rPr>
                <w:rFonts w:hint="default" w:ascii="Times New Roman" w:hAnsi="Times New Roman" w:cs="Times New Roman"/>
                <w:color w:val="auto"/>
                <w:sz w:val="24"/>
              </w:rPr>
              <w:t>300MHz~300GHz属于微波</w:t>
            </w:r>
            <w:bookmarkEnd w:id="119"/>
            <w:r>
              <w:rPr>
                <w:rFonts w:hint="default" w:ascii="Times New Roman" w:hAnsi="Times New Roman" w:cs="Times New Roman"/>
                <w:color w:val="auto"/>
                <w:sz w:val="24"/>
              </w:rPr>
              <w:t>）。</w:t>
            </w:r>
            <w:bookmarkEnd w:id="118"/>
          </w:p>
          <w:p>
            <w:pPr>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根据</w:t>
            </w:r>
            <w:bookmarkStart w:id="120" w:name="OLE_LINK58"/>
            <w:r>
              <w:rPr>
                <w:rFonts w:hint="default" w:ascii="Times New Roman" w:hAnsi="Times New Roman" w:cs="Times New Roman"/>
                <w:color w:val="auto"/>
                <w:sz w:val="24"/>
              </w:rPr>
              <w:t>《辐射环境保护管理导则-电磁辐射监测仪器和方法》（HJ/T10.2-96）</w:t>
            </w:r>
            <w:bookmarkEnd w:id="120"/>
            <w:r>
              <w:rPr>
                <w:rFonts w:hint="default" w:ascii="Times New Roman" w:hAnsi="Times New Roman" w:cs="Times New Roman"/>
                <w:color w:val="auto"/>
                <w:sz w:val="24"/>
              </w:rPr>
              <w:t>，对于微波，天线远场轴向功率密度采用如下模式计算：</w:t>
            </w:r>
          </w:p>
          <w:p>
            <w:pPr>
              <w:spacing w:line="360" w:lineRule="auto"/>
              <w:ind w:firstLine="120" w:firstLineChars="50"/>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drawing>
                <wp:inline distT="0" distB="0" distL="114300" distR="114300">
                  <wp:extent cx="1331595" cy="409575"/>
                  <wp:effectExtent l="0" t="0" r="0" b="889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7"/>
                          <a:stretch>
                            <a:fillRect/>
                          </a:stretch>
                        </pic:blipFill>
                        <pic:spPr>
                          <a:xfrm>
                            <a:off x="0" y="0"/>
                            <a:ext cx="1331595" cy="409575"/>
                          </a:xfrm>
                          <a:prstGeom prst="rect">
                            <a:avLst/>
                          </a:prstGeom>
                          <a:noFill/>
                          <a:ln w="9525">
                            <a:noFill/>
                          </a:ln>
                        </pic:spPr>
                      </pic:pic>
                    </a:graphicData>
                  </a:graphic>
                </wp:inline>
              </w:drawing>
            </w:r>
            <w:r>
              <w:rPr>
                <w:rFonts w:hint="default" w:ascii="Times New Roman" w:hAnsi="Times New Roman" w:cs="Times New Roman"/>
                <w:color w:val="auto"/>
                <w:sz w:val="24"/>
              </w:rPr>
              <w:t xml:space="preserve">  (W/m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)--------------------（式7-7 )</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式中：S—功率密度，W/m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spacing w:line="360" w:lineRule="auto"/>
              <w:ind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 xml:space="preserve"> P—天线发射功率，W；</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G—天线增益，倍数；</w:t>
            </w:r>
          </w:p>
          <w:p>
            <w:pPr>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r—天线与预测点之间的轴向距离，m。</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根据天线原理和电磁场理论，式</w:t>
            </w:r>
            <w:r>
              <w:rPr>
                <w:rFonts w:hint="default" w:ascii="Times New Roman" w:hAnsi="Times New Roman" w:cs="Times New Roman"/>
                <w:color w:val="auto"/>
                <w:sz w:val="24"/>
                <w:lang w:val="en-US" w:eastAsia="zh-CN"/>
              </w:rPr>
              <w:t>7-7</w:t>
            </w:r>
            <w:r>
              <w:rPr>
                <w:rFonts w:hint="default" w:ascii="Times New Roman" w:hAnsi="Times New Roman" w:cs="Times New Roman"/>
                <w:color w:val="auto"/>
                <w:sz w:val="24"/>
              </w:rPr>
              <w:t>是天线远场轴向场场强计算模式，在考虑天线方向性后式</w:t>
            </w:r>
            <w:r>
              <w:rPr>
                <w:rFonts w:hint="default" w:ascii="Times New Roman" w:hAnsi="Times New Roman" w:cs="Times New Roman"/>
                <w:color w:val="auto"/>
                <w:sz w:val="24"/>
                <w:lang w:val="en-US" w:eastAsia="zh-CN"/>
              </w:rPr>
              <w:t>7-8</w:t>
            </w:r>
            <w:r>
              <w:rPr>
                <w:rFonts w:hint="default" w:ascii="Times New Roman" w:hAnsi="Times New Roman" w:cs="Times New Roman"/>
                <w:color w:val="auto"/>
                <w:sz w:val="24"/>
              </w:rPr>
              <w:t>可应用于远场非轴向场。</w:t>
            </w:r>
          </w:p>
          <w:p>
            <w:pPr>
              <w:spacing w:line="360" w:lineRule="auto"/>
              <w:ind w:firstLine="2380" w:firstLineChars="850"/>
              <w:rPr>
                <w:rFonts w:hint="default" w:ascii="Times New Roman" w:hAnsi="Times New Roman" w:cs="Times New Roman"/>
                <w:color w:val="auto"/>
                <w:sz w:val="24"/>
              </w:rPr>
            </w:pPr>
            <w:r>
              <w:rPr>
                <w:rFonts w:hint="default" w:ascii="Times New Roman" w:hAnsi="Times New Roman" w:eastAsia="仿宋_GB2312" w:cs="Times New Roman"/>
                <w:color w:val="auto"/>
                <w:position w:val="-24"/>
                <w:sz w:val="28"/>
                <w:szCs w:val="28"/>
              </w:rPr>
              <w:object>
                <v:shape id="_x0000_i1029" o:spt="75" type="#_x0000_t75" style="height:32.25pt;width:137.35pt;" o:ole="t" fillcolor="#000011"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r>
              <w:rPr>
                <w:rFonts w:hint="default" w:ascii="Times New Roman" w:hAnsi="Times New Roman" w:cs="Times New Roman"/>
                <w:color w:val="auto"/>
                <w:sz w:val="24"/>
              </w:rPr>
              <w:t>(W/m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 ------------- (式7-8)</w:t>
            </w:r>
          </w:p>
          <w:p>
            <w:pPr>
              <w:spacing w:line="360" w:lineRule="auto"/>
              <w:ind w:firstLine="600" w:firstLineChars="250"/>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式中：f（θ）—</w:t>
            </w:r>
            <w:r>
              <w:rPr>
                <w:rFonts w:hint="default" w:ascii="Times New Roman" w:hAnsi="Times New Roman" w:cs="Times New Roman"/>
                <w:color w:val="auto"/>
                <w:sz w:val="24"/>
                <w:u w:val="single"/>
                <w:lang w:eastAsia="zh-CN"/>
              </w:rPr>
              <w:t>微波</w:t>
            </w:r>
            <w:r>
              <w:rPr>
                <w:rFonts w:hint="default" w:ascii="Times New Roman" w:hAnsi="Times New Roman" w:cs="Times New Roman"/>
                <w:color w:val="auto"/>
                <w:sz w:val="24"/>
                <w:u w:val="single"/>
              </w:rPr>
              <w:t>天线垂直面方向性函数。</w:t>
            </w:r>
          </w:p>
          <w:p>
            <w:pPr>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天线近场、远场：保守考虑，根据公式7-</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和公式7-1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的计算结果，通过比较，选择其中较大值来确定电磁场分布的远场。</w:t>
            </w:r>
          </w:p>
          <w:p>
            <w:pPr>
              <w:jc w:val="center"/>
              <w:rPr>
                <w:rFonts w:hint="default" w:ascii="Times New Roman" w:hAnsi="Times New Roman" w:cs="Times New Roman"/>
                <w:color w:val="auto"/>
                <w:sz w:val="24"/>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position w:val="-24"/>
                <w:sz w:val="28"/>
                <w:szCs w:val="28"/>
              </w:rPr>
              <w:object>
                <v:shape id="_x0000_i1030" o:spt="75" type="#_x0000_t75" style="height:31.1pt;width:38.85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position w:val="-28"/>
                <w:sz w:val="28"/>
                <w:szCs w:val="28"/>
              </w:rPr>
              <w:object>
                <v:shape id="_x0000_i1031" o:spt="75" type="#_x0000_t75" style="height:31.8pt;width:32.85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2">
                  <o:LockedField>false</o:LockedField>
                </o:OLEObject>
              </w:object>
            </w:r>
            <w:r>
              <w:rPr>
                <w:rFonts w:hint="default" w:ascii="Times New Roman" w:hAnsi="Times New Roman" w:eastAsia="仿宋_GB2312" w:cs="Times New Roman"/>
                <w:color w:val="auto"/>
                <w:sz w:val="28"/>
                <w:szCs w:val="28"/>
              </w:rPr>
              <w:t>）</w:t>
            </w:r>
            <w:r>
              <w:rPr>
                <w:rFonts w:hint="default" w:ascii="Times New Roman" w:hAnsi="Times New Roman" w:cs="Times New Roman"/>
                <w:color w:val="auto"/>
                <w:sz w:val="24"/>
              </w:rPr>
              <w:t>..........................................(式7-9)</w:t>
            </w:r>
          </w:p>
          <w:p>
            <w:pP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position w:val="-24"/>
                <w:sz w:val="28"/>
                <w:szCs w:val="28"/>
              </w:rPr>
              <w:object>
                <v:shape id="_x0000_i1032" o:spt="75" type="#_x0000_t75" style="height:28.4pt;width:35.85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4">
                  <o:LockedField>false</o:LockedField>
                </o:OLEObject>
              </w:object>
            </w:r>
            <w:r>
              <w:rPr>
                <w:rFonts w:hint="default" w:ascii="Times New Roman" w:hAnsi="Times New Roman" w:cs="Times New Roman"/>
                <w:color w:val="auto"/>
                <w:sz w:val="24"/>
              </w:rPr>
              <w:t>..............................................................(式7-10)</w:t>
            </w:r>
          </w:p>
          <w:p>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（注：r是观察点到天线振子的距离，c是自由空间光速，f是工作频率、D为天线口径。</w:t>
            </w:r>
            <w:r>
              <w:rPr>
                <w:rFonts w:hint="default" w:ascii="Times New Roman" w:hAnsi="Times New Roman" w:cs="Times New Roman"/>
                <w:color w:val="auto"/>
                <w:position w:val="-24"/>
                <w:szCs w:val="21"/>
              </w:rPr>
              <w:object>
                <v:shape id="_x0000_i1033" o:spt="75" type="#_x0000_t75" style="height:35.6pt;width:44.3pt;" o:ole="t"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36">
                  <o:LockedField>false</o:LockedField>
                </o:OLEObject>
              </w:object>
            </w:r>
            <w:r>
              <w:rPr>
                <w:rFonts w:hint="default" w:ascii="Times New Roman" w:hAnsi="Times New Roman" w:cs="Times New Roman"/>
                <w:color w:val="auto"/>
                <w:szCs w:val="21"/>
              </w:rPr>
              <w:t>，此式来源于国家环境保护总局《环境影响评价工程师职业资格登记培训系列教材——输变电及广电通信》。）</w:t>
            </w:r>
          </w:p>
          <w:p>
            <w:pPr>
              <w:spacing w:line="360" w:lineRule="auto"/>
              <w:ind w:firstLine="470" w:firstLineChars="196"/>
              <w:rPr>
                <w:rFonts w:hint="default" w:ascii="Times New Roman" w:hAnsi="Times New Roman" w:cs="Times New Roman"/>
                <w:color w:val="auto"/>
                <w:szCs w:val="21"/>
                <w:lang w:val="en-US" w:eastAsia="zh-CN"/>
              </w:rPr>
            </w:pPr>
            <w:r>
              <w:rPr>
                <w:rFonts w:hint="default" w:ascii="Times New Roman" w:hAnsi="Times New Roman" w:cs="Times New Roman"/>
                <w:color w:val="auto"/>
                <w:sz w:val="24"/>
              </w:rPr>
              <w:t>本项目</w:t>
            </w:r>
            <w:r>
              <w:rPr>
                <w:rFonts w:hint="eastAsia" w:cs="Times New Roman"/>
                <w:color w:val="auto"/>
                <w:sz w:val="24"/>
                <w:lang w:eastAsia="zh-CN"/>
              </w:rPr>
              <w:t>20频道</w:t>
            </w:r>
            <w:r>
              <w:rPr>
                <w:rFonts w:hint="default" w:ascii="Times New Roman" w:hAnsi="Times New Roman" w:cs="Times New Roman"/>
                <w:color w:val="auto"/>
                <w:sz w:val="24"/>
              </w:rPr>
              <w:t>、</w:t>
            </w:r>
            <w:r>
              <w:rPr>
                <w:rFonts w:hint="eastAsia" w:cs="Times New Roman"/>
                <w:color w:val="auto"/>
                <w:sz w:val="24"/>
                <w:lang w:eastAsia="zh-CN"/>
              </w:rPr>
              <w:t>26频道</w:t>
            </w:r>
            <w:r>
              <w:rPr>
                <w:rFonts w:hint="default" w:ascii="Times New Roman" w:hAnsi="Times New Roman" w:cs="Times New Roman"/>
                <w:color w:val="auto"/>
                <w:sz w:val="24"/>
              </w:rPr>
              <w:t>和</w:t>
            </w:r>
            <w:r>
              <w:rPr>
                <w:rFonts w:hint="default" w:ascii="Times New Roman" w:hAnsi="Times New Roman" w:cs="Times New Roman"/>
                <w:color w:val="auto"/>
                <w:sz w:val="24"/>
                <w:lang w:eastAsia="zh-CN"/>
              </w:rPr>
              <w:t>数字电视15频道</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数字电视43</w:t>
            </w:r>
            <w:r>
              <w:rPr>
                <w:rFonts w:hint="default" w:ascii="Times New Roman" w:hAnsi="Times New Roman" w:cs="Times New Roman"/>
                <w:color w:val="auto"/>
                <w:sz w:val="24"/>
              </w:rPr>
              <w:t>频道频率范围490MHz~754MHz内，属于微波频段（300MHz~300GHz属于微波），从保守角度考虑，式7-9按490MHz带入，式7-10按750MHz带入。</w:t>
            </w:r>
            <w:r>
              <w:rPr>
                <w:rFonts w:hint="default" w:ascii="Times New Roman" w:hAnsi="Times New Roman" w:cs="Times New Roman"/>
                <w:color w:val="auto"/>
                <w:sz w:val="24"/>
                <w:lang w:eastAsia="zh-CN"/>
              </w:rPr>
              <w:t>偶极子天线尺寸：高</w:t>
            </w:r>
            <w:r>
              <w:rPr>
                <w:rFonts w:hint="default" w:ascii="Times New Roman" w:hAnsi="Times New Roman" w:cs="Times New Roman"/>
                <w:color w:val="auto"/>
                <w:sz w:val="24"/>
                <w:lang w:val="en-US" w:eastAsia="zh-CN"/>
              </w:rPr>
              <w:t>4.42m；宽0.45m，则天线口径为1.99m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，代入式</w:t>
            </w:r>
            <w:r>
              <w:rPr>
                <w:rFonts w:hint="default" w:ascii="Times New Roman" w:hAnsi="Times New Roman" w:cs="Times New Roman"/>
                <w:color w:val="auto"/>
                <w:szCs w:val="21"/>
              </w:rPr>
              <w:drawing>
                <wp:inline distT="0" distB="0" distL="114300" distR="114300">
                  <wp:extent cx="304800" cy="361950"/>
                  <wp:effectExtent l="0" t="0" r="0" b="0"/>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pic:cNvPicPr>
                            <a:picLocks noChangeAspect="1"/>
                          </pic:cNvPicPr>
                        </pic:nvPicPr>
                        <pic:blipFill>
                          <a:blip r:embed="rId38"/>
                          <a:stretch>
                            <a:fillRect/>
                          </a:stretch>
                        </pic:blipFill>
                        <pic:spPr>
                          <a:xfrm>
                            <a:off x="0" y="0"/>
                            <a:ext cx="304800" cy="361950"/>
                          </a:xfrm>
                          <a:prstGeom prst="rect">
                            <a:avLst/>
                          </a:prstGeom>
                          <a:noFill/>
                          <a:ln w="9525">
                            <a:noFill/>
                          </a:ln>
                        </pic:spPr>
                      </pic:pic>
                    </a:graphicData>
                  </a:graphic>
                </wp:inline>
              </w:drawing>
            </w:r>
            <w:r>
              <w:rPr>
                <w:rFonts w:hint="default" w:ascii="Times New Roman" w:hAnsi="Times New Roman" w:cs="Times New Roman"/>
                <w:color w:val="auto"/>
                <w:sz w:val="24"/>
                <w:lang w:val="en-US" w:eastAsia="zh-CN"/>
              </w:rPr>
              <w:t>=0.99m，代入式</w:t>
            </w:r>
            <w:r>
              <w:rPr>
                <w:rFonts w:hint="default" w:ascii="Times New Roman" w:hAnsi="Times New Roman" w:cs="Times New Roman"/>
                <w:color w:val="auto"/>
                <w:szCs w:val="21"/>
              </w:rPr>
              <w:drawing>
                <wp:inline distT="0" distB="0" distL="114300" distR="114300">
                  <wp:extent cx="342900" cy="300990"/>
                  <wp:effectExtent l="0" t="0" r="0" b="317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39"/>
                          <a:stretch>
                            <a:fillRect/>
                          </a:stretch>
                        </pic:blipFill>
                        <pic:spPr>
                          <a:xfrm>
                            <a:off x="0" y="0"/>
                            <a:ext cx="342900" cy="300990"/>
                          </a:xfrm>
                          <a:prstGeom prst="rect">
                            <a:avLst/>
                          </a:prstGeom>
                          <a:noFill/>
                          <a:ln w="9525">
                            <a:noFill/>
                          </a:ln>
                        </pic:spPr>
                      </pic:pic>
                    </a:graphicData>
                  </a:graphic>
                </wp:inline>
              </w:drawing>
            </w:r>
            <w:r>
              <w:rPr>
                <w:rFonts w:hint="default" w:ascii="Times New Roman" w:hAnsi="Times New Roman" w:cs="Times New Roman"/>
                <w:color w:val="auto"/>
                <w:sz w:val="24"/>
                <w:lang w:val="en-US" w:eastAsia="zh-CN"/>
              </w:rPr>
              <w:t>=3.15m，确定远场区为距离天线3.15m以外的区域。</w:t>
            </w:r>
          </w:p>
          <w:p>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 xml:space="preserve">    ③复合场强计算模式</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复合场强是指两个或两个以上频率的电磁波复合在一起的场强，其值为各单个频率场强平方和的根值，用式7-11表示：</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drawing>
                <wp:inline distT="0" distB="0" distL="114300" distR="114300">
                  <wp:extent cx="1529715" cy="296545"/>
                  <wp:effectExtent l="0" t="0" r="13335" b="698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40"/>
                          <a:stretch>
                            <a:fillRect/>
                          </a:stretch>
                        </pic:blipFill>
                        <pic:spPr>
                          <a:xfrm>
                            <a:off x="0" y="0"/>
                            <a:ext cx="1529715" cy="296545"/>
                          </a:xfrm>
                          <a:prstGeom prst="rect">
                            <a:avLst/>
                          </a:prstGeom>
                          <a:noFill/>
                          <a:ln w="9525">
                            <a:noFill/>
                          </a:ln>
                        </pic:spPr>
                      </pic:pic>
                    </a:graphicData>
                  </a:graphic>
                </wp:inline>
              </w:drawing>
            </w:r>
            <w:bookmarkStart w:id="121" w:name="OLE_LINK53"/>
            <w:r>
              <w:rPr>
                <w:rFonts w:hint="default" w:ascii="Times New Roman" w:hAnsi="Times New Roman" w:cs="Times New Roman"/>
                <w:color w:val="auto"/>
                <w:sz w:val="24"/>
              </w:rPr>
              <w:t>……………………（式7-11）</w:t>
            </w:r>
            <w:bookmarkEnd w:id="121"/>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 E—复合场强，V/m；</w:t>
            </w:r>
          </w:p>
          <w:p>
            <w:pPr>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E</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、E</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、En—各个频率的场强，V/m。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复合功率密度由式7-12计算：</w:t>
            </w:r>
          </w:p>
          <w:p>
            <w:pPr>
              <w:spacing w:line="360" w:lineRule="auto"/>
              <w:ind w:firstLine="3360" w:firstLineChars="1400"/>
              <w:rPr>
                <w:rFonts w:hint="default" w:ascii="Times New Roman" w:hAnsi="Times New Roman" w:cs="Times New Roman"/>
                <w:color w:val="auto"/>
                <w:sz w:val="24"/>
              </w:rPr>
            </w:pPr>
            <w:r>
              <w:rPr>
                <w:rFonts w:hint="default" w:ascii="Times New Roman" w:hAnsi="Times New Roman" w:cs="Times New Roman"/>
                <w:color w:val="auto"/>
                <w:sz w:val="24"/>
              </w:rPr>
              <w:t>S=S</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+S</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+…+Sn………………………（式7-12）</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式中：S—复合功率密度，</w:t>
            </w:r>
            <w:r>
              <w:rPr>
                <w:rFonts w:hint="default" w:ascii="Times New Roman" w:hAnsi="Times New Roman" w:cs="Times New Roman"/>
                <w:bCs/>
                <w:color w:val="auto"/>
                <w:spacing w:val="4"/>
              </w:rPr>
              <w:t>W/m</w:t>
            </w:r>
            <w:r>
              <w:rPr>
                <w:rFonts w:hint="default" w:ascii="Times New Roman" w:hAnsi="Times New Roman" w:cs="Times New Roman"/>
                <w:bCs/>
                <w:color w:val="auto"/>
                <w:spacing w:val="4"/>
                <w:vertAlign w:val="superscript"/>
              </w:rPr>
              <w:t>2</w:t>
            </w:r>
            <w:r>
              <w:rPr>
                <w:rFonts w:hint="default" w:ascii="Times New Roman" w:hAnsi="Times New Roman" w:cs="Times New Roman"/>
                <w:bCs/>
                <w:color w:val="auto"/>
                <w:spacing w:val="4"/>
              </w:rPr>
              <w:t>；</w:t>
            </w:r>
          </w:p>
          <w:p>
            <w:pPr>
              <w:spacing w:line="360" w:lineRule="auto"/>
              <w:ind w:firstLine="1050" w:firstLineChars="500"/>
              <w:rPr>
                <w:rFonts w:hint="default" w:ascii="Times New Roman" w:hAnsi="Times New Roman" w:cs="Times New Roman"/>
                <w:bCs/>
                <w:color w:val="auto"/>
                <w:spacing w:val="4"/>
              </w:rPr>
            </w:pPr>
            <w:r>
              <w:rPr>
                <w:rFonts w:hint="default" w:ascii="Times New Roman" w:hAnsi="Times New Roman" w:cs="Times New Roman"/>
                <w:color w:val="auto"/>
              </w:rPr>
              <w:t>S</w:t>
            </w:r>
            <w:r>
              <w:rPr>
                <w:rFonts w:hint="default" w:ascii="Times New Roman" w:hAnsi="Times New Roman" w:cs="Times New Roman"/>
                <w:color w:val="auto"/>
                <w:vertAlign w:val="subscript"/>
              </w:rPr>
              <w:t>1</w:t>
            </w:r>
            <w:r>
              <w:rPr>
                <w:rFonts w:hint="default" w:ascii="Times New Roman" w:hAnsi="Times New Roman" w:cs="Times New Roman"/>
                <w:color w:val="auto"/>
              </w:rPr>
              <w:t>、S</w:t>
            </w:r>
            <w:r>
              <w:rPr>
                <w:rFonts w:hint="default" w:ascii="Times New Roman" w:hAnsi="Times New Roman" w:cs="Times New Roman"/>
                <w:color w:val="auto"/>
                <w:vertAlign w:val="subscript"/>
              </w:rPr>
              <w:t>2</w:t>
            </w:r>
            <w:r>
              <w:rPr>
                <w:rFonts w:hint="default" w:ascii="Times New Roman" w:hAnsi="Times New Roman" w:cs="Times New Roman"/>
                <w:color w:val="auto"/>
              </w:rPr>
              <w:t>、…+Sn—各个频率的功率密度，</w:t>
            </w:r>
            <w:r>
              <w:rPr>
                <w:rFonts w:hint="default" w:ascii="Times New Roman" w:hAnsi="Times New Roman" w:cs="Times New Roman"/>
                <w:bCs/>
                <w:color w:val="auto"/>
                <w:spacing w:val="4"/>
              </w:rPr>
              <w:t>W/m</w:t>
            </w:r>
            <w:r>
              <w:rPr>
                <w:rFonts w:hint="default" w:ascii="Times New Roman" w:hAnsi="Times New Roman" w:cs="Times New Roman"/>
                <w:bCs/>
                <w:color w:val="auto"/>
                <w:spacing w:val="4"/>
                <w:vertAlign w:val="superscript"/>
              </w:rPr>
              <w:t>2</w:t>
            </w:r>
            <w:r>
              <w:rPr>
                <w:rFonts w:hint="default" w:ascii="Times New Roman" w:hAnsi="Times New Roman" w:cs="Times New Roman"/>
                <w:bCs/>
                <w:color w:val="auto"/>
                <w:spacing w:val="4"/>
              </w:rPr>
              <w:t>。</w:t>
            </w:r>
          </w:p>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（2）预测参数的选取</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根据本项目可行性研究报告及建设单位提供的相关资料，在利用公式进行理论预测计算时，各参数的取值见表1-2和表</w:t>
            </w:r>
            <w:r>
              <w:rPr>
                <w:rFonts w:hint="default" w:ascii="Times New Roman" w:hAnsi="Times New Roman" w:cs="Times New Roman"/>
                <w:color w:val="auto"/>
                <w:sz w:val="24"/>
                <w:lang w:eastAsia="zh-CN"/>
              </w:rPr>
              <w:t>7-4</w:t>
            </w:r>
            <w:r>
              <w:rPr>
                <w:rFonts w:hint="default" w:ascii="Times New Roman" w:hAnsi="Times New Roman" w:cs="Times New Roman"/>
                <w:color w:val="auto"/>
                <w:sz w:val="24"/>
              </w:rPr>
              <w:t>。</w:t>
            </w:r>
          </w:p>
          <w:p>
            <w:pPr>
              <w:spacing w:line="360" w:lineRule="auto"/>
              <w:ind w:firstLine="560"/>
              <w:rPr>
                <w:rFonts w:hint="default" w:ascii="Times New Roman" w:hAnsi="Times New Roman" w:cs="Times New Roman"/>
                <w:color w:val="auto"/>
                <w:sz w:val="24"/>
              </w:rPr>
            </w:pPr>
            <w:r>
              <w:rPr>
                <w:rFonts w:hint="default" w:ascii="Times New Roman" w:hAnsi="Times New Roman" w:cs="Times New Roman"/>
                <w:color w:val="auto"/>
                <w:sz w:val="24"/>
              </w:rPr>
              <w:t>本次评价水平方向上电磁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按均匀辐射考虑，水平方向上，天线方向性函数取最大值1。垂直方向上，与天线水平轴线呈不同角度的方向性函数不一样，垂直面主要角度上的方向性函数见表</w:t>
            </w:r>
            <w:r>
              <w:rPr>
                <w:rFonts w:hint="default" w:ascii="Times New Roman" w:hAnsi="Times New Roman" w:cs="Times New Roman"/>
                <w:color w:val="auto"/>
                <w:sz w:val="24"/>
                <w:lang w:eastAsia="zh-CN"/>
              </w:rPr>
              <w:t>7-</w:t>
            </w:r>
            <w:r>
              <w:rPr>
                <w:rFonts w:hint="eastAsia" w:cs="Times New Roman"/>
                <w:color w:val="auto"/>
                <w:sz w:val="24"/>
                <w:lang w:val="en-US" w:eastAsia="zh-CN"/>
              </w:rPr>
              <w:t>3</w:t>
            </w:r>
            <w:r>
              <w:rPr>
                <w:rFonts w:hint="default" w:ascii="Times New Roman" w:hAnsi="Times New Roman" w:cs="Times New Roman"/>
                <w:color w:val="auto"/>
                <w:sz w:val="24"/>
              </w:rPr>
              <w:t>和</w:t>
            </w:r>
            <w:r>
              <w:rPr>
                <w:rFonts w:hint="default" w:ascii="Times New Roman" w:hAnsi="Times New Roman" w:cs="Times New Roman"/>
                <w:color w:val="auto"/>
                <w:sz w:val="24"/>
                <w:lang w:eastAsia="zh-CN"/>
              </w:rPr>
              <w:t>7-</w:t>
            </w:r>
            <w:r>
              <w:rPr>
                <w:rFonts w:hint="eastAsia" w:cs="Times New Roman"/>
                <w:color w:val="auto"/>
                <w:sz w:val="24"/>
                <w:lang w:val="en-US" w:eastAsia="zh-CN"/>
              </w:rPr>
              <w:t>4</w:t>
            </w:r>
            <w:r>
              <w:rPr>
                <w:rFonts w:hint="default" w:ascii="Times New Roman" w:hAnsi="Times New Roman" w:cs="Times New Roman"/>
                <w:color w:val="auto"/>
                <w:sz w:val="24"/>
              </w:rPr>
              <w:t>。</w:t>
            </w:r>
          </w:p>
          <w:p>
            <w:pPr>
              <w:jc w:val="center"/>
              <w:rPr>
                <w:rFonts w:hint="default" w:ascii="Times New Roman" w:hAnsi="Times New Roman" w:eastAsia="黑体" w:cs="Times New Roman"/>
                <w:color w:val="auto"/>
                <w:sz w:val="24"/>
                <w:lang w:val="zh-CN"/>
              </w:rPr>
            </w:pPr>
            <w:r>
              <w:rPr>
                <w:rFonts w:hint="default" w:ascii="Times New Roman" w:hAnsi="Times New Roman" w:eastAsia="黑体" w:cs="Times New Roman"/>
                <w:color w:val="auto"/>
                <w:sz w:val="24"/>
                <w:lang w:val="zh-CN"/>
              </w:rPr>
              <w:t>表</w:t>
            </w:r>
            <w:r>
              <w:rPr>
                <w:rFonts w:hint="default" w:ascii="Times New Roman" w:hAnsi="Times New Roman" w:eastAsia="黑体" w:cs="Times New Roman"/>
                <w:color w:val="auto"/>
                <w:sz w:val="24"/>
                <w:lang w:eastAsia="zh-CN"/>
              </w:rPr>
              <w:t>7-</w:t>
            </w:r>
            <w:r>
              <w:rPr>
                <w:rFonts w:hint="eastAsia" w:eastAsia="黑体" w:cs="Times New Roman"/>
                <w:color w:val="auto"/>
                <w:sz w:val="24"/>
                <w:lang w:val="en-US" w:eastAsia="zh-CN"/>
              </w:rPr>
              <w:t>3</w:t>
            </w:r>
            <w:r>
              <w:rPr>
                <w:rFonts w:hint="default" w:ascii="Times New Roman" w:hAnsi="Times New Roman" w:eastAsia="黑体" w:cs="Times New Roman"/>
                <w:color w:val="auto"/>
                <w:sz w:val="24"/>
                <w:lang w:val="zh-CN"/>
              </w:rPr>
              <w:t xml:space="preserve">  四层偶极子板天线垂直方向性函数一览表</w:t>
            </w:r>
          </w:p>
          <w:tbl>
            <w:tblPr>
              <w:tblStyle w:val="15"/>
              <w:tblW w:w="838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095"/>
              <w:gridCol w:w="2095"/>
              <w:gridCol w:w="2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夹角（°）</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方向性函数</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夹角（°）</w:t>
                  </w:r>
                </w:p>
              </w:tc>
              <w:tc>
                <w:tcPr>
                  <w:tcW w:w="2095" w:type="dxa"/>
                  <w:tcBorders>
                    <w:tl2br w:val="nil"/>
                    <w:tr2bl w:val="nil"/>
                  </w:tcBorders>
                  <w:vAlign w:val="center"/>
                </w:tcPr>
                <w:p>
                  <w:pPr>
                    <w:ind w:firstLine="199" w:firstLineChars="95"/>
                    <w:jc w:val="center"/>
                    <w:rPr>
                      <w:rFonts w:hint="default" w:ascii="Times New Roman" w:hAnsi="Times New Roman" w:cs="Times New Roman"/>
                      <w:color w:val="auto"/>
                      <w:szCs w:val="21"/>
                    </w:rPr>
                  </w:pPr>
                  <w:r>
                    <w:rPr>
                      <w:rFonts w:hint="default" w:ascii="Times New Roman" w:hAnsi="Times New Roman" w:cs="Times New Roman"/>
                      <w:color w:val="auto"/>
                      <w:szCs w:val="21"/>
                    </w:rPr>
                    <w:t>方向性函数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0.50~1</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45°～50°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＜0.01~0.50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50°～55°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10°～15°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0.02~0.22</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55°～60°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15°～20°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0.03~0.22</w:t>
                  </w:r>
                </w:p>
              </w:tc>
              <w:tc>
                <w:tcPr>
                  <w:tcW w:w="2095" w:type="dxa"/>
                  <w:tcBorders>
                    <w:tl2br w:val="nil"/>
                    <w:tr2bl w:val="nil"/>
                  </w:tcBorders>
                  <w:vAlign w:val="center"/>
                </w:tcPr>
                <w:p>
                  <w:pPr>
                    <w:tabs>
                      <w:tab w:val="left" w:pos="900"/>
                      <w:tab w:val="center" w:pos="1743"/>
                    </w:tabs>
                    <w:jc w:val="center"/>
                    <w:rPr>
                      <w:rFonts w:hint="default" w:ascii="Times New Roman" w:hAnsi="Times New Roman" w:cs="Times New Roman"/>
                      <w:color w:val="auto"/>
                      <w:szCs w:val="21"/>
                    </w:rPr>
                  </w:pPr>
                  <w:r>
                    <w:rPr>
                      <w:rFonts w:hint="default" w:ascii="Times New Roman" w:hAnsi="Times New Roman" w:cs="Times New Roman"/>
                      <w:color w:val="auto"/>
                      <w:szCs w:val="21"/>
                    </w:rPr>
                    <w:t>60°～65°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21"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20°～25°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0.03~0.09</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65°～70°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25°～30°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0.02~0.10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70°～75°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30°～35°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0.02~0.08</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75°～80°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35°～40°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0.01~0.07</w:t>
                  </w:r>
                </w:p>
              </w:tc>
              <w:tc>
                <w:tcPr>
                  <w:tcW w:w="2095" w:type="dxa"/>
                  <w:tcBorders>
                    <w:tl2br w:val="nil"/>
                    <w:tr2bl w:val="nil"/>
                  </w:tcBorders>
                  <w:vAlign w:val="center"/>
                </w:tcPr>
                <w:p>
                  <w:pPr>
                    <w:tabs>
                      <w:tab w:val="left" w:pos="900"/>
                      <w:tab w:val="center" w:pos="1743"/>
                    </w:tabs>
                    <w:jc w:val="center"/>
                    <w:rPr>
                      <w:rFonts w:hint="default" w:ascii="Times New Roman" w:hAnsi="Times New Roman" w:cs="Times New Roman"/>
                      <w:color w:val="auto"/>
                      <w:szCs w:val="21"/>
                    </w:rPr>
                  </w:pPr>
                  <w:r>
                    <w:rPr>
                      <w:rFonts w:hint="default" w:ascii="Times New Roman" w:hAnsi="Times New Roman" w:cs="Times New Roman"/>
                      <w:color w:val="auto"/>
                      <w:szCs w:val="21"/>
                    </w:rPr>
                    <w:t>80°～85°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40°～45°</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0.04~0.06</w:t>
                  </w:r>
                </w:p>
              </w:tc>
              <w:tc>
                <w:tcPr>
                  <w:tcW w:w="2095" w:type="dxa"/>
                  <w:tcBorders>
                    <w:tl2br w:val="nil"/>
                    <w:tr2bl w:val="nil"/>
                  </w:tcBorders>
                  <w:vAlign w:val="center"/>
                </w:tcPr>
                <w:p>
                  <w:pPr>
                    <w:tabs>
                      <w:tab w:val="left" w:pos="900"/>
                      <w:tab w:val="center" w:pos="1743"/>
                    </w:tabs>
                    <w:jc w:val="center"/>
                    <w:rPr>
                      <w:rFonts w:hint="default" w:ascii="Times New Roman" w:hAnsi="Times New Roman" w:cs="Times New Roman"/>
                      <w:color w:val="auto"/>
                      <w:szCs w:val="21"/>
                    </w:rPr>
                  </w:pPr>
                  <w:r>
                    <w:rPr>
                      <w:rFonts w:hint="default" w:ascii="Times New Roman" w:hAnsi="Times New Roman" w:cs="Times New Roman"/>
                      <w:color w:val="auto"/>
                      <w:szCs w:val="21"/>
                    </w:rPr>
                    <w:t>85°～90°</w:t>
                  </w:r>
                </w:p>
              </w:tc>
              <w:tc>
                <w:tcPr>
                  <w:tcW w:w="209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r>
          </w:tbl>
          <w:p>
            <w:pPr>
              <w:spacing w:line="360" w:lineRule="auto"/>
              <w:ind w:firstLine="560"/>
              <w:jc w:val="center"/>
              <w:rPr>
                <w:rFonts w:hint="default" w:ascii="Times New Roman" w:hAnsi="Times New Roman" w:cs="Times New Roman" w:eastAsiaTheme="minorEastAsia"/>
                <w:b/>
                <w:bCs/>
                <w:color w:val="auto"/>
                <w:sz w:val="24"/>
              </w:rPr>
            </w:pPr>
            <w:r>
              <w:rPr>
                <w:rFonts w:hint="default" w:ascii="Times New Roman" w:hAnsi="Times New Roman" w:cs="Times New Roman"/>
                <w:color w:val="auto"/>
                <w:sz w:val="24"/>
              </w:rPr>
              <w:drawing>
                <wp:inline distT="0" distB="0" distL="114300" distR="114300">
                  <wp:extent cx="5325110" cy="3241040"/>
                  <wp:effectExtent l="0" t="0" r="8890" b="16510"/>
                  <wp:docPr id="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pic:cNvPicPr>
                            <a:picLocks noChangeAspect="1"/>
                          </pic:cNvPicPr>
                        </pic:nvPicPr>
                        <pic:blipFill>
                          <a:blip r:embed="rId41"/>
                          <a:srcRect l="3845" t="1094" r="2956" b="2622"/>
                          <a:stretch>
                            <a:fillRect/>
                          </a:stretch>
                        </pic:blipFill>
                        <pic:spPr>
                          <a:xfrm>
                            <a:off x="0" y="0"/>
                            <a:ext cx="5325110" cy="3241040"/>
                          </a:xfrm>
                          <a:prstGeom prst="rect">
                            <a:avLst/>
                          </a:prstGeom>
                          <a:noFill/>
                          <a:ln w="9525">
                            <a:noFill/>
                          </a:ln>
                        </pic:spPr>
                      </pic:pic>
                    </a:graphicData>
                  </a:graphic>
                </wp:inline>
              </w:drawing>
            </w:r>
          </w:p>
          <w:p>
            <w:pPr>
              <w:spacing w:before="156" w:beforeLines="50" w:after="156" w:afterLines="50" w:line="360" w:lineRule="auto"/>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eastAsia="zh-CN"/>
              </w:rPr>
              <w:t>7-</w:t>
            </w:r>
            <w:r>
              <w:rPr>
                <w:rFonts w:hint="eastAsia" w:eastAsia="黑体" w:cs="Times New Roman"/>
                <w:color w:val="auto"/>
                <w:sz w:val="24"/>
                <w:lang w:val="en-US" w:eastAsia="zh-CN"/>
              </w:rPr>
              <w:t>4</w:t>
            </w:r>
            <w:r>
              <w:rPr>
                <w:rFonts w:hint="default" w:ascii="Times New Roman" w:hAnsi="Times New Roman" w:eastAsia="黑体" w:cs="Times New Roman"/>
                <w:color w:val="auto"/>
                <w:sz w:val="24"/>
              </w:rPr>
              <w:t xml:space="preserve">  缝隙天线垂直面方向性函数一览表</w:t>
            </w:r>
          </w:p>
          <w:tbl>
            <w:tblPr>
              <w:tblStyle w:val="16"/>
              <w:tblW w:w="83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990"/>
              <w:gridCol w:w="765"/>
              <w:gridCol w:w="930"/>
              <w:gridCol w:w="834"/>
              <w:gridCol w:w="923"/>
              <w:gridCol w:w="923"/>
              <w:gridCol w:w="923"/>
              <w:gridCol w:w="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bookmarkStart w:id="122" w:name="OLE_LINK41"/>
                  <w:r>
                    <w:rPr>
                      <w:rFonts w:hint="default" w:ascii="Times New Roman" w:hAnsi="Times New Roman" w:cs="Times New Roman" w:eastAsiaTheme="minorEastAsia"/>
                      <w:color w:val="auto"/>
                      <w:szCs w:val="21"/>
                    </w:rPr>
                    <w:t>仰角（°）</w:t>
                  </w:r>
                  <w:bookmarkEnd w:id="122"/>
                </w:p>
              </w:tc>
              <w:tc>
                <w:tcPr>
                  <w:tcW w:w="99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1.4~1.6</w:t>
                  </w:r>
                </w:p>
              </w:tc>
              <w:tc>
                <w:tcPr>
                  <w:tcW w:w="1695" w:type="dxa"/>
                  <w:gridSpan w:val="2"/>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0~1.4、1.6~3</w:t>
                  </w:r>
                </w:p>
              </w:tc>
              <w:tc>
                <w:tcPr>
                  <w:tcW w:w="83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3~3.5</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3.5~4</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4~5</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5~10</w:t>
                  </w:r>
                </w:p>
              </w:tc>
              <w:tc>
                <w:tcPr>
                  <w:tcW w:w="92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bookmarkStart w:id="123" w:name="OLE_LINK40" w:colFirst="0" w:colLast="1"/>
                  <w:r>
                    <w:rPr>
                      <w:rFonts w:hint="default" w:ascii="Times New Roman" w:hAnsi="Times New Roman" w:cs="Times New Roman" w:eastAsiaTheme="minorEastAsia"/>
                      <w:color w:val="auto"/>
                      <w:szCs w:val="21"/>
                    </w:rPr>
                    <w:t>F（θ）</w:t>
                  </w:r>
                </w:p>
              </w:tc>
              <w:tc>
                <w:tcPr>
                  <w:tcW w:w="99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w:t>
                  </w:r>
                </w:p>
              </w:tc>
              <w:tc>
                <w:tcPr>
                  <w:tcW w:w="1695" w:type="dxa"/>
                  <w:gridSpan w:val="2"/>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0.9</w:t>
                  </w:r>
                </w:p>
              </w:tc>
              <w:tc>
                <w:tcPr>
                  <w:tcW w:w="83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0.8</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0.7</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0.6</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0.5</w:t>
                  </w:r>
                </w:p>
              </w:tc>
              <w:tc>
                <w:tcPr>
                  <w:tcW w:w="92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0.4</w:t>
                  </w:r>
                </w:p>
              </w:tc>
            </w:tr>
            <w:bookmarkEnd w:id="123"/>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仰角（°）</w:t>
                  </w:r>
                </w:p>
              </w:tc>
              <w:tc>
                <w:tcPr>
                  <w:tcW w:w="99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15~20</w:t>
                  </w:r>
                </w:p>
              </w:tc>
              <w:tc>
                <w:tcPr>
                  <w:tcW w:w="765"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20~30</w:t>
                  </w:r>
                </w:p>
              </w:tc>
              <w:tc>
                <w:tcPr>
                  <w:tcW w:w="9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30~40</w:t>
                  </w:r>
                </w:p>
              </w:tc>
              <w:tc>
                <w:tcPr>
                  <w:tcW w:w="83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40~50</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50~60</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60~70</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70~80</w:t>
                  </w:r>
                </w:p>
              </w:tc>
              <w:tc>
                <w:tcPr>
                  <w:tcW w:w="92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80~90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1096"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F（θ）</w:t>
                  </w:r>
                </w:p>
              </w:tc>
              <w:tc>
                <w:tcPr>
                  <w:tcW w:w="99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0.25</w:t>
                  </w:r>
                </w:p>
              </w:tc>
              <w:tc>
                <w:tcPr>
                  <w:tcW w:w="765"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0.2</w:t>
                  </w:r>
                </w:p>
              </w:tc>
              <w:tc>
                <w:tcPr>
                  <w:tcW w:w="930"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0.1</w:t>
                  </w:r>
                </w:p>
              </w:tc>
              <w:tc>
                <w:tcPr>
                  <w:tcW w:w="83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0.08</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0.06</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0.04</w:t>
                  </w:r>
                </w:p>
              </w:tc>
              <w:tc>
                <w:tcPr>
                  <w:tcW w:w="923"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0.02</w:t>
                  </w:r>
                </w:p>
              </w:tc>
              <w:tc>
                <w:tcPr>
                  <w:tcW w:w="924" w:type="dxa"/>
                  <w:tcBorders>
                    <w:tl2br w:val="nil"/>
                    <w:tr2bl w:val="nil"/>
                  </w:tcBorders>
                  <w:vAlign w:val="center"/>
                </w:tcPr>
                <w:p>
                  <w:pPr>
                    <w:spacing w:line="360" w:lineRule="auto"/>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0.01</w:t>
                  </w:r>
                </w:p>
              </w:tc>
            </w:tr>
          </w:tbl>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（3）预测结果</w:t>
            </w:r>
          </w:p>
          <w:p>
            <w:pPr>
              <w:spacing w:before="156" w:beforeLines="50" w:after="156" w:afterLines="50" w:line="360" w:lineRule="auto"/>
              <w:rPr>
                <w:rFonts w:hint="default" w:ascii="Times New Roman" w:hAnsi="Times New Roman" w:cs="Times New Roman"/>
                <w:color w:val="auto"/>
                <w:position w:val="-24"/>
                <w:sz w:val="24"/>
              </w:rPr>
            </w:pPr>
            <w:r>
              <w:rPr>
                <w:rFonts w:hint="default" w:ascii="Times New Roman" w:hAnsi="Times New Roman" w:cs="Times New Roman"/>
                <w:color w:val="auto"/>
                <w:sz w:val="24"/>
              </w:rPr>
              <w:t xml:space="preserve">   场强：</w:t>
            </w:r>
            <w:r>
              <w:rPr>
                <w:rFonts w:hint="default" w:ascii="Times New Roman" w:hAnsi="Times New Roman" w:cs="Times New Roman"/>
                <w:color w:val="auto"/>
                <w:position w:val="-24"/>
                <w:sz w:val="24"/>
              </w:rPr>
              <w:object>
                <v:shape id="_x0000_i1034" o:spt="75" type="#_x0000_t75" style="height:34pt;width:165pt;" o:ole="t" filled="f" o:preferrelative="t" stroked="f" coordsize="21600,21600">
                  <v:path/>
                  <v:fill on="f" focussize="0,0"/>
                  <v:stroke on="f" joinstyle="miter"/>
                  <v:imagedata r:id="rId43" o:title=""/>
                  <o:lock v:ext="edit" aspectratio="t"/>
                  <w10:wrap type="none"/>
                  <w10:anchorlock/>
                </v:shape>
                <o:OLEObject Type="Embed" ProgID="Equation.3" ShapeID="_x0000_i1034" DrawAspect="Content" ObjectID="_1468075734" r:id="rId42">
                  <o:LockedField>false</o:LockedField>
                </o:OLEObject>
              </w:objec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eastAsiaTheme="minorEastAsia"/>
                <w:color w:val="auto"/>
                <w:sz w:val="24"/>
              </w:rPr>
              <w:t xml:space="preserve">   功率密度：</w:t>
            </w:r>
            <w:bookmarkStart w:id="124" w:name="OLE_LINK43"/>
            <w:r>
              <w:rPr>
                <w:rFonts w:hint="default" w:ascii="Times New Roman" w:hAnsi="Times New Roman" w:eastAsia="仿宋_GB2312" w:cs="Times New Roman"/>
                <w:color w:val="auto"/>
                <w:position w:val="-24"/>
                <w:sz w:val="28"/>
                <w:szCs w:val="28"/>
              </w:rPr>
              <w:object>
                <v:shape id="_x0000_i1035" o:spt="75" type="#_x0000_t75" style="height:32.25pt;width:137.35pt;" o:ole="t" fillcolor="#000011"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44">
                  <o:LockedField>false</o:LockedField>
                </o:OLEObject>
              </w:object>
            </w:r>
            <w:bookmarkEnd w:id="124"/>
            <w:r>
              <w:rPr>
                <w:rFonts w:hint="default" w:ascii="Times New Roman" w:hAnsi="Times New Roman" w:cs="Times New Roman"/>
                <w:color w:val="auto"/>
                <w:sz w:val="24"/>
              </w:rPr>
              <w:t>(W/m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 xml:space="preserve">) </w:t>
            </w:r>
          </w:p>
          <w:p>
            <w:pPr>
              <w:spacing w:line="360" w:lineRule="auto"/>
              <w:ind w:firstLine="480" w:firstLineChars="200"/>
              <w:rPr>
                <w:rFonts w:hint="default" w:ascii="Times New Roman" w:hAnsi="Times New Roman" w:cs="Times New Roman"/>
                <w:color w:val="auto"/>
                <w:position w:val="-6"/>
                <w:sz w:val="24"/>
                <w:szCs w:val="24"/>
                <w:lang w:val="en-US" w:eastAsia="zh-CN"/>
              </w:rPr>
            </w:pPr>
            <w:r>
              <w:rPr>
                <w:rFonts w:hint="default" w:ascii="Times New Roman" w:hAnsi="Times New Roman" w:cs="Times New Roman"/>
                <w:color w:val="auto"/>
                <w:sz w:val="24"/>
              </w:rPr>
              <w:t>本项目单台发射机标称功率</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00W（</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rPr>
              <w:t>dBm），系统损耗2.3dB，则天线口发射功率为P=10</w:t>
            </w:r>
            <w:r>
              <w:rPr>
                <w:rFonts w:hint="default" w:ascii="Times New Roman" w:hAnsi="Times New Roman" w:cs="Times New Roman"/>
                <w:color w:val="auto"/>
                <w:position w:val="-4"/>
                <w:sz w:val="24"/>
              </w:rPr>
              <w:object>
                <v:shape id="_x0000_i1036" o:spt="75" type="#_x0000_t75" style="height:25.45pt;width:27.95pt;" o:ole="t" filled="f" o:preferrelative="t" stroked="f" coordsize="21600,21600">
                  <v:path/>
                  <v:fill on="f" focussize="0,0"/>
                  <v:stroke on="f"/>
                  <v:imagedata r:id="rId46" o:title=""/>
                  <o:lock v:ext="edit" aspectratio="t"/>
                  <w10:wrap type="none"/>
                  <w10:anchorlock/>
                </v:shape>
                <o:OLEObject Type="Embed" ProgID="Equation.3" ShapeID="_x0000_i1036" DrawAspect="Content" ObjectID="_1468075736" r:id="rId45">
                  <o:LockedField>false</o:LockedField>
                </o:OLEObject>
              </w:object>
            </w:r>
            <w:r>
              <w:rPr>
                <w:rFonts w:hint="default" w:ascii="Times New Roman" w:hAnsi="Times New Roman" w:cs="Times New Roman"/>
                <w:color w:val="auto"/>
                <w:sz w:val="24"/>
              </w:rPr>
              <w:t>×10</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 xml:space="preserve"> W =</w:t>
            </w:r>
            <w:r>
              <w:rPr>
                <w:rFonts w:hint="default" w:ascii="Times New Roman" w:hAnsi="Times New Roman" w:cs="Times New Roman"/>
                <w:color w:val="auto"/>
                <w:sz w:val="24"/>
                <w:lang w:val="en-US" w:eastAsia="zh-CN"/>
              </w:rPr>
              <w:t>588.9</w:t>
            </w:r>
            <w:r>
              <w:rPr>
                <w:rFonts w:hint="default" w:ascii="Times New Roman" w:hAnsi="Times New Roman" w:cs="Times New Roman"/>
                <w:color w:val="auto"/>
                <w:sz w:val="24"/>
              </w:rPr>
              <w:t>W</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val="en-US" w:eastAsia="zh-CN"/>
              </w:rPr>
              <w:t>其中G为天线增益倍数，则FM104</w:t>
            </w:r>
            <w:r>
              <w:rPr>
                <w:rFonts w:hint="eastAsia" w:cs="Times New Roman"/>
                <w:color w:val="auto"/>
                <w:sz w:val="24"/>
                <w:szCs w:val="24"/>
                <w:lang w:val="en-US" w:eastAsia="zh-CN"/>
              </w:rPr>
              <w:t>广播频道</w:t>
            </w:r>
            <w:r>
              <w:rPr>
                <w:rFonts w:hint="default" w:ascii="Times New Roman" w:hAnsi="Times New Roman" w:cs="Times New Roman"/>
                <w:color w:val="auto"/>
                <w:sz w:val="24"/>
                <w:szCs w:val="24"/>
                <w:lang w:val="en-US" w:eastAsia="zh-CN"/>
              </w:rPr>
              <w:t>天线增益为8.5dBd，则</w:t>
            </w:r>
            <w:r>
              <w:rPr>
                <w:rFonts w:hint="default" w:ascii="Times New Roman" w:hAnsi="Times New Roman" w:cs="Times New Roman"/>
                <w:color w:val="auto"/>
                <w:position w:val="-6"/>
                <w:sz w:val="24"/>
                <w:szCs w:val="24"/>
                <w:lang w:val="en-US" w:eastAsia="zh-CN"/>
              </w:rPr>
              <w:object>
                <v:shape id="_x0000_i1037" o:spt="75" type="#_x0000_t75" style="height:24pt;width:78.95pt;" o:ole="t" filled="f" o:preferrelative="t" stroked="f" coordsize="21600,21600">
                  <v:path/>
                  <v:fill on="f" focussize="0,0"/>
                  <v:stroke on="f"/>
                  <v:imagedata r:id="rId48" o:title=""/>
                  <o:lock v:ext="edit" aspectratio="t"/>
                  <w10:wrap type="none"/>
                  <w10:anchorlock/>
                </v:shape>
                <o:OLEObject Type="Embed" ProgID="Equation.KSEE3" ShapeID="_x0000_i1037" DrawAspect="Content" ObjectID="_1468075737" r:id="rId47">
                  <o:LockedField>false</o:LockedField>
                </o:OLEObject>
              </w:object>
            </w:r>
            <w:r>
              <w:rPr>
                <w:rFonts w:hint="default" w:ascii="Times New Roman" w:hAnsi="Times New Roman" w:cs="Times New Roman"/>
                <w:color w:val="auto"/>
                <w:position w:val="-6"/>
                <w:sz w:val="24"/>
                <w:szCs w:val="24"/>
                <w:lang w:val="en-US" w:eastAsia="zh-CN"/>
              </w:rPr>
              <w:t>，</w:t>
            </w:r>
            <w:r>
              <w:rPr>
                <w:rFonts w:hint="eastAsia" w:cs="Times New Roman"/>
                <w:color w:val="auto"/>
                <w:sz w:val="24"/>
                <w:szCs w:val="24"/>
                <w:lang w:val="en-US" w:eastAsia="zh-CN"/>
              </w:rPr>
              <w:t>9频道</w:t>
            </w:r>
            <w:r>
              <w:rPr>
                <w:rFonts w:hint="default" w:ascii="Times New Roman" w:hAnsi="Times New Roman" w:cs="Times New Roman"/>
                <w:color w:val="auto"/>
                <w:sz w:val="24"/>
                <w:szCs w:val="24"/>
                <w:lang w:val="en-US" w:eastAsia="zh-CN"/>
              </w:rPr>
              <w:t>天线增益增益为8dBd，则</w:t>
            </w:r>
            <w:r>
              <w:rPr>
                <w:rFonts w:hint="default" w:ascii="Times New Roman" w:hAnsi="Times New Roman" w:cs="Times New Roman"/>
                <w:color w:val="auto"/>
                <w:position w:val="-6"/>
                <w:sz w:val="24"/>
                <w:szCs w:val="24"/>
                <w:lang w:val="en-US" w:eastAsia="zh-CN"/>
              </w:rPr>
              <w:object>
                <v:shape id="_x0000_i1038" o:spt="75" type="#_x0000_t75" style="height:24pt;width:76pt;" o:ole="t" filled="f" o:preferrelative="t" stroked="f" coordsize="21600,21600">
                  <v:path/>
                  <v:fill on="f" focussize="0,0"/>
                  <v:stroke on="f"/>
                  <v:imagedata r:id="rId50" o:title=""/>
                  <o:lock v:ext="edit" aspectratio="t"/>
                  <w10:wrap type="none"/>
                  <w10:anchorlock/>
                </v:shape>
                <o:OLEObject Type="Embed" ProgID="Equation.KSEE3" ShapeID="_x0000_i1038" DrawAspect="Content" ObjectID="_1468075738" r:id="rId49">
                  <o:LockedField>false</o:LockedField>
                </o:OLEObject>
              </w:object>
            </w:r>
            <w:r>
              <w:rPr>
                <w:rFonts w:hint="default" w:ascii="Times New Roman" w:hAnsi="Times New Roman" w:cs="Times New Roman"/>
                <w:color w:val="auto"/>
                <w:position w:val="-6"/>
                <w:sz w:val="24"/>
                <w:szCs w:val="24"/>
                <w:lang w:val="en-US" w:eastAsia="zh-CN"/>
              </w:rPr>
              <w:t>，</w:t>
            </w:r>
            <w:r>
              <w:rPr>
                <w:rFonts w:hint="eastAsia" w:cs="Times New Roman"/>
                <w:color w:val="auto"/>
                <w:sz w:val="24"/>
                <w:szCs w:val="24"/>
                <w:lang w:val="en-US" w:eastAsia="zh-CN"/>
              </w:rPr>
              <w:t>20频道</w:t>
            </w:r>
            <w:r>
              <w:rPr>
                <w:rFonts w:hint="default" w:ascii="Times New Roman" w:hAnsi="Times New Roman" w:cs="Times New Roman"/>
                <w:color w:val="auto"/>
                <w:sz w:val="24"/>
                <w:szCs w:val="24"/>
                <w:lang w:val="en-US" w:eastAsia="zh-CN"/>
              </w:rPr>
              <w:t>天线增益增益为12dBi，则</w:t>
            </w:r>
            <w:r>
              <w:rPr>
                <w:rFonts w:hint="default" w:ascii="Times New Roman" w:hAnsi="Times New Roman" w:cs="Times New Roman"/>
                <w:color w:val="auto"/>
                <w:position w:val="-6"/>
                <w:sz w:val="24"/>
                <w:szCs w:val="24"/>
                <w:lang w:val="en-US" w:eastAsia="zh-CN"/>
              </w:rPr>
              <w:object>
                <v:shape id="_x0000_i1039" o:spt="75" type="#_x0000_t75" style="height:24pt;width:82pt;" o:ole="t" filled="f" o:preferrelative="t" stroked="f" coordsize="21600,21600">
                  <v:path/>
                  <v:fill on="f" focussize="0,0"/>
                  <v:stroke on="f"/>
                  <v:imagedata r:id="rId52" o:title=""/>
                  <o:lock v:ext="edit" aspectratio="t"/>
                  <w10:wrap type="none"/>
                  <w10:anchorlock/>
                </v:shape>
                <o:OLEObject Type="Embed" ProgID="Equation.KSEE3" ShapeID="_x0000_i1039" DrawAspect="Content" ObjectID="_1468075739" r:id="rId51">
                  <o:LockedField>false</o:LockedField>
                </o:OLEObject>
              </w:object>
            </w:r>
            <w:r>
              <w:rPr>
                <w:rFonts w:hint="default" w:ascii="Times New Roman" w:hAnsi="Times New Roman" w:cs="Times New Roman"/>
                <w:color w:val="auto"/>
                <w:position w:val="-6"/>
                <w:sz w:val="24"/>
                <w:szCs w:val="24"/>
                <w:lang w:val="en-US" w:eastAsia="zh-CN"/>
              </w:rPr>
              <w:t>，</w:t>
            </w:r>
            <w:r>
              <w:rPr>
                <w:rFonts w:hint="default" w:ascii="Times New Roman" w:hAnsi="Times New Roman" w:cs="Times New Roman"/>
                <w:color w:val="auto"/>
                <w:sz w:val="24"/>
                <w:szCs w:val="24"/>
                <w:lang w:val="en-US" w:eastAsia="zh-CN"/>
              </w:rPr>
              <w:t>中央七台天线增益为12dBi，则</w:t>
            </w:r>
            <w:r>
              <w:rPr>
                <w:rFonts w:hint="default" w:ascii="Times New Roman" w:hAnsi="Times New Roman" w:cs="Times New Roman"/>
                <w:color w:val="auto"/>
                <w:position w:val="-6"/>
                <w:sz w:val="24"/>
                <w:szCs w:val="24"/>
                <w:lang w:val="en-US" w:eastAsia="zh-CN"/>
              </w:rPr>
              <w:object>
                <v:shape id="_x0000_i1040" o:spt="75" type="#_x0000_t75" style="height:24pt;width:82pt;" o:ole="t" filled="f" o:preferrelative="t" stroked="f" coordsize="21600,21600">
                  <v:path/>
                  <v:fill on="f" focussize="0,0"/>
                  <v:stroke on="f"/>
                  <v:imagedata r:id="rId54" o:title=""/>
                  <o:lock v:ext="edit" aspectratio="t"/>
                  <w10:wrap type="none"/>
                  <w10:anchorlock/>
                </v:shape>
                <o:OLEObject Type="Embed" ProgID="Equation.KSEE3" ShapeID="_x0000_i1040" DrawAspect="Content" ObjectID="_1468075740" r:id="rId53">
                  <o:LockedField>false</o:LockedField>
                </o:OLEObject>
              </w:object>
            </w:r>
            <w:r>
              <w:rPr>
                <w:rFonts w:hint="default" w:ascii="Times New Roman" w:hAnsi="Times New Roman" w:cs="Times New Roman"/>
                <w:color w:val="auto"/>
                <w:position w:val="-6"/>
                <w:sz w:val="24"/>
                <w:szCs w:val="24"/>
                <w:lang w:val="en-US" w:eastAsia="zh-CN"/>
              </w:rPr>
              <w:t>，</w:t>
            </w:r>
            <w:r>
              <w:rPr>
                <w:rFonts w:hint="default" w:ascii="Times New Roman" w:hAnsi="Times New Roman" w:cs="Times New Roman"/>
                <w:color w:val="auto"/>
                <w:sz w:val="24"/>
                <w:szCs w:val="24"/>
                <w:lang w:val="en-US" w:eastAsia="zh-CN"/>
              </w:rPr>
              <w:t>数字电视数字电视15频道天线增益为12dBi，则</w:t>
            </w:r>
            <w:r>
              <w:rPr>
                <w:rFonts w:hint="default" w:ascii="Times New Roman" w:hAnsi="Times New Roman" w:cs="Times New Roman"/>
                <w:color w:val="auto"/>
                <w:position w:val="-6"/>
                <w:sz w:val="24"/>
                <w:szCs w:val="24"/>
                <w:lang w:val="en-US" w:eastAsia="zh-CN"/>
              </w:rPr>
              <w:object>
                <v:shape id="_x0000_i1041" o:spt="75" type="#_x0000_t75" style="height:24pt;width:82pt;" o:ole="t" filled="f" o:preferrelative="t" stroked="f" coordsize="21600,21600">
                  <v:path/>
                  <v:fill on="f" focussize="0,0"/>
                  <v:stroke on="f"/>
                  <v:imagedata r:id="rId56" o:title=""/>
                  <o:lock v:ext="edit" aspectratio="t"/>
                  <w10:wrap type="none"/>
                  <w10:anchorlock/>
                </v:shape>
                <o:OLEObject Type="Embed" ProgID="Equation.KSEE3" ShapeID="_x0000_i1041" DrawAspect="Content" ObjectID="_1468075741" r:id="rId55">
                  <o:LockedField>false</o:LockedField>
                </o:OLEObject>
              </w:object>
            </w:r>
            <w:r>
              <w:rPr>
                <w:rFonts w:hint="default" w:ascii="Times New Roman" w:hAnsi="Times New Roman" w:cs="Times New Roman"/>
                <w:color w:val="auto"/>
                <w:position w:val="-6"/>
                <w:sz w:val="24"/>
                <w:szCs w:val="24"/>
                <w:lang w:val="en-US" w:eastAsia="zh-CN"/>
              </w:rPr>
              <w:t>，</w:t>
            </w:r>
            <w:r>
              <w:rPr>
                <w:rFonts w:hint="default" w:ascii="Times New Roman" w:hAnsi="Times New Roman" w:cs="Times New Roman"/>
                <w:color w:val="auto"/>
                <w:sz w:val="24"/>
                <w:szCs w:val="24"/>
                <w:lang w:val="en-US" w:eastAsia="zh-CN"/>
              </w:rPr>
              <w:t>数字电视数字电视43频道天线增益为12dBi，则</w:t>
            </w:r>
            <w:r>
              <w:rPr>
                <w:rFonts w:hint="default" w:ascii="Times New Roman" w:hAnsi="Times New Roman" w:cs="Times New Roman"/>
                <w:color w:val="auto"/>
                <w:position w:val="-6"/>
                <w:sz w:val="24"/>
                <w:szCs w:val="24"/>
                <w:lang w:val="en-US" w:eastAsia="zh-CN"/>
              </w:rPr>
              <w:object>
                <v:shape id="_x0000_i1042" o:spt="75" type="#_x0000_t75" style="height:24pt;width:82pt;" o:ole="t" filled="f" o:preferrelative="t" stroked="f" coordsize="21600,21600">
                  <v:path/>
                  <v:fill on="f" focussize="0,0"/>
                  <v:stroke on="f"/>
                  <v:imagedata r:id="rId58" o:title=""/>
                  <o:lock v:ext="edit" aspectratio="t"/>
                  <w10:wrap type="none"/>
                  <w10:anchorlock/>
                </v:shape>
                <o:OLEObject Type="Embed" ProgID="Equation.KSEE3" ShapeID="_x0000_i1042" DrawAspect="Content" ObjectID="_1468075742" r:id="rId57">
                  <o:LockedField>false</o:LockedField>
                </o:OLEObject>
              </w:object>
            </w:r>
            <w:r>
              <w:rPr>
                <w:rFonts w:hint="default" w:ascii="Times New Roman" w:hAnsi="Times New Roman" w:cs="Times New Roman"/>
                <w:color w:val="auto"/>
                <w:position w:val="-6"/>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480"/>
              <w:rPr>
                <w:rFonts w:hint="default" w:ascii="Times New Roman" w:hAnsi="Times New Roman" w:cs="Times New Roman"/>
                <w:color w:val="auto"/>
                <w:position w:val="-24"/>
                <w:sz w:val="24"/>
                <w:szCs w:val="24"/>
                <w:lang w:val="en-US" w:eastAsia="zh-CN"/>
              </w:rPr>
            </w:pPr>
            <w:r>
              <w:rPr>
                <w:rFonts w:hint="default" w:ascii="Times New Roman" w:hAnsi="Times New Roman" w:cs="Times New Roman"/>
                <w:color w:val="auto"/>
                <w:sz w:val="24"/>
                <w:szCs w:val="24"/>
                <w:lang w:val="en-US" w:eastAsia="zh-CN"/>
              </w:rPr>
              <w:t>项目天线的垂直方向性函数见表7-4和7-5，划分网格点，水平方向从距离天线10~500m划分18个网格点，垂直方向海拔高度210-420划分为22个网格点，然后按照式</w:t>
            </w:r>
            <w:r>
              <w:rPr>
                <w:rFonts w:hint="default" w:ascii="Times New Roman" w:hAnsi="Times New Roman" w:cs="Times New Roman"/>
                <w:color w:val="auto"/>
                <w:position w:val="-24"/>
                <w:sz w:val="24"/>
                <w:szCs w:val="24"/>
                <w:lang w:val="en-US" w:eastAsia="zh-CN"/>
              </w:rPr>
              <w:object>
                <v:shape id="_x0000_i1043" o:spt="75" type="#_x0000_t75" style="height:34pt;width:150pt;" o:ole="t" filled="f" o:preferrelative="t" stroked="f" coordsize="21600,21600">
                  <v:path/>
                  <v:fill on="f" focussize="0,0"/>
                  <v:stroke on="f"/>
                  <v:imagedata r:id="rId60" o:title=""/>
                  <o:lock v:ext="edit" aspectratio="t"/>
                  <w10:wrap type="none"/>
                  <w10:anchorlock/>
                </v:shape>
                <o:OLEObject Type="Embed" ProgID="Equation.KSEE3" ShapeID="_x0000_i1043" DrawAspect="Content" ObjectID="_1468075743" r:id="rId59">
                  <o:LockedField>false</o:LockedField>
                </o:OLEObject>
              </w:object>
            </w:r>
            <w:r>
              <w:rPr>
                <w:rFonts w:hint="default" w:ascii="Times New Roman" w:hAnsi="Times New Roman" w:cs="Times New Roman"/>
                <w:color w:val="auto"/>
                <w:position w:val="-24"/>
                <w:sz w:val="24"/>
                <w:szCs w:val="24"/>
                <w:lang w:val="en-US" w:eastAsia="zh-CN"/>
              </w:rPr>
              <w:t>和</w:t>
            </w:r>
            <w:r>
              <w:rPr>
                <w:rFonts w:hint="default" w:ascii="Times New Roman" w:hAnsi="Times New Roman" w:eastAsia="仿宋_GB2312" w:cs="Times New Roman"/>
                <w:color w:val="auto"/>
                <w:position w:val="-24"/>
                <w:sz w:val="28"/>
                <w:szCs w:val="28"/>
              </w:rPr>
              <w:object>
                <v:shape id="_x0000_i1044" o:spt="75" type="#_x0000_t75" style="height:32.25pt;width:137.35pt;" o:ole="t" fillcolor="#000011" filled="f" o:preferrelative="t" stroked="f" coordsize="21600,21600">
                  <v:path/>
                  <v:fill on="f" alignshape="1" focussize="0,0"/>
                  <v:stroke on="f"/>
                  <v:imagedata r:id="rId29" grayscale="f" bilevel="f" o:title=""/>
                  <o:lock v:ext="edit" aspectratio="t"/>
                  <w10:wrap type="none"/>
                  <w10:anchorlock/>
                </v:shape>
                <o:OLEObject Type="Embed" ProgID="Equation.3" ShapeID="_x0000_i1044" DrawAspect="Content" ObjectID="_1468075744" r:id="rId61">
                  <o:LockedField>false</o:LockedField>
                </o:OLEObject>
              </w:object>
            </w:r>
            <w:r>
              <w:rPr>
                <w:rFonts w:hint="default" w:ascii="Times New Roman" w:hAnsi="Times New Roman" w:cs="Times New Roman"/>
                <w:color w:val="auto"/>
                <w:position w:val="-24"/>
                <w:sz w:val="24"/>
                <w:szCs w:val="24"/>
                <w:lang w:val="en-US" w:eastAsia="zh-CN"/>
              </w:rPr>
              <w:t>计算各个网格点的辐射场强和功率密度。</w:t>
            </w:r>
          </w:p>
          <w:p>
            <w:pPr>
              <w:keepNext w:val="0"/>
              <w:keepLines w:val="0"/>
              <w:pageBreakBefore w:val="0"/>
              <w:numPr>
                <w:ilvl w:val="0"/>
                <w:numId w:val="0"/>
              </w:numPr>
              <w:kinsoku/>
              <w:wordWrap/>
              <w:overflowPunct/>
              <w:topLinePunct w:val="0"/>
              <w:autoSpaceDE/>
              <w:autoSpaceDN/>
              <w:bidi w:val="0"/>
              <w:adjustRightInd/>
              <w:spacing w:before="157" w:beforeLines="50" w:after="157" w:afterLines="50" w:line="360" w:lineRule="auto"/>
              <w:ind w:left="0" w:leftChars="0" w:right="0" w:rightChars="0" w:firstLine="480"/>
              <w:rPr>
                <w:rFonts w:hint="default" w:ascii="Times New Roman" w:hAnsi="Times New Roman" w:cs="Times New Roman"/>
                <w:color w:val="auto"/>
                <w:position w:val="-24"/>
                <w:sz w:val="24"/>
                <w:szCs w:val="24"/>
                <w:lang w:val="en-US" w:eastAsia="zh-CN"/>
              </w:rPr>
            </w:pPr>
            <w:r>
              <w:rPr>
                <w:rFonts w:hint="default" w:ascii="Times New Roman" w:hAnsi="Times New Roman" w:cs="Times New Roman"/>
                <w:color w:val="auto"/>
                <w:position w:val="-24"/>
                <w:sz w:val="24"/>
                <w:szCs w:val="24"/>
                <w:lang w:val="en-US" w:eastAsia="zh-CN"/>
              </w:rPr>
              <w:t>例：计算水平方向距离100m，海拔高度290m格点的辐射场强。</w:t>
            </w:r>
          </w:p>
          <w:p>
            <w:pPr>
              <w:spacing w:line="360" w:lineRule="auto"/>
              <w:ind w:firstLine="480" w:firstLineChars="200"/>
              <w:rPr>
                <w:rFonts w:hint="default" w:ascii="Times New Roman" w:hAnsi="Times New Roman" w:cs="Times New Roman"/>
                <w:bCs/>
                <w:color w:val="auto"/>
                <w:spacing w:val="4"/>
                <w:sz w:val="24"/>
              </w:rPr>
            </w:pPr>
            <w:r>
              <w:rPr>
                <w:rFonts w:hint="default" w:ascii="Times New Roman" w:hAnsi="Times New Roman" w:cs="Times New Roman"/>
                <w:color w:val="auto"/>
                <w:sz w:val="24"/>
              </w:rPr>
              <w:t>该点距离</w:t>
            </w:r>
            <w:r>
              <w:rPr>
                <w:rFonts w:hint="eastAsia" w:cs="Times New Roman"/>
                <w:color w:val="auto"/>
                <w:sz w:val="24"/>
                <w:lang w:val="en-US" w:eastAsia="zh-CN"/>
              </w:rPr>
              <w:t>20频道</w:t>
            </w:r>
            <w:r>
              <w:rPr>
                <w:rFonts w:hint="default" w:ascii="Times New Roman" w:hAnsi="Times New Roman" w:cs="Times New Roman"/>
                <w:color w:val="auto"/>
                <w:sz w:val="24"/>
              </w:rPr>
              <w:t>天线距离：</w:t>
            </w:r>
            <w:r>
              <w:rPr>
                <w:rFonts w:hint="default" w:ascii="Times New Roman" w:hAnsi="Times New Roman" w:cs="Times New Roman"/>
                <w:color w:val="auto"/>
                <w:position w:val="-12"/>
                <w:sz w:val="24"/>
              </w:rPr>
              <w:object>
                <v:shape id="_x0000_i1045" o:spt="75" type="#_x0000_t75" style="height:22.55pt;width:194.4pt;" o:ole="t" filled="f" o:preferrelative="t" stroked="f" coordsize="21600,21600">
                  <v:path/>
                  <v:fill on="f" focussize="0,0"/>
                  <v:stroke on="f"/>
                  <v:imagedata r:id="rId63" o:title=""/>
                  <o:lock v:ext="edit" aspectratio="t"/>
                  <w10:wrap type="none"/>
                  <w10:anchorlock/>
                </v:shape>
                <o:OLEObject Type="Embed" ProgID="Equation.3" ShapeID="_x0000_i1045" DrawAspect="Content" ObjectID="_1468075745" r:id="rId62">
                  <o:LockedField>false</o:LockedField>
                </o:OLEObject>
              </w:object>
            </w:r>
            <w:r>
              <w:rPr>
                <w:rFonts w:hint="default" w:ascii="Times New Roman" w:hAnsi="Times New Roman" w:cs="Times New Roman"/>
                <w:color w:val="auto"/>
                <w:sz w:val="24"/>
              </w:rPr>
              <w:t xml:space="preserve"> =1</w:t>
            </w:r>
            <w:r>
              <w:rPr>
                <w:rFonts w:hint="default" w:ascii="Times New Roman" w:hAnsi="Times New Roman" w:cs="Times New Roman"/>
                <w:color w:val="auto"/>
                <w:sz w:val="24"/>
                <w:lang w:val="en-US" w:eastAsia="zh-CN"/>
              </w:rPr>
              <w:t>41.42</w:t>
            </w:r>
            <w:r>
              <w:rPr>
                <w:rFonts w:hint="default" w:ascii="Times New Roman" w:hAnsi="Times New Roman" w:cs="Times New Roman"/>
                <w:color w:val="auto"/>
                <w:sz w:val="24"/>
              </w:rPr>
              <w:t>m；该点与轴线的夹角为θ=arctg(（</w:t>
            </w:r>
            <w:r>
              <w:rPr>
                <w:rFonts w:hint="default" w:ascii="Times New Roman" w:hAnsi="Times New Roman" w:cs="Times New Roman"/>
                <w:color w:val="auto"/>
                <w:sz w:val="24"/>
                <w:lang w:val="en-US" w:eastAsia="zh-CN"/>
              </w:rPr>
              <w:t>330+60-290</w:t>
            </w:r>
            <w:r>
              <w:rPr>
                <w:rFonts w:hint="default" w:ascii="Times New Roman" w:hAnsi="Times New Roman" w:cs="Times New Roman"/>
                <w:color w:val="auto"/>
                <w:sz w:val="24"/>
              </w:rPr>
              <w:t>）</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/100)=</w:t>
            </w:r>
            <w:r>
              <w:rPr>
                <w:rFonts w:hint="default" w:ascii="Times New Roman" w:hAnsi="Times New Roman" w:cs="Times New Roman"/>
                <w:color w:val="auto"/>
                <w:sz w:val="24"/>
                <w:lang w:val="en-US" w:eastAsia="zh-CN"/>
              </w:rPr>
              <w:t>50.19</w:t>
            </w:r>
            <w:r>
              <w:rPr>
                <w:rFonts w:hint="default" w:ascii="Times New Roman" w:hAnsi="Times New Roman" w:cs="Times New Roman"/>
                <w:color w:val="auto"/>
                <w:sz w:val="24"/>
              </w:rPr>
              <w:t>°，查表</w:t>
            </w:r>
            <w:r>
              <w:rPr>
                <w:rFonts w:hint="default" w:ascii="Times New Roman" w:hAnsi="Times New Roman" w:cs="Times New Roman"/>
                <w:color w:val="auto"/>
                <w:sz w:val="24"/>
                <w:lang w:val="en-US" w:eastAsia="zh-CN"/>
              </w:rPr>
              <w:t>7-4得</w:t>
            </w:r>
            <w:r>
              <w:rPr>
                <w:rFonts w:hint="default" w:ascii="Times New Roman" w:hAnsi="Times New Roman" w:cs="Times New Roman"/>
                <w:color w:val="auto"/>
                <w:sz w:val="24"/>
              </w:rPr>
              <w:t>垂直面方向性函数</w:t>
            </w:r>
            <w:r>
              <w:rPr>
                <w:rFonts w:hint="default" w:ascii="Times New Roman" w:hAnsi="Times New Roman" w:cs="Times New Roman"/>
                <w:color w:val="auto"/>
                <w:sz w:val="24"/>
              </w:rPr>
              <w:object>
                <v:shape id="_x0000_i1046" o:spt="75" type="#_x0000_t75" style="height:15.2pt;width:20.2pt;" o:ole="t" filled="f" o:preferrelative="t" stroked="f" coordsize="21600,21600">
                  <v:path/>
                  <v:fill on="f" alignshape="1" focussize="0,0"/>
                  <v:stroke on="f"/>
                  <v:imagedata r:id="rId65" grayscale="f" bilevel="f" o:title=""/>
                  <o:lock v:ext="edit" aspectratio="t"/>
                  <w10:wrap type="none"/>
                  <w10:anchorlock/>
                </v:shape>
                <o:OLEObject Type="Embed" ProgID="Equation.3" ShapeID="_x0000_i1046" DrawAspect="Content" ObjectID="_1468075746" r:id="rId64">
                  <o:LockedField>false</o:LockedField>
                </o:OLEObject>
              </w:object>
            </w: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05</w:t>
            </w:r>
            <w:r>
              <w:rPr>
                <w:rFonts w:hint="default" w:ascii="Times New Roman" w:hAnsi="Times New Roman" w:cs="Times New Roman"/>
                <w:color w:val="auto"/>
                <w:sz w:val="24"/>
              </w:rPr>
              <w:t>）</w:t>
            </w:r>
            <w:r>
              <w:rPr>
                <w:rFonts w:hint="default" w:ascii="Times New Roman" w:hAnsi="Times New Roman" w:cs="Times New Roman"/>
                <w:bCs/>
                <w:color w:val="auto"/>
                <w:spacing w:val="4"/>
                <w:sz w:val="24"/>
                <w:vertAlign w:val="superscript"/>
              </w:rPr>
              <w:t>2</w:t>
            </w:r>
            <w:r>
              <w:rPr>
                <w:rFonts w:hint="default" w:ascii="Times New Roman" w:hAnsi="Times New Roman" w:cs="Times New Roman"/>
                <w:color w:val="auto"/>
                <w:sz w:val="24"/>
              </w:rPr>
              <w:t>=0.0</w:t>
            </w:r>
            <w:r>
              <w:rPr>
                <w:rFonts w:hint="default" w:ascii="Times New Roman" w:hAnsi="Times New Roman" w:cs="Times New Roman"/>
                <w:color w:val="auto"/>
                <w:sz w:val="24"/>
                <w:lang w:val="en-US" w:eastAsia="zh-CN"/>
              </w:rPr>
              <w:t>025</w:t>
            </w:r>
            <w:r>
              <w:rPr>
                <w:rFonts w:hint="default" w:ascii="Times New Roman" w:hAnsi="Times New Roman" w:cs="Times New Roman"/>
                <w:color w:val="auto"/>
                <w:sz w:val="24"/>
              </w:rPr>
              <w:t>；代入式</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，即可算出单台发射机发射单个发射频率时S</w:t>
            </w:r>
            <w:r>
              <w:rPr>
                <w:rFonts w:hint="default" w:ascii="Times New Roman" w:hAnsi="Times New Roman" w:cs="Times New Roman"/>
                <w:color w:val="auto"/>
                <w:sz w:val="24"/>
                <w:vertAlign w:val="subscript"/>
                <w:lang w:val="en-US" w:eastAsia="zh-CN"/>
              </w:rPr>
              <w:t>3</w:t>
            </w:r>
            <w:r>
              <w:rPr>
                <w:rFonts w:hint="default" w:ascii="Times New Roman" w:hAnsi="Times New Roman" w:cs="Times New Roman"/>
                <w:color w:val="auto"/>
                <w:sz w:val="24"/>
              </w:rPr>
              <w:t>=0.00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1</w:t>
            </w:r>
            <w:r>
              <w:rPr>
                <w:rFonts w:hint="default" w:ascii="Times New Roman" w:hAnsi="Times New Roman" w:cs="Times New Roman"/>
                <w:bCs/>
                <w:color w:val="auto"/>
                <w:spacing w:val="4"/>
                <w:sz w:val="24"/>
              </w:rPr>
              <w:t>W/m</w:t>
            </w:r>
            <w:r>
              <w:rPr>
                <w:rFonts w:hint="default" w:ascii="Times New Roman" w:hAnsi="Times New Roman" w:cs="Times New Roman"/>
                <w:bCs/>
                <w:color w:val="auto"/>
                <w:spacing w:val="4"/>
                <w:sz w:val="24"/>
                <w:vertAlign w:val="superscript"/>
              </w:rPr>
              <w:t>2</w:t>
            </w:r>
            <w:r>
              <w:rPr>
                <w:rFonts w:hint="default" w:ascii="Times New Roman" w:hAnsi="Times New Roman" w:cs="Times New Roman"/>
                <w:bCs/>
                <w:color w:val="auto"/>
                <w:spacing w:val="4"/>
                <w:sz w:val="24"/>
              </w:rPr>
              <w:t>，同理计算出</w:t>
            </w:r>
            <w:r>
              <w:rPr>
                <w:rFonts w:hint="eastAsia" w:cs="Times New Roman"/>
                <w:bCs/>
                <w:color w:val="auto"/>
                <w:spacing w:val="4"/>
                <w:sz w:val="24"/>
                <w:lang w:eastAsia="zh-CN"/>
              </w:rPr>
              <w:t>26频道</w:t>
            </w:r>
            <w:r>
              <w:rPr>
                <w:rFonts w:hint="default" w:ascii="Times New Roman" w:hAnsi="Times New Roman" w:cs="Times New Roman"/>
                <w:bCs/>
                <w:color w:val="auto"/>
                <w:spacing w:val="4"/>
                <w:sz w:val="24"/>
                <w:lang w:eastAsia="zh-CN"/>
              </w:rPr>
              <w:t>、</w:t>
            </w:r>
            <w:r>
              <w:rPr>
                <w:rFonts w:hint="default" w:ascii="Times New Roman" w:hAnsi="Times New Roman" w:cs="Times New Roman"/>
                <w:bCs/>
                <w:color w:val="auto"/>
                <w:spacing w:val="4"/>
                <w:sz w:val="24"/>
                <w:lang w:val="en-US" w:eastAsia="zh-CN"/>
              </w:rPr>
              <w:t>数字电视15频道、数字电视43频道四</w:t>
            </w:r>
            <w:r>
              <w:rPr>
                <w:rFonts w:hint="default" w:ascii="Times New Roman" w:hAnsi="Times New Roman" w:cs="Times New Roman"/>
                <w:bCs/>
                <w:color w:val="auto"/>
                <w:spacing w:val="4"/>
                <w:sz w:val="24"/>
              </w:rPr>
              <w:t>个频率发射时功率密度</w:t>
            </w:r>
            <w:r>
              <w:rPr>
                <w:rFonts w:hint="default" w:ascii="Times New Roman" w:hAnsi="Times New Roman" w:cs="Times New Roman"/>
                <w:color w:val="auto"/>
                <w:sz w:val="24"/>
              </w:rPr>
              <w:t>S</w:t>
            </w:r>
            <w:r>
              <w:rPr>
                <w:rFonts w:hint="default" w:ascii="Times New Roman" w:hAnsi="Times New Roman" w:cs="Times New Roman"/>
                <w:color w:val="auto"/>
                <w:sz w:val="24"/>
                <w:vertAlign w:val="subscript"/>
                <w:lang w:val="en-US" w:eastAsia="zh-CN"/>
              </w:rPr>
              <w:t>3</w:t>
            </w:r>
            <w:r>
              <w:rPr>
                <w:rFonts w:hint="default" w:ascii="Times New Roman" w:hAnsi="Times New Roman" w:cs="Times New Roman"/>
                <w:color w:val="auto"/>
                <w:sz w:val="24"/>
              </w:rPr>
              <w:t>= S</w:t>
            </w:r>
            <w:r>
              <w:rPr>
                <w:rFonts w:hint="default" w:ascii="Times New Roman" w:hAnsi="Times New Roman" w:cs="Times New Roman"/>
                <w:color w:val="auto"/>
                <w:sz w:val="24"/>
                <w:vertAlign w:val="subscript"/>
                <w:lang w:val="en-US" w:eastAsia="zh-CN"/>
              </w:rPr>
              <w:t>4</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00</w:t>
            </w:r>
            <w:r>
              <w:rPr>
                <w:rFonts w:hint="default" w:ascii="Times New Roman" w:hAnsi="Times New Roman" w:cs="Times New Roman"/>
                <w:color w:val="auto"/>
                <w:sz w:val="24"/>
                <w:lang w:val="en-US" w:eastAsia="zh-CN"/>
              </w:rPr>
              <w:t>01</w:t>
            </w:r>
            <w:r>
              <w:rPr>
                <w:rFonts w:hint="default" w:ascii="Times New Roman" w:hAnsi="Times New Roman" w:cs="Times New Roman"/>
                <w:bCs/>
                <w:color w:val="auto"/>
                <w:spacing w:val="4"/>
                <w:sz w:val="24"/>
              </w:rPr>
              <w:t>W/m</w:t>
            </w:r>
            <w:r>
              <w:rPr>
                <w:rFonts w:hint="default" w:ascii="Times New Roman" w:hAnsi="Times New Roman" w:cs="Times New Roman"/>
                <w:bCs/>
                <w:color w:val="auto"/>
                <w:spacing w:val="4"/>
                <w:sz w:val="24"/>
                <w:vertAlign w:val="superscript"/>
              </w:rPr>
              <w:t>2</w:t>
            </w:r>
            <w:r>
              <w:rPr>
                <w:rFonts w:hint="default" w:ascii="Times New Roman" w:hAnsi="Times New Roman" w:cs="Times New Roman"/>
                <w:bCs/>
                <w:color w:val="auto"/>
                <w:spacing w:val="4"/>
                <w:sz w:val="24"/>
              </w:rPr>
              <w:t>，</w:t>
            </w:r>
            <w:r>
              <w:rPr>
                <w:rFonts w:hint="default" w:ascii="Times New Roman" w:hAnsi="Times New Roman" w:cs="Times New Roman"/>
                <w:bCs/>
                <w:color w:val="auto"/>
                <w:spacing w:val="4"/>
                <w:sz w:val="24"/>
                <w:lang w:val="en-US" w:eastAsia="zh-CN"/>
              </w:rPr>
              <w:t>S</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bCs/>
                <w:color w:val="auto"/>
                <w:spacing w:val="4"/>
                <w:sz w:val="24"/>
                <w:lang w:val="en-US" w:eastAsia="zh-CN"/>
              </w:rPr>
              <w:t>=S</w:t>
            </w:r>
            <w:r>
              <w:rPr>
                <w:rFonts w:hint="default" w:ascii="Times New Roman" w:hAnsi="Times New Roman" w:cs="Times New Roman"/>
                <w:color w:val="auto"/>
                <w:sz w:val="24"/>
                <w:vertAlign w:val="subscript"/>
                <w:lang w:val="en-US" w:eastAsia="zh-CN"/>
              </w:rPr>
              <w:t>6</w:t>
            </w:r>
            <w:r>
              <w:rPr>
                <w:rFonts w:hint="default" w:ascii="Times New Roman" w:hAnsi="Times New Roman" w:cs="Times New Roman"/>
                <w:bCs/>
                <w:color w:val="auto"/>
                <w:spacing w:val="4"/>
                <w:sz w:val="24"/>
                <w:lang w:val="en-US" w:eastAsia="zh-CN"/>
              </w:rPr>
              <w:t>=0.0001</w:t>
            </w:r>
            <w:r>
              <w:rPr>
                <w:rFonts w:hint="default" w:ascii="Times New Roman" w:hAnsi="Times New Roman" w:cs="Times New Roman"/>
                <w:bCs/>
                <w:color w:val="auto"/>
                <w:spacing w:val="4"/>
                <w:sz w:val="24"/>
              </w:rPr>
              <w:t>W/m</w:t>
            </w:r>
            <w:r>
              <w:rPr>
                <w:rFonts w:hint="default" w:ascii="Times New Roman" w:hAnsi="Times New Roman" w:cs="Times New Roman"/>
                <w:bCs/>
                <w:color w:val="auto"/>
                <w:spacing w:val="4"/>
                <w:sz w:val="24"/>
                <w:vertAlign w:val="superscript"/>
              </w:rPr>
              <w:t>2</w:t>
            </w:r>
            <w:r>
              <w:rPr>
                <w:rFonts w:hint="default" w:ascii="Times New Roman" w:hAnsi="Times New Roman" w:cs="Times New Roman"/>
                <w:bCs/>
                <w:color w:val="auto"/>
                <w:spacing w:val="4"/>
                <w:sz w:val="24"/>
                <w:vertAlign w:val="baseline"/>
                <w:lang w:eastAsia="zh-CN"/>
              </w:rPr>
              <w:t>，</w:t>
            </w:r>
            <w:r>
              <w:rPr>
                <w:rFonts w:hint="default" w:ascii="Times New Roman" w:hAnsi="Times New Roman" w:cs="Times New Roman"/>
                <w:bCs/>
                <w:color w:val="auto"/>
                <w:spacing w:val="4"/>
                <w:sz w:val="24"/>
                <w:lang w:val="en-US" w:eastAsia="zh-CN"/>
              </w:rPr>
              <w:t>然后计算出FM104发射机场强贡献值E</w:t>
            </w:r>
            <w:r>
              <w:rPr>
                <w:rFonts w:hint="default" w:ascii="Times New Roman" w:hAnsi="Times New Roman" w:cs="Times New Roman"/>
                <w:color w:val="auto"/>
                <w:sz w:val="24"/>
                <w:vertAlign w:val="subscript"/>
                <w:lang w:val="en-US" w:eastAsia="zh-CN"/>
              </w:rPr>
              <w:t>1</w:t>
            </w:r>
            <w:r>
              <w:rPr>
                <w:rFonts w:hint="default" w:ascii="Times New Roman" w:hAnsi="Times New Roman" w:cs="Times New Roman"/>
                <w:bCs/>
                <w:color w:val="auto"/>
                <w:spacing w:val="4"/>
                <w:sz w:val="24"/>
                <w:lang w:val="en-US" w:eastAsia="zh-CN"/>
              </w:rPr>
              <w:t>=0.6，则S</w:t>
            </w:r>
            <w:r>
              <w:rPr>
                <w:rFonts w:hint="default" w:ascii="Times New Roman" w:hAnsi="Times New Roman" w:cs="Times New Roman"/>
                <w:color w:val="auto"/>
                <w:sz w:val="24"/>
                <w:vertAlign w:val="subscript"/>
                <w:lang w:val="en-US" w:eastAsia="zh-CN"/>
              </w:rPr>
              <w:t>1</w:t>
            </w:r>
            <w:r>
              <w:rPr>
                <w:rFonts w:hint="default" w:ascii="Times New Roman" w:hAnsi="Times New Roman" w:cs="Times New Roman"/>
                <w:color w:val="auto"/>
                <w:sz w:val="24"/>
                <w:vertAlign w:val="baseline"/>
                <w:lang w:val="en-US" w:eastAsia="zh-CN"/>
              </w:rPr>
              <w:t>=0.0009</w:t>
            </w:r>
            <w:r>
              <w:rPr>
                <w:rFonts w:hint="eastAsia" w:cs="Times New Roman"/>
                <w:bCs/>
                <w:color w:val="auto"/>
                <w:spacing w:val="4"/>
                <w:sz w:val="24"/>
                <w:lang w:val="en-US" w:eastAsia="zh-CN"/>
              </w:rPr>
              <w:t>9频道</w:t>
            </w:r>
            <w:r>
              <w:rPr>
                <w:rFonts w:hint="default" w:ascii="Times New Roman" w:hAnsi="Times New Roman" w:cs="Times New Roman"/>
                <w:bCs/>
                <w:color w:val="auto"/>
                <w:spacing w:val="4"/>
                <w:sz w:val="24"/>
                <w:lang w:val="en-US" w:eastAsia="zh-CN"/>
              </w:rPr>
              <w:t>发射机场强贡献值E</w:t>
            </w:r>
            <w:r>
              <w:rPr>
                <w:rFonts w:hint="default" w:ascii="Times New Roman" w:hAnsi="Times New Roman" w:cs="Times New Roman"/>
                <w:color w:val="auto"/>
                <w:sz w:val="24"/>
                <w:vertAlign w:val="subscript"/>
                <w:lang w:val="en-US" w:eastAsia="zh-CN"/>
              </w:rPr>
              <w:t>2</w:t>
            </w:r>
            <w:r>
              <w:rPr>
                <w:rFonts w:hint="default" w:ascii="Times New Roman" w:hAnsi="Times New Roman" w:cs="Times New Roman"/>
                <w:bCs/>
                <w:color w:val="auto"/>
                <w:spacing w:val="4"/>
                <w:sz w:val="24"/>
                <w:lang w:val="en-US" w:eastAsia="zh-CN"/>
              </w:rPr>
              <w:t>=0.63，则S</w:t>
            </w:r>
            <w:r>
              <w:rPr>
                <w:rFonts w:hint="default" w:ascii="Times New Roman" w:hAnsi="Times New Roman" w:cs="Times New Roman"/>
                <w:color w:val="auto"/>
                <w:sz w:val="24"/>
                <w:vertAlign w:val="subscript"/>
                <w:lang w:val="en-US" w:eastAsia="zh-CN"/>
              </w:rPr>
              <w:t>2</w:t>
            </w:r>
            <w:r>
              <w:rPr>
                <w:rFonts w:hint="default" w:ascii="Times New Roman" w:hAnsi="Times New Roman" w:cs="Times New Roman"/>
                <w:bCs/>
                <w:color w:val="auto"/>
                <w:spacing w:val="4"/>
                <w:sz w:val="24"/>
                <w:lang w:val="en-US" w:eastAsia="zh-CN"/>
              </w:rPr>
              <w:t>=0.0011。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pacing w:val="4"/>
                <w:sz w:val="24"/>
              </w:rPr>
              <w:t>根据式</w:t>
            </w:r>
            <w:r>
              <w:rPr>
                <w:rFonts w:hint="default" w:ascii="Times New Roman" w:hAnsi="Times New Roman" w:cs="Times New Roman"/>
                <w:bCs/>
                <w:color w:val="auto"/>
                <w:spacing w:val="4"/>
                <w:sz w:val="24"/>
                <w:lang w:val="en-US" w:eastAsia="zh-CN"/>
              </w:rPr>
              <w:t>7</w:t>
            </w:r>
            <w:r>
              <w:rPr>
                <w:rFonts w:hint="default" w:ascii="Times New Roman" w:hAnsi="Times New Roman" w:cs="Times New Roman"/>
                <w:bCs/>
                <w:color w:val="auto"/>
                <w:spacing w:val="4"/>
                <w:sz w:val="24"/>
              </w:rPr>
              <w:t>-12，S=</w:t>
            </w:r>
            <w:r>
              <w:rPr>
                <w:rFonts w:hint="default" w:ascii="Times New Roman" w:hAnsi="Times New Roman" w:cs="Times New Roman"/>
                <w:color w:val="auto"/>
                <w:sz w:val="24"/>
              </w:rPr>
              <w:t xml:space="preserve"> S</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 S</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 S</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 xml:space="preserve"> </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S</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color w:val="auto"/>
                <w:sz w:val="24"/>
              </w:rPr>
              <w:t>+ S</w:t>
            </w:r>
            <w:r>
              <w:rPr>
                <w:rFonts w:hint="default" w:ascii="Times New Roman" w:hAnsi="Times New Roman" w:cs="Times New Roman"/>
                <w:color w:val="auto"/>
                <w:sz w:val="24"/>
                <w:vertAlign w:val="subscript"/>
                <w:lang w:val="en-US" w:eastAsia="zh-CN"/>
              </w:rPr>
              <w:t>6</w:t>
            </w:r>
            <w:r>
              <w:rPr>
                <w:rFonts w:hint="default" w:ascii="Times New Roman" w:hAnsi="Times New Roman" w:cs="Times New Roman"/>
                <w:color w:val="auto"/>
                <w:sz w:val="24"/>
              </w:rPr>
              <w:t>=0.00</w:t>
            </w:r>
            <w:r>
              <w:rPr>
                <w:rFonts w:hint="default" w:ascii="Times New Roman" w:hAnsi="Times New Roman" w:cs="Times New Roman"/>
                <w:color w:val="auto"/>
                <w:sz w:val="24"/>
                <w:lang w:val="en-US" w:eastAsia="zh-CN"/>
              </w:rPr>
              <w:t>22</w:t>
            </w:r>
            <w:r>
              <w:rPr>
                <w:rFonts w:hint="default" w:ascii="Times New Roman" w:hAnsi="Times New Roman" w:cs="Times New Roman"/>
                <w:bCs/>
                <w:color w:val="auto"/>
                <w:spacing w:val="4"/>
                <w:sz w:val="24"/>
              </w:rPr>
              <w:t>W/m</w:t>
            </w:r>
            <w:r>
              <w:rPr>
                <w:rFonts w:hint="default" w:ascii="Times New Roman" w:hAnsi="Times New Roman" w:cs="Times New Roman"/>
                <w:bCs/>
                <w:color w:val="auto"/>
                <w:spacing w:val="4"/>
                <w:sz w:val="24"/>
                <w:vertAlign w:val="superscript"/>
              </w:rPr>
              <w:t>2</w:t>
            </w:r>
            <w:r>
              <w:rPr>
                <w:rFonts w:hint="default" w:ascii="Times New Roman" w:hAnsi="Times New Roman" w:cs="Times New Roman"/>
                <w:bCs/>
                <w:color w:val="auto"/>
                <w:spacing w:val="4"/>
                <w:sz w:val="24"/>
              </w:rPr>
              <w:t>。因此，</w:t>
            </w:r>
            <w:r>
              <w:rPr>
                <w:rFonts w:hint="default" w:ascii="Times New Roman" w:hAnsi="Times New Roman" w:cs="Times New Roman"/>
                <w:color w:val="auto"/>
                <w:sz w:val="24"/>
              </w:rPr>
              <w:t>距天线水平100m、</w:t>
            </w:r>
            <w:r>
              <w:rPr>
                <w:rFonts w:hint="default" w:ascii="Times New Roman" w:hAnsi="Times New Roman" w:cs="Times New Roman"/>
                <w:color w:val="auto"/>
                <w:sz w:val="24"/>
                <w:lang w:eastAsia="zh-CN"/>
              </w:rPr>
              <w:t>海拔高度</w:t>
            </w:r>
            <w:r>
              <w:rPr>
                <w:rFonts w:hint="default" w:ascii="Times New Roman" w:hAnsi="Times New Roman" w:cs="Times New Roman"/>
                <w:color w:val="auto"/>
                <w:sz w:val="24"/>
                <w:lang w:val="en-US" w:eastAsia="zh-CN"/>
              </w:rPr>
              <w:t>290m格点</w:t>
            </w:r>
            <w:r>
              <w:rPr>
                <w:rFonts w:hint="default" w:ascii="Times New Roman" w:hAnsi="Times New Roman" w:cs="Times New Roman"/>
                <w:color w:val="auto"/>
                <w:sz w:val="24"/>
              </w:rPr>
              <w:t>处的功率密度S=0.0</w:t>
            </w:r>
            <w:r>
              <w:rPr>
                <w:rFonts w:hint="default" w:ascii="Times New Roman" w:hAnsi="Times New Roman" w:cs="Times New Roman"/>
                <w:color w:val="auto"/>
                <w:sz w:val="24"/>
                <w:lang w:val="en-US" w:eastAsia="zh-CN"/>
              </w:rPr>
              <w:t>022</w:t>
            </w:r>
            <w:r>
              <w:rPr>
                <w:rFonts w:hint="default" w:ascii="Times New Roman" w:hAnsi="Times New Roman" w:cs="Times New Roman"/>
                <w:bCs/>
                <w:color w:val="auto"/>
                <w:spacing w:val="4"/>
                <w:sz w:val="24"/>
              </w:rPr>
              <w:t>W/m</w:t>
            </w:r>
            <w:r>
              <w:rPr>
                <w:rFonts w:hint="default" w:ascii="Times New Roman" w:hAnsi="Times New Roman" w:cs="Times New Roman"/>
                <w:bCs/>
                <w:color w:val="auto"/>
                <w:spacing w:val="4"/>
                <w:sz w:val="24"/>
                <w:vertAlign w:val="superscript"/>
              </w:rPr>
              <w:t>2</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同理可以计算得到各个预测节点处的功率密度预测值和场强预测值。本项目各个预测点位场强值见表7-</w:t>
            </w:r>
            <w:r>
              <w:rPr>
                <w:rFonts w:hint="eastAsia" w:cs="Times New Roman"/>
                <w:color w:val="auto"/>
                <w:sz w:val="24"/>
                <w:lang w:val="en-US" w:eastAsia="zh-CN"/>
              </w:rPr>
              <w:t>6</w:t>
            </w:r>
            <w:r>
              <w:rPr>
                <w:rFonts w:hint="default" w:ascii="Times New Roman" w:hAnsi="Times New Roman" w:cs="Times New Roman"/>
                <w:color w:val="auto"/>
                <w:sz w:val="24"/>
              </w:rPr>
              <w:t>，功率密度预测结果见表7-</w:t>
            </w:r>
            <w:r>
              <w:rPr>
                <w:rFonts w:hint="eastAsia" w:cs="Times New Roman"/>
                <w:color w:val="auto"/>
                <w:sz w:val="24"/>
                <w:lang w:val="en-US" w:eastAsia="zh-CN"/>
              </w:rPr>
              <w:t>7</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tc>
      </w:tr>
    </w:tbl>
    <w:p>
      <w:pPr>
        <w:outlineLvl w:val="0"/>
        <w:rPr>
          <w:rFonts w:hint="default" w:ascii="Times New Roman" w:hAnsi="Times New Roman" w:eastAsia="黑体" w:cs="Times New Roman"/>
          <w:b/>
          <w:bCs/>
          <w:color w:val="auto"/>
          <w:sz w:val="32"/>
          <w:szCs w:val="32"/>
        </w:rPr>
        <w:sectPr>
          <w:pgSz w:w="11906" w:h="16838"/>
          <w:pgMar w:top="1440" w:right="1800" w:bottom="1440" w:left="1800" w:header="851" w:footer="992" w:gutter="0"/>
          <w:pgNumType w:fmt="numberInDash"/>
          <w:cols w:space="720" w:num="1"/>
          <w:docGrid w:type="linesAndChars" w:linePitch="312" w:charSpace="0"/>
        </w:sectPr>
      </w:pPr>
    </w:p>
    <w:tbl>
      <w:tblPr>
        <w:tblStyle w:val="16"/>
        <w:tblW w:w="15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67" w:hRule="atLeast"/>
        </w:trPr>
        <w:tc>
          <w:tcPr>
            <w:tcW w:w="15614"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Fonts w:hint="default" w:ascii="Times New Roman" w:hAnsi="Times New Roman" w:eastAsia="黑体" w:cs="Times New Roman"/>
                <w:b w:val="0"/>
                <w:bCs w:val="0"/>
                <w:color w:val="auto"/>
                <w:sz w:val="24"/>
                <w:szCs w:val="24"/>
                <w:vertAlign w:val="baseline"/>
                <w:lang w:val="en-US" w:eastAsia="zh-CN"/>
              </w:rPr>
            </w:pPr>
            <w:bookmarkStart w:id="125" w:name="OLE_LINK32"/>
            <w:bookmarkStart w:id="126" w:name="OLE_LINK33"/>
            <w:r>
              <w:rPr>
                <w:rFonts w:hint="default" w:ascii="Times New Roman" w:hAnsi="Times New Roman" w:eastAsia="黑体" w:cs="Times New Roman"/>
                <w:b w:val="0"/>
                <w:bCs w:val="0"/>
                <w:color w:val="auto"/>
                <w:sz w:val="24"/>
                <w:szCs w:val="24"/>
                <w:vertAlign w:val="baseline"/>
                <w:lang w:eastAsia="zh-CN"/>
              </w:rPr>
              <w:t>表</w:t>
            </w:r>
            <w:r>
              <w:rPr>
                <w:rFonts w:hint="default" w:ascii="Times New Roman" w:hAnsi="Times New Roman" w:eastAsia="黑体" w:cs="Times New Roman"/>
                <w:b w:val="0"/>
                <w:bCs w:val="0"/>
                <w:color w:val="auto"/>
                <w:sz w:val="24"/>
                <w:szCs w:val="24"/>
                <w:vertAlign w:val="baseline"/>
                <w:lang w:val="en-US" w:eastAsia="zh-CN"/>
              </w:rPr>
              <w:t>7-</w:t>
            </w:r>
            <w:r>
              <w:rPr>
                <w:rFonts w:hint="eastAsia" w:eastAsia="黑体" w:cs="Times New Roman"/>
                <w:b w:val="0"/>
                <w:bCs w:val="0"/>
                <w:color w:val="auto"/>
                <w:sz w:val="24"/>
                <w:szCs w:val="24"/>
                <w:vertAlign w:val="baseline"/>
                <w:lang w:val="en-US" w:eastAsia="zh-CN"/>
              </w:rPr>
              <w:t>6</w:t>
            </w:r>
            <w:r>
              <w:rPr>
                <w:rFonts w:hint="default" w:ascii="Times New Roman" w:hAnsi="Times New Roman" w:eastAsia="黑体" w:cs="Times New Roman"/>
                <w:b w:val="0"/>
                <w:bCs w:val="0"/>
                <w:color w:val="auto"/>
                <w:sz w:val="24"/>
                <w:szCs w:val="24"/>
                <w:vertAlign w:val="baseline"/>
                <w:lang w:val="en-US" w:eastAsia="zh-CN"/>
              </w:rPr>
              <w:t xml:space="preserve">  复合场强贡献值E复合（V/m）理论预测结果</w:t>
            </w:r>
          </w:p>
          <w:tbl>
            <w:tblPr>
              <w:tblStyle w:val="16"/>
              <w:tblW w:w="15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825"/>
              <w:gridCol w:w="788"/>
              <w:gridCol w:w="770"/>
              <w:gridCol w:w="749"/>
              <w:gridCol w:w="797"/>
              <w:gridCol w:w="797"/>
              <w:gridCol w:w="797"/>
              <w:gridCol w:w="796"/>
              <w:gridCol w:w="786"/>
              <w:gridCol w:w="779"/>
              <w:gridCol w:w="767"/>
              <w:gridCol w:w="756"/>
              <w:gridCol w:w="749"/>
              <w:gridCol w:w="734"/>
              <w:gridCol w:w="725"/>
              <w:gridCol w:w="712"/>
              <w:gridCol w:w="711"/>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1" w:hRule="atLeast"/>
              </w:trPr>
              <w:tc>
                <w:tcPr>
                  <w:tcW w:w="1637"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海拔高度（m）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cs="Times New Roman"/>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距电视塔台水平距离（m）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8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7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7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c>
                <w:tcPr>
                  <w:tcW w:w="7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w:t>
                  </w:r>
                </w:p>
              </w:tc>
              <w:tc>
                <w:tcPr>
                  <w:tcW w:w="7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c>
                <w:tcPr>
                  <w:tcW w:w="7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w:t>
                  </w:r>
                </w:p>
              </w:tc>
              <w:tc>
                <w:tcPr>
                  <w:tcW w:w="7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7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w:t>
                  </w:r>
                </w:p>
              </w:tc>
              <w:tc>
                <w:tcPr>
                  <w:tcW w:w="7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w:t>
                  </w:r>
                </w:p>
              </w:tc>
              <w:tc>
                <w:tcPr>
                  <w:tcW w:w="7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c>
                <w:tcPr>
                  <w:tcW w:w="7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150</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200</w:t>
                  </w:r>
                </w:p>
              </w:tc>
              <w:tc>
                <w:tcPr>
                  <w:tcW w:w="7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250</w:t>
                  </w:r>
                </w:p>
              </w:tc>
              <w:tc>
                <w:tcPr>
                  <w:tcW w:w="73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300</w:t>
                  </w:r>
                </w:p>
              </w:tc>
              <w:tc>
                <w:tcPr>
                  <w:tcW w:w="7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350</w:t>
                  </w:r>
                </w:p>
              </w:tc>
              <w:tc>
                <w:tcPr>
                  <w:tcW w:w="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400</w:t>
                  </w:r>
                </w:p>
              </w:tc>
              <w:tc>
                <w:tcPr>
                  <w:tcW w:w="7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450</w:t>
                  </w:r>
                </w:p>
              </w:tc>
              <w:tc>
                <w:tcPr>
                  <w:tcW w:w="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1.52</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0.85</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0.65</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0.85</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0.85</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0.76</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0.94</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0.92</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0.85</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0.78</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0.68</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0.68</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0.65</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0.62</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0.78</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0.71</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0.68</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270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1.52</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0.85</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1.07</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1.05</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1.29</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1.17</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1.03</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0.92</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1.01</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0.87</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1.01</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1.05</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0.96</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1.22</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290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1.52</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1.52</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1.34</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1.59</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1.46</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1.46</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1.29</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1.17</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1.23</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1.17</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1.09</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1.28</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1.15</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1.23</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1.12</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1.38</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1.22</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310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1.52</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1.55</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2.11</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1.78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1.64</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1.43</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1.41</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1.68</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1.39</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1.48</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1.77</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1.65</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1.58</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1.44</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320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1.55</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1.99</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2.16</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1.85</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1.63</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1.57</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1.69</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1.57</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1.76</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1.83</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1.56</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1.9</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1.81</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1.95</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1.76</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330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1.57</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2.14</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2.42</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2.23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1.91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1.98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1.84</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1.91</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1.78</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1.62</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1.93</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2.29</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2.07</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2.19</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2.08</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1.85</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340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3.04</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3.23</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2.95</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2.39</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2.37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2.51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2.21</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2.02</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2.92</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2.63</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2.54</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2.85</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2.49</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2.66</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2.58</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2.33</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2.08</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3.46</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3.71</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3.3</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3.09</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3.74</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3.6</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3.35</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3.02</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3.9</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3.38</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3.1</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2.86</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2.72</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2.41</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355</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4.39</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4.09</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4.02</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3.31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3.64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3.64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4.29</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3.77</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4.05</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4.55</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4.39</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4.17</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3.71</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3.47</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3.09</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2.72</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2.76</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360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4.85</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5.22</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5.12</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5.33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4.38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6.04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5.58</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5.11</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5.07</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5.08</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5.12</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4.85</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4.15</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3.61</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3.55</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3.08</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2.97</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365</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8.64</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9.2</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9.81</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8.29</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9.01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9.88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8.94</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7.83</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7.32</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8.2</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6.33</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5.19</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4.34</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4.5</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3.86</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3.52</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3.26</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7.08</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37.87</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25.59</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19.98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15.99</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14.14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12.3</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11.7</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10.41</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9.63</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7.53</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6.03</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w:t>
                  </w:r>
                  <w:r>
                    <w:rPr>
                      <w:rFonts w:hint="default" w:ascii="Times New Roman" w:hAnsi="Times New Roman" w:cs="Times New Roman"/>
                      <w:b w:val="0"/>
                      <w:bCs w:val="0"/>
                      <w:i w:val="0"/>
                      <w:color w:val="auto"/>
                      <w:kern w:val="0"/>
                      <w:sz w:val="21"/>
                      <w:szCs w:val="21"/>
                      <w:u w:val="none"/>
                      <w:lang w:val="en-US" w:eastAsia="zh-CN" w:bidi="ar"/>
                    </w:rPr>
                    <w:t>21</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4.67</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4.18</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3.95</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3.51</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375</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11.74</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12.96</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14.38</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11.97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12.16</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14.64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12.56</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10.99</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10.83</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10.75</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7.46</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6.36</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5.56</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w:t>
                  </w:r>
                  <w:r>
                    <w:rPr>
                      <w:rFonts w:hint="default" w:ascii="Times New Roman" w:hAnsi="Times New Roman" w:cs="Times New Roman"/>
                      <w:b w:val="0"/>
                      <w:bCs w:val="0"/>
                      <w:i w:val="0"/>
                      <w:color w:val="auto"/>
                      <w:kern w:val="0"/>
                      <w:sz w:val="21"/>
                      <w:szCs w:val="21"/>
                      <w:u w:val="none"/>
                      <w:lang w:val="en-US" w:eastAsia="zh-CN" w:bidi="ar"/>
                    </w:rPr>
                    <w:t>06</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4.68</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4.11</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3.64</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380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10.15</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39.26</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27.16</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22.53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18.03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16.9</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14.9</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13.04</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11.6</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11.09</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9.13</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7.86</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6.28</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5.24</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4.5</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4.11</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3.51</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385</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23.75</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25.15</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21.5</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18.22</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16.5</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18.21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15.62</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14.68</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13.82</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14.11</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9.99</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7.61</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5.92</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5.62</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4.82</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4.22</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3.75</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390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145.52</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72.82</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48.81</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36.63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29.32</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24.7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21.28</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18.68</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16.61</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15.12</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10.51</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8.09</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6.64</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5.54</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4.75</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4.22</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3.76</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395</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23</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23.87</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21.22</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16.68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14.77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13.8</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12.97</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12.6</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12.88</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8.83</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7.28</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5.61</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5.33</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4.57</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3.56</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400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9.97</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11.57</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10.28</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12.02</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9.65</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9.12</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9.63</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8.56</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7.68</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7.54</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7.16</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6.67</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5.53</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4.68</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4.15</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3.88</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3.29</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405</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8.18</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6.51</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7.77</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5.93</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6.27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7.27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7.02</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6.14</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7.18</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6.9</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5.28</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5.14</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4.8</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4.62</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4.02</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3.52</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3.22</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410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6.62</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5.09</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4.58</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5.86</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4.77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4.78</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4.51</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6.05</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w:t>
                  </w:r>
                  <w:r>
                    <w:rPr>
                      <w:rFonts w:hint="default" w:ascii="Times New Roman" w:hAnsi="Times New Roman" w:cs="Times New Roman"/>
                      <w:b w:val="0"/>
                      <w:bCs w:val="0"/>
                      <w:i w:val="0"/>
                      <w:color w:val="auto"/>
                      <w:kern w:val="0"/>
                      <w:sz w:val="21"/>
                      <w:szCs w:val="21"/>
                      <w:u w:val="none"/>
                      <w:lang w:val="en-US" w:eastAsia="zh-CN" w:bidi="ar"/>
                    </w:rPr>
                    <w:t>28</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4.93</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4.68</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4.03</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4.11</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3.76</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3.81</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3.52</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3.13</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415</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5.88</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4.2</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4.36</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3.5</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4.74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3.87</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4.48</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3.96</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3.52</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4.92</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4.42</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3.67</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3.23</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3.47</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3.06</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2.84</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2.85</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420</w:t>
                  </w:r>
                </w:p>
              </w:tc>
              <w:tc>
                <w:tcPr>
                  <w:tcW w:w="8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3.73</w:t>
                  </w:r>
                </w:p>
              </w:tc>
              <w:tc>
                <w:tcPr>
                  <w:tcW w:w="788"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4.18</w:t>
                  </w:r>
                </w:p>
              </w:tc>
              <w:tc>
                <w:tcPr>
                  <w:tcW w:w="770"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3.43</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3.31</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2.84</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3.86</w:t>
                  </w:r>
                </w:p>
              </w:tc>
              <w:tc>
                <w:tcPr>
                  <w:tcW w:w="79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3.45</w:t>
                  </w:r>
                </w:p>
              </w:tc>
              <w:tc>
                <w:tcPr>
                  <w:tcW w:w="79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3.05</w:t>
                  </w:r>
                </w:p>
              </w:tc>
              <w:tc>
                <w:tcPr>
                  <w:tcW w:w="78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3.47</w:t>
                  </w:r>
                </w:p>
              </w:tc>
              <w:tc>
                <w:tcPr>
                  <w:tcW w:w="77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3.18</w:t>
                  </w:r>
                </w:p>
              </w:tc>
              <w:tc>
                <w:tcPr>
                  <w:tcW w:w="767"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3.43</w:t>
                  </w:r>
                </w:p>
              </w:tc>
              <w:tc>
                <w:tcPr>
                  <w:tcW w:w="756"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3.52</w:t>
                  </w:r>
                </w:p>
              </w:tc>
              <w:tc>
                <w:tcPr>
                  <w:tcW w:w="749"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2.94</w:t>
                  </w:r>
                </w:p>
              </w:tc>
              <w:tc>
                <w:tcPr>
                  <w:tcW w:w="734"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2.77</w:t>
                  </w:r>
                </w:p>
              </w:tc>
              <w:tc>
                <w:tcPr>
                  <w:tcW w:w="725"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3.04</w:t>
                  </w:r>
                </w:p>
              </w:tc>
              <w:tc>
                <w:tcPr>
                  <w:tcW w:w="712" w:type="dxa"/>
                  <w:textDirection w:val="lrTb"/>
                  <w:vAlign w:val="center"/>
                </w:tcPr>
                <w:p>
                  <w:pPr>
                    <w:keepNext w:val="0"/>
                    <w:keepLines w:val="0"/>
                    <w:widowControl/>
                    <w:suppressLineNumbers w:val="0"/>
                    <w:jc w:val="left"/>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2.68</w:t>
                  </w:r>
                </w:p>
              </w:tc>
              <w:tc>
                <w:tcPr>
                  <w:tcW w:w="711"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2.53</w:t>
                  </w:r>
                </w:p>
              </w:tc>
              <w:tc>
                <w:tcPr>
                  <w:tcW w:w="705" w:type="dxa"/>
                  <w:textDirection w:val="lrTb"/>
                  <w:vAlign w:val="center"/>
                </w:tcPr>
                <w:p>
                  <w:pPr>
                    <w:keepNext w:val="0"/>
                    <w:keepLines w:val="0"/>
                    <w:widowControl/>
                    <w:suppressLineNumbers w:val="0"/>
                    <w:jc w:val="left"/>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2.57</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Fonts w:hint="default" w:ascii="Times New Roman" w:hAnsi="Times New Roman" w:eastAsia="黑体" w:cs="Times New Roman"/>
                <w:b w:val="0"/>
                <w:bCs w:val="0"/>
                <w:color w:val="auto"/>
                <w:sz w:val="24"/>
                <w:szCs w:val="24"/>
                <w:vertAlign w:val="baseline"/>
                <w:lang w:val="en-US" w:eastAsia="zh-CN"/>
              </w:rPr>
            </w:pPr>
            <w:r>
              <w:rPr>
                <w:rFonts w:hint="default" w:ascii="Times New Roman" w:hAnsi="Times New Roman" w:eastAsia="黑体" w:cs="Times New Roman"/>
                <w:b w:val="0"/>
                <w:bCs w:val="0"/>
                <w:color w:val="auto"/>
                <w:sz w:val="24"/>
                <w:szCs w:val="24"/>
                <w:vertAlign w:val="baseline"/>
                <w:lang w:eastAsia="zh-CN"/>
              </w:rPr>
              <w:t>表</w:t>
            </w:r>
            <w:r>
              <w:rPr>
                <w:rFonts w:hint="default" w:ascii="Times New Roman" w:hAnsi="Times New Roman" w:eastAsia="黑体" w:cs="Times New Roman"/>
                <w:b w:val="0"/>
                <w:bCs w:val="0"/>
                <w:color w:val="auto"/>
                <w:sz w:val="24"/>
                <w:szCs w:val="24"/>
                <w:vertAlign w:val="baseline"/>
                <w:lang w:val="en-US" w:eastAsia="zh-CN"/>
              </w:rPr>
              <w:t>7-</w:t>
            </w:r>
            <w:r>
              <w:rPr>
                <w:rFonts w:hint="eastAsia" w:eastAsia="黑体" w:cs="Times New Roman"/>
                <w:b w:val="0"/>
                <w:bCs w:val="0"/>
                <w:color w:val="auto"/>
                <w:sz w:val="24"/>
                <w:szCs w:val="24"/>
                <w:vertAlign w:val="baseline"/>
                <w:lang w:val="en-US" w:eastAsia="zh-CN"/>
              </w:rPr>
              <w:t>7</w:t>
            </w:r>
            <w:r>
              <w:rPr>
                <w:rFonts w:hint="default" w:ascii="Times New Roman" w:hAnsi="Times New Roman" w:eastAsia="黑体" w:cs="Times New Roman"/>
                <w:b w:val="0"/>
                <w:bCs w:val="0"/>
                <w:color w:val="auto"/>
                <w:sz w:val="24"/>
                <w:szCs w:val="24"/>
                <w:vertAlign w:val="baseline"/>
                <w:lang w:val="en-US" w:eastAsia="zh-CN"/>
              </w:rPr>
              <w:t xml:space="preserve"> 复合功率密度贡献值S（W/m</w:t>
            </w:r>
            <w:r>
              <w:rPr>
                <w:rFonts w:hint="default" w:ascii="Times New Roman" w:hAnsi="Times New Roman" w:eastAsia="黑体" w:cs="Times New Roman"/>
                <w:b w:val="0"/>
                <w:bCs w:val="0"/>
                <w:color w:val="auto"/>
                <w:sz w:val="24"/>
                <w:szCs w:val="24"/>
                <w:vertAlign w:val="superscript"/>
                <w:lang w:val="en-US" w:eastAsia="zh-CN"/>
              </w:rPr>
              <w:t>2</w:t>
            </w:r>
            <w:r>
              <w:rPr>
                <w:rFonts w:hint="default" w:ascii="Times New Roman" w:hAnsi="Times New Roman" w:eastAsia="黑体" w:cs="Times New Roman"/>
                <w:b w:val="0"/>
                <w:bCs w:val="0"/>
                <w:color w:val="auto"/>
                <w:sz w:val="24"/>
                <w:szCs w:val="24"/>
                <w:vertAlign w:val="baseline"/>
                <w:lang w:val="en-US" w:eastAsia="zh-CN"/>
              </w:rPr>
              <w:t>）理论预测结果</w:t>
            </w:r>
          </w:p>
          <w:tbl>
            <w:tblPr>
              <w:tblStyle w:val="16"/>
              <w:tblW w:w="15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825"/>
              <w:gridCol w:w="846"/>
              <w:gridCol w:w="713"/>
              <w:gridCol w:w="749"/>
              <w:gridCol w:w="797"/>
              <w:gridCol w:w="797"/>
              <w:gridCol w:w="797"/>
              <w:gridCol w:w="797"/>
              <w:gridCol w:w="786"/>
              <w:gridCol w:w="779"/>
              <w:gridCol w:w="767"/>
              <w:gridCol w:w="756"/>
              <w:gridCol w:w="749"/>
              <w:gridCol w:w="734"/>
              <w:gridCol w:w="726"/>
              <w:gridCol w:w="712"/>
              <w:gridCol w:w="711"/>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6" w:hRule="atLeast"/>
              </w:trPr>
              <w:tc>
                <w:tcPr>
                  <w:tcW w:w="1637"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海拔高度（m）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cs="Times New Roman"/>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距电视塔台水平距离（m）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p>
              </w:tc>
              <w:tc>
                <w:tcPr>
                  <w:tcW w:w="8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10</w:t>
                  </w:r>
                </w:p>
              </w:tc>
              <w:tc>
                <w:tcPr>
                  <w:tcW w:w="8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20</w:t>
                  </w:r>
                </w:p>
              </w:tc>
              <w:tc>
                <w:tcPr>
                  <w:tcW w:w="7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30</w:t>
                  </w:r>
                </w:p>
              </w:tc>
              <w:tc>
                <w:tcPr>
                  <w:tcW w:w="7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40</w:t>
                  </w:r>
                </w:p>
              </w:tc>
              <w:tc>
                <w:tcPr>
                  <w:tcW w:w="7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50</w:t>
                  </w:r>
                </w:p>
              </w:tc>
              <w:tc>
                <w:tcPr>
                  <w:tcW w:w="7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60</w:t>
                  </w:r>
                </w:p>
              </w:tc>
              <w:tc>
                <w:tcPr>
                  <w:tcW w:w="7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70</w:t>
                  </w:r>
                </w:p>
              </w:tc>
              <w:tc>
                <w:tcPr>
                  <w:tcW w:w="7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80</w:t>
                  </w:r>
                </w:p>
              </w:tc>
              <w:tc>
                <w:tcPr>
                  <w:tcW w:w="7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90</w:t>
                  </w:r>
                </w:p>
              </w:tc>
              <w:tc>
                <w:tcPr>
                  <w:tcW w:w="7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100</w:t>
                  </w:r>
                </w:p>
              </w:tc>
              <w:tc>
                <w:tcPr>
                  <w:tcW w:w="7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150</w:t>
                  </w:r>
                </w:p>
              </w:tc>
              <w:tc>
                <w:tcPr>
                  <w:tcW w:w="7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200</w:t>
                  </w:r>
                </w:p>
              </w:tc>
              <w:tc>
                <w:tcPr>
                  <w:tcW w:w="7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250</w:t>
                  </w:r>
                </w:p>
              </w:tc>
              <w:tc>
                <w:tcPr>
                  <w:tcW w:w="73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300</w:t>
                  </w:r>
                </w:p>
              </w:tc>
              <w:tc>
                <w:tcPr>
                  <w:tcW w:w="72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350</w:t>
                  </w:r>
                </w:p>
              </w:tc>
              <w:tc>
                <w:tcPr>
                  <w:tcW w:w="7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400</w:t>
                  </w:r>
                </w:p>
              </w:tc>
              <w:tc>
                <w:tcPr>
                  <w:tcW w:w="7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450</w:t>
                  </w:r>
                </w:p>
              </w:tc>
              <w:tc>
                <w:tcPr>
                  <w:tcW w:w="7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210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0.0061</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0.0019</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0.0011</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0.0015</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0.0022</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0.0019</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0.0016</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0.0012</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0.0012</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0.0011</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0.0016</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0.0013</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0.0012</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270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0.0061</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0.0019</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0.0036</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0.0028</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0.0022</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0.0027</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0.0027</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0.0026</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0.0029</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0.0024</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0.0039</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290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0.0061</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0.0061</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0.0047</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0.0036</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0.0036</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0.0031</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0.0043</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0.0035</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0.004</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0.0033</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0.0039</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310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0.0061</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0.0063</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0.0117</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0.0071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0.0054</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0.0052</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0.0059</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0.0074</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0.0051</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0.0058</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0.0083</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0.0072</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0.0066</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0.0055</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320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0.0063</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0.0105</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0.0123</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0.0065</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0.0075</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0.0065</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0.0082</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0.0088</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0.0064</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0.0095</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0.0086</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0.0082</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330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0.0065</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0.0121</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0.0155</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0.0131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0.0096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0.0103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0.0096</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0.0084</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0.0069</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0.0106</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0.0098</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0.0138</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0.0113</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0.0127</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0.0114</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0.009</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340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0.0244</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0.0276</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0.023</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0.0151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0.0148</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0.0167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0.0129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0.0108</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0.0225</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0.0183</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0.0171</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0.0214</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0.0164</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0.0187</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0.0176</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0.0144</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0.0114</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350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0.0316</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0.0364</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0.0288</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0.0252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0.0242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0.0342</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0.0297</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0.0241</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0.0403</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0.0302</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0.0324</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0.0254</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0.0216</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0.0195</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0.0154</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355</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0.0511</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0.0442</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0.0427</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0.0289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0.0351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0.035</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0.0488</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0.0376</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0.0433</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0.0547</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0.0511</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0.0461</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0.0365</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0.0318</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0.0253</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0.0195</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0.0202</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360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0.0623</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0.0722</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0.0693</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0.0753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0.0507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0.0965</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0.0824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0.069</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0.068</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0.0683</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0.0695</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0.0622</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0.0455</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0.0345</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0.0333</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0.025</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0.0233</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365</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0.1979</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0.2244</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0.255</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0.1822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0.2152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0.2587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0.2119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0.1626</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0.142</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0.1783</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0.106</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0.0712</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0.0498</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0.0536</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0.0395</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0.0327</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0.0281</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370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0.1328</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3.8037</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1.7369</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1.0582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0.678</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0.5302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0.4007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0.3625</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0.2869</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0.2455</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0.1503</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0.0962</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0.077</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0.0578</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0.0462</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0.0412</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0.0325</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375</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0.3655</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0.445</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0.5484</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0.3796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0.3919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0.5683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0.4182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0.3203</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0.3109</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0.3062</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0.1473</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0.107</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0.0819</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0.0788</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0.0579</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0.0446</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0.0351</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380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0.2732</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4.0872</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1.9557</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1.3453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0.8619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0.7572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0.5883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0.4509</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0.3566</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0.3261</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0.2209</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0.1635</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0.1046</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0.0728</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0.0535</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0.0446</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0.0325</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385</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1.496</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1.6767</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1.2256</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0.8798</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0.7216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0.8787</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0.6466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0.5714</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0.5063</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0.5276</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0.2645</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0.1534</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0.0928</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0.0835</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0.0614</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0.0472</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0.0373</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390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56.1623</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14.0644</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6.318</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3.5582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2.2788</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1.6179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1.2001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0.925</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0.7312</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0.6058</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0.2926</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0.1735</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0.1167</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0.0813</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0.0597</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0.0472</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0.0375</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395</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1.403</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1.5111</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1.1942</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0.7378</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0.5784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0.3206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0.5048</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0.4462</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0.4205</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0.4394</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0.2065</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0.1404</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0.0834</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0.0751</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0.0552</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0.0424</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0.0335</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400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0.2636</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0.355</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0.2801</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0.3831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0.2465</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0.2205</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0.2459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0.1943</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0.1562</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0.1507</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0.1359</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0.1177</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0.081</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0.058</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0.0455</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0.0398</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0.0287</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405</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0.1773</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0.1124</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0.1598</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0.0932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0.1041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0.1399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0.1304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0.0999</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0.1367</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0.126</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0.0737</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0.0609</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0.0566</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0.0427</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0.0328</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0.0275</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410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0.116</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0.0687</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0.0555</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0.0602</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0.0606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0.0539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0.0969</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0.0793</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0.0643</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0.0579</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0.043</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0.0448</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0.0374</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0.0385</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0.0328</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0.0259</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415</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0.0915</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0.0466</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0.0504</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0.0324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0.0594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0.0396</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0.0531</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0.0414</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0.0328</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0.0641</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0.0518</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0.0356</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0.0276</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0.0318</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0.0247</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0.0213</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0.0215</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1637" w:type="dxa"/>
                  <w:textDirection w:val="lrTb"/>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left"/>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420</w:t>
                  </w:r>
                </w:p>
              </w:tc>
              <w:tc>
                <w:tcPr>
                  <w:tcW w:w="825"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0.0369</w:t>
                  </w:r>
                </w:p>
              </w:tc>
              <w:tc>
                <w:tcPr>
                  <w:tcW w:w="84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0.0462</w:t>
                  </w:r>
                </w:p>
              </w:tc>
              <w:tc>
                <w:tcPr>
                  <w:tcW w:w="713"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0.0311</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0.0289</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0.0213</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0.0394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0.0314</w:t>
                  </w:r>
                </w:p>
              </w:tc>
              <w:tc>
                <w:tcPr>
                  <w:tcW w:w="79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0.0246</w:t>
                  </w:r>
                </w:p>
              </w:tc>
              <w:tc>
                <w:tcPr>
                  <w:tcW w:w="78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0.0318</w:t>
                  </w:r>
                </w:p>
              </w:tc>
              <w:tc>
                <w:tcPr>
                  <w:tcW w:w="77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0.0267</w:t>
                  </w:r>
                </w:p>
              </w:tc>
              <w:tc>
                <w:tcPr>
                  <w:tcW w:w="767"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0.0311</w:t>
                  </w:r>
                </w:p>
              </w:tc>
              <w:tc>
                <w:tcPr>
                  <w:tcW w:w="75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0.0328</w:t>
                  </w:r>
                </w:p>
              </w:tc>
              <w:tc>
                <w:tcPr>
                  <w:tcW w:w="749"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0.0229</w:t>
                  </w:r>
                </w:p>
              </w:tc>
              <w:tc>
                <w:tcPr>
                  <w:tcW w:w="734"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0.0203</w:t>
                  </w:r>
                </w:p>
              </w:tc>
              <w:tc>
                <w:tcPr>
                  <w:tcW w:w="726"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0.0245</w:t>
                  </w:r>
                </w:p>
              </w:tc>
              <w:tc>
                <w:tcPr>
                  <w:tcW w:w="712" w:type="dxa"/>
                  <w:textDirection w:val="lrTb"/>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i w:val="0"/>
                      <w:color w:val="auto"/>
                      <w:kern w:val="0"/>
                      <w:sz w:val="18"/>
                      <w:szCs w:val="18"/>
                      <w:u w:val="none"/>
                      <w:lang w:val="en-US" w:eastAsia="zh-CN" w:bidi="ar"/>
                    </w:rPr>
                    <w:t>0.019</w:t>
                  </w:r>
                </w:p>
              </w:tc>
              <w:tc>
                <w:tcPr>
                  <w:tcW w:w="711"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0.0169</w:t>
                  </w:r>
                </w:p>
              </w:tc>
              <w:tc>
                <w:tcPr>
                  <w:tcW w:w="722" w:type="dxa"/>
                  <w:textDirection w:val="lrTb"/>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lang w:val="en-US" w:eastAsia="zh-CN"/>
                    </w:rPr>
                  </w:pPr>
                  <w:r>
                    <w:rPr>
                      <w:rFonts w:hint="default" w:ascii="Times New Roman" w:hAnsi="Times New Roman" w:eastAsia="宋体" w:cs="Times New Roman"/>
                      <w:i w:val="0"/>
                      <w:color w:val="auto"/>
                      <w:kern w:val="0"/>
                      <w:sz w:val="18"/>
                      <w:szCs w:val="18"/>
                      <w:u w:val="none"/>
                      <w:lang w:val="en-US" w:eastAsia="zh-CN" w:bidi="ar"/>
                    </w:rPr>
                    <w:t>0.0174</w:t>
                  </w:r>
                </w:p>
              </w:tc>
            </w:tr>
            <w:bookmarkEnd w:id="125"/>
            <w:bookmarkEnd w:id="126"/>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default" w:ascii="Times New Roman" w:hAnsi="Times New Roman" w:eastAsia="黑体" w:cs="Times New Roman"/>
                <w:b/>
                <w:bCs/>
                <w:color w:val="auto"/>
                <w:sz w:val="13"/>
                <w:szCs w:val="13"/>
              </w:rPr>
            </w:pPr>
          </w:p>
        </w:tc>
      </w:tr>
    </w:tbl>
    <w:p>
      <w:pPr>
        <w:outlineLvl w:val="0"/>
        <w:rPr>
          <w:rFonts w:hint="default" w:ascii="Times New Roman" w:hAnsi="Times New Roman" w:eastAsia="黑体" w:cs="Times New Roman"/>
          <w:b/>
          <w:bCs/>
          <w:color w:val="auto"/>
          <w:sz w:val="32"/>
          <w:szCs w:val="32"/>
        </w:rPr>
        <w:sectPr>
          <w:pgSz w:w="16838" w:h="11906" w:orient="landscape"/>
          <w:pgMar w:top="720" w:right="720" w:bottom="720" w:left="720" w:header="851" w:footer="992" w:gutter="0"/>
          <w:pgNumType w:fmt="numberInDash"/>
          <w:cols w:space="720" w:num="1"/>
          <w:docGrid w:type="linesAndChars" w:linePitch="312" w:charSpace="0"/>
        </w:sectPr>
      </w:pP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60" w:lineRule="auto"/>
              <w:ind w:firstLine="420"/>
              <w:outlineLvl w:val="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从预测结果可知：</w:t>
            </w:r>
          </w:p>
          <w:p>
            <w:pPr>
              <w:numPr>
                <w:ilvl w:val="0"/>
                <w:numId w:val="0"/>
              </w:numPr>
              <w:spacing w:line="480" w:lineRule="auto"/>
              <w:outlineLvl w:val="0"/>
              <w:rPr>
                <w:rFonts w:hint="default" w:ascii="Times New Roman" w:hAnsi="Times New Roman" w:cs="Times New Roman" w:eastAsiaTheme="minorEastAsia"/>
                <w:color w:val="auto"/>
                <w:sz w:val="24"/>
                <w:u w:val="single"/>
              </w:rPr>
            </w:pPr>
            <w:r>
              <w:rPr>
                <w:rFonts w:hint="default"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u w:val="single"/>
                <w:lang w:val="en-US" w:eastAsia="zh-CN"/>
              </w:rPr>
              <w:t>1、发射塔</w:t>
            </w:r>
            <w:r>
              <w:rPr>
                <w:rFonts w:hint="eastAsia" w:cs="Times New Roman" w:eastAsiaTheme="minorEastAsia"/>
                <w:color w:val="auto"/>
                <w:sz w:val="24"/>
                <w:u w:val="single"/>
                <w:lang w:val="en-US" w:eastAsia="zh-CN"/>
              </w:rPr>
              <w:t>塔下</w:t>
            </w:r>
            <w:r>
              <w:rPr>
                <w:rFonts w:hint="default" w:ascii="Times New Roman" w:hAnsi="Times New Roman" w:cs="Times New Roman" w:eastAsiaTheme="minorEastAsia"/>
                <w:color w:val="auto"/>
                <w:sz w:val="24"/>
                <w:u w:val="single"/>
                <w:lang w:val="en-US" w:eastAsia="zh-CN"/>
              </w:rPr>
              <w:t>工作人员所能到达的区域范围内，</w:t>
            </w:r>
            <w:r>
              <w:rPr>
                <w:rFonts w:hint="eastAsia" w:cs="Times New Roman" w:eastAsiaTheme="minorEastAsia"/>
                <w:color w:val="auto"/>
                <w:sz w:val="24"/>
                <w:u w:val="single"/>
                <w:lang w:val="en-US" w:eastAsia="zh-CN"/>
              </w:rPr>
              <w:t>海拔高度340m，</w:t>
            </w:r>
            <w:r>
              <w:rPr>
                <w:rFonts w:hint="default" w:ascii="Times New Roman" w:hAnsi="Times New Roman" w:cs="Times New Roman" w:eastAsiaTheme="minorEastAsia"/>
                <w:color w:val="auto"/>
                <w:sz w:val="24"/>
                <w:u w:val="single"/>
                <w:lang w:val="en-US" w:eastAsia="zh-CN"/>
              </w:rPr>
              <w:t>距发射塔水平距离</w:t>
            </w:r>
            <w:r>
              <w:rPr>
                <w:rFonts w:hint="eastAsia" w:cs="Times New Roman" w:eastAsiaTheme="minorEastAsia"/>
                <w:color w:val="auto"/>
                <w:sz w:val="24"/>
                <w:u w:val="single"/>
                <w:lang w:val="en-US" w:eastAsia="zh-CN"/>
              </w:rPr>
              <w:t>20m处，</w:t>
            </w:r>
            <w:r>
              <w:rPr>
                <w:rFonts w:hint="default" w:ascii="Times New Roman" w:hAnsi="Times New Roman" w:cs="Times New Roman" w:eastAsiaTheme="minorEastAsia"/>
                <w:color w:val="auto"/>
                <w:sz w:val="24"/>
                <w:u w:val="single"/>
              </w:rPr>
              <w:t>复合电场强度的贡献</w:t>
            </w:r>
            <w:r>
              <w:rPr>
                <w:rFonts w:hint="eastAsia" w:cs="Times New Roman" w:eastAsiaTheme="minorEastAsia"/>
                <w:color w:val="auto"/>
                <w:sz w:val="24"/>
                <w:u w:val="single"/>
                <w:lang w:eastAsia="zh-CN"/>
              </w:rPr>
              <w:t>值</w:t>
            </w:r>
            <w:r>
              <w:rPr>
                <w:rFonts w:hint="default" w:ascii="Times New Roman" w:hAnsi="Times New Roman" w:cs="Times New Roman" w:eastAsiaTheme="minorEastAsia"/>
                <w:color w:val="auto"/>
                <w:sz w:val="24"/>
                <w:u w:val="single"/>
                <w:lang w:val="en-US" w:eastAsia="zh-CN"/>
              </w:rPr>
              <w:t>最高3.23</w:t>
            </w:r>
            <w:r>
              <w:rPr>
                <w:rFonts w:hint="default" w:ascii="Times New Roman" w:hAnsi="Times New Roman" w:cs="Times New Roman" w:eastAsiaTheme="minorEastAsia"/>
                <w:color w:val="auto"/>
                <w:sz w:val="24"/>
                <w:u w:val="single"/>
              </w:rPr>
              <w:t>V/m，复合功率密度的贡献</w:t>
            </w:r>
            <w:r>
              <w:rPr>
                <w:rFonts w:hint="eastAsia" w:cs="Times New Roman" w:eastAsiaTheme="minorEastAsia"/>
                <w:color w:val="auto"/>
                <w:sz w:val="24"/>
                <w:u w:val="single"/>
                <w:lang w:eastAsia="zh-CN"/>
              </w:rPr>
              <w:t>值</w:t>
            </w:r>
            <w:r>
              <w:rPr>
                <w:rFonts w:hint="default" w:ascii="Times New Roman" w:hAnsi="Times New Roman" w:cs="Times New Roman" w:eastAsiaTheme="minorEastAsia"/>
                <w:color w:val="auto"/>
                <w:sz w:val="24"/>
                <w:u w:val="single"/>
                <w:lang w:val="en-US" w:eastAsia="zh-CN"/>
              </w:rPr>
              <w:t>最高0.0276</w:t>
            </w:r>
            <w:r>
              <w:rPr>
                <w:rFonts w:hint="default" w:ascii="Times New Roman" w:hAnsi="Times New Roman" w:cs="Times New Roman" w:eastAsiaTheme="minorEastAsia"/>
                <w:color w:val="auto"/>
                <w:sz w:val="24"/>
                <w:u w:val="single"/>
              </w:rPr>
              <w:t>W/m</w:t>
            </w:r>
            <w:r>
              <w:rPr>
                <w:rFonts w:hint="default" w:ascii="Times New Roman" w:hAnsi="Times New Roman" w:cs="Times New Roman" w:eastAsiaTheme="minorEastAsia"/>
                <w:color w:val="auto"/>
                <w:sz w:val="24"/>
                <w:u w:val="single"/>
                <w:vertAlign w:val="superscript"/>
              </w:rPr>
              <w:t>2</w:t>
            </w:r>
            <w:r>
              <w:rPr>
                <w:rFonts w:hint="default" w:ascii="Times New Roman" w:hAnsi="Times New Roman" w:cs="Times New Roman" w:eastAsiaTheme="minorEastAsia"/>
                <w:color w:val="auto"/>
                <w:sz w:val="24"/>
                <w:u w:val="single"/>
              </w:rPr>
              <w:t>。</w:t>
            </w:r>
            <w:r>
              <w:rPr>
                <w:rFonts w:hint="default" w:ascii="Times New Roman" w:hAnsi="Times New Roman" w:cs="Times New Roman"/>
                <w:color w:val="auto"/>
                <w:sz w:val="24"/>
                <w:u w:val="single"/>
                <w:lang w:eastAsia="zh-CN"/>
              </w:rPr>
              <w:t>满足电磁环境</w:t>
            </w:r>
            <w:r>
              <w:rPr>
                <w:rFonts w:hint="default" w:ascii="Times New Roman" w:hAnsi="Times New Roman" w:cs="Times New Roman"/>
                <w:color w:val="auto"/>
                <w:sz w:val="24"/>
                <w:u w:val="single"/>
              </w:rPr>
              <w:t>《电磁环境控制限值》（GB8702-2014）</w:t>
            </w:r>
            <w:r>
              <w:rPr>
                <w:rFonts w:hint="default" w:ascii="Times New Roman" w:hAnsi="Times New Roman" w:cs="Times New Roman"/>
                <w:color w:val="auto"/>
                <w:sz w:val="24"/>
                <w:u w:val="single"/>
                <w:lang w:eastAsia="zh-CN"/>
              </w:rPr>
              <w:t>要求。满足电磁环境</w:t>
            </w:r>
            <w:r>
              <w:rPr>
                <w:rFonts w:hint="default" w:ascii="Times New Roman" w:hAnsi="Times New Roman" w:cs="Times New Roman"/>
                <w:color w:val="auto"/>
                <w:sz w:val="24"/>
                <w:u w:val="single"/>
              </w:rPr>
              <w:t>《电磁环境控制限值》（GB8702-2014）</w:t>
            </w:r>
            <w:r>
              <w:rPr>
                <w:rFonts w:hint="default" w:ascii="Times New Roman" w:hAnsi="Times New Roman" w:cs="Times New Roman"/>
                <w:color w:val="auto"/>
                <w:sz w:val="24"/>
                <w:u w:val="single"/>
                <w:lang w:eastAsia="zh-CN"/>
              </w:rPr>
              <w:t>要求。</w:t>
            </w:r>
          </w:p>
          <w:p>
            <w:pPr>
              <w:numPr>
                <w:ilvl w:val="0"/>
                <w:numId w:val="0"/>
              </w:numPr>
              <w:spacing w:line="480" w:lineRule="auto"/>
              <w:outlineLvl w:val="0"/>
              <w:rPr>
                <w:rFonts w:hint="default" w:ascii="Times New Roman" w:hAnsi="Times New Roman" w:cs="Times New Roman" w:eastAsiaTheme="minorEastAsia"/>
                <w:color w:val="auto"/>
                <w:sz w:val="24"/>
                <w:u w:val="single"/>
              </w:rPr>
            </w:pPr>
            <w:r>
              <w:rPr>
                <w:rFonts w:hint="default" w:ascii="Times New Roman" w:hAnsi="Times New Roman" w:cs="Times New Roman" w:eastAsiaTheme="minorEastAsia"/>
                <w:color w:val="auto"/>
                <w:sz w:val="24"/>
                <w:u w:val="single"/>
                <w:lang w:val="en-US" w:eastAsia="zh-CN"/>
              </w:rPr>
              <w:t xml:space="preserve">    2、发射塔周围南侧</w:t>
            </w:r>
            <w:r>
              <w:rPr>
                <w:rFonts w:hint="eastAsia" w:cs="Times New Roman" w:eastAsiaTheme="minorEastAsia"/>
                <w:color w:val="auto"/>
                <w:sz w:val="24"/>
                <w:u w:val="single"/>
                <w:lang w:val="en-US" w:eastAsia="zh-CN"/>
              </w:rPr>
              <w:t>为山地丛林，海拔位置高于发射塔塔址。</w:t>
            </w:r>
            <w:r>
              <w:rPr>
                <w:rFonts w:hint="default" w:ascii="Times New Roman" w:hAnsi="Times New Roman" w:cs="Times New Roman" w:eastAsiaTheme="minorEastAsia"/>
                <w:color w:val="auto"/>
                <w:sz w:val="24"/>
                <w:u w:val="single"/>
                <w:lang w:val="en-US" w:eastAsia="zh-CN"/>
              </w:rPr>
              <w:t>公众人员所能到达的</w:t>
            </w:r>
            <w:r>
              <w:rPr>
                <w:rFonts w:hint="eastAsia" w:cs="Times New Roman" w:eastAsiaTheme="minorEastAsia"/>
                <w:color w:val="auto"/>
                <w:sz w:val="24"/>
                <w:u w:val="single"/>
                <w:lang w:val="en-US" w:eastAsia="zh-CN"/>
              </w:rPr>
              <w:t>盘山公路，海</w:t>
            </w:r>
            <w:r>
              <w:rPr>
                <w:rFonts w:hint="default" w:ascii="Times New Roman" w:hAnsi="Times New Roman" w:cs="Times New Roman" w:eastAsiaTheme="minorEastAsia"/>
                <w:color w:val="auto"/>
                <w:sz w:val="24"/>
                <w:u w:val="single"/>
                <w:lang w:val="en-US" w:eastAsia="zh-CN"/>
              </w:rPr>
              <w:t>拔高度350m，距发射塔水平距离40m</w:t>
            </w:r>
            <w:r>
              <w:rPr>
                <w:rFonts w:hint="eastAsia" w:cs="Times New Roman" w:eastAsiaTheme="minorEastAsia"/>
                <w:color w:val="auto"/>
                <w:sz w:val="24"/>
                <w:u w:val="single"/>
                <w:lang w:val="en-US" w:eastAsia="zh-CN"/>
              </w:rPr>
              <w:t>处</w:t>
            </w:r>
            <w:r>
              <w:rPr>
                <w:rFonts w:hint="default" w:ascii="Times New Roman" w:hAnsi="Times New Roman" w:cs="Times New Roman" w:eastAsiaTheme="minorEastAsia"/>
                <w:color w:val="auto"/>
                <w:sz w:val="24"/>
                <w:u w:val="single"/>
                <w:lang w:val="en-US" w:eastAsia="zh-CN"/>
              </w:rPr>
              <w:t>，</w:t>
            </w:r>
            <w:r>
              <w:rPr>
                <w:rFonts w:hint="default" w:ascii="Times New Roman" w:hAnsi="Times New Roman" w:cs="Times New Roman" w:eastAsiaTheme="minorEastAsia"/>
                <w:color w:val="auto"/>
                <w:sz w:val="24"/>
                <w:u w:val="single"/>
              </w:rPr>
              <w:t>复合电场强度的贡献</w:t>
            </w:r>
            <w:r>
              <w:rPr>
                <w:rFonts w:hint="eastAsia" w:cs="Times New Roman" w:eastAsiaTheme="minorEastAsia"/>
                <w:color w:val="auto"/>
                <w:sz w:val="24"/>
                <w:u w:val="single"/>
                <w:lang w:eastAsia="zh-CN"/>
              </w:rPr>
              <w:t>值</w:t>
            </w:r>
            <w:r>
              <w:rPr>
                <w:rFonts w:hint="default" w:ascii="Times New Roman" w:hAnsi="Times New Roman" w:cs="Times New Roman" w:eastAsiaTheme="minorEastAsia"/>
                <w:color w:val="auto"/>
                <w:sz w:val="24"/>
                <w:u w:val="single"/>
                <w:lang w:val="en-US" w:eastAsia="zh-CN"/>
              </w:rPr>
              <w:t>最高</w:t>
            </w:r>
            <w:r>
              <w:rPr>
                <w:rFonts w:hint="default" w:ascii="Times New Roman" w:hAnsi="Times New Roman" w:cs="Times New Roman" w:eastAsiaTheme="minorEastAsia"/>
                <w:color w:val="auto"/>
                <w:sz w:val="24"/>
                <w:u w:val="single"/>
              </w:rPr>
              <w:t>值</w:t>
            </w:r>
            <w:r>
              <w:rPr>
                <w:rFonts w:hint="eastAsia" w:cs="Times New Roman" w:eastAsiaTheme="minorEastAsia"/>
                <w:color w:val="auto"/>
                <w:sz w:val="24"/>
                <w:u w:val="single"/>
                <w:lang w:val="en-US" w:eastAsia="zh-CN"/>
              </w:rPr>
              <w:t>3.31</w:t>
            </w:r>
            <w:r>
              <w:rPr>
                <w:rFonts w:hint="default" w:ascii="Times New Roman" w:hAnsi="Times New Roman" w:cs="Times New Roman" w:eastAsiaTheme="minorEastAsia"/>
                <w:color w:val="auto"/>
                <w:sz w:val="24"/>
                <w:u w:val="single"/>
              </w:rPr>
              <w:t>V/m，复合功率密度的贡献</w:t>
            </w:r>
            <w:r>
              <w:rPr>
                <w:rFonts w:hint="default" w:ascii="Times New Roman" w:hAnsi="Times New Roman" w:cs="Times New Roman" w:eastAsiaTheme="minorEastAsia"/>
                <w:color w:val="auto"/>
                <w:sz w:val="24"/>
                <w:u w:val="single"/>
                <w:lang w:val="en-US" w:eastAsia="zh-CN"/>
              </w:rPr>
              <w:t>最高</w:t>
            </w:r>
            <w:r>
              <w:rPr>
                <w:rFonts w:hint="default" w:ascii="Times New Roman" w:hAnsi="Times New Roman" w:cs="Times New Roman" w:eastAsiaTheme="minorEastAsia"/>
                <w:color w:val="auto"/>
                <w:sz w:val="24"/>
                <w:u w:val="single"/>
              </w:rPr>
              <w:t>值</w:t>
            </w:r>
            <w:r>
              <w:rPr>
                <w:rFonts w:hint="default" w:ascii="Times New Roman" w:hAnsi="Times New Roman" w:cs="Times New Roman" w:eastAsiaTheme="minorEastAsia"/>
                <w:color w:val="auto"/>
                <w:sz w:val="24"/>
                <w:u w:val="single"/>
                <w:lang w:val="en-US" w:eastAsia="zh-CN"/>
              </w:rPr>
              <w:t>0.02</w:t>
            </w:r>
            <w:r>
              <w:rPr>
                <w:rFonts w:hint="eastAsia" w:cs="Times New Roman" w:eastAsiaTheme="minorEastAsia"/>
                <w:color w:val="auto"/>
                <w:sz w:val="24"/>
                <w:u w:val="single"/>
                <w:lang w:val="en-US" w:eastAsia="zh-CN"/>
              </w:rPr>
              <w:t>52</w:t>
            </w:r>
            <w:r>
              <w:rPr>
                <w:rFonts w:hint="default" w:ascii="Times New Roman" w:hAnsi="Times New Roman" w:cs="Times New Roman" w:eastAsiaTheme="minorEastAsia"/>
                <w:color w:val="auto"/>
                <w:sz w:val="24"/>
                <w:u w:val="single"/>
              </w:rPr>
              <w:t>W/m</w:t>
            </w:r>
            <w:r>
              <w:rPr>
                <w:rFonts w:hint="default" w:ascii="Times New Roman" w:hAnsi="Times New Roman" w:cs="Times New Roman" w:eastAsiaTheme="minorEastAsia"/>
                <w:color w:val="auto"/>
                <w:sz w:val="24"/>
                <w:u w:val="single"/>
                <w:vertAlign w:val="superscript"/>
              </w:rPr>
              <w:t>2</w:t>
            </w:r>
            <w:r>
              <w:rPr>
                <w:rFonts w:hint="default" w:ascii="Times New Roman" w:hAnsi="Times New Roman" w:cs="Times New Roman" w:eastAsiaTheme="minorEastAsia"/>
                <w:color w:val="auto"/>
                <w:sz w:val="24"/>
                <w:u w:val="single"/>
              </w:rPr>
              <w:t>。</w:t>
            </w:r>
            <w:r>
              <w:rPr>
                <w:rFonts w:hint="default" w:ascii="Times New Roman" w:hAnsi="Times New Roman" w:cs="Times New Roman"/>
                <w:color w:val="auto"/>
                <w:sz w:val="24"/>
                <w:u w:val="single"/>
                <w:lang w:eastAsia="zh-CN"/>
              </w:rPr>
              <w:t>满足电磁环境</w:t>
            </w:r>
            <w:r>
              <w:rPr>
                <w:rFonts w:hint="default" w:ascii="Times New Roman" w:hAnsi="Times New Roman" w:cs="Times New Roman"/>
                <w:color w:val="auto"/>
                <w:sz w:val="24"/>
                <w:u w:val="single"/>
              </w:rPr>
              <w:t>《电磁环境控制限值》（GB8702-2014）</w:t>
            </w:r>
            <w:r>
              <w:rPr>
                <w:rFonts w:hint="default" w:ascii="Times New Roman" w:hAnsi="Times New Roman" w:cs="Times New Roman"/>
                <w:color w:val="auto"/>
                <w:sz w:val="24"/>
                <w:u w:val="single"/>
                <w:lang w:eastAsia="zh-CN"/>
              </w:rPr>
              <w:t>要求。</w:t>
            </w:r>
          </w:p>
          <w:p>
            <w:pPr>
              <w:spacing w:line="360" w:lineRule="auto"/>
              <w:ind w:firstLine="420"/>
              <w:outlineLvl w:val="0"/>
              <w:rPr>
                <w:rFonts w:hint="default" w:ascii="Times New Roman" w:hAnsi="Times New Roman" w:cs="Times New Roman" w:eastAsiaTheme="minorEastAsia"/>
                <w:color w:val="auto"/>
                <w:sz w:val="24"/>
                <w:u w:val="single"/>
                <w:lang w:val="en-US" w:eastAsia="zh-CN"/>
              </w:rPr>
            </w:pPr>
            <w:r>
              <w:rPr>
                <w:rFonts w:hint="default" w:ascii="Times New Roman" w:hAnsi="Times New Roman" w:cs="Times New Roman" w:eastAsiaTheme="minorEastAsia"/>
                <w:color w:val="auto"/>
                <w:sz w:val="24"/>
                <w:u w:val="single"/>
                <w:lang w:val="en-US" w:eastAsia="zh-CN"/>
              </w:rPr>
              <w:t>3、发射塔周围东侧</w:t>
            </w:r>
            <w:r>
              <w:rPr>
                <w:rFonts w:hint="eastAsia" w:cs="Times New Roman" w:eastAsiaTheme="minorEastAsia"/>
                <w:color w:val="auto"/>
                <w:sz w:val="24"/>
                <w:u w:val="single"/>
                <w:lang w:val="en-US" w:eastAsia="zh-CN"/>
              </w:rPr>
              <w:t>为山地丛林，是发射天线的主射方向，朝向县城，比发射塔塔址海拔位置低。评价</w:t>
            </w:r>
            <w:r>
              <w:rPr>
                <w:rFonts w:hint="default" w:ascii="Times New Roman" w:hAnsi="Times New Roman" w:cs="Times New Roman" w:eastAsiaTheme="minorEastAsia"/>
                <w:color w:val="auto"/>
                <w:sz w:val="24"/>
                <w:u w:val="single"/>
                <w:lang w:val="en-US" w:eastAsia="zh-CN"/>
              </w:rPr>
              <w:t>范围内无公众人员所能到达的区域。</w:t>
            </w:r>
          </w:p>
          <w:p>
            <w:pPr>
              <w:numPr>
                <w:ilvl w:val="0"/>
                <w:numId w:val="0"/>
              </w:numPr>
              <w:spacing w:line="480" w:lineRule="auto"/>
              <w:outlineLvl w:val="0"/>
              <w:rPr>
                <w:rFonts w:hint="default" w:ascii="Times New Roman" w:hAnsi="Times New Roman" w:cs="Times New Roman" w:eastAsiaTheme="minorEastAsia"/>
                <w:color w:val="auto"/>
                <w:sz w:val="24"/>
                <w:u w:val="single"/>
                <w:lang w:val="en-US" w:eastAsia="zh-CN"/>
              </w:rPr>
            </w:pPr>
            <w:r>
              <w:rPr>
                <w:rFonts w:hint="eastAsia" w:cs="Times New Roman" w:eastAsiaTheme="minorEastAsia"/>
                <w:color w:val="auto"/>
                <w:sz w:val="24"/>
                <w:u w:val="single"/>
                <w:lang w:val="en-US" w:eastAsia="zh-CN"/>
              </w:rPr>
              <w:t xml:space="preserve">    </w:t>
            </w:r>
            <w:r>
              <w:rPr>
                <w:rFonts w:hint="default" w:ascii="Times New Roman" w:hAnsi="Times New Roman" w:cs="Times New Roman" w:eastAsiaTheme="minorEastAsia"/>
                <w:color w:val="auto"/>
                <w:sz w:val="24"/>
                <w:u w:val="single"/>
                <w:lang w:val="en-US" w:eastAsia="zh-CN"/>
              </w:rPr>
              <w:t>4、发射塔周围北侧为山地丛林，</w:t>
            </w:r>
            <w:r>
              <w:rPr>
                <w:rFonts w:hint="eastAsia" w:cs="Times New Roman" w:eastAsiaTheme="minorEastAsia"/>
                <w:color w:val="auto"/>
                <w:sz w:val="24"/>
                <w:u w:val="single"/>
                <w:lang w:val="en-US" w:eastAsia="zh-CN"/>
              </w:rPr>
              <w:t>海拔位置低于发射塔塔址。</w:t>
            </w:r>
            <w:r>
              <w:rPr>
                <w:rFonts w:hint="default" w:ascii="Times New Roman" w:hAnsi="Times New Roman" w:cs="Times New Roman" w:eastAsiaTheme="minorEastAsia"/>
                <w:color w:val="auto"/>
                <w:sz w:val="24"/>
                <w:u w:val="single"/>
                <w:lang w:val="en-US" w:eastAsia="zh-CN"/>
              </w:rPr>
              <w:t>公众人员所能到达的</w:t>
            </w:r>
            <w:r>
              <w:rPr>
                <w:rFonts w:hint="eastAsia" w:cs="Times New Roman" w:eastAsiaTheme="minorEastAsia"/>
                <w:color w:val="auto"/>
                <w:sz w:val="24"/>
                <w:u w:val="single"/>
                <w:lang w:val="en-US" w:eastAsia="zh-CN"/>
              </w:rPr>
              <w:t>盘山公路，</w:t>
            </w:r>
            <w:r>
              <w:rPr>
                <w:rFonts w:hint="default" w:ascii="Times New Roman" w:hAnsi="Times New Roman" w:cs="Times New Roman" w:eastAsiaTheme="minorEastAsia"/>
                <w:color w:val="auto"/>
                <w:sz w:val="24"/>
                <w:u w:val="single"/>
                <w:lang w:val="en-US" w:eastAsia="zh-CN"/>
              </w:rPr>
              <w:t>海拔高度：310m，距发射塔水平距离</w:t>
            </w:r>
            <w:r>
              <w:rPr>
                <w:rFonts w:hint="eastAsia" w:cs="Times New Roman" w:eastAsiaTheme="minorEastAsia"/>
                <w:color w:val="auto"/>
                <w:sz w:val="24"/>
                <w:u w:val="single"/>
                <w:lang w:val="en-US" w:eastAsia="zh-CN"/>
              </w:rPr>
              <w:t>300</w:t>
            </w:r>
            <w:r>
              <w:rPr>
                <w:rFonts w:hint="default" w:ascii="Times New Roman" w:hAnsi="Times New Roman" w:cs="Times New Roman" w:eastAsiaTheme="minorEastAsia"/>
                <w:color w:val="auto"/>
                <w:sz w:val="24"/>
                <w:u w:val="single"/>
                <w:lang w:val="en-US" w:eastAsia="zh-CN"/>
              </w:rPr>
              <w:t xml:space="preserve"> m范围</w:t>
            </w:r>
            <w:r>
              <w:rPr>
                <w:rFonts w:hint="eastAsia" w:cs="Times New Roman" w:eastAsiaTheme="minorEastAsia"/>
                <w:color w:val="auto"/>
                <w:sz w:val="24"/>
                <w:u w:val="single"/>
                <w:lang w:val="en-US" w:eastAsia="zh-CN"/>
              </w:rPr>
              <w:t>处</w:t>
            </w:r>
            <w:r>
              <w:rPr>
                <w:rFonts w:hint="default" w:ascii="Times New Roman" w:hAnsi="Times New Roman" w:cs="Times New Roman" w:eastAsiaTheme="minorEastAsia"/>
                <w:color w:val="auto"/>
                <w:sz w:val="24"/>
                <w:u w:val="single"/>
                <w:lang w:val="en-US" w:eastAsia="zh-CN"/>
              </w:rPr>
              <w:t>，</w:t>
            </w:r>
            <w:r>
              <w:rPr>
                <w:rFonts w:hint="default" w:ascii="Times New Roman" w:hAnsi="Times New Roman" w:cs="Times New Roman" w:eastAsiaTheme="minorEastAsia"/>
                <w:color w:val="auto"/>
                <w:sz w:val="24"/>
                <w:u w:val="single"/>
              </w:rPr>
              <w:t>复合电场强度的贡献</w:t>
            </w:r>
            <w:r>
              <w:rPr>
                <w:rFonts w:hint="eastAsia" w:cs="Times New Roman" w:eastAsiaTheme="minorEastAsia"/>
                <w:color w:val="auto"/>
                <w:sz w:val="24"/>
                <w:u w:val="single"/>
                <w:lang w:eastAsia="zh-CN"/>
              </w:rPr>
              <w:t>值</w:t>
            </w:r>
            <w:r>
              <w:rPr>
                <w:rFonts w:hint="default" w:ascii="Times New Roman" w:hAnsi="Times New Roman" w:cs="Times New Roman" w:eastAsiaTheme="minorEastAsia"/>
                <w:color w:val="auto"/>
                <w:sz w:val="24"/>
                <w:u w:val="single"/>
                <w:lang w:val="en-US" w:eastAsia="zh-CN"/>
              </w:rPr>
              <w:t>最高1.</w:t>
            </w:r>
            <w:r>
              <w:rPr>
                <w:rFonts w:hint="eastAsia" w:cs="Times New Roman" w:eastAsiaTheme="minorEastAsia"/>
                <w:color w:val="auto"/>
                <w:sz w:val="24"/>
                <w:u w:val="single"/>
                <w:lang w:val="en-US" w:eastAsia="zh-CN"/>
              </w:rPr>
              <w:t>77</w:t>
            </w:r>
            <w:r>
              <w:rPr>
                <w:rFonts w:hint="default" w:ascii="Times New Roman" w:hAnsi="Times New Roman" w:cs="Times New Roman" w:eastAsiaTheme="minorEastAsia"/>
                <w:color w:val="auto"/>
                <w:sz w:val="24"/>
                <w:u w:val="single"/>
              </w:rPr>
              <w:t>V/m，复合功率密度的贡献</w:t>
            </w:r>
            <w:r>
              <w:rPr>
                <w:rFonts w:hint="eastAsia" w:cs="Times New Roman" w:eastAsiaTheme="minorEastAsia"/>
                <w:color w:val="auto"/>
                <w:sz w:val="24"/>
                <w:u w:val="single"/>
                <w:lang w:eastAsia="zh-CN"/>
              </w:rPr>
              <w:t>值</w:t>
            </w:r>
            <w:r>
              <w:rPr>
                <w:rFonts w:hint="default" w:ascii="Times New Roman" w:hAnsi="Times New Roman" w:cs="Times New Roman" w:eastAsiaTheme="minorEastAsia"/>
                <w:color w:val="auto"/>
                <w:sz w:val="24"/>
                <w:u w:val="single"/>
                <w:lang w:val="en-US" w:eastAsia="zh-CN"/>
              </w:rPr>
              <w:t>最高</w:t>
            </w:r>
            <w:r>
              <w:rPr>
                <w:rFonts w:hint="default" w:ascii="Times New Roman" w:hAnsi="Times New Roman" w:cs="Times New Roman" w:eastAsiaTheme="minorEastAsia"/>
                <w:color w:val="auto"/>
                <w:sz w:val="24"/>
                <w:u w:val="single"/>
              </w:rPr>
              <w:t>值</w:t>
            </w:r>
            <w:r>
              <w:rPr>
                <w:rFonts w:hint="default" w:ascii="Times New Roman" w:hAnsi="Times New Roman" w:cs="Times New Roman" w:eastAsiaTheme="minorEastAsia"/>
                <w:color w:val="auto"/>
                <w:sz w:val="24"/>
                <w:u w:val="single"/>
                <w:lang w:val="en-US" w:eastAsia="zh-CN"/>
              </w:rPr>
              <w:t>0.008</w:t>
            </w:r>
            <w:r>
              <w:rPr>
                <w:rFonts w:hint="eastAsia" w:cs="Times New Roman" w:eastAsiaTheme="minorEastAsia"/>
                <w:color w:val="auto"/>
                <w:sz w:val="24"/>
                <w:u w:val="single"/>
                <w:lang w:val="en-US" w:eastAsia="zh-CN"/>
              </w:rPr>
              <w:t>3</w:t>
            </w:r>
            <w:r>
              <w:rPr>
                <w:rFonts w:hint="default" w:ascii="Times New Roman" w:hAnsi="Times New Roman" w:cs="Times New Roman" w:eastAsiaTheme="minorEastAsia"/>
                <w:color w:val="auto"/>
                <w:sz w:val="24"/>
                <w:u w:val="single"/>
              </w:rPr>
              <w:t>W/m</w:t>
            </w:r>
            <w:r>
              <w:rPr>
                <w:rFonts w:hint="default" w:ascii="Times New Roman" w:hAnsi="Times New Roman" w:cs="Times New Roman" w:eastAsiaTheme="minorEastAsia"/>
                <w:color w:val="auto"/>
                <w:sz w:val="24"/>
                <w:u w:val="single"/>
                <w:vertAlign w:val="superscript"/>
              </w:rPr>
              <w:t>2</w:t>
            </w:r>
            <w:r>
              <w:rPr>
                <w:rFonts w:hint="default" w:ascii="Times New Roman" w:hAnsi="Times New Roman" w:cs="Times New Roman" w:eastAsiaTheme="minorEastAsia"/>
                <w:color w:val="auto"/>
                <w:sz w:val="24"/>
                <w:u w:val="single"/>
              </w:rPr>
              <w:t>。</w:t>
            </w:r>
            <w:r>
              <w:rPr>
                <w:rFonts w:hint="default" w:ascii="Times New Roman" w:hAnsi="Times New Roman" w:cs="Times New Roman"/>
                <w:color w:val="auto"/>
                <w:sz w:val="24"/>
                <w:u w:val="single"/>
                <w:lang w:eastAsia="zh-CN"/>
              </w:rPr>
              <w:t>满足电磁环境</w:t>
            </w:r>
            <w:r>
              <w:rPr>
                <w:rFonts w:hint="default" w:ascii="Times New Roman" w:hAnsi="Times New Roman" w:cs="Times New Roman"/>
                <w:color w:val="auto"/>
                <w:sz w:val="24"/>
                <w:u w:val="single"/>
              </w:rPr>
              <w:t>《电磁环境控制限值》（GB8702-2014）</w:t>
            </w:r>
            <w:r>
              <w:rPr>
                <w:rFonts w:hint="default" w:ascii="Times New Roman" w:hAnsi="Times New Roman" w:cs="Times New Roman"/>
                <w:color w:val="auto"/>
                <w:sz w:val="24"/>
                <w:u w:val="single"/>
                <w:lang w:eastAsia="zh-CN"/>
              </w:rPr>
              <w:t>要求。</w:t>
            </w:r>
          </w:p>
          <w:p>
            <w:pPr>
              <w:numPr>
                <w:ilvl w:val="0"/>
                <w:numId w:val="0"/>
              </w:numPr>
              <w:spacing w:line="480" w:lineRule="auto"/>
              <w:ind w:firstLine="480"/>
              <w:outlineLvl w:val="0"/>
              <w:rPr>
                <w:rFonts w:hint="default" w:ascii="Times New Roman" w:hAnsi="Times New Roman" w:cs="Times New Roman"/>
                <w:color w:val="auto"/>
                <w:sz w:val="24"/>
                <w:u w:val="single"/>
                <w:lang w:eastAsia="zh-CN"/>
              </w:rPr>
            </w:pPr>
            <w:r>
              <w:rPr>
                <w:rFonts w:hint="default" w:ascii="Times New Roman" w:hAnsi="Times New Roman" w:cs="Times New Roman"/>
                <w:color w:val="auto"/>
                <w:sz w:val="24"/>
                <w:u w:val="single"/>
                <w:lang w:val="en-US" w:eastAsia="zh-CN"/>
              </w:rPr>
              <w:t>5、</w:t>
            </w:r>
            <w:r>
              <w:rPr>
                <w:rFonts w:hint="default" w:ascii="Times New Roman" w:hAnsi="Times New Roman" w:cs="Times New Roman" w:eastAsiaTheme="minorEastAsia"/>
                <w:color w:val="auto"/>
                <w:sz w:val="24"/>
                <w:u w:val="single"/>
                <w:lang w:val="en-US" w:eastAsia="zh-CN"/>
              </w:rPr>
              <w:t>发射塔周围西侧</w:t>
            </w:r>
            <w:r>
              <w:rPr>
                <w:rFonts w:hint="eastAsia" w:cs="Times New Roman" w:eastAsiaTheme="minorEastAsia"/>
                <w:color w:val="auto"/>
                <w:sz w:val="24"/>
                <w:u w:val="single"/>
                <w:lang w:val="en-US" w:eastAsia="zh-CN"/>
              </w:rPr>
              <w:t>为山地丛林，海拔位置高于发射塔塔址。</w:t>
            </w:r>
            <w:r>
              <w:rPr>
                <w:rFonts w:hint="default" w:ascii="Times New Roman" w:hAnsi="Times New Roman" w:cs="Times New Roman" w:eastAsiaTheme="minorEastAsia"/>
                <w:color w:val="auto"/>
                <w:sz w:val="24"/>
                <w:u w:val="single"/>
                <w:lang w:val="en-US" w:eastAsia="zh-CN"/>
              </w:rPr>
              <w:t>公众人员所能到达的</w:t>
            </w:r>
            <w:r>
              <w:rPr>
                <w:rFonts w:hint="eastAsia" w:cs="Times New Roman" w:eastAsiaTheme="minorEastAsia"/>
                <w:color w:val="auto"/>
                <w:sz w:val="24"/>
                <w:u w:val="single"/>
                <w:lang w:val="en-US" w:eastAsia="zh-CN"/>
              </w:rPr>
              <w:t>盘山公路，海</w:t>
            </w:r>
            <w:r>
              <w:rPr>
                <w:rFonts w:hint="default" w:ascii="Times New Roman" w:hAnsi="Times New Roman" w:cs="Times New Roman" w:eastAsiaTheme="minorEastAsia"/>
                <w:color w:val="auto"/>
                <w:sz w:val="24"/>
                <w:u w:val="single"/>
                <w:lang w:val="en-US" w:eastAsia="zh-CN"/>
              </w:rPr>
              <w:t>拔高度</w:t>
            </w:r>
            <w:r>
              <w:rPr>
                <w:rFonts w:hint="eastAsia" w:cs="Times New Roman" w:eastAsiaTheme="minorEastAsia"/>
                <w:color w:val="auto"/>
                <w:sz w:val="24"/>
                <w:u w:val="single"/>
                <w:lang w:val="en-US" w:eastAsia="zh-CN"/>
              </w:rPr>
              <w:t>39</w:t>
            </w:r>
            <w:r>
              <w:rPr>
                <w:rFonts w:hint="default" w:ascii="Times New Roman" w:hAnsi="Times New Roman" w:cs="Times New Roman" w:eastAsiaTheme="minorEastAsia"/>
                <w:color w:val="auto"/>
                <w:sz w:val="24"/>
                <w:u w:val="single"/>
                <w:lang w:val="en-US" w:eastAsia="zh-CN"/>
              </w:rPr>
              <w:t>0m，距发射塔水平距离4</w:t>
            </w:r>
            <w:r>
              <w:rPr>
                <w:rFonts w:hint="eastAsia" w:cs="Times New Roman" w:eastAsiaTheme="minorEastAsia"/>
                <w:color w:val="auto"/>
                <w:sz w:val="24"/>
                <w:u w:val="single"/>
                <w:lang w:val="en-US" w:eastAsia="zh-CN"/>
              </w:rPr>
              <w:t>0</w:t>
            </w:r>
            <w:r>
              <w:rPr>
                <w:rFonts w:hint="default" w:ascii="Times New Roman" w:hAnsi="Times New Roman" w:cs="Times New Roman" w:eastAsiaTheme="minorEastAsia"/>
                <w:color w:val="auto"/>
                <w:sz w:val="24"/>
                <w:u w:val="single"/>
                <w:lang w:val="en-US" w:eastAsia="zh-CN"/>
              </w:rPr>
              <w:t>0m</w:t>
            </w:r>
            <w:r>
              <w:rPr>
                <w:rFonts w:hint="eastAsia" w:cs="Times New Roman" w:eastAsiaTheme="minorEastAsia"/>
                <w:color w:val="auto"/>
                <w:sz w:val="24"/>
                <w:u w:val="single"/>
                <w:lang w:val="en-US" w:eastAsia="zh-CN"/>
              </w:rPr>
              <w:t>处</w:t>
            </w:r>
            <w:r>
              <w:rPr>
                <w:rFonts w:hint="default" w:ascii="Times New Roman" w:hAnsi="Times New Roman" w:cs="Times New Roman" w:eastAsiaTheme="minorEastAsia"/>
                <w:color w:val="auto"/>
                <w:sz w:val="24"/>
                <w:u w:val="single"/>
                <w:lang w:val="en-US" w:eastAsia="zh-CN"/>
              </w:rPr>
              <w:t>，</w:t>
            </w:r>
            <w:r>
              <w:rPr>
                <w:rFonts w:hint="default" w:ascii="Times New Roman" w:hAnsi="Times New Roman" w:cs="Times New Roman" w:eastAsiaTheme="minorEastAsia"/>
                <w:color w:val="auto"/>
                <w:sz w:val="24"/>
                <w:u w:val="single"/>
              </w:rPr>
              <w:t>复合电场强度的贡献</w:t>
            </w:r>
            <w:r>
              <w:rPr>
                <w:rFonts w:hint="eastAsia" w:cs="Times New Roman" w:eastAsiaTheme="minorEastAsia"/>
                <w:color w:val="auto"/>
                <w:sz w:val="24"/>
                <w:u w:val="single"/>
                <w:lang w:eastAsia="zh-CN"/>
              </w:rPr>
              <w:t>值</w:t>
            </w:r>
            <w:r>
              <w:rPr>
                <w:rFonts w:hint="default" w:ascii="Times New Roman" w:hAnsi="Times New Roman" w:cs="Times New Roman" w:eastAsiaTheme="minorEastAsia"/>
                <w:color w:val="auto"/>
                <w:sz w:val="24"/>
                <w:u w:val="single"/>
                <w:lang w:val="en-US" w:eastAsia="zh-CN"/>
              </w:rPr>
              <w:t>最高</w:t>
            </w:r>
            <w:r>
              <w:rPr>
                <w:rFonts w:hint="default" w:ascii="Times New Roman" w:hAnsi="Times New Roman" w:cs="Times New Roman" w:eastAsiaTheme="minorEastAsia"/>
                <w:color w:val="auto"/>
                <w:sz w:val="24"/>
                <w:u w:val="single"/>
              </w:rPr>
              <w:t>值</w:t>
            </w:r>
            <w:r>
              <w:rPr>
                <w:rFonts w:hint="eastAsia" w:cs="Times New Roman" w:eastAsiaTheme="minorEastAsia"/>
                <w:color w:val="auto"/>
                <w:sz w:val="24"/>
                <w:u w:val="single"/>
                <w:lang w:val="en-US" w:eastAsia="zh-CN"/>
              </w:rPr>
              <w:t>4.22</w:t>
            </w:r>
            <w:r>
              <w:rPr>
                <w:rFonts w:hint="default" w:ascii="Times New Roman" w:hAnsi="Times New Roman" w:cs="Times New Roman" w:eastAsiaTheme="minorEastAsia"/>
                <w:color w:val="auto"/>
                <w:sz w:val="24"/>
                <w:u w:val="single"/>
              </w:rPr>
              <w:t>V/m，复合功率密度的贡献</w:t>
            </w:r>
            <w:r>
              <w:rPr>
                <w:rFonts w:hint="default" w:ascii="Times New Roman" w:hAnsi="Times New Roman" w:cs="Times New Roman" w:eastAsiaTheme="minorEastAsia"/>
                <w:color w:val="auto"/>
                <w:sz w:val="24"/>
                <w:u w:val="single"/>
                <w:lang w:val="en-US" w:eastAsia="zh-CN"/>
              </w:rPr>
              <w:t>最高</w:t>
            </w:r>
            <w:r>
              <w:rPr>
                <w:rFonts w:hint="default" w:ascii="Times New Roman" w:hAnsi="Times New Roman" w:cs="Times New Roman" w:eastAsiaTheme="minorEastAsia"/>
                <w:color w:val="auto"/>
                <w:sz w:val="24"/>
                <w:u w:val="single"/>
              </w:rPr>
              <w:t>值</w:t>
            </w:r>
            <w:r>
              <w:rPr>
                <w:rFonts w:hint="default" w:ascii="Times New Roman" w:hAnsi="Times New Roman" w:cs="Times New Roman" w:eastAsiaTheme="minorEastAsia"/>
                <w:color w:val="auto"/>
                <w:sz w:val="24"/>
                <w:u w:val="single"/>
                <w:lang w:val="en-US" w:eastAsia="zh-CN"/>
              </w:rPr>
              <w:t>0.0</w:t>
            </w:r>
            <w:r>
              <w:rPr>
                <w:rFonts w:hint="eastAsia" w:cs="Times New Roman" w:eastAsiaTheme="minorEastAsia"/>
                <w:color w:val="auto"/>
                <w:sz w:val="24"/>
                <w:u w:val="single"/>
                <w:lang w:val="en-US" w:eastAsia="zh-CN"/>
              </w:rPr>
              <w:t>472</w:t>
            </w:r>
            <w:r>
              <w:rPr>
                <w:rFonts w:hint="default" w:ascii="Times New Roman" w:hAnsi="Times New Roman" w:cs="Times New Roman" w:eastAsiaTheme="minorEastAsia"/>
                <w:color w:val="auto"/>
                <w:sz w:val="24"/>
                <w:u w:val="single"/>
              </w:rPr>
              <w:t>W/m</w:t>
            </w:r>
            <w:r>
              <w:rPr>
                <w:rFonts w:hint="default" w:ascii="Times New Roman" w:hAnsi="Times New Roman" w:cs="Times New Roman" w:eastAsiaTheme="minorEastAsia"/>
                <w:color w:val="auto"/>
                <w:sz w:val="24"/>
                <w:u w:val="single"/>
                <w:vertAlign w:val="superscript"/>
              </w:rPr>
              <w:t>2</w:t>
            </w:r>
            <w:r>
              <w:rPr>
                <w:rFonts w:hint="default" w:ascii="Times New Roman" w:hAnsi="Times New Roman" w:cs="Times New Roman" w:eastAsiaTheme="minorEastAsia"/>
                <w:color w:val="auto"/>
                <w:sz w:val="24"/>
                <w:u w:val="single"/>
              </w:rPr>
              <w:t>。</w:t>
            </w:r>
            <w:r>
              <w:rPr>
                <w:rFonts w:hint="default" w:ascii="Times New Roman" w:hAnsi="Times New Roman" w:cs="Times New Roman"/>
                <w:color w:val="auto"/>
                <w:sz w:val="24"/>
                <w:u w:val="single"/>
                <w:lang w:eastAsia="zh-CN"/>
              </w:rPr>
              <w:t>满足电磁环境</w:t>
            </w:r>
            <w:r>
              <w:rPr>
                <w:rFonts w:hint="default" w:ascii="Times New Roman" w:hAnsi="Times New Roman" w:cs="Times New Roman"/>
                <w:color w:val="auto"/>
                <w:sz w:val="24"/>
                <w:u w:val="single"/>
              </w:rPr>
              <w:t>《电磁环境控制限值》（GB8702-2014）</w:t>
            </w:r>
            <w:r>
              <w:rPr>
                <w:rFonts w:hint="default" w:ascii="Times New Roman" w:hAnsi="Times New Roman" w:cs="Times New Roman"/>
                <w:color w:val="auto"/>
                <w:sz w:val="24"/>
                <w:u w:val="single"/>
                <w:lang w:eastAsia="zh-CN"/>
              </w:rPr>
              <w:t>要求。</w:t>
            </w:r>
          </w:p>
          <w:p>
            <w:pPr>
              <w:numPr>
                <w:ilvl w:val="0"/>
                <w:numId w:val="0"/>
              </w:numPr>
              <w:spacing w:line="480" w:lineRule="auto"/>
              <w:ind w:firstLine="480"/>
              <w:outlineLvl w:val="0"/>
              <w:rPr>
                <w:rFonts w:hint="default" w:ascii="Times New Roman" w:hAnsi="Times New Roman" w:cs="Times New Roman"/>
                <w:color w:val="auto"/>
                <w:sz w:val="24"/>
              </w:rPr>
            </w:pPr>
            <w:r>
              <w:rPr>
                <w:rFonts w:hint="eastAsia" w:cs="Times New Roman"/>
                <w:color w:val="auto"/>
                <w:sz w:val="24"/>
                <w:u w:val="single"/>
                <w:lang w:val="en-US" w:eastAsia="zh-CN"/>
              </w:rPr>
              <w:t>6、最近居民为距发射塔水平距离约600m处的景区售票处，不在评价范围内，按照预测值变化规律，其</w:t>
            </w:r>
            <w:r>
              <w:rPr>
                <w:rFonts w:hint="default" w:ascii="Times New Roman" w:hAnsi="Times New Roman" w:cs="Times New Roman" w:eastAsiaTheme="minorEastAsia"/>
                <w:color w:val="auto"/>
                <w:sz w:val="24"/>
                <w:u w:val="single"/>
              </w:rPr>
              <w:t>复合电场强度的贡献</w:t>
            </w:r>
            <w:r>
              <w:rPr>
                <w:rFonts w:hint="eastAsia" w:cs="Times New Roman" w:eastAsiaTheme="minorEastAsia"/>
                <w:color w:val="auto"/>
                <w:sz w:val="24"/>
                <w:u w:val="single"/>
                <w:lang w:val="en-US" w:eastAsia="zh-CN"/>
              </w:rPr>
              <w:t>值低于0.73</w:t>
            </w:r>
            <w:r>
              <w:rPr>
                <w:rFonts w:hint="default" w:ascii="Times New Roman" w:hAnsi="Times New Roman" w:cs="Times New Roman" w:eastAsiaTheme="minorEastAsia"/>
                <w:color w:val="auto"/>
                <w:sz w:val="24"/>
                <w:u w:val="single"/>
              </w:rPr>
              <w:t>V/m，复合功率密度的贡献</w:t>
            </w:r>
            <w:r>
              <w:rPr>
                <w:rFonts w:hint="eastAsia" w:cs="Times New Roman" w:eastAsiaTheme="minorEastAsia"/>
                <w:color w:val="auto"/>
                <w:sz w:val="24"/>
                <w:u w:val="single"/>
                <w:lang w:val="en-US" w:eastAsia="zh-CN"/>
              </w:rPr>
              <w:t>值低于</w:t>
            </w:r>
            <w:r>
              <w:rPr>
                <w:rFonts w:hint="default" w:ascii="Times New Roman" w:hAnsi="Times New Roman" w:cs="Times New Roman" w:eastAsiaTheme="minorEastAsia"/>
                <w:color w:val="auto"/>
                <w:sz w:val="24"/>
                <w:u w:val="single"/>
                <w:lang w:val="en-US" w:eastAsia="zh-CN"/>
              </w:rPr>
              <w:t>0.0</w:t>
            </w:r>
            <w:r>
              <w:rPr>
                <w:rFonts w:hint="eastAsia" w:cs="Times New Roman" w:eastAsiaTheme="minorEastAsia"/>
                <w:color w:val="auto"/>
                <w:sz w:val="24"/>
                <w:u w:val="single"/>
                <w:lang w:val="en-US" w:eastAsia="zh-CN"/>
              </w:rPr>
              <w:t>014</w:t>
            </w:r>
            <w:r>
              <w:rPr>
                <w:rFonts w:hint="default" w:ascii="Times New Roman" w:hAnsi="Times New Roman" w:cs="Times New Roman" w:eastAsiaTheme="minorEastAsia"/>
                <w:color w:val="auto"/>
                <w:sz w:val="24"/>
                <w:u w:val="single"/>
              </w:rPr>
              <w:t>W/m</w:t>
            </w:r>
            <w:r>
              <w:rPr>
                <w:rFonts w:hint="default" w:ascii="Times New Roman" w:hAnsi="Times New Roman" w:cs="Times New Roman" w:eastAsiaTheme="minorEastAsia"/>
                <w:color w:val="auto"/>
                <w:sz w:val="24"/>
                <w:u w:val="single"/>
                <w:vertAlign w:val="superscript"/>
              </w:rPr>
              <w:t>2</w:t>
            </w:r>
            <w:r>
              <w:rPr>
                <w:rFonts w:hint="eastAsia" w:cs="Times New Roman" w:eastAsiaTheme="minorEastAsia"/>
                <w:color w:val="auto"/>
                <w:sz w:val="24"/>
                <w:u w:val="single"/>
                <w:vertAlign w:val="baseline"/>
                <w:lang w:eastAsia="zh-CN"/>
              </w:rPr>
              <w:t>。远低于</w:t>
            </w:r>
            <w:r>
              <w:rPr>
                <w:rFonts w:hint="default" w:ascii="Times New Roman" w:hAnsi="Times New Roman" w:cs="Times New Roman"/>
                <w:color w:val="auto"/>
                <w:sz w:val="24"/>
                <w:u w:val="single"/>
              </w:rPr>
              <w:t>《电磁环境控制限值》（GB8702-2014）</w:t>
            </w:r>
            <w:r>
              <w:rPr>
                <w:rFonts w:hint="eastAsia" w:cs="Times New Roman"/>
                <w:color w:val="auto"/>
                <w:sz w:val="24"/>
                <w:u w:val="single"/>
                <w:lang w:eastAsia="zh-CN"/>
              </w:rPr>
              <w:t>的限值要求。</w:t>
            </w:r>
          </w:p>
        </w:tc>
      </w:tr>
    </w:tbl>
    <w:p>
      <w:pPr>
        <w:rPr>
          <w:rFonts w:hint="default" w:ascii="Times New Roman" w:hAnsi="Times New Roman" w:cs="Times New Roman"/>
          <w:color w:val="auto"/>
        </w:rPr>
        <w:sectPr>
          <w:pgSz w:w="11906" w:h="16838"/>
          <w:pgMar w:top="1440" w:right="1800" w:bottom="1440" w:left="1800" w:header="851" w:footer="992" w:gutter="0"/>
          <w:pgNumType w:fmt="numberInDash"/>
          <w:cols w:space="720" w:num="1"/>
          <w:docGrid w:type="linesAndChars" w:linePitch="312" w:charSpace="0"/>
        </w:sectPr>
      </w:pPr>
    </w:p>
    <w:p>
      <w:pPr>
        <w:outlineLvl w:val="0"/>
        <w:rPr>
          <w:rFonts w:hint="default" w:ascii="Times New Roman" w:hAnsi="Times New Roman" w:eastAsia="黑体" w:cs="Times New Roman"/>
          <w:b/>
          <w:bCs/>
          <w:color w:val="auto"/>
          <w:sz w:val="32"/>
        </w:rPr>
      </w:pPr>
      <w:bookmarkStart w:id="127" w:name="_Toc421802316"/>
      <w:bookmarkStart w:id="128" w:name="_Toc21077"/>
      <w:r>
        <w:rPr>
          <w:rFonts w:hint="default" w:ascii="Times New Roman" w:hAnsi="Times New Roman" w:eastAsia="黑体" w:cs="Times New Roman"/>
          <w:b/>
          <w:bCs/>
          <w:color w:val="auto"/>
          <w:sz w:val="32"/>
        </w:rPr>
        <w:t>建设项目拟采取的防治措施及预期治理效果</w:t>
      </w:r>
      <w:bookmarkEnd w:id="127"/>
      <w:bookmarkEnd w:id="128"/>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21"/>
        <w:gridCol w:w="1619"/>
        <w:gridCol w:w="1421"/>
        <w:gridCol w:w="142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42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类型</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内容</w:t>
            </w: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时段</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排放源</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污染物名称</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防治措施</w:t>
            </w:r>
          </w:p>
        </w:tc>
        <w:tc>
          <w:tcPr>
            <w:tcW w:w="141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大气污染物</w:t>
            </w: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施工现场、车辆行驶扬尘</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bookmarkStart w:id="129" w:name="OLE_LINK65"/>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lang w:val="en-US" w:eastAsia="zh-CN"/>
              </w:rPr>
              <w:t>x</w:t>
            </w:r>
            <w:r>
              <w:rPr>
                <w:rFonts w:hint="default" w:ascii="Times New Roman" w:hAnsi="Times New Roman" w:cs="Times New Roman"/>
                <w:color w:val="auto"/>
                <w:szCs w:val="21"/>
              </w:rPr>
              <w:t>、CO、THC、TVOC、TSP</w:t>
            </w:r>
            <w:bookmarkEnd w:id="129"/>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采用限速、低速行驶、经常洒水措施。</w:t>
            </w:r>
          </w:p>
        </w:tc>
        <w:tc>
          <w:tcPr>
            <w:tcW w:w="141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减少扬尘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食堂</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油烟</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油烟排风机、</w:t>
            </w:r>
            <w:r>
              <w:rPr>
                <w:rFonts w:hint="default" w:ascii="Times New Roman" w:hAnsi="Times New Roman" w:cs="Times New Roman"/>
                <w:color w:val="auto"/>
                <w:szCs w:val="21"/>
                <w:lang w:eastAsia="zh-CN"/>
              </w:rPr>
              <w:t>油烟净化设施</w:t>
            </w:r>
            <w:r>
              <w:rPr>
                <w:rFonts w:hint="default" w:ascii="Times New Roman" w:hAnsi="Times New Roman" w:cs="Times New Roman"/>
                <w:color w:val="auto"/>
                <w:szCs w:val="21"/>
              </w:rPr>
              <w:t>。</w:t>
            </w:r>
          </w:p>
        </w:tc>
        <w:tc>
          <w:tcPr>
            <w:tcW w:w="141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水污染物</w:t>
            </w: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施工废水</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SS</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在施工场地排水处设置</w:t>
            </w:r>
            <w:r>
              <w:rPr>
                <w:rFonts w:hint="default" w:ascii="Times New Roman" w:hAnsi="Times New Roman" w:cs="Times New Roman" w:eastAsiaTheme="minorEastAsia"/>
                <w:color w:val="auto"/>
                <w:szCs w:val="21"/>
                <w:lang w:eastAsia="zh-CN"/>
              </w:rPr>
              <w:t>临时</w:t>
            </w:r>
            <w:r>
              <w:rPr>
                <w:rFonts w:hint="default" w:ascii="Times New Roman" w:hAnsi="Times New Roman" w:cs="Times New Roman" w:eastAsiaTheme="minorEastAsia"/>
                <w:color w:val="auto"/>
                <w:szCs w:val="21"/>
              </w:rPr>
              <w:t>沉淀池，对场地形成的雨水径流进行简易的沉淀处理</w:t>
            </w:r>
            <w:r>
              <w:rPr>
                <w:rFonts w:hint="default" w:ascii="Times New Roman" w:hAnsi="Times New Roman" w:cs="Times New Roman"/>
                <w:color w:val="auto"/>
                <w:szCs w:val="21"/>
              </w:rPr>
              <w:t>。</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对周围水环境影响小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电视台工作人员生活污水</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COD、BOD</w:t>
            </w:r>
            <w:r>
              <w:rPr>
                <w:rFonts w:hint="default" w:ascii="Times New Roman" w:hAnsi="Times New Roman" w:cs="Times New Roman" w:eastAsiaTheme="minorEastAsia"/>
                <w:color w:val="auto"/>
                <w:szCs w:val="21"/>
                <w:vertAlign w:val="subscript"/>
              </w:rPr>
              <w:t>5</w:t>
            </w:r>
            <w:r>
              <w:rPr>
                <w:rFonts w:hint="default" w:ascii="Times New Roman" w:hAnsi="Times New Roman" w:cs="Times New Roman" w:eastAsiaTheme="minorEastAsia"/>
                <w:color w:val="auto"/>
                <w:szCs w:val="21"/>
              </w:rPr>
              <w:t>、SS、TP、石油类、NH</w:t>
            </w:r>
            <w:r>
              <w:rPr>
                <w:rFonts w:hint="default" w:ascii="Times New Roman" w:hAnsi="Times New Roman" w:cs="Times New Roman" w:eastAsiaTheme="minorEastAsia"/>
                <w:color w:val="auto"/>
                <w:szCs w:val="21"/>
                <w:vertAlign w:val="subscript"/>
              </w:rPr>
              <w:t>3</w:t>
            </w:r>
            <w:r>
              <w:rPr>
                <w:rFonts w:hint="default" w:ascii="Times New Roman" w:hAnsi="Times New Roman" w:cs="Times New Roman" w:eastAsiaTheme="minorEastAsia"/>
                <w:color w:val="auto"/>
                <w:szCs w:val="21"/>
              </w:rPr>
              <w:t>-N</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经</w:t>
            </w:r>
            <w:r>
              <w:rPr>
                <w:rFonts w:hint="default" w:ascii="Times New Roman" w:hAnsi="Times New Roman" w:cs="Times New Roman"/>
                <w:color w:val="auto"/>
                <w:szCs w:val="21"/>
                <w:lang w:eastAsia="zh-CN"/>
              </w:rPr>
              <w:t>污水处理设施</w:t>
            </w:r>
            <w:r>
              <w:rPr>
                <w:rFonts w:hint="default" w:ascii="Times New Roman" w:hAnsi="Times New Roman" w:cs="Times New Roman"/>
                <w:color w:val="auto"/>
                <w:szCs w:val="21"/>
              </w:rPr>
              <w:t>处理后，回用与场地绿化。</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固体废物</w:t>
            </w: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施工工地</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建筑、生活垃圾</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分类回收利用或运往有关部门指定的地点堆放。</w:t>
            </w:r>
          </w:p>
        </w:tc>
        <w:tc>
          <w:tcPr>
            <w:tcW w:w="1417"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全部无害化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生活办公区</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生活垃圾</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一般固废集中收集，环卫处理，危险固废集中后交由当地有资质的单位回收处理。</w:t>
            </w:r>
          </w:p>
        </w:tc>
        <w:tc>
          <w:tcPr>
            <w:tcW w:w="1417"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噪声</w:t>
            </w: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施工工地</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噪声</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加强施工管理，避免各种施工机械同时启动、车辆限速行驶和禁鸣喇叭。</w:t>
            </w:r>
          </w:p>
        </w:tc>
        <w:tc>
          <w:tcPr>
            <w:tcW w:w="141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发射机房、变配电室、空调设备</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噪声</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Cs w:val="21"/>
                <w:lang w:eastAsia="zh-CN"/>
              </w:rPr>
            </w:pPr>
            <w:r>
              <w:rPr>
                <w:rFonts w:hint="eastAsia" w:cs="Times New Roman" w:eastAsiaTheme="minorEastAsia"/>
                <w:color w:val="auto"/>
                <w:szCs w:val="21"/>
                <w:lang w:eastAsia="zh-CN"/>
              </w:rPr>
              <w:t>柴油发电机房设计安装过程中采取基础减震和墙体隔声处理，加装橡胶减震垫。</w:t>
            </w:r>
          </w:p>
        </w:tc>
        <w:tc>
          <w:tcPr>
            <w:tcW w:w="141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对周边声环境影响小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电磁</w:t>
            </w:r>
            <w:r>
              <w:rPr>
                <w:rFonts w:hint="default" w:ascii="Times New Roman" w:hAnsi="Times New Roman" w:cs="Times New Roman"/>
                <w:color w:val="auto"/>
                <w:szCs w:val="21"/>
                <w:lang w:eastAsia="zh-CN"/>
              </w:rPr>
              <w:t>影响</w:t>
            </w:r>
          </w:p>
        </w:tc>
        <w:tc>
          <w:tcPr>
            <w:tcW w:w="12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运营期</w:t>
            </w:r>
          </w:p>
        </w:tc>
        <w:tc>
          <w:tcPr>
            <w:tcW w:w="161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发射塔设备</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电场强度、功率密度</w:t>
            </w:r>
          </w:p>
        </w:tc>
        <w:tc>
          <w:tcPr>
            <w:tcW w:w="1421"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正确、规范使用设备，定期检修，确保人群及其他敏感目标不在辐射超标区域。</w:t>
            </w:r>
          </w:p>
        </w:tc>
        <w:tc>
          <w:tcPr>
            <w:tcW w:w="141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满足标准要求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8519" w:type="dxa"/>
            <w:gridSpan w:val="6"/>
            <w:vAlign w:val="center"/>
          </w:tcPr>
          <w:p>
            <w:pPr>
              <w:spacing w:before="156" w:beforeLines="50" w:after="156" w:afterLines="50" w:line="360" w:lineRule="auto"/>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生态保护措施及预期效果：</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u w:val="single"/>
              </w:rPr>
              <w:t>项目区施工时应根据周围环境状况合理设置临时弃土（渣）位置，</w:t>
            </w:r>
            <w:r>
              <w:rPr>
                <w:rFonts w:hint="eastAsia" w:cs="Times New Roman"/>
                <w:color w:val="auto"/>
                <w:sz w:val="24"/>
                <w:u w:val="single"/>
                <w:lang w:eastAsia="zh-CN"/>
              </w:rPr>
              <w:t>挖埋管线时采取即挖即埋方式施工，尽可能减少挖土堆放时间。</w:t>
            </w:r>
            <w:r>
              <w:rPr>
                <w:rFonts w:hint="default" w:ascii="Times New Roman" w:hAnsi="Times New Roman" w:cs="Times New Roman"/>
                <w:color w:val="auto"/>
                <w:sz w:val="24"/>
                <w:u w:val="single"/>
              </w:rPr>
              <w:t>工程施工结束后及时</w:t>
            </w:r>
            <w:r>
              <w:rPr>
                <w:rFonts w:hint="eastAsia" w:cs="Times New Roman"/>
                <w:color w:val="auto"/>
                <w:sz w:val="24"/>
                <w:u w:val="single"/>
                <w:lang w:eastAsia="zh-CN"/>
              </w:rPr>
              <w:t>处理</w:t>
            </w:r>
            <w:r>
              <w:rPr>
                <w:rFonts w:hint="default" w:ascii="Times New Roman" w:hAnsi="Times New Roman" w:cs="Times New Roman"/>
                <w:color w:val="auto"/>
                <w:sz w:val="24"/>
                <w:u w:val="single"/>
              </w:rPr>
              <w:t>弃土（渣），对施工迹地进行覆土、绿化，防止水土流失和土壤退化。注重项目区绿化，发射塔址区应多种植草皮及乔灌木，以达到绿化美化环境、净化空气、降噪的目的，同时也能营造较好的生态环境。</w:t>
            </w:r>
            <w:r>
              <w:rPr>
                <w:rFonts w:hint="eastAsia" w:ascii="Times New Roman" w:hAnsi="Times New Roman" w:cs="Times New Roman"/>
                <w:color w:val="auto"/>
                <w:sz w:val="24"/>
                <w:u w:val="single"/>
                <w:lang w:eastAsia="zh-CN"/>
              </w:rPr>
              <w:t>在修建发射塔和技术用房时考虑作为云阳山景区配套设施来整体推进，与云阳山的格调相协调，有利于景区品味的提档升级。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8519" w:type="dxa"/>
            <w:gridSpan w:val="6"/>
            <w:vAlign w:val="center"/>
          </w:tcPr>
          <w:p>
            <w:pPr>
              <w:autoSpaceDE w:val="0"/>
              <w:autoSpaceDN w:val="0"/>
              <w:adjustRightInd w:val="0"/>
              <w:spacing w:line="360" w:lineRule="auto"/>
              <w:ind w:left="-105" w:leftChars="-50" w:right="-105" w:rightChars="-50"/>
              <w:rPr>
                <w:rFonts w:hint="default" w:ascii="Times New Roman" w:hAnsi="Times New Roman" w:eastAsia="黑体" w:cs="Times New Roman"/>
                <w:b/>
                <w:bCs/>
                <w:color w:val="auto"/>
                <w:sz w:val="28"/>
                <w:szCs w:val="28"/>
              </w:rPr>
            </w:pPr>
            <w:r>
              <w:rPr>
                <w:rFonts w:hint="default" w:ascii="Times New Roman" w:hAnsi="Times New Roman" w:eastAsia="黑体" w:cs="Times New Roman"/>
                <w:b/>
                <w:bCs/>
                <w:color w:val="auto"/>
                <w:sz w:val="28"/>
                <w:szCs w:val="28"/>
              </w:rPr>
              <w:t>电磁</w:t>
            </w:r>
            <w:r>
              <w:rPr>
                <w:rFonts w:hint="default" w:ascii="Times New Roman" w:hAnsi="Times New Roman" w:eastAsia="黑体" w:cs="Times New Roman"/>
                <w:b/>
                <w:bCs/>
                <w:color w:val="auto"/>
                <w:sz w:val="28"/>
                <w:szCs w:val="28"/>
                <w:lang w:eastAsia="zh-CN"/>
              </w:rPr>
              <w:t>环境</w:t>
            </w:r>
            <w:r>
              <w:rPr>
                <w:rFonts w:hint="default" w:ascii="Times New Roman" w:hAnsi="Times New Roman" w:eastAsia="黑体" w:cs="Times New Roman"/>
                <w:b/>
                <w:bCs/>
                <w:color w:val="auto"/>
                <w:sz w:val="28"/>
                <w:szCs w:val="28"/>
              </w:rPr>
              <w:t xml:space="preserve">污染防治措施： </w:t>
            </w:r>
          </w:p>
          <w:p>
            <w:pPr>
              <w:autoSpaceDE w:val="0"/>
              <w:autoSpaceDN w:val="0"/>
              <w:adjustRightInd w:val="0"/>
              <w:spacing w:line="360" w:lineRule="auto"/>
              <w:ind w:firstLine="240" w:firstLineChars="1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w:t>
            </w:r>
            <w:r>
              <w:rPr>
                <w:rFonts w:hint="default" w:ascii="Times New Roman" w:hAnsi="Times New Roman" w:cs="Times New Roman"/>
                <w:color w:val="auto"/>
                <w:sz w:val="24"/>
              </w:rPr>
              <w:t>《电磁环境控制限值》</w:t>
            </w:r>
            <w:r>
              <w:rPr>
                <w:rFonts w:hint="default" w:ascii="Times New Roman" w:hAnsi="Times New Roman" w:cs="Times New Roman"/>
                <w:color w:val="auto"/>
                <w:sz w:val="24"/>
                <w:lang w:val="zh-CN"/>
              </w:rPr>
              <w:t>（GB8702－2014）要求，建设单位应加强发射塔的运行管理，实现本发射塔运行过程中环境保护的规范化。</w:t>
            </w:r>
          </w:p>
          <w:p>
            <w:pPr>
              <w:autoSpaceDE w:val="0"/>
              <w:autoSpaceDN w:val="0"/>
              <w:adjustRightInd w:val="0"/>
              <w:spacing w:line="360" w:lineRule="auto"/>
              <w:ind w:firstLine="240" w:firstLineChars="100"/>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rPr>
              <w:t>（1）</w:t>
            </w:r>
            <w:r>
              <w:rPr>
                <w:rFonts w:hint="default" w:ascii="Times New Roman" w:hAnsi="Times New Roman" w:cs="Times New Roman"/>
                <w:color w:val="auto"/>
                <w:sz w:val="24"/>
                <w:lang w:val="zh-CN" w:eastAsia="zh-CN"/>
              </w:rPr>
              <w:t>在场界周围悬挂电磁辐射警示标识，禁止非电视台工作人员随意入内。</w:t>
            </w:r>
          </w:p>
          <w:p>
            <w:pPr>
              <w:autoSpaceDE w:val="0"/>
              <w:autoSpaceDN w:val="0"/>
              <w:adjustRightInd w:val="0"/>
              <w:spacing w:line="360" w:lineRule="auto"/>
              <w:ind w:firstLine="240" w:firstLineChars="100"/>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（2）建设单位应设立兼职的环保人员，全面负责该发射塔的环保管理。</w:t>
            </w:r>
          </w:p>
          <w:p>
            <w:pPr>
              <w:autoSpaceDE w:val="0"/>
              <w:autoSpaceDN w:val="0"/>
              <w:adjustRightInd w:val="0"/>
              <w:spacing w:line="360" w:lineRule="auto"/>
              <w:ind w:firstLine="240" w:firstLineChars="100"/>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（3）对环保人员、发射塔维护人员上岗前应进行电磁影响基础、《电磁辐射防护规定》及有关法规等方面的知识培训。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8519" w:type="dxa"/>
            <w:gridSpan w:val="6"/>
            <w:vAlign w:val="center"/>
          </w:tcPr>
          <w:p>
            <w:pPr>
              <w:autoSpaceDE w:val="0"/>
              <w:autoSpaceDN w:val="0"/>
              <w:adjustRightInd w:val="0"/>
              <w:spacing w:line="360" w:lineRule="auto"/>
              <w:ind w:left="-105" w:leftChars="-50" w:right="-105" w:rightChars="-50"/>
              <w:rPr>
                <w:rFonts w:hint="default" w:ascii="Times New Roman" w:hAnsi="Times New Roman" w:eastAsia="黑体" w:cs="Times New Roman"/>
                <w:b/>
                <w:bCs/>
                <w:color w:val="auto"/>
                <w:sz w:val="28"/>
                <w:szCs w:val="28"/>
              </w:rPr>
            </w:pPr>
            <w:r>
              <w:rPr>
                <w:rFonts w:hint="default" w:ascii="Times New Roman" w:hAnsi="Times New Roman" w:eastAsia="黑体" w:cs="Times New Roman"/>
                <w:b/>
                <w:bCs/>
                <w:color w:val="auto"/>
                <w:sz w:val="28"/>
                <w:szCs w:val="28"/>
              </w:rPr>
              <w:t>环保投资</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本项目为新建项目，项目总投资约359.5万元，其中环保投资为15万元，占总投资的4.2%。祥见表</w:t>
            </w:r>
            <w:r>
              <w:rPr>
                <w:rFonts w:hint="default" w:ascii="Times New Roman" w:hAnsi="Times New Roman" w:cs="Times New Roman"/>
                <w:color w:val="auto"/>
                <w:sz w:val="24"/>
                <w:lang w:val="en-US" w:eastAsia="zh-CN"/>
              </w:rPr>
              <w:t>8-1</w:t>
            </w:r>
            <w:r>
              <w:rPr>
                <w:rFonts w:hint="default" w:ascii="Times New Roman" w:hAnsi="Times New Roman" w:cs="Times New Roman"/>
                <w:color w:val="auto"/>
                <w:sz w:val="24"/>
              </w:rPr>
              <w:t>：</w:t>
            </w:r>
          </w:p>
          <w:p>
            <w:pPr>
              <w:spacing w:before="156" w:beforeLines="50" w:after="156" w:afterLines="50" w:line="360" w:lineRule="auto"/>
              <w:ind w:firstLine="480"/>
              <w:jc w:val="left"/>
              <w:rPr>
                <w:rFonts w:hint="default" w:ascii="Times New Roman" w:hAnsi="Times New Roman" w:cs="Times New Roman"/>
                <w:color w:val="auto"/>
                <w:sz w:val="24"/>
              </w:rPr>
            </w:pPr>
          </w:p>
          <w:p>
            <w:pPr>
              <w:spacing w:before="156" w:beforeLines="50" w:after="156" w:afterLines="50" w:line="360" w:lineRule="auto"/>
              <w:ind w:firstLine="480"/>
              <w:jc w:val="left"/>
              <w:rPr>
                <w:rFonts w:hint="default" w:ascii="Times New Roman" w:hAnsi="Times New Roman" w:cs="Times New Roman"/>
                <w:color w:val="auto"/>
                <w:sz w:val="24"/>
              </w:rPr>
            </w:pPr>
          </w:p>
          <w:p>
            <w:pPr>
              <w:spacing w:before="156" w:beforeLines="50" w:after="156" w:afterLines="50" w:line="360" w:lineRule="auto"/>
              <w:ind w:firstLine="48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表8-1  </w:t>
            </w:r>
            <w:r>
              <w:rPr>
                <w:rFonts w:hint="default" w:ascii="Times New Roman" w:hAnsi="Times New Roman" w:eastAsia="黑体" w:cs="Times New Roman"/>
                <w:color w:val="auto"/>
                <w:sz w:val="24"/>
                <w:lang w:eastAsia="zh-CN"/>
              </w:rPr>
              <w:t>工程环保投资表</w:t>
            </w:r>
          </w:p>
          <w:tbl>
            <w:tblPr>
              <w:tblStyle w:val="16"/>
              <w:tblW w:w="841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550"/>
              <w:gridCol w:w="2850"/>
              <w:gridCol w:w="2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550" w:type="dxa"/>
                  <w:tcBorders>
                    <w:tl2br w:val="nil"/>
                    <w:tr2bl w:val="nil"/>
                  </w:tcBorders>
                </w:tcPr>
                <w:p>
                  <w:pPr>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项目</w:t>
                  </w:r>
                </w:p>
              </w:tc>
              <w:tc>
                <w:tcPr>
                  <w:tcW w:w="2850" w:type="dxa"/>
                  <w:tcBorders>
                    <w:tl2br w:val="nil"/>
                    <w:tr2bl w:val="nil"/>
                  </w:tcBorders>
                </w:tcPr>
                <w:p>
                  <w:pPr>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内容</w:t>
                  </w:r>
                </w:p>
              </w:tc>
              <w:tc>
                <w:tcPr>
                  <w:tcW w:w="2241"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投资估算（万元）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550"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污水处理设施</w:t>
                  </w:r>
                </w:p>
              </w:tc>
              <w:tc>
                <w:tcPr>
                  <w:tcW w:w="2850" w:type="dxa"/>
                  <w:tcBorders>
                    <w:tl2br w:val="nil"/>
                    <w:tr2bl w:val="nil"/>
                  </w:tcBorders>
                </w:tcPr>
                <w:p>
                  <w:pPr>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污水处理设施、污水管网</w:t>
                  </w:r>
                </w:p>
              </w:tc>
              <w:tc>
                <w:tcPr>
                  <w:tcW w:w="2241"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550"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噪声治理设施</w:t>
                  </w:r>
                </w:p>
              </w:tc>
              <w:tc>
                <w:tcPr>
                  <w:tcW w:w="2850" w:type="dxa"/>
                  <w:tcBorders>
                    <w:tl2br w:val="nil"/>
                    <w:tr2bl w:val="nil"/>
                  </w:tcBorders>
                </w:tcPr>
                <w:p>
                  <w:pPr>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低噪声柴油机及其消声装置</w:t>
                  </w:r>
                </w:p>
              </w:tc>
              <w:tc>
                <w:tcPr>
                  <w:tcW w:w="2241"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550"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大气治理设施</w:t>
                  </w:r>
                </w:p>
              </w:tc>
              <w:tc>
                <w:tcPr>
                  <w:tcW w:w="2850" w:type="dxa"/>
                  <w:tcBorders>
                    <w:tl2br w:val="nil"/>
                    <w:tr2bl w:val="nil"/>
                  </w:tcBorders>
                </w:tcPr>
                <w:p>
                  <w:pPr>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排气装置、油烟净化装置</w:t>
                  </w:r>
                </w:p>
              </w:tc>
              <w:tc>
                <w:tcPr>
                  <w:tcW w:w="2241"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550"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垃圾收集清运</w:t>
                  </w:r>
                </w:p>
              </w:tc>
              <w:tc>
                <w:tcPr>
                  <w:tcW w:w="2850" w:type="dxa"/>
                  <w:tcBorders>
                    <w:tl2br w:val="nil"/>
                    <w:tr2bl w:val="nil"/>
                  </w:tcBorders>
                </w:tcPr>
                <w:p>
                  <w:pPr>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垃圾桶</w:t>
                  </w:r>
                </w:p>
              </w:tc>
              <w:tc>
                <w:tcPr>
                  <w:tcW w:w="2241"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2550" w:type="dxa"/>
                  <w:tcBorders>
                    <w:tl2br w:val="nil"/>
                    <w:tr2bl w:val="nil"/>
                  </w:tcBorders>
                  <w:textDirection w:val="lrTb"/>
                  <w:vAlign w:val="top"/>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绿化</w:t>
                  </w:r>
                </w:p>
              </w:tc>
              <w:tc>
                <w:tcPr>
                  <w:tcW w:w="2850" w:type="dxa"/>
                  <w:tcBorders>
                    <w:tl2br w:val="nil"/>
                    <w:tr2bl w:val="nil"/>
                  </w:tcBorders>
                  <w:textDirection w:val="lrTb"/>
                  <w:vAlign w:val="top"/>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植树、种草</w:t>
                  </w:r>
                </w:p>
              </w:tc>
              <w:tc>
                <w:tcPr>
                  <w:tcW w:w="2241" w:type="dxa"/>
                  <w:tcBorders>
                    <w:tl2br w:val="nil"/>
                    <w:tr2bl w:val="nil"/>
                  </w:tcBorders>
                  <w:textDirection w:val="lrTb"/>
                  <w:vAlign w:val="top"/>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2550" w:type="dxa"/>
                  <w:tcBorders>
                    <w:tl2br w:val="nil"/>
                    <w:tr2bl w:val="nil"/>
                  </w:tcBorders>
                </w:tcPr>
                <w:p>
                  <w:pPr>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水土保持（护坡、排水沟）</w:t>
                  </w:r>
                </w:p>
              </w:tc>
              <w:tc>
                <w:tcPr>
                  <w:tcW w:w="2850"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2241"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3"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2550" w:type="dxa"/>
                  <w:tcBorders>
                    <w:tl2br w:val="nil"/>
                    <w:tr2bl w:val="nil"/>
                  </w:tcBorders>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总计</w:t>
                  </w:r>
                </w:p>
              </w:tc>
              <w:tc>
                <w:tcPr>
                  <w:tcW w:w="2850"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2241" w:type="dxa"/>
                  <w:tcBorders>
                    <w:tl2br w:val="nil"/>
                    <w:tr2bl w:val="nil"/>
                  </w:tcBorders>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r>
          </w:tbl>
          <w:p>
            <w:pPr>
              <w:spacing w:before="156" w:beforeLines="50" w:after="156" w:afterLines="50" w:line="360" w:lineRule="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六、“三同时”验收工程内容</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本项目“三同时”验收工程内容，详见表8-2。</w:t>
            </w:r>
          </w:p>
          <w:p>
            <w:pPr>
              <w:spacing w:before="156" w:beforeLines="50" w:after="156" w:afterLines="50" w:line="360" w:lineRule="auto"/>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表8-2  “三同时”验收一览表</w:t>
            </w:r>
          </w:p>
          <w:tbl>
            <w:tblPr>
              <w:tblStyle w:val="16"/>
              <w:tblW w:w="828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483"/>
              <w:gridCol w:w="5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11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568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三同时验收内容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10" w:hRule="atLeast"/>
              </w:trPr>
              <w:tc>
                <w:tcPr>
                  <w:tcW w:w="111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5681" w:type="dxa"/>
                  <w:tcBorders>
                    <w:tl2br w:val="nil"/>
                    <w:tr2bl w:val="nil"/>
                  </w:tcBorders>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发射塔围墙外噪声满足《工业企业厂界环境噪声排放标准》（GB12348-2008）</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类标准（即昼间≤60dB(A)，夜间≤50dB(A)）。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11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568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厨房设排油烟风机，并加装</w:t>
                  </w:r>
                  <w:r>
                    <w:rPr>
                      <w:rFonts w:hint="default" w:ascii="Times New Roman" w:hAnsi="Times New Roman" w:cs="Times New Roman"/>
                      <w:color w:val="auto"/>
                      <w:szCs w:val="21"/>
                      <w:lang w:eastAsia="zh-CN"/>
                    </w:rPr>
                    <w:t>油烟净化设施</w:t>
                  </w: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11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4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568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垃圾收集桶等。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11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4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568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污水处理设施</w:t>
                  </w:r>
                  <w:r>
                    <w:rPr>
                      <w:rFonts w:hint="eastAsia" w:cs="Times New Roman"/>
                      <w:color w:val="auto"/>
                      <w:szCs w:val="21"/>
                      <w:lang w:eastAsia="zh-CN"/>
                    </w:rPr>
                    <w:t>，出水质达到《城市污水再生利用</w:t>
                  </w:r>
                  <w:r>
                    <w:rPr>
                      <w:rFonts w:hint="eastAsia" w:cs="Times New Roman"/>
                      <w:color w:val="auto"/>
                      <w:szCs w:val="21"/>
                      <w:lang w:val="en-US" w:eastAsia="zh-CN"/>
                    </w:rPr>
                    <w:t xml:space="preserve"> 城市杂用水（GB/T18920-2002）</w:t>
                  </w:r>
                  <w:r>
                    <w:rPr>
                      <w:rFonts w:hint="eastAsia" w:cs="Times New Roman"/>
                      <w:color w:val="auto"/>
                      <w:szCs w:val="21"/>
                      <w:lang w:eastAsia="zh-CN"/>
                    </w:rPr>
                    <w:t>》标准后，全部回用于电视台址的绿化</w:t>
                  </w: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41" w:hRule="atLeast"/>
              </w:trPr>
              <w:tc>
                <w:tcPr>
                  <w:tcW w:w="111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48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电磁</w:t>
                  </w:r>
                  <w:r>
                    <w:rPr>
                      <w:rFonts w:hint="default" w:ascii="Times New Roman" w:hAnsi="Times New Roman" w:cs="Times New Roman"/>
                      <w:color w:val="auto"/>
                      <w:szCs w:val="21"/>
                      <w:lang w:eastAsia="zh-CN"/>
                    </w:rPr>
                    <w:t>影响</w:t>
                  </w:r>
                </w:p>
              </w:tc>
              <w:tc>
                <w:tcPr>
                  <w:tcW w:w="5681" w:type="dxa"/>
                  <w:tcBorders>
                    <w:tl2br w:val="nil"/>
                    <w:tr2bl w:val="nil"/>
                  </w:tcBorders>
                  <w:vAlign w:val="center"/>
                </w:tcPr>
                <w:p>
                  <w:pPr>
                    <w:jc w:val="left"/>
                    <w:rPr>
                      <w:rFonts w:hint="default" w:ascii="Times New Roman" w:hAnsi="Times New Roman" w:cs="Times New Roman"/>
                      <w:color w:val="auto"/>
                      <w:szCs w:val="21"/>
                    </w:rPr>
                  </w:pPr>
                  <w:r>
                    <w:rPr>
                      <w:rFonts w:hint="eastAsia" w:cs="Times New Roman"/>
                      <w:color w:val="auto"/>
                      <w:sz w:val="24"/>
                      <w:lang w:eastAsia="zh-CN"/>
                    </w:rPr>
                    <w:t>评价范围内人员能到达的区域</w:t>
                  </w:r>
                  <w:r>
                    <w:rPr>
                      <w:rFonts w:hint="default" w:ascii="Times New Roman" w:hAnsi="Times New Roman" w:cs="Times New Roman"/>
                      <w:color w:val="auto"/>
                      <w:sz w:val="24"/>
                      <w:lang w:eastAsia="zh-CN"/>
                    </w:rPr>
                    <w:t>电磁环境满足</w:t>
                  </w:r>
                  <w:r>
                    <w:rPr>
                      <w:rFonts w:hint="default" w:ascii="Times New Roman" w:hAnsi="Times New Roman" w:cs="Times New Roman"/>
                      <w:color w:val="auto"/>
                      <w:sz w:val="24"/>
                    </w:rPr>
                    <w:t>《电磁环境控制限值》（GB8702-2014）</w:t>
                  </w:r>
                  <w:r>
                    <w:rPr>
                      <w:rFonts w:hint="default" w:ascii="Times New Roman" w:hAnsi="Times New Roman" w:cs="Times New Roman"/>
                      <w:color w:val="auto"/>
                      <w:sz w:val="24"/>
                      <w:lang w:eastAsia="zh-CN"/>
                    </w:rPr>
                    <w:t>要求。</w:t>
                  </w:r>
                </w:p>
              </w:tc>
            </w:tr>
          </w:tbl>
          <w:p>
            <w:pPr>
              <w:spacing w:before="156" w:beforeLines="50" w:after="156" w:afterLines="50"/>
              <w:jc w:val="left"/>
              <w:rPr>
                <w:rFonts w:hint="default" w:ascii="Times New Roman" w:hAnsi="Times New Roman" w:cs="Times New Roman"/>
                <w:color w:val="auto"/>
                <w:szCs w:val="21"/>
              </w:rPr>
            </w:pPr>
          </w:p>
        </w:tc>
      </w:tr>
    </w:tbl>
    <w:p>
      <w:pPr>
        <w:outlineLvl w:val="0"/>
        <w:rPr>
          <w:rFonts w:hint="default" w:ascii="Times New Roman" w:hAnsi="Times New Roman" w:eastAsia="黑体" w:cs="Times New Roman"/>
          <w:b/>
          <w:bCs/>
          <w:color w:val="auto"/>
          <w:sz w:val="32"/>
          <w:szCs w:val="32"/>
        </w:rPr>
      </w:pPr>
      <w:bookmarkStart w:id="130" w:name="_Toc421802317"/>
      <w:bookmarkStart w:id="131" w:name="_Toc6897"/>
    </w:p>
    <w:p>
      <w:pPr>
        <w:outlineLvl w:val="0"/>
        <w:rPr>
          <w:rFonts w:hint="default" w:ascii="Times New Roman" w:hAnsi="Times New Roman" w:eastAsia="黑体" w:cs="Times New Roman"/>
          <w:b/>
          <w:bCs/>
          <w:color w:val="auto"/>
          <w:sz w:val="32"/>
          <w:szCs w:val="32"/>
        </w:rPr>
      </w:pPr>
    </w:p>
    <w:bookmarkEnd w:id="130"/>
    <w:bookmarkEnd w:id="131"/>
    <w:p>
      <w:pPr>
        <w:outlineLvl w:val="0"/>
        <w:rPr>
          <w:rFonts w:hint="default" w:ascii="Times New Roman" w:hAnsi="Times New Roman" w:eastAsia="黑体" w:cs="Times New Roman"/>
          <w:b/>
          <w:bCs/>
          <w:color w:val="auto"/>
          <w:sz w:val="32"/>
          <w:szCs w:val="32"/>
        </w:rPr>
      </w:pPr>
      <w:r>
        <w:rPr>
          <w:rFonts w:hint="eastAsia" w:eastAsia="黑体" w:cs="Times New Roman"/>
          <w:b/>
          <w:bCs/>
          <w:color w:val="auto"/>
          <w:sz w:val="32"/>
          <w:szCs w:val="32"/>
          <w:lang w:eastAsia="zh-CN"/>
        </w:rPr>
        <w:t>公示公告</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numPr>
                <w:ilvl w:val="0"/>
                <w:numId w:val="12"/>
              </w:numPr>
              <w:spacing w:before="156" w:beforeLines="50" w:after="156" w:afterLines="50" w:line="360" w:lineRule="auto"/>
              <w:jc w:val="left"/>
              <w:rPr>
                <w:rFonts w:hint="default" w:ascii="Times New Roman" w:hAnsi="Times New Roman" w:cs="Times New Roman"/>
                <w:b/>
                <w:bCs/>
                <w:color w:val="auto"/>
                <w:sz w:val="28"/>
                <w:szCs w:val="28"/>
              </w:rPr>
            </w:pPr>
            <w:r>
              <w:rPr>
                <w:rFonts w:hint="eastAsia" w:cs="Times New Roman"/>
                <w:b/>
                <w:bCs/>
                <w:color w:val="auto"/>
                <w:sz w:val="28"/>
                <w:szCs w:val="28"/>
                <w:lang w:eastAsia="zh-CN"/>
              </w:rPr>
              <w:t>公示公告</w:t>
            </w:r>
            <w:r>
              <w:rPr>
                <w:rFonts w:hint="default" w:ascii="Times New Roman" w:hAnsi="Times New Roman" w:cs="Times New Roman"/>
                <w:b/>
                <w:bCs/>
                <w:color w:val="auto"/>
                <w:sz w:val="28"/>
                <w:szCs w:val="28"/>
                <w:lang w:eastAsia="zh-CN"/>
              </w:rPr>
              <w:t>的目的</w:t>
            </w:r>
          </w:p>
          <w:p>
            <w:pPr>
              <w:spacing w:before="156" w:beforeLines="50" w:after="156" w:afterLines="50" w:line="360" w:lineRule="auto"/>
              <w:ind w:firstLine="480"/>
              <w:jc w:val="left"/>
              <w:rPr>
                <w:rFonts w:hint="default" w:ascii="Times New Roman" w:hAnsi="Times New Roman" w:cs="Times New Roman"/>
                <w:color w:val="auto"/>
                <w:sz w:val="24"/>
                <w:lang w:eastAsia="zh-CN"/>
              </w:rPr>
            </w:pPr>
            <w:r>
              <w:rPr>
                <w:rFonts w:hint="eastAsia" w:cs="Times New Roman"/>
                <w:color w:val="auto"/>
                <w:sz w:val="24"/>
                <w:lang w:eastAsia="zh-CN"/>
              </w:rPr>
              <w:t>公示公告</w:t>
            </w:r>
            <w:r>
              <w:rPr>
                <w:rFonts w:hint="default" w:ascii="Times New Roman" w:hAnsi="Times New Roman" w:cs="Times New Roman"/>
                <w:color w:val="auto"/>
                <w:sz w:val="24"/>
              </w:rPr>
              <w:t>是环境影响评价工作中的一个重要组成部分，是完善科学决策的一种有效途径。</w:t>
            </w:r>
            <w:r>
              <w:rPr>
                <w:rFonts w:hint="eastAsia" w:cs="Times New Roman"/>
                <w:color w:val="auto"/>
                <w:sz w:val="24"/>
                <w:lang w:eastAsia="zh-CN"/>
              </w:rPr>
              <w:t>公示公告</w:t>
            </w:r>
            <w:r>
              <w:rPr>
                <w:rFonts w:hint="default" w:ascii="Times New Roman" w:hAnsi="Times New Roman" w:cs="Times New Roman"/>
                <w:color w:val="auto"/>
                <w:sz w:val="24"/>
              </w:rPr>
              <w:t>的目的是使项目被公众充分认可和了解，充分掌握民意、民心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w:t>
            </w:r>
            <w:r>
              <w:rPr>
                <w:rFonts w:hint="default" w:ascii="Times New Roman" w:hAnsi="Times New Roman" w:cs="Times New Roman"/>
                <w:color w:val="auto"/>
                <w:sz w:val="24"/>
                <w:lang w:eastAsia="zh-CN"/>
              </w:rPr>
              <w:t>也可以</w:t>
            </w:r>
            <w:r>
              <w:rPr>
                <w:rFonts w:hint="default" w:ascii="Times New Roman" w:hAnsi="Times New Roman" w:cs="Times New Roman"/>
                <w:color w:val="auto"/>
                <w:sz w:val="24"/>
              </w:rPr>
              <w:t>进一步了解工程附近居民和单位对本项目建设的看法、意见和建议，通过调查把这些情况如实反应出来，为有关部门提供有效、可靠的依据</w:t>
            </w:r>
            <w:r>
              <w:rPr>
                <w:rFonts w:hint="default" w:ascii="Times New Roman" w:hAnsi="Times New Roman" w:cs="Times New Roman"/>
                <w:color w:val="auto"/>
                <w:sz w:val="24"/>
                <w:lang w:eastAsia="zh-CN"/>
              </w:rPr>
              <w:t>。</w:t>
            </w:r>
          </w:p>
          <w:p>
            <w:pPr>
              <w:numPr>
                <w:ilvl w:val="0"/>
                <w:numId w:val="0"/>
              </w:numPr>
              <w:spacing w:before="156" w:beforeLines="50" w:after="156" w:afterLines="50" w:line="360" w:lineRule="auto"/>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eastAsia="zh-CN"/>
              </w:rPr>
              <w:t>二、</w:t>
            </w:r>
            <w:r>
              <w:rPr>
                <w:rFonts w:hint="eastAsia" w:cs="Times New Roman"/>
                <w:b/>
                <w:bCs/>
                <w:color w:val="auto"/>
                <w:sz w:val="28"/>
                <w:szCs w:val="28"/>
                <w:lang w:eastAsia="zh-CN"/>
              </w:rPr>
              <w:t>公示公告</w:t>
            </w:r>
            <w:r>
              <w:rPr>
                <w:rFonts w:hint="default" w:ascii="Times New Roman" w:hAnsi="Times New Roman" w:cs="Times New Roman"/>
                <w:b/>
                <w:bCs/>
                <w:color w:val="auto"/>
                <w:sz w:val="28"/>
                <w:szCs w:val="28"/>
                <w:lang w:eastAsia="zh-CN"/>
              </w:rPr>
              <w:t>的方式</w:t>
            </w:r>
            <w:r>
              <w:rPr>
                <w:rFonts w:hint="default" w:ascii="Times New Roman" w:hAnsi="Times New Roman" w:cs="Times New Roman"/>
                <w:b/>
                <w:bCs/>
                <w:color w:val="auto"/>
                <w:sz w:val="28"/>
                <w:szCs w:val="28"/>
              </w:rPr>
              <w:t xml:space="preserve">  </w:t>
            </w:r>
          </w:p>
          <w:p>
            <w:pPr>
              <w:spacing w:before="156" w:beforeLines="50" w:after="156" w:afterLines="50" w:line="360" w:lineRule="auto"/>
              <w:ind w:firstLine="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2016年5月19日</w:t>
            </w:r>
            <w:r>
              <w:rPr>
                <w:rFonts w:hint="default" w:ascii="Times New Roman" w:hAnsi="Times New Roman" w:cs="Times New Roman"/>
                <w:color w:val="auto"/>
                <w:sz w:val="24"/>
              </w:rPr>
              <w:t>在项目</w:t>
            </w:r>
            <w:r>
              <w:rPr>
                <w:rFonts w:hint="default" w:ascii="Times New Roman" w:hAnsi="Times New Roman" w:cs="Times New Roman"/>
                <w:color w:val="auto"/>
                <w:sz w:val="24"/>
                <w:lang w:eastAsia="zh-CN"/>
              </w:rPr>
              <w:t>所在地茶陵县云阳山风景名胜区大门处张贴了茶陵县无线广播电视发射塔复建工程项目环境影响评价公告</w:t>
            </w:r>
            <w:r>
              <w:rPr>
                <w:rFonts w:hint="default" w:ascii="Times New Roman" w:hAnsi="Times New Roman" w:cs="Times New Roman"/>
                <w:color w:val="auto"/>
                <w:sz w:val="24"/>
              </w:rPr>
              <w:t>，广泛征求当地群众意见。意见征集的时间从</w:t>
            </w:r>
            <w:r>
              <w:rPr>
                <w:rFonts w:hint="default" w:ascii="Times New Roman" w:hAnsi="Times New Roman" w:cs="Times New Roman"/>
                <w:color w:val="auto"/>
                <w:sz w:val="24"/>
                <w:lang w:eastAsia="zh-CN"/>
              </w:rPr>
              <w:t>张贴</w:t>
            </w:r>
            <w:r>
              <w:rPr>
                <w:rFonts w:hint="default" w:ascii="Times New Roman" w:hAnsi="Times New Roman" w:cs="Times New Roman"/>
                <w:color w:val="auto"/>
                <w:sz w:val="24"/>
              </w:rPr>
              <w:t>公示开始</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lang w:val="en-US" w:eastAsia="zh-CN"/>
              </w:rPr>
              <w:t>2016年5月19日至5月29日之间。现场公告见下图9-1</w:t>
            </w:r>
            <w:r>
              <w:rPr>
                <w:rFonts w:hint="eastAsia" w:cs="Times New Roman"/>
                <w:color w:val="auto"/>
                <w:sz w:val="24"/>
                <w:lang w:val="en-US" w:eastAsia="zh-CN"/>
              </w:rPr>
              <w:t>。公告内容详见附件9。</w:t>
            </w:r>
          </w:p>
          <w:tbl>
            <w:tblPr>
              <w:tblStyle w:val="1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before="156" w:beforeLines="50" w:after="156" w:afterLines="50" w:line="360" w:lineRule="auto"/>
                    <w:jc w:val="left"/>
                    <w:rPr>
                      <w:rFonts w:hint="default" w:ascii="Times New Roman" w:hAnsi="Times New Roman" w:cs="Times New Roman"/>
                      <w:color w:val="auto"/>
                      <w:sz w:val="24"/>
                      <w:u w:val="single"/>
                      <w:vertAlign w:val="baseline"/>
                      <w:lang w:val="en-US" w:eastAsia="zh-CN"/>
                    </w:rPr>
                  </w:pPr>
                  <w:r>
                    <w:rPr>
                      <w:rFonts w:hint="default" w:ascii="Times New Roman" w:hAnsi="Times New Roman" w:cs="Times New Roman"/>
                      <w:color w:val="auto"/>
                      <w:sz w:val="24"/>
                      <w:u w:val="single"/>
                      <w:lang w:val="en-US" w:eastAsia="zh-CN"/>
                    </w:rPr>
                    <w:drawing>
                      <wp:inline distT="0" distB="0" distL="114300" distR="114300">
                        <wp:extent cx="2840355" cy="2131060"/>
                        <wp:effectExtent l="0" t="0" r="17145" b="2540"/>
                        <wp:docPr id="31" name="图片 31" descr="SAM_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AM_2350"/>
                                <pic:cNvPicPr>
                                  <a:picLocks noChangeAspect="1"/>
                                </pic:cNvPicPr>
                              </pic:nvPicPr>
                              <pic:blipFill>
                                <a:blip r:embed="rId66"/>
                                <a:stretch>
                                  <a:fillRect/>
                                </a:stretch>
                              </pic:blipFill>
                              <pic:spPr>
                                <a:xfrm>
                                  <a:off x="0" y="0"/>
                                  <a:ext cx="2840355" cy="2131060"/>
                                </a:xfrm>
                                <a:prstGeom prst="rect">
                                  <a:avLst/>
                                </a:prstGeom>
                                <a:solidFill>
                                  <a:schemeClr val="lt1"/>
                                </a:solidFill>
                              </pic:spPr>
                            </pic:pic>
                          </a:graphicData>
                        </a:graphic>
                      </wp:inline>
                    </w:drawing>
                  </w:r>
                </w:p>
              </w:tc>
              <w:tc>
                <w:tcPr>
                  <w:tcW w:w="4153" w:type="dxa"/>
                </w:tcPr>
                <w:p>
                  <w:pPr>
                    <w:spacing w:before="156" w:beforeLines="50" w:after="156" w:afterLines="50" w:line="360" w:lineRule="auto"/>
                    <w:jc w:val="left"/>
                    <w:rPr>
                      <w:rFonts w:hint="default" w:ascii="Times New Roman" w:hAnsi="Times New Roman" w:cs="Times New Roman"/>
                      <w:color w:val="auto"/>
                      <w:sz w:val="24"/>
                      <w:u w:val="single"/>
                      <w:vertAlign w:val="baseline"/>
                      <w:lang w:val="en-US" w:eastAsia="zh-CN"/>
                    </w:rPr>
                  </w:pPr>
                  <w:r>
                    <w:rPr>
                      <w:rFonts w:hint="default" w:ascii="Times New Roman" w:hAnsi="Times New Roman" w:cs="Times New Roman"/>
                      <w:color w:val="auto"/>
                      <w:sz w:val="24"/>
                      <w:u w:val="single"/>
                      <w:lang w:val="en-US" w:eastAsia="zh-CN"/>
                    </w:rPr>
                    <w:drawing>
                      <wp:inline distT="0" distB="0" distL="114300" distR="114300">
                        <wp:extent cx="2855595" cy="2141855"/>
                        <wp:effectExtent l="0" t="0" r="1905" b="10795"/>
                        <wp:docPr id="47" name="图片 47" descr="SAM_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SAM_2355"/>
                                <pic:cNvPicPr>
                                  <a:picLocks noChangeAspect="1"/>
                                </pic:cNvPicPr>
                              </pic:nvPicPr>
                              <pic:blipFill>
                                <a:blip r:embed="rId67"/>
                                <a:stretch>
                                  <a:fillRect/>
                                </a:stretch>
                              </pic:blipFill>
                              <pic:spPr>
                                <a:xfrm>
                                  <a:off x="0" y="0"/>
                                  <a:ext cx="2855595" cy="2141855"/>
                                </a:xfrm>
                                <a:prstGeom prst="rect">
                                  <a:avLst/>
                                </a:prstGeom>
                                <a:solidFill>
                                  <a:schemeClr val="lt1"/>
                                </a:solid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6" w:type="dxa"/>
                  <w:gridSpan w:val="2"/>
                </w:tcPr>
                <w:p>
                  <w:pPr>
                    <w:spacing w:before="156" w:beforeLines="50" w:after="156" w:afterLines="50" w:line="360" w:lineRule="auto"/>
                    <w:jc w:val="center"/>
                    <w:rPr>
                      <w:rFonts w:hint="default" w:ascii="Times New Roman" w:hAnsi="Times New Roman" w:cs="Times New Roman"/>
                      <w:color w:val="auto"/>
                      <w:sz w:val="24"/>
                      <w:u w:val="single"/>
                      <w:lang w:val="en-US" w:eastAsia="zh-CN"/>
                    </w:rPr>
                  </w:pPr>
                  <w:r>
                    <w:rPr>
                      <w:rFonts w:hint="eastAsia" w:ascii="黑体" w:hAnsi="黑体" w:eastAsia="黑体" w:cs="黑体"/>
                      <w:color w:val="auto"/>
                      <w:sz w:val="24"/>
                      <w:u w:val="single"/>
                      <w:lang w:val="en-US" w:eastAsia="zh-CN"/>
                    </w:rPr>
                    <w:t>图9-1  现场公告照片</w:t>
                  </w:r>
                </w:p>
              </w:tc>
            </w:tr>
          </w:tbl>
          <w:p>
            <w:pPr>
              <w:spacing w:before="156" w:beforeLines="50" w:after="156" w:afterLines="50" w:line="360" w:lineRule="auto"/>
              <w:ind w:firstLine="480"/>
              <w:jc w:val="left"/>
              <w:rPr>
                <w:rFonts w:hint="default" w:ascii="Times New Roman" w:hAnsi="Times New Roman" w:cs="Times New Roman"/>
                <w:color w:val="auto"/>
                <w:sz w:val="24"/>
                <w:u w:val="single"/>
                <w:lang w:val="en-US" w:eastAsia="zh-CN"/>
              </w:rPr>
            </w:pPr>
          </w:p>
          <w:p>
            <w:pPr>
              <w:spacing w:before="156" w:beforeLines="50" w:after="156" w:afterLines="50" w:line="360" w:lineRule="auto"/>
              <w:ind w:firstLine="480"/>
              <w:jc w:val="left"/>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lang w:val="en-US" w:eastAsia="zh-CN"/>
              </w:rPr>
              <w:t xml:space="preserve">并且于2016年5月19日在环评爱好者网（http://www.eiafans.com/forum.php）上对本项目基本情况、环评单位和建设单位的联系方式以及调查要点进行了公示。网上公告见图9-2。 </w:t>
            </w:r>
          </w:p>
          <w:p>
            <w:pPr>
              <w:spacing w:before="156" w:beforeLines="50" w:after="156" w:afterLines="50" w:line="360" w:lineRule="auto"/>
              <w:ind w:firstLine="480"/>
              <w:jc w:val="center"/>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lang w:val="en-US" w:eastAsia="zh-CN"/>
              </w:rPr>
              <w:drawing>
                <wp:inline distT="0" distB="0" distL="114300" distR="114300">
                  <wp:extent cx="3875405" cy="7098665"/>
                  <wp:effectExtent l="0" t="0" r="10795" b="6985"/>
                  <wp:docPr id="30" name="图片 30" descr="茶陵县无线广播电视塔复建工程项目环境影响评价信息公告 - 环评公众参与 - Eiafans.co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茶陵县无线广播电视塔复建工程项目环境影响评价信息公告 - 环评公众参与 - Eiafans.com_"/>
                          <pic:cNvPicPr>
                            <a:picLocks noChangeAspect="1"/>
                          </pic:cNvPicPr>
                        </pic:nvPicPr>
                        <pic:blipFill>
                          <a:blip r:embed="rId68"/>
                          <a:srcRect l="12842" r="13566"/>
                          <a:stretch>
                            <a:fillRect/>
                          </a:stretch>
                        </pic:blipFill>
                        <pic:spPr>
                          <a:xfrm>
                            <a:off x="0" y="0"/>
                            <a:ext cx="3875405" cy="7098665"/>
                          </a:xfrm>
                          <a:prstGeom prst="rect">
                            <a:avLst/>
                          </a:prstGeom>
                        </pic:spPr>
                      </pic:pic>
                    </a:graphicData>
                  </a:graphic>
                </wp:inline>
              </w:drawing>
            </w:r>
          </w:p>
          <w:p>
            <w:pPr>
              <w:spacing w:before="156" w:beforeLines="50" w:after="156" w:afterLines="50" w:line="360" w:lineRule="auto"/>
              <w:ind w:firstLine="480"/>
              <w:jc w:val="center"/>
              <w:rPr>
                <w:rFonts w:hint="eastAsia" w:ascii="黑体" w:hAnsi="黑体" w:eastAsia="黑体" w:cs="黑体"/>
                <w:color w:val="auto"/>
                <w:sz w:val="24"/>
                <w:u w:val="single"/>
                <w:lang w:val="en-US" w:eastAsia="zh-CN"/>
              </w:rPr>
            </w:pPr>
            <w:r>
              <w:rPr>
                <w:rFonts w:hint="eastAsia" w:ascii="黑体" w:hAnsi="黑体" w:eastAsia="黑体" w:cs="黑体"/>
                <w:color w:val="auto"/>
                <w:sz w:val="24"/>
                <w:u w:val="single"/>
                <w:lang w:val="en-US" w:eastAsia="zh-CN"/>
              </w:rPr>
              <w:t>图9-2  网上公告截图</w:t>
            </w:r>
          </w:p>
          <w:p>
            <w:pPr>
              <w:widowControl/>
              <w:jc w:val="center"/>
              <w:rPr>
                <w:rFonts w:hint="default" w:ascii="Times New Roman" w:hAnsi="Times New Roman" w:eastAsia="黑体" w:cs="Times New Roman"/>
                <w:bCs/>
                <w:color w:val="auto"/>
                <w:sz w:val="24"/>
                <w:u w:val="single"/>
              </w:rPr>
            </w:pPr>
          </w:p>
          <w:p>
            <w:pPr>
              <w:numPr>
                <w:ilvl w:val="0"/>
                <w:numId w:val="13"/>
              </w:numPr>
              <w:spacing w:line="360" w:lineRule="auto"/>
              <w:rPr>
                <w:rFonts w:hint="default" w:ascii="Times New Roman" w:hAnsi="Times New Roman" w:cs="Times New Roman"/>
                <w:b/>
                <w:bCs/>
                <w:color w:val="auto"/>
                <w:sz w:val="28"/>
                <w:szCs w:val="28"/>
                <w:lang w:eastAsia="zh-CN"/>
              </w:rPr>
            </w:pPr>
            <w:r>
              <w:rPr>
                <w:rFonts w:hint="eastAsia" w:cs="Times New Roman"/>
                <w:b/>
                <w:bCs/>
                <w:color w:val="auto"/>
                <w:sz w:val="28"/>
                <w:szCs w:val="28"/>
                <w:lang w:eastAsia="zh-CN"/>
              </w:rPr>
              <w:t>公示公告</w:t>
            </w:r>
            <w:r>
              <w:rPr>
                <w:rFonts w:hint="default" w:ascii="Times New Roman" w:hAnsi="Times New Roman" w:cs="Times New Roman"/>
                <w:b/>
                <w:bCs/>
                <w:color w:val="auto"/>
                <w:sz w:val="28"/>
                <w:szCs w:val="28"/>
                <w:lang w:eastAsia="zh-CN"/>
              </w:rPr>
              <w:t>结论</w:t>
            </w:r>
          </w:p>
          <w:p>
            <w:pPr>
              <w:numPr>
                <w:ilvl w:val="0"/>
                <w:numId w:val="0"/>
              </w:numPr>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b/>
                <w:bCs/>
                <w:color w:val="auto"/>
                <w:sz w:val="28"/>
                <w:szCs w:val="28"/>
                <w:lang w:val="en-US" w:eastAsia="zh-CN"/>
              </w:rPr>
              <w:t xml:space="preserve">    </w:t>
            </w:r>
            <w:r>
              <w:rPr>
                <w:rFonts w:hint="default" w:ascii="Times New Roman" w:hAnsi="Times New Roman" w:cs="Times New Roman"/>
                <w:color w:val="auto"/>
                <w:sz w:val="24"/>
                <w:lang w:val="en-US" w:eastAsia="zh-CN"/>
              </w:rPr>
              <w:t>在现场张贴公告和网上发布公告后的10个工作日内，未收到公众提出的询问及意见。但随着广播电视事业的迅速发展，公众的环境保护、自身保护意识的日益加强，公众对电磁辐射污染的认识要加以正确引导，建设单位应做好发射塔相关的宣传工作，并利用有电磁监测资质的单位出具的电磁环境监测报告及相关的国家标准向公众解释，取得公众的理解，使他们更好地支持本项目的建设。</w:t>
            </w: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p>
            <w:pPr>
              <w:outlineLvl w:val="0"/>
              <w:rPr>
                <w:rFonts w:hint="default" w:ascii="Times New Roman" w:hAnsi="Times New Roman" w:eastAsia="黑体" w:cs="Times New Roman"/>
                <w:b/>
                <w:bCs/>
                <w:color w:val="auto"/>
                <w:sz w:val="32"/>
                <w:szCs w:val="32"/>
              </w:rPr>
            </w:pPr>
          </w:p>
        </w:tc>
      </w:tr>
    </w:tbl>
    <w:p>
      <w:pPr>
        <w:outlineLvl w:val="0"/>
        <w:rPr>
          <w:rFonts w:hint="default" w:ascii="Times New Roman" w:hAnsi="Times New Roman" w:eastAsia="黑体" w:cs="Times New Roman"/>
          <w:b/>
          <w:bCs/>
          <w:color w:val="auto"/>
          <w:sz w:val="32"/>
          <w:szCs w:val="32"/>
        </w:rPr>
      </w:pPr>
      <w:bookmarkStart w:id="132" w:name="_Toc29221"/>
      <w:bookmarkStart w:id="133" w:name="_Toc421802319"/>
      <w:r>
        <w:rPr>
          <w:rFonts w:hint="default" w:ascii="Times New Roman" w:hAnsi="Times New Roman" w:eastAsia="黑体" w:cs="Times New Roman"/>
          <w:b/>
          <w:bCs/>
          <w:color w:val="auto"/>
          <w:sz w:val="32"/>
          <w:szCs w:val="32"/>
        </w:rPr>
        <w:t>结论与建议</w:t>
      </w:r>
      <w:bookmarkEnd w:id="132"/>
      <w:bookmarkEnd w:id="133"/>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before="156" w:beforeLines="50" w:after="156" w:afterLines="50"/>
              <w:rPr>
                <w:rFonts w:hint="default" w:ascii="Times New Roman" w:hAnsi="Times New Roman" w:cs="Times New Roman" w:eastAsiaTheme="minorEastAsia"/>
                <w:b/>
                <w:bCs/>
                <w:color w:val="auto"/>
                <w:sz w:val="28"/>
                <w:szCs w:val="28"/>
              </w:rPr>
            </w:pPr>
            <w:r>
              <w:rPr>
                <w:rFonts w:hint="default" w:ascii="Times New Roman" w:hAnsi="Times New Roman" w:cs="Times New Roman"/>
                <w:b/>
                <w:bCs/>
                <w:color w:val="auto"/>
                <w:sz w:val="28"/>
                <w:szCs w:val="28"/>
              </w:rPr>
              <w:t>一、</w:t>
            </w:r>
            <w:r>
              <w:rPr>
                <w:rFonts w:hint="default" w:ascii="Times New Roman" w:hAnsi="Times New Roman" w:cs="Times New Roman" w:eastAsiaTheme="minorEastAsia"/>
                <w:b/>
                <w:bCs/>
                <w:color w:val="auto"/>
                <w:sz w:val="28"/>
                <w:szCs w:val="28"/>
              </w:rPr>
              <w:t>结论</w:t>
            </w:r>
          </w:p>
          <w:p>
            <w:pPr>
              <w:spacing w:before="156" w:beforeLines="50" w:after="156" w:afterLines="50"/>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 xml:space="preserve">    1</w:t>
            </w:r>
            <w:r>
              <w:rPr>
                <w:rFonts w:hint="default" w:ascii="Times New Roman" w:hAnsi="Times New Roman" w:cs="Times New Roman"/>
                <w:b/>
                <w:bCs/>
                <w:color w:val="auto"/>
                <w:sz w:val="28"/>
                <w:szCs w:val="28"/>
              </w:rPr>
              <w:t>、</w:t>
            </w:r>
            <w:r>
              <w:rPr>
                <w:rFonts w:hint="default" w:ascii="Times New Roman" w:hAnsi="Times New Roman" w:cs="Times New Roman" w:eastAsiaTheme="minorEastAsia"/>
                <w:b/>
                <w:bCs/>
                <w:color w:val="auto"/>
                <w:sz w:val="28"/>
                <w:szCs w:val="28"/>
              </w:rPr>
              <w:t>项目概况</w:t>
            </w:r>
          </w:p>
          <w:p>
            <w:pPr>
              <w:spacing w:before="156" w:beforeLines="50" w:after="156" w:afterLines="50"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选址确定在云阳山北门半山腰，即原茶陵县电信公司已废弃发射铁塔旧址（海拔高度330米；经度113°30'12.3"；纬度26°47'59.5"）。茶陵县无线广播电视发射塔复建工程的建设内容为：广播电视发射塔1座、技术及生活用房（368.2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）及区内给水、供配电、通讯、围墙、地面硬化等附属工程，以及项目设备安装及调试。</w:t>
            </w:r>
          </w:p>
          <w:p>
            <w:pPr>
              <w:numPr>
                <w:ilvl w:val="0"/>
                <w:numId w:val="14"/>
              </w:numPr>
              <w:spacing w:before="156" w:beforeLines="50" w:after="156" w:afterLines="50"/>
              <w:ind w:firstLine="640"/>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产业政策符合性和选址合理性</w:t>
            </w:r>
          </w:p>
          <w:p>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本项目为“广播影视设施建设项目”，属于《产业结构调整指导目录（2011年本）（修正）》中第一类“鼓励类”项目，符合国家现行产业政策。</w:t>
            </w:r>
          </w:p>
          <w:p>
            <w:pPr>
              <w:spacing w:before="156" w:beforeLines="50" w:after="156" w:afterLines="50" w:line="360" w:lineRule="auto"/>
              <w:ind w:firstLine="640"/>
              <w:rPr>
                <w:rFonts w:hint="default" w:ascii="Times New Roman" w:hAnsi="Times New Roman" w:cs="Times New Roman" w:eastAsiaTheme="minorEastAsia"/>
                <w:b/>
                <w:bCs/>
                <w:color w:val="auto"/>
                <w:sz w:val="24"/>
              </w:rPr>
            </w:pPr>
            <w:r>
              <w:rPr>
                <w:rFonts w:hint="default" w:ascii="Times New Roman" w:hAnsi="Times New Roman" w:cs="Times New Roman"/>
                <w:color w:val="auto"/>
                <w:sz w:val="24"/>
              </w:rPr>
              <w:t>本项目选址确定在云阳山北门半山腰，即原茶陵县电信公司已废弃发射铁塔旧址</w:t>
            </w:r>
            <w:r>
              <w:rPr>
                <w:rFonts w:hint="eastAsia" w:cs="Times New Roman"/>
                <w:color w:val="auto"/>
                <w:sz w:val="24"/>
                <w:lang w:eastAsia="zh-CN"/>
              </w:rPr>
              <w:t>。建设单位于</w:t>
            </w:r>
            <w:r>
              <w:rPr>
                <w:rFonts w:hint="eastAsia"/>
                <w:color w:val="auto"/>
                <w:sz w:val="24"/>
                <w:lang w:val="en-US" w:eastAsia="zh-CN"/>
              </w:rPr>
              <w:t>2016年3月19日填写了“建设项目规划选址意见书申请审批表”，经茶陵县发展和改革局、茶陵县云阳森林公园管理局、茶陵县林业局、茶陵县国土资源局、茶陵县环境保护局确认盖章同意了工程项目的选址。</w:t>
            </w:r>
          </w:p>
          <w:p>
            <w:pPr>
              <w:numPr>
                <w:ilvl w:val="0"/>
                <w:numId w:val="14"/>
              </w:numPr>
              <w:spacing w:before="156" w:beforeLines="50" w:after="156" w:afterLines="50"/>
              <w:ind w:firstLine="480"/>
              <w:rPr>
                <w:rFonts w:hint="default" w:ascii="Times New Roman" w:hAnsi="Times New Roman" w:cs="Times New Roman"/>
                <w:b/>
                <w:bCs/>
                <w:color w:val="auto"/>
                <w:sz w:val="28"/>
                <w:szCs w:val="28"/>
              </w:rPr>
            </w:pPr>
            <w:bookmarkStart w:id="134" w:name="OLE_LINK83"/>
            <w:r>
              <w:rPr>
                <w:rFonts w:hint="default" w:ascii="Times New Roman" w:hAnsi="Times New Roman" w:cs="Times New Roman"/>
                <w:b/>
                <w:bCs/>
                <w:color w:val="auto"/>
                <w:sz w:val="28"/>
                <w:szCs w:val="28"/>
              </w:rPr>
              <w:t>环境质量现状评价结论</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1、大气：</w:t>
            </w:r>
            <w:r>
              <w:rPr>
                <w:rFonts w:hint="default" w:ascii="Times New Roman" w:hAnsi="Times New Roman" w:cs="Times New Roman"/>
                <w:color w:val="auto"/>
                <w:sz w:val="24"/>
              </w:rPr>
              <w:t>根据现场调查分析，项目所在区域无较大污染源分布，评价范围的环境空气质量质量较好。</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2、电磁环境：</w:t>
            </w:r>
            <w:r>
              <w:rPr>
                <w:rFonts w:hint="default" w:ascii="Times New Roman" w:hAnsi="Times New Roman" w:cs="Times New Roman"/>
                <w:color w:val="auto"/>
                <w:sz w:val="24"/>
              </w:rPr>
              <w:t>根据现状监测，本工程所在区域电磁环境质量现状较好，满足相应的评价标准要求。</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3、声环境：</w:t>
            </w:r>
            <w:r>
              <w:rPr>
                <w:rFonts w:hint="default" w:ascii="Times New Roman" w:hAnsi="Times New Roman" w:cs="Times New Roman"/>
                <w:color w:val="auto"/>
                <w:sz w:val="24"/>
              </w:rPr>
              <w:t>根据现状监测，本工程所在区域声环境质量现状较好，满足相应的评价标准要求。</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4、生态环境：</w:t>
            </w:r>
            <w:r>
              <w:rPr>
                <w:rFonts w:hint="default" w:ascii="Times New Roman" w:hAnsi="Times New Roman" w:cs="Times New Roman"/>
                <w:color w:val="auto"/>
                <w:sz w:val="24"/>
              </w:rPr>
              <w:t>工程区域主要属林业生态系统，评价区域内无珍稀、濒危及国家重点保护的野生植物分布；区域内的动物主要是常见的小型野生动物，在评价区域内无珍稀、濒危及国家重点保护野生动物分布。</w:t>
            </w:r>
          </w:p>
          <w:bookmarkEnd w:id="134"/>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   </w:t>
            </w:r>
            <w:bookmarkStart w:id="135" w:name="OLE_LINK84"/>
            <w:r>
              <w:rPr>
                <w:rFonts w:hint="default" w:ascii="Times New Roman" w:hAnsi="Times New Roman" w:cs="Times New Roman"/>
                <w:b/>
                <w:color w:val="auto"/>
                <w:sz w:val="28"/>
                <w:szCs w:val="28"/>
              </w:rPr>
              <w:t>4、环境影响结论</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（1）施工期环境影响</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噪声：</w:t>
            </w:r>
            <w:r>
              <w:rPr>
                <w:rFonts w:hint="default" w:ascii="Times New Roman" w:hAnsi="Times New Roman" w:cs="Times New Roman"/>
                <w:color w:val="auto"/>
                <w:sz w:val="24"/>
              </w:rPr>
              <w:t>本项目建设施工期间，施工噪声对周围环境会产生一定影响，但在加强施工噪声管理、明确施工时段、搅拌机在夜间禁止施工的情况下，可满足《建筑施工场界环境噪声排放标准》（GB12523-2011）的标准。</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废水：</w:t>
            </w:r>
            <w:r>
              <w:rPr>
                <w:rFonts w:hint="default" w:ascii="Times New Roman" w:hAnsi="Times New Roman" w:cs="Times New Roman"/>
                <w:color w:val="auto"/>
                <w:sz w:val="24"/>
              </w:rPr>
              <w:t>本项目施工人员租用山下现有民房，施工人员产生的生活污水利用现有的卫生设施收集后回用，不外排，对环境无影响。</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大气：</w:t>
            </w:r>
            <w:r>
              <w:rPr>
                <w:rFonts w:hint="default" w:ascii="Times New Roman" w:hAnsi="Times New Roman" w:cs="Times New Roman"/>
                <w:color w:val="auto"/>
                <w:sz w:val="24"/>
              </w:rPr>
              <w:t>本项目施工时对环境空气的影响主要是TSP，其影响集中在施工区的小范围内，对开挖面采取及时洒水等降尘措施，对周围环境影响不大。</w:t>
            </w:r>
          </w:p>
          <w:p>
            <w:pPr>
              <w:spacing w:line="360" w:lineRule="auto"/>
              <w:ind w:firstLine="482" w:firstLineChars="200"/>
              <w:rPr>
                <w:rFonts w:hint="eastAsia" w:ascii="Times New Roman" w:hAnsi="Times New Roman" w:eastAsia="宋体" w:cs="Times New Roman"/>
                <w:b/>
                <w:bCs/>
                <w:color w:val="auto"/>
                <w:sz w:val="24"/>
                <w:u w:val="single"/>
                <w:lang w:eastAsia="zh-CN"/>
              </w:rPr>
            </w:pPr>
            <w:r>
              <w:rPr>
                <w:rFonts w:hint="eastAsia" w:ascii="Times New Roman" w:hAnsi="Times New Roman" w:cs="Times New Roman"/>
                <w:b/>
                <w:bCs/>
                <w:color w:val="auto"/>
                <w:sz w:val="24"/>
                <w:u w:val="single"/>
                <w:lang w:eastAsia="zh-CN"/>
              </w:rPr>
              <w:t>生态：</w:t>
            </w:r>
            <w:r>
              <w:rPr>
                <w:rFonts w:hint="eastAsia" w:ascii="Times New Roman" w:hAnsi="Times New Roman" w:cs="Times New Roman"/>
                <w:color w:val="auto"/>
                <w:sz w:val="24"/>
                <w:u w:val="single"/>
                <w:lang w:eastAsia="zh-CN"/>
              </w:rPr>
              <w:t>本项目施工建设没有使生物生产能力和景观稳定状况（包括生物恢复力和景观差异性）</w:t>
            </w:r>
            <w:r>
              <w:rPr>
                <w:rFonts w:hint="eastAsia" w:cs="Times New Roman"/>
                <w:color w:val="auto"/>
                <w:sz w:val="24"/>
                <w:u w:val="single"/>
                <w:lang w:eastAsia="zh-CN"/>
              </w:rPr>
              <w:t>受到</w:t>
            </w:r>
            <w:r>
              <w:rPr>
                <w:rFonts w:hint="eastAsia" w:ascii="Times New Roman" w:hAnsi="Times New Roman" w:cs="Times New Roman"/>
                <w:color w:val="auto"/>
                <w:sz w:val="24"/>
                <w:u w:val="single"/>
                <w:lang w:eastAsia="zh-CN"/>
              </w:rPr>
              <w:t>大的影响，对区域自然体系生态完整性的影响较小，是环境可以接受的。</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水土保持：</w:t>
            </w:r>
            <w:r>
              <w:rPr>
                <w:rFonts w:hint="default" w:ascii="Times New Roman" w:hAnsi="Times New Roman" w:cs="Times New Roman"/>
                <w:color w:val="auto"/>
                <w:sz w:val="24"/>
              </w:rPr>
              <w:t>本项目建设过程中土地扰动和建材（沙石料、石灰等）的堆放、挖填方的临时堆放可能造成一定的水土流失。</w:t>
            </w:r>
            <w:r>
              <w:rPr>
                <w:rFonts w:hint="default" w:ascii="Times New Roman" w:hAnsi="Times New Roman" w:cs="Times New Roman" w:eastAsiaTheme="minorEastAsia"/>
                <w:color w:val="auto"/>
                <w:sz w:val="24"/>
              </w:rPr>
              <w:t>在工程施工时采取一系列水土保持措施后，能有效地控制水土流失量，也能将水土流失带来的环境影响和环境风险降至最低。且</w:t>
            </w:r>
            <w:r>
              <w:rPr>
                <w:rFonts w:hint="default" w:ascii="Times New Roman" w:hAnsi="Times New Roman" w:cs="Times New Roman"/>
                <w:color w:val="auto"/>
                <w:sz w:val="24"/>
              </w:rPr>
              <w:t>本项工程施工期的环境影响时间较短，随着工程施工的结束相应环境影响也随之消失</w:t>
            </w:r>
            <w:r>
              <w:rPr>
                <w:rFonts w:hint="default" w:ascii="Times New Roman" w:hAnsi="Times New Roman" w:cs="Times New Roman"/>
                <w:b/>
                <w:color w:val="auto"/>
                <w:sz w:val="24"/>
              </w:rPr>
              <w:t>。</w:t>
            </w:r>
          </w:p>
          <w:bookmarkEnd w:id="135"/>
          <w:p>
            <w:pPr>
              <w:spacing w:line="360" w:lineRule="auto"/>
              <w:ind w:firstLine="482" w:firstLineChars="200"/>
              <w:rPr>
                <w:rFonts w:hint="default" w:ascii="Times New Roman" w:hAnsi="Times New Roman" w:cs="Times New Roman"/>
                <w:b/>
                <w:color w:val="auto"/>
                <w:sz w:val="24"/>
              </w:rPr>
            </w:pPr>
            <w:bookmarkStart w:id="136" w:name="OLE_LINK85"/>
            <w:r>
              <w:rPr>
                <w:rFonts w:hint="default" w:ascii="Times New Roman" w:hAnsi="Times New Roman" w:cs="Times New Roman"/>
                <w:b/>
                <w:color w:val="auto"/>
                <w:sz w:val="24"/>
              </w:rPr>
              <w:t>（2）运行期环境影响</w:t>
            </w:r>
          </w:p>
          <w:p>
            <w:pPr>
              <w:spacing w:line="360" w:lineRule="auto"/>
              <w:ind w:firstLine="472" w:firstLineChars="196"/>
              <w:rPr>
                <w:rFonts w:hint="default" w:ascii="Times New Roman" w:hAnsi="Times New Roman" w:cs="Times New Roman"/>
                <w:b/>
                <w:color w:val="auto"/>
                <w:sz w:val="24"/>
              </w:rPr>
            </w:pPr>
            <w:bookmarkStart w:id="137" w:name="_Toc405200245"/>
            <w:bookmarkStart w:id="138" w:name="_Toc417906585"/>
            <w:r>
              <w:rPr>
                <w:rFonts w:hint="default" w:ascii="Times New Roman" w:hAnsi="Times New Roman" w:cs="Times New Roman"/>
                <w:b/>
                <w:color w:val="auto"/>
                <w:sz w:val="24"/>
              </w:rPr>
              <w:t>电磁环境</w:t>
            </w:r>
            <w:bookmarkEnd w:id="137"/>
            <w:bookmarkEnd w:id="138"/>
            <w:r>
              <w:rPr>
                <w:rFonts w:hint="default" w:ascii="Times New Roman" w:hAnsi="Times New Roman" w:cs="Times New Roman"/>
                <w:b/>
                <w:color w:val="auto"/>
                <w:sz w:val="24"/>
              </w:rPr>
              <w:t>：</w:t>
            </w:r>
          </w:p>
          <w:p>
            <w:pPr>
              <w:numPr>
                <w:ilvl w:val="0"/>
                <w:numId w:val="0"/>
              </w:numPr>
              <w:spacing w:line="360" w:lineRule="auto"/>
              <w:outlineLvl w:val="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 xml:space="preserve">     在发射塔运行期间，工作人员和公众人员所能到达的区域</w:t>
            </w:r>
            <w:r>
              <w:rPr>
                <w:rFonts w:hint="default" w:ascii="Times New Roman" w:hAnsi="Times New Roman" w:cs="Times New Roman"/>
                <w:color w:val="auto"/>
                <w:sz w:val="24"/>
                <w:lang w:eastAsia="zh-CN"/>
              </w:rPr>
              <w:t>电磁环境满足</w:t>
            </w:r>
            <w:r>
              <w:rPr>
                <w:rFonts w:hint="default" w:ascii="Times New Roman" w:hAnsi="Times New Roman" w:cs="Times New Roman"/>
                <w:color w:val="auto"/>
                <w:sz w:val="24"/>
              </w:rPr>
              <w:t>《电磁环境控制限值》（GB8702-2014）</w:t>
            </w:r>
            <w:r>
              <w:rPr>
                <w:rFonts w:hint="default" w:ascii="Times New Roman" w:hAnsi="Times New Roman" w:cs="Times New Roman"/>
                <w:color w:val="auto"/>
                <w:sz w:val="24"/>
                <w:lang w:eastAsia="zh-CN"/>
              </w:rPr>
              <w:t>要求。</w:t>
            </w:r>
          </w:p>
          <w:p>
            <w:pPr>
              <w:spacing w:line="360" w:lineRule="auto"/>
              <w:ind w:firstLine="590" w:firstLineChars="245"/>
              <w:rPr>
                <w:rFonts w:hint="default" w:ascii="Times New Roman" w:hAnsi="Times New Roman" w:cs="Times New Roman"/>
                <w:b/>
                <w:color w:val="auto"/>
                <w:sz w:val="24"/>
              </w:rPr>
            </w:pPr>
            <w:bookmarkStart w:id="139" w:name="_Toc405200246"/>
            <w:bookmarkStart w:id="140" w:name="_Toc417906586"/>
            <w:r>
              <w:rPr>
                <w:rFonts w:hint="default" w:ascii="Times New Roman" w:hAnsi="Times New Roman" w:cs="Times New Roman"/>
                <w:b/>
                <w:color w:val="auto"/>
                <w:sz w:val="24"/>
              </w:rPr>
              <w:t>其它环境</w:t>
            </w:r>
            <w:bookmarkEnd w:id="139"/>
            <w:bookmarkEnd w:id="140"/>
            <w:r>
              <w:rPr>
                <w:rFonts w:hint="default" w:ascii="Times New Roman" w:hAnsi="Times New Roman" w:cs="Times New Roman"/>
                <w:b/>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①项目运行期无生产性废水、废气及固体废弃物产生；生活垃圾</w:t>
            </w:r>
            <w:r>
              <w:rPr>
                <w:rFonts w:hint="eastAsia" w:cs="Times New Roman"/>
                <w:color w:val="auto"/>
                <w:sz w:val="24"/>
                <w:lang w:eastAsia="zh-CN"/>
              </w:rPr>
              <w:t>清运后、</w:t>
            </w:r>
            <w:r>
              <w:rPr>
                <w:rFonts w:hint="default" w:ascii="Times New Roman" w:hAnsi="Times New Roman" w:cs="Times New Roman"/>
                <w:color w:val="auto"/>
                <w:sz w:val="24"/>
              </w:rPr>
              <w:t>少量的生活废水</w:t>
            </w:r>
            <w:r>
              <w:rPr>
                <w:rFonts w:hint="eastAsia" w:cs="Times New Roman"/>
                <w:color w:val="auto"/>
                <w:sz w:val="24"/>
                <w:lang w:eastAsia="zh-CN"/>
              </w:rPr>
              <w:t>经</w:t>
            </w:r>
            <w:r>
              <w:rPr>
                <w:rFonts w:hint="default" w:ascii="Times New Roman" w:hAnsi="Times New Roman" w:cs="Times New Roman"/>
                <w:color w:val="auto"/>
                <w:sz w:val="24"/>
              </w:rPr>
              <w:t>设施处理后</w:t>
            </w:r>
            <w:r>
              <w:rPr>
                <w:rFonts w:hint="eastAsia" w:cs="Times New Roman"/>
                <w:color w:val="auto"/>
                <w:sz w:val="24"/>
                <w:lang w:eastAsia="zh-CN"/>
              </w:rPr>
              <w:t>，</w:t>
            </w:r>
            <w:r>
              <w:rPr>
                <w:rFonts w:hint="default" w:ascii="Times New Roman" w:hAnsi="Times New Roman" w:cs="Times New Roman"/>
                <w:color w:val="auto"/>
                <w:sz w:val="24"/>
              </w:rPr>
              <w:t>对环境经本无影响；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②选用低噪声</w:t>
            </w:r>
            <w:r>
              <w:rPr>
                <w:rFonts w:hint="default" w:ascii="Times New Roman" w:hAnsi="Times New Roman" w:cs="Times New Roman"/>
                <w:color w:val="auto"/>
                <w:sz w:val="24"/>
                <w:lang w:eastAsia="zh-CN"/>
              </w:rPr>
              <w:t>柴油发电机</w:t>
            </w:r>
            <w:r>
              <w:rPr>
                <w:rFonts w:hint="default" w:ascii="Times New Roman" w:hAnsi="Times New Roman" w:cs="Times New Roman"/>
                <w:color w:val="auto"/>
                <w:sz w:val="24"/>
              </w:rPr>
              <w:t>，</w:t>
            </w:r>
            <w:r>
              <w:rPr>
                <w:rFonts w:hint="default" w:ascii="Times New Roman" w:hAnsi="Times New Roman" w:cs="Times New Roman"/>
                <w:bCs/>
                <w:color w:val="auto"/>
                <w:sz w:val="24"/>
                <w:lang w:val="en-US" w:eastAsia="zh-CN"/>
              </w:rPr>
              <w:t>通过采取基础减震和机房墙体吸声处理，加装橡胶减震垫，增装隔声门等措施后，噪声污染对环境基本无影响。</w:t>
            </w:r>
          </w:p>
          <w:bookmarkEnd w:id="136"/>
          <w:p>
            <w:pPr>
              <w:spacing w:line="360" w:lineRule="auto"/>
              <w:ind w:firstLine="562" w:firstLineChars="200"/>
              <w:rPr>
                <w:rFonts w:hint="default" w:ascii="Times New Roman" w:hAnsi="Times New Roman" w:cs="Times New Roman"/>
                <w:b/>
                <w:color w:val="auto"/>
                <w:sz w:val="28"/>
                <w:szCs w:val="28"/>
              </w:rPr>
            </w:pPr>
            <w:bookmarkStart w:id="141" w:name="_Toc405200249"/>
            <w:bookmarkStart w:id="142" w:name="_Toc417906589"/>
            <w:r>
              <w:rPr>
                <w:rFonts w:hint="default" w:ascii="Times New Roman" w:hAnsi="Times New Roman" w:cs="Times New Roman"/>
                <w:b/>
                <w:color w:val="auto"/>
                <w:sz w:val="28"/>
                <w:szCs w:val="28"/>
              </w:rPr>
              <w:t>5、</w:t>
            </w:r>
            <w:bookmarkEnd w:id="141"/>
            <w:bookmarkEnd w:id="142"/>
            <w:r>
              <w:rPr>
                <w:rFonts w:hint="eastAsia" w:cs="Times New Roman"/>
                <w:b/>
                <w:color w:val="auto"/>
                <w:sz w:val="28"/>
                <w:szCs w:val="28"/>
                <w:lang w:eastAsia="zh-CN"/>
              </w:rPr>
              <w:t>公示公告</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在现场张贴公告和网上发布公告后的10个工作日内，未收到公众提出的询问及意见。</w:t>
            </w:r>
            <w:r>
              <w:rPr>
                <w:rFonts w:hint="default" w:ascii="Times New Roman" w:hAnsi="Times New Roman" w:cs="Times New Roman"/>
                <w:color w:val="auto"/>
                <w:sz w:val="24"/>
              </w:rPr>
              <w:t>建设单位和社会各界应客观、公正地对广播电视发射台站电磁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问题进行宣传、普及，逐步消除公众对电磁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的担心心理。</w:t>
            </w:r>
          </w:p>
          <w:p>
            <w:pPr>
              <w:spacing w:line="360" w:lineRule="auto"/>
              <w:rPr>
                <w:rFonts w:hint="default" w:ascii="Times New Roman" w:hAnsi="Times New Roman" w:cs="Times New Roman"/>
                <w:b/>
                <w:color w:val="auto"/>
                <w:sz w:val="28"/>
                <w:szCs w:val="28"/>
              </w:rPr>
            </w:pPr>
            <w:bookmarkStart w:id="143" w:name="_Toc405200250"/>
            <w:bookmarkStart w:id="144" w:name="_Toc417906590"/>
            <w:r>
              <w:rPr>
                <w:rFonts w:hint="default" w:ascii="Times New Roman" w:hAnsi="Times New Roman" w:cs="Times New Roman"/>
                <w:b/>
                <w:color w:val="auto"/>
                <w:sz w:val="28"/>
                <w:szCs w:val="28"/>
              </w:rPr>
              <w:t xml:space="preserve">    6、环境影响评价综合结论</w:t>
            </w:r>
            <w:bookmarkEnd w:id="143"/>
            <w:bookmarkEnd w:id="144"/>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设及运营的技术成熟、可靠；工程区域及评价范围的水、气、声、生态、电磁等环境质量现状较好，没有制约本项工程建设的环境要素。本项工程符合国家现行产业政策，台站布局合理，技术成熟、可靠，设备选择符合清洁生产要求。本工程施工期的环境影响较小，工程运营期周围的环境保护目标等敏感点产生的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均满足评价标准要求。认真落实评价和项目设计中提出的各项环保措施，可缓解或消除项目可能产生的不利环境影响。从环境保护的角度论证，本项目的建设运营是可行的。</w:t>
            </w:r>
          </w:p>
          <w:p>
            <w:pPr>
              <w:spacing w:before="156" w:beforeLines="50" w:after="156" w:afterLines="50" w:line="360" w:lineRule="auto"/>
              <w:rPr>
                <w:rFonts w:hint="default" w:ascii="Times New Roman" w:hAnsi="Times New Roman" w:cs="Times New Roman" w:eastAsiaTheme="minorEastAsia"/>
                <w:b/>
                <w:bCs/>
                <w:color w:val="auto"/>
                <w:sz w:val="32"/>
                <w:szCs w:val="32"/>
              </w:rPr>
            </w:pPr>
            <w:r>
              <w:rPr>
                <w:rFonts w:hint="default" w:ascii="Times New Roman" w:hAnsi="Times New Roman" w:cs="Times New Roman"/>
                <w:b/>
                <w:bCs/>
                <w:color w:val="auto"/>
                <w:sz w:val="32"/>
                <w:szCs w:val="32"/>
              </w:rPr>
              <w:t>二、</w:t>
            </w:r>
            <w:r>
              <w:rPr>
                <w:rFonts w:hint="default" w:ascii="Times New Roman" w:hAnsi="Times New Roman" w:cs="Times New Roman" w:eastAsiaTheme="minorEastAsia"/>
                <w:b/>
                <w:bCs/>
                <w:color w:val="auto"/>
                <w:sz w:val="32"/>
                <w:szCs w:val="32"/>
              </w:rPr>
              <w:t xml:space="preserve">要求及建议建议 </w:t>
            </w:r>
          </w:p>
          <w:p>
            <w:pPr>
              <w:spacing w:before="156" w:beforeLines="50" w:after="156" w:afterLines="50" w:line="360" w:lineRule="auto"/>
              <w:rPr>
                <w:rFonts w:hint="default" w:ascii="Times New Roman" w:hAnsi="Times New Roman" w:cs="Times New Roman" w:eastAsiaTheme="minorEastAsia"/>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eastAsiaTheme="minorEastAsia"/>
                <w:color w:val="auto"/>
                <w:sz w:val="24"/>
              </w:rPr>
              <w:t>要求及建议建议本项目在建设和生产过程中，做到如下几点：</w:t>
            </w:r>
          </w:p>
          <w:p>
            <w:pPr>
              <w:spacing w:before="156" w:beforeLines="50" w:after="156" w:afterLines="50"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1、加强该发射塔的运行管理，完善规章制度，对发射塔机房设备、发射塔及天线进行定期的检查和维修，确保其正常运行。</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eastAsia="黑体" w:cs="Times New Roman"/>
                <w:color w:val="auto"/>
                <w:sz w:val="24"/>
              </w:rPr>
              <w:t>2、</w:t>
            </w:r>
            <w:r>
              <w:rPr>
                <w:rFonts w:hint="default" w:ascii="Times New Roman" w:hAnsi="Times New Roman" w:cs="Times New Roman"/>
                <w:color w:val="auto"/>
                <w:sz w:val="24"/>
              </w:rPr>
              <w:t>落实部门和专人负责妥善保存环境保护相关资料。</w:t>
            </w:r>
          </w:p>
          <w:p>
            <w:pPr>
              <w:spacing w:before="156" w:beforeLines="50" w:after="156" w:afterLines="50"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3、对发射台维护人员进行电磁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 xml:space="preserve">基础及有关法规等知识的培训。 </w:t>
            </w:r>
          </w:p>
          <w:p>
            <w:pPr>
              <w:spacing w:before="156" w:beforeLines="50" w:after="156" w:afterLines="5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4、建立健全处理公众电磁</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等环境问题投诉的机制，耐心听取公众意见，积极联系环境保护行政主管部门协调处理。</w:t>
            </w:r>
          </w:p>
          <w:p>
            <w:pPr>
              <w:ind w:firstLine="480"/>
              <w:outlineLvl w:val="0"/>
              <w:rPr>
                <w:rFonts w:hint="default" w:ascii="Times New Roman" w:hAnsi="Times New Roman" w:cs="Times New Roman"/>
                <w:color w:val="auto"/>
                <w:sz w:val="24"/>
              </w:rPr>
            </w:pPr>
            <w:bookmarkStart w:id="145" w:name="_Toc23715"/>
            <w:r>
              <w:rPr>
                <w:rFonts w:hint="default" w:ascii="Times New Roman" w:hAnsi="Times New Roman" w:eastAsia="黑体" w:cs="Times New Roman"/>
                <w:color w:val="auto"/>
                <w:sz w:val="24"/>
              </w:rPr>
              <w:t>5、</w:t>
            </w:r>
            <w:r>
              <w:rPr>
                <w:rFonts w:hint="default" w:ascii="Times New Roman" w:hAnsi="Times New Roman" w:cs="Times New Roman"/>
                <w:color w:val="auto"/>
                <w:sz w:val="24"/>
              </w:rPr>
              <w:t>接受环境保护行政主管部门的监督检查。</w:t>
            </w:r>
            <w:bookmarkEnd w:id="145"/>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ind w:firstLine="480"/>
              <w:outlineLvl w:val="0"/>
              <w:rPr>
                <w:rFonts w:hint="default" w:ascii="Times New Roman" w:hAnsi="Times New Roman" w:cs="Times New Roman"/>
                <w:color w:val="auto"/>
                <w:sz w:val="24"/>
              </w:rPr>
            </w:pPr>
          </w:p>
          <w:p>
            <w:pPr>
              <w:outlineLvl w:val="0"/>
              <w:rPr>
                <w:rFonts w:hint="default" w:ascii="Times New Roman" w:hAnsi="Times New Roman" w:cs="Times New Roman"/>
                <w:color w:val="auto"/>
                <w:sz w:val="24"/>
              </w:rPr>
            </w:pPr>
          </w:p>
        </w:tc>
      </w:tr>
    </w:tbl>
    <w:p>
      <w:pPr>
        <w:spacing w:before="156" w:beforeLines="50" w:after="156" w:afterLines="50" w:line="360" w:lineRule="auto"/>
        <w:jc w:val="left"/>
        <w:rPr>
          <w:rFonts w:hint="eastAsia" w:ascii="Times New Roman" w:hAnsi="Times New Roman" w:eastAsia="宋体" w:cs="Times New Roman"/>
          <w:color w:val="auto"/>
          <w:sz w:val="24"/>
          <w:lang w:eastAsia="zh-CN"/>
        </w:rPr>
        <w:sectPr>
          <w:pgSz w:w="11906" w:h="16838"/>
          <w:pgMar w:top="1440" w:right="1800" w:bottom="1440" w:left="1800" w:header="851" w:footer="992" w:gutter="0"/>
          <w:pgNumType w:fmt="numberInDash"/>
          <w:cols w:space="425" w:num="1"/>
          <w:docGrid w:type="lines" w:linePitch="312" w:charSpace="0"/>
        </w:sectPr>
      </w:pPr>
    </w:p>
    <w:p>
      <w:pPr>
        <w:spacing w:before="156" w:beforeLines="50" w:after="156" w:afterLines="50" w:line="360" w:lineRule="auto"/>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附图1</w:t>
      </w:r>
    </w:p>
    <w:p>
      <w:pPr>
        <w:spacing w:before="156" w:beforeLines="50" w:after="156" w:afterLines="50" w:line="360" w:lineRule="auto"/>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9399270" cy="12797790"/>
            <wp:effectExtent l="0" t="0" r="11430" b="3810"/>
            <wp:docPr id="36" name="图片 36" descr="株洲市-茶陵县地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株洲市-茶陵县地图_副本"/>
                    <pic:cNvPicPr>
                      <a:picLocks noChangeAspect="1"/>
                    </pic:cNvPicPr>
                  </pic:nvPicPr>
                  <pic:blipFill>
                    <a:blip r:embed="rId69"/>
                    <a:srcRect r="337"/>
                    <a:stretch>
                      <a:fillRect/>
                    </a:stretch>
                  </pic:blipFill>
                  <pic:spPr>
                    <a:xfrm>
                      <a:off x="0" y="0"/>
                      <a:ext cx="9399270" cy="12797790"/>
                    </a:xfrm>
                    <a:prstGeom prst="rect">
                      <a:avLst/>
                    </a:prstGeom>
                  </pic:spPr>
                </pic:pic>
              </a:graphicData>
            </a:graphic>
          </wp:inline>
        </w:drawing>
      </w:r>
    </w:p>
    <w:p>
      <w:pPr>
        <w:spacing w:before="156" w:beforeLines="50" w:after="156" w:afterLines="50" w:line="360" w:lineRule="auto"/>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t>项目地理位置图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黑体" w:cs="Times New Roman"/>
          <w:color w:val="auto"/>
          <w:sz w:val="24"/>
          <w:szCs w:val="32"/>
        </w:rPr>
        <w:sectPr>
          <w:footerReference r:id="rId6" w:type="default"/>
          <w:pgSz w:w="16783" w:h="23757"/>
          <w:pgMar w:top="720" w:right="720" w:bottom="720" w:left="720" w:header="851" w:footer="992" w:gutter="0"/>
          <w:pgNumType w:fmt="numberInDash"/>
          <w:cols w:space="425" w:num="1"/>
          <w:docGrid w:type="lines" w:linePitch="312" w:charSpace="0"/>
        </w:sectPr>
      </w:pPr>
      <w:bookmarkStart w:id="146" w:name="OLE_LINK50"/>
    </w:p>
    <w:bookmarkEnd w:id="146"/>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附图2</w:t>
      </w:r>
    </w:p>
    <w:p>
      <w:pPr>
        <w:spacing w:before="156" w:beforeLines="50" w:after="156" w:afterLines="50" w:line="360" w:lineRule="auto"/>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drawing>
          <wp:inline distT="0" distB="0" distL="114300" distR="114300">
            <wp:extent cx="7912100" cy="5329555"/>
            <wp:effectExtent l="0" t="0" r="12700" b="4445"/>
            <wp:docPr id="2" name="图片 2" descr="500m范围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00m范围红线图"/>
                    <pic:cNvPicPr>
                      <a:picLocks noChangeAspect="1"/>
                    </pic:cNvPicPr>
                  </pic:nvPicPr>
                  <pic:blipFill>
                    <a:blip r:embed="rId70"/>
                    <a:srcRect t="2702" b="2079"/>
                    <a:stretch>
                      <a:fillRect/>
                    </a:stretch>
                  </pic:blipFill>
                  <pic:spPr>
                    <a:xfrm>
                      <a:off x="0" y="0"/>
                      <a:ext cx="7912100" cy="5329555"/>
                    </a:xfrm>
                    <a:prstGeom prst="rect">
                      <a:avLst/>
                    </a:prstGeom>
                  </pic:spPr>
                </pic:pic>
              </a:graphicData>
            </a:graphic>
          </wp:inline>
        </w:drawing>
      </w:r>
    </w:p>
    <w:p>
      <w:pPr>
        <w:spacing w:line="360" w:lineRule="auto"/>
        <w:jc w:val="center"/>
        <w:rPr>
          <w:rFonts w:hint="default" w:ascii="Times New Roman" w:hAnsi="Times New Roman" w:eastAsia="黑体" w:cs="Times New Roman"/>
          <w:color w:val="auto"/>
          <w:sz w:val="24"/>
          <w:szCs w:val="32"/>
        </w:rPr>
        <w:sectPr>
          <w:pgSz w:w="16783" w:h="11850" w:orient="landscape"/>
          <w:pgMar w:top="720" w:right="720" w:bottom="720" w:left="720" w:header="851" w:footer="992" w:gutter="0"/>
          <w:pgNumType w:fmt="numberInDash"/>
          <w:cols w:space="425" w:num="1"/>
          <w:docGrid w:type="lines" w:linePitch="312" w:charSpace="0"/>
        </w:sectPr>
      </w:pPr>
      <w:r>
        <w:rPr>
          <w:rFonts w:hint="default" w:ascii="Times New Roman" w:hAnsi="Times New Roman" w:eastAsia="黑体" w:cs="Times New Roman"/>
          <w:color w:val="auto"/>
          <w:sz w:val="24"/>
          <w:szCs w:val="32"/>
        </w:rPr>
        <w:t>发射塔半径500m范围（红线内）现状图</w:t>
      </w: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附图3</w:t>
      </w:r>
    </w:p>
    <w:p>
      <w:pPr>
        <w:widowControl/>
        <w:jc w:val="center"/>
        <w:rPr>
          <w:rFonts w:hint="default" w:ascii="Times New Roman" w:hAnsi="Times New Roman" w:cs="Times New Roman"/>
          <w:color w:val="auto"/>
        </w:rPr>
      </w:pPr>
      <w:r>
        <w:rPr>
          <w:rFonts w:hint="default" w:ascii="Times New Roman" w:hAnsi="Times New Roman" w:cs="Times New Roman"/>
          <w:color w:val="auto"/>
          <w:kern w:val="0"/>
          <w:sz w:val="24"/>
          <w:lang w:bidi="ar"/>
        </w:rPr>
        <w:fldChar w:fldCharType="begin"/>
      </w:r>
      <w:r>
        <w:rPr>
          <w:rFonts w:hint="default" w:ascii="Times New Roman" w:hAnsi="Times New Roman" w:cs="Times New Roman"/>
          <w:color w:val="auto"/>
          <w:kern w:val="0"/>
          <w:sz w:val="24"/>
          <w:lang w:bidi="ar"/>
        </w:rPr>
        <w:instrText xml:space="preserve">INCLUDEPICTURE \d "D:\\QQ文件\\472092578\\Image\\C2C\\3P537CQ24%)X9@C@7{_SK74.jpg" \* MERGEFORMATINET </w:instrText>
      </w:r>
      <w:r>
        <w:rPr>
          <w:rFonts w:hint="default" w:ascii="Times New Roman" w:hAnsi="Times New Roman" w:cs="Times New Roman"/>
          <w:color w:val="auto"/>
          <w:kern w:val="0"/>
          <w:sz w:val="24"/>
          <w:lang w:bidi="ar"/>
        </w:rPr>
        <w:fldChar w:fldCharType="separate"/>
      </w:r>
      <w:r>
        <w:rPr>
          <w:rFonts w:hint="default" w:ascii="Times New Roman" w:hAnsi="Times New Roman" w:cs="Times New Roman"/>
          <w:color w:val="auto"/>
          <w:kern w:val="0"/>
          <w:sz w:val="24"/>
        </w:rPr>
        <w:drawing>
          <wp:inline distT="0" distB="0" distL="114300" distR="114300">
            <wp:extent cx="12446635" cy="8608060"/>
            <wp:effectExtent l="0" t="0" r="12065" b="2540"/>
            <wp:docPr id="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56"/>
                    <pic:cNvPicPr>
                      <a:picLocks noChangeAspect="1"/>
                    </pic:cNvPicPr>
                  </pic:nvPicPr>
                  <pic:blipFill>
                    <a:blip r:embed="rId71"/>
                    <a:srcRect l="2698" t="4523" r="2995" b="4336"/>
                    <a:stretch>
                      <a:fillRect/>
                    </a:stretch>
                  </pic:blipFill>
                  <pic:spPr>
                    <a:xfrm>
                      <a:off x="0" y="0"/>
                      <a:ext cx="12446635" cy="8608060"/>
                    </a:xfrm>
                    <a:prstGeom prst="rect">
                      <a:avLst/>
                    </a:prstGeom>
                    <a:noFill/>
                    <a:ln w="9525">
                      <a:noFill/>
                    </a:ln>
                  </pic:spPr>
                </pic:pic>
              </a:graphicData>
            </a:graphic>
          </wp:inline>
        </w:drawing>
      </w:r>
      <w:r>
        <w:rPr>
          <w:rFonts w:hint="default" w:ascii="Times New Roman" w:hAnsi="Times New Roman" w:cs="Times New Roman"/>
          <w:color w:val="auto"/>
          <w:kern w:val="0"/>
          <w:sz w:val="24"/>
          <w:lang w:bidi="ar"/>
        </w:rPr>
        <w:fldChar w:fldCharType="end"/>
      </w:r>
    </w:p>
    <w:p>
      <w:pPr>
        <w:jc w:val="center"/>
        <w:rPr>
          <w:rFonts w:hint="default" w:ascii="Times New Roman" w:hAnsi="Times New Roman" w:eastAsia="黑体" w:cs="Times New Roman"/>
          <w:color w:val="auto"/>
          <w:sz w:val="24"/>
          <w:szCs w:val="32"/>
        </w:rPr>
      </w:pPr>
      <w:bookmarkStart w:id="147" w:name="OLE_LINK2"/>
      <w:r>
        <w:rPr>
          <w:rFonts w:hint="default" w:ascii="Times New Roman" w:hAnsi="Times New Roman" w:eastAsia="黑体" w:cs="Times New Roman"/>
          <w:color w:val="auto"/>
          <w:sz w:val="24"/>
          <w:szCs w:val="32"/>
        </w:rPr>
        <w:t>项目平面布局图</w:t>
      </w:r>
    </w:p>
    <w:bookmarkEnd w:id="147"/>
    <w:p>
      <w:pPr>
        <w:jc w:val="left"/>
        <w:rPr>
          <w:rFonts w:hint="default" w:ascii="Times New Roman" w:hAnsi="Times New Roman" w:cs="Times New Roman"/>
          <w:color w:val="auto"/>
          <w:kern w:val="0"/>
          <w:sz w:val="24"/>
          <w:lang w:bidi="ar"/>
        </w:rPr>
      </w:pPr>
      <w:r>
        <w:rPr>
          <w:rFonts w:hint="default" w:ascii="Times New Roman" w:hAnsi="Times New Roman" w:eastAsia="黑体" w:cs="Times New Roman"/>
          <w:color w:val="auto"/>
          <w:sz w:val="24"/>
        </w:rPr>
        <w:t>附图4</w:t>
      </w:r>
      <w:r>
        <w:rPr>
          <w:rFonts w:hint="default" w:ascii="Times New Roman" w:hAnsi="Times New Roman" w:cs="Times New Roman"/>
          <w:color w:val="auto"/>
          <w:kern w:val="0"/>
          <w:sz w:val="24"/>
          <w:lang w:bidi="ar"/>
        </w:rPr>
        <w:fldChar w:fldCharType="begin"/>
      </w:r>
      <w:r>
        <w:rPr>
          <w:rFonts w:hint="default" w:ascii="Times New Roman" w:hAnsi="Times New Roman" w:cs="Times New Roman"/>
          <w:color w:val="auto"/>
          <w:kern w:val="0"/>
          <w:sz w:val="24"/>
          <w:lang w:bidi="ar"/>
        </w:rPr>
        <w:instrText xml:space="preserve">INCLUDEPICTURE \d "D:\\QQ文件\\472092578\\Image\\C2C\\B}}V50$10(5P_T0X_~%P1)P.jpg" \* MERGEFORMATINET </w:instrText>
      </w:r>
      <w:r>
        <w:rPr>
          <w:rFonts w:hint="default" w:ascii="Times New Roman" w:hAnsi="Times New Roman" w:cs="Times New Roman"/>
          <w:color w:val="auto"/>
          <w:kern w:val="0"/>
          <w:sz w:val="24"/>
          <w:lang w:bidi="ar"/>
        </w:rPr>
        <w:fldChar w:fldCharType="separate"/>
      </w:r>
    </w:p>
    <w:p>
      <w:pPr>
        <w:widowControl/>
        <w:jc w:val="center"/>
        <w:rPr>
          <w:rFonts w:hint="default" w:ascii="Times New Roman" w:hAnsi="Times New Roman" w:cs="Times New Roman"/>
          <w:color w:val="auto"/>
        </w:rPr>
      </w:pPr>
      <w:r>
        <w:rPr>
          <w:rFonts w:hint="default" w:ascii="Times New Roman" w:hAnsi="Times New Roman" w:cs="Times New Roman"/>
          <w:color w:val="auto"/>
          <w:kern w:val="0"/>
          <w:sz w:val="24"/>
        </w:rPr>
        <w:drawing>
          <wp:inline distT="0" distB="0" distL="114300" distR="114300">
            <wp:extent cx="12411710" cy="8652510"/>
            <wp:effectExtent l="0" t="0" r="8890" b="15240"/>
            <wp:docPr id="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56"/>
                    <pic:cNvPicPr>
                      <a:picLocks noChangeAspect="1"/>
                    </pic:cNvPicPr>
                  </pic:nvPicPr>
                  <pic:blipFill>
                    <a:blip r:embed="rId72"/>
                    <a:srcRect l="4225" t="8066" r="6298" b="5175"/>
                    <a:stretch>
                      <a:fillRect/>
                    </a:stretch>
                  </pic:blipFill>
                  <pic:spPr>
                    <a:xfrm>
                      <a:off x="0" y="0"/>
                      <a:ext cx="12411710" cy="8652510"/>
                    </a:xfrm>
                    <a:prstGeom prst="rect">
                      <a:avLst/>
                    </a:prstGeom>
                    <a:noFill/>
                    <a:ln w="9525">
                      <a:noFill/>
                    </a:ln>
                  </pic:spPr>
                </pic:pic>
              </a:graphicData>
            </a:graphic>
          </wp:inline>
        </w:drawing>
      </w:r>
      <w:r>
        <w:rPr>
          <w:rFonts w:hint="default" w:ascii="Times New Roman" w:hAnsi="Times New Roman" w:cs="Times New Roman"/>
          <w:color w:val="auto"/>
          <w:kern w:val="0"/>
          <w:sz w:val="24"/>
          <w:lang w:bidi="ar"/>
        </w:rPr>
        <w:fldChar w:fldCharType="end"/>
      </w:r>
    </w:p>
    <w:p>
      <w:pPr>
        <w:jc w:val="center"/>
        <w:rPr>
          <w:rFonts w:hint="default" w:ascii="Times New Roman" w:hAnsi="Times New Roman" w:eastAsia="黑体" w:cs="Times New Roman"/>
          <w:color w:val="auto"/>
          <w:sz w:val="24"/>
          <w:lang w:val="en-US" w:eastAsia="zh-CN"/>
        </w:rPr>
        <w:sectPr>
          <w:pgSz w:w="23757" w:h="16783" w:orient="landscape"/>
          <w:pgMar w:top="720" w:right="720" w:bottom="720" w:left="720" w:header="851" w:footer="992" w:gutter="0"/>
          <w:pgNumType w:fmt="numberInDash"/>
          <w:cols w:space="425" w:num="1"/>
          <w:docGrid w:type="lines" w:linePitch="312" w:charSpace="0"/>
        </w:sectPr>
      </w:pPr>
      <w:bookmarkStart w:id="148" w:name="OLE_LINK47"/>
      <w:r>
        <w:rPr>
          <w:rFonts w:hint="default" w:ascii="Times New Roman" w:hAnsi="Times New Roman" w:eastAsia="黑体" w:cs="Times New Roman"/>
          <w:color w:val="auto"/>
          <w:sz w:val="24"/>
          <w:szCs w:val="32"/>
        </w:rPr>
        <w:t>总平面布局图</w:t>
      </w:r>
      <w:bookmarkEnd w:id="148"/>
    </w:p>
    <w:p>
      <w:pPr>
        <w:jc w:val="left"/>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t>附图</w:t>
      </w:r>
      <w:r>
        <w:rPr>
          <w:rFonts w:hint="default" w:ascii="Times New Roman" w:hAnsi="Times New Roman" w:eastAsia="黑体" w:cs="Times New Roman"/>
          <w:color w:val="auto"/>
          <w:sz w:val="24"/>
          <w:lang w:val="en-US" w:eastAsia="zh-CN"/>
        </w:rPr>
        <w:t>5</w:t>
      </w:r>
    </w:p>
    <w:p>
      <w:pPr>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drawing>
          <wp:inline distT="0" distB="0" distL="114300" distR="114300">
            <wp:extent cx="5998210" cy="8508365"/>
            <wp:effectExtent l="0" t="0" r="2540" b="6985"/>
            <wp:docPr id="62" name="图片 62" descr="5功能分区图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功能分区图_副本_副本"/>
                    <pic:cNvPicPr>
                      <a:picLocks noChangeAspect="1"/>
                    </pic:cNvPicPr>
                  </pic:nvPicPr>
                  <pic:blipFill>
                    <a:blip r:embed="rId73"/>
                    <a:stretch>
                      <a:fillRect/>
                    </a:stretch>
                  </pic:blipFill>
                  <pic:spPr>
                    <a:xfrm>
                      <a:off x="0" y="0"/>
                      <a:ext cx="5998210" cy="8508365"/>
                    </a:xfrm>
                    <a:prstGeom prst="rect">
                      <a:avLst/>
                    </a:prstGeom>
                  </pic:spPr>
                </pic:pic>
              </a:graphicData>
            </a:graphic>
          </wp:inline>
        </w:drawing>
      </w:r>
    </w:p>
    <w:p>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云阳旅游总体规划-功能分区图</w:t>
      </w:r>
    </w:p>
    <w:p>
      <w:pPr>
        <w:spacing w:before="156" w:beforeLines="50" w:after="156" w:afterLines="50" w:line="360" w:lineRule="auto"/>
        <w:jc w:val="center"/>
        <w:rPr>
          <w:rFonts w:hint="default" w:ascii="Times New Roman" w:hAnsi="Times New Roman" w:eastAsia="黑体" w:cs="Times New Roman"/>
          <w:color w:val="auto"/>
          <w:sz w:val="24"/>
        </w:rPr>
        <w:sectPr>
          <w:pgSz w:w="11906" w:h="16838"/>
          <w:pgMar w:top="720" w:right="720" w:bottom="720" w:left="720" w:header="851" w:footer="992" w:gutter="0"/>
          <w:pgNumType w:fmt="numberInDash"/>
          <w:cols w:space="425" w:num="1"/>
          <w:docGrid w:type="lines" w:linePitch="312" w:charSpace="0"/>
        </w:sectPr>
      </w:pPr>
    </w:p>
    <w:p>
      <w:pPr>
        <w:spacing w:before="156" w:beforeLines="50" w:after="156" w:afterLines="50" w:line="360" w:lineRule="auto"/>
        <w:jc w:val="left"/>
        <w:rPr>
          <w:rFonts w:hint="default" w:ascii="Times New Roman" w:hAnsi="Times New Roman" w:eastAsia="黑体" w:cs="Times New Roman"/>
          <w:color w:val="auto"/>
          <w:sz w:val="24"/>
          <w:szCs w:val="32"/>
          <w:lang w:eastAsia="zh-CN"/>
        </w:rPr>
      </w:pPr>
      <w:bookmarkStart w:id="149" w:name="OLE_LINK5"/>
      <w:r>
        <w:rPr>
          <w:rFonts w:hint="default" w:ascii="Times New Roman" w:hAnsi="Times New Roman" w:eastAsia="黑体" w:cs="Times New Roman"/>
          <w:color w:val="auto"/>
          <w:sz w:val="24"/>
          <w:szCs w:val="32"/>
          <w:lang w:eastAsia="zh-CN"/>
        </w:rPr>
        <w:t>附图</w:t>
      </w:r>
      <w:r>
        <w:rPr>
          <w:rFonts w:hint="default" w:ascii="Times New Roman" w:hAnsi="Times New Roman" w:eastAsia="黑体" w:cs="Times New Roman"/>
          <w:color w:val="auto"/>
          <w:sz w:val="24"/>
          <w:szCs w:val="32"/>
          <w:lang w:val="en-US" w:eastAsia="zh-CN"/>
        </w:rPr>
        <w:t>6</w:t>
      </w:r>
    </w:p>
    <w:p>
      <w:pPr>
        <w:spacing w:before="156" w:beforeLines="50" w:after="156" w:afterLines="50"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19065" cy="5312410"/>
            <wp:effectExtent l="0" t="0" r="635" b="254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74"/>
                    <a:srcRect t="4344"/>
                    <a:stretch>
                      <a:fillRect/>
                    </a:stretch>
                  </pic:blipFill>
                  <pic:spPr>
                    <a:xfrm>
                      <a:off x="0" y="0"/>
                      <a:ext cx="5219065" cy="5312410"/>
                    </a:xfrm>
                    <a:prstGeom prst="rect">
                      <a:avLst/>
                    </a:prstGeom>
                    <a:noFill/>
                    <a:ln w="9525">
                      <a:noFill/>
                    </a:ln>
                  </pic:spPr>
                </pic:pic>
              </a:graphicData>
            </a:graphic>
          </wp:inline>
        </w:drawing>
      </w:r>
      <w:bookmarkEnd w:id="149"/>
    </w:p>
    <w:p>
      <w:pPr>
        <w:spacing w:before="156" w:beforeLines="50" w:after="156" w:afterLines="50" w:line="360" w:lineRule="auto"/>
        <w:jc w:val="center"/>
        <w:rPr>
          <w:rFonts w:hint="default" w:ascii="Times New Roman" w:hAnsi="Times New Roman" w:eastAsia="黑体" w:cs="Times New Roman"/>
          <w:color w:val="auto"/>
          <w:sz w:val="24"/>
          <w:szCs w:val="32"/>
        </w:rPr>
      </w:pPr>
      <w:bookmarkStart w:id="150" w:name="OLE_LINK48"/>
      <w:r>
        <w:rPr>
          <w:rFonts w:hint="default" w:ascii="Times New Roman" w:hAnsi="Times New Roman" w:eastAsia="黑体" w:cs="Times New Roman"/>
          <w:color w:val="auto"/>
          <w:sz w:val="24"/>
          <w:szCs w:val="32"/>
        </w:rPr>
        <w:t>电磁辐射监测布点图</w:t>
      </w:r>
    </w:p>
    <w:bookmarkEnd w:id="150"/>
    <w:p>
      <w:pPr>
        <w:spacing w:before="156" w:beforeLines="50" w:after="156" w:afterLines="50"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623810" cy="5393055"/>
            <wp:effectExtent l="0" t="0" r="15240" b="1714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75"/>
                    <a:stretch>
                      <a:fillRect/>
                    </a:stretch>
                  </pic:blipFill>
                  <pic:spPr>
                    <a:xfrm>
                      <a:off x="0" y="0"/>
                      <a:ext cx="7623810" cy="5393055"/>
                    </a:xfrm>
                    <a:prstGeom prst="rect">
                      <a:avLst/>
                    </a:prstGeom>
                    <a:noFill/>
                    <a:ln w="9525">
                      <a:noFill/>
                    </a:ln>
                  </pic:spPr>
                </pic:pic>
              </a:graphicData>
            </a:graphic>
          </wp:inline>
        </w:drawing>
      </w:r>
    </w:p>
    <w:p>
      <w:pPr>
        <w:spacing w:before="156" w:beforeLines="50" w:after="156" w:afterLines="50" w:line="360" w:lineRule="auto"/>
        <w:jc w:val="center"/>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电磁辐射监测布点图</w:t>
      </w:r>
    </w:p>
    <w:p>
      <w:pPr>
        <w:spacing w:before="156" w:beforeLines="50" w:after="156" w:afterLines="50" w:line="360" w:lineRule="auto"/>
        <w:jc w:val="left"/>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t>附图</w:t>
      </w:r>
      <w:r>
        <w:rPr>
          <w:rFonts w:hint="default" w:ascii="Times New Roman" w:hAnsi="Times New Roman" w:eastAsia="黑体" w:cs="Times New Roman"/>
          <w:color w:val="auto"/>
          <w:sz w:val="24"/>
          <w:lang w:val="en-US" w:eastAsia="zh-CN"/>
        </w:rPr>
        <w:t>7</w:t>
      </w:r>
    </w:p>
    <w:p>
      <w:pPr>
        <w:spacing w:before="156" w:beforeLines="50" w:after="156" w:afterLines="50" w:line="360" w:lineRule="auto"/>
        <w:jc w:val="center"/>
        <w:rPr>
          <w:rFonts w:hint="default" w:ascii="Times New Roman" w:hAnsi="Times New Roman" w:cs="Times New Roman"/>
          <w:color w:val="auto"/>
        </w:rPr>
      </w:pPr>
      <w:bookmarkStart w:id="151" w:name="OLE_LINK21"/>
      <w:r>
        <w:rPr>
          <w:rFonts w:hint="default" w:ascii="Times New Roman" w:hAnsi="Times New Roman" w:cs="Times New Roman"/>
          <w:color w:val="auto"/>
        </w:rPr>
        <w:drawing>
          <wp:inline distT="0" distB="0" distL="114300" distR="114300">
            <wp:extent cx="5075555" cy="4996180"/>
            <wp:effectExtent l="0" t="0" r="10795" b="1397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76"/>
                    <a:srcRect t="4936"/>
                    <a:stretch>
                      <a:fillRect/>
                    </a:stretch>
                  </pic:blipFill>
                  <pic:spPr>
                    <a:xfrm>
                      <a:off x="0" y="0"/>
                      <a:ext cx="5075555" cy="4996180"/>
                    </a:xfrm>
                    <a:prstGeom prst="rect">
                      <a:avLst/>
                    </a:prstGeom>
                    <a:noFill/>
                    <a:ln w="9525">
                      <a:noFill/>
                    </a:ln>
                  </pic:spPr>
                </pic:pic>
              </a:graphicData>
            </a:graphic>
          </wp:inline>
        </w:drawing>
      </w:r>
      <w:bookmarkEnd w:id="151"/>
    </w:p>
    <w:p>
      <w:pPr>
        <w:spacing w:before="156" w:beforeLines="50" w:after="156" w:afterLines="50" w:line="360" w:lineRule="auto"/>
        <w:jc w:val="center"/>
        <w:rPr>
          <w:rFonts w:hint="default" w:ascii="Times New Roman" w:hAnsi="Times New Roman" w:eastAsia="黑体" w:cs="Times New Roman"/>
          <w:color w:val="auto"/>
          <w:sz w:val="24"/>
          <w:szCs w:val="32"/>
        </w:rPr>
      </w:pPr>
      <w:bookmarkStart w:id="152" w:name="OLE_LINK49"/>
      <w:r>
        <w:rPr>
          <w:rFonts w:hint="default" w:ascii="Times New Roman" w:hAnsi="Times New Roman" w:eastAsia="黑体" w:cs="Times New Roman"/>
          <w:color w:val="auto"/>
          <w:sz w:val="24"/>
          <w:szCs w:val="32"/>
        </w:rPr>
        <w:t>噪声监测布点图</w:t>
      </w:r>
    </w:p>
    <w:bookmarkEnd w:id="152"/>
    <w:p>
      <w:pPr>
        <w:spacing w:before="156" w:beforeLines="50" w:after="156" w:afterLines="50" w:line="360" w:lineRule="auto"/>
        <w:jc w:val="left"/>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t>附图</w:t>
      </w:r>
      <w:r>
        <w:rPr>
          <w:rFonts w:hint="default" w:ascii="Times New Roman" w:hAnsi="Times New Roman" w:eastAsia="黑体" w:cs="Times New Roman"/>
          <w:color w:val="auto"/>
          <w:sz w:val="24"/>
          <w:lang w:val="en-US" w:eastAsia="zh-CN"/>
        </w:rPr>
        <w:t>8</w:t>
      </w:r>
    </w:p>
    <w:tbl>
      <w:tblPr>
        <w:tblStyle w:val="16"/>
        <w:tblW w:w="15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7"/>
        <w:gridCol w:w="4616"/>
        <w:gridCol w:w="5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5" w:hRule="atLeast"/>
          <w:jc w:val="center"/>
        </w:trPr>
        <w:tc>
          <w:tcPr>
            <w:tcW w:w="5397" w:type="dxa"/>
            <w:vAlign w:val="center"/>
          </w:tcPr>
          <w:p>
            <w:pPr>
              <w:jc w:val="center"/>
              <w:rPr>
                <w:rFonts w:hint="default" w:ascii="Times New Roman" w:hAnsi="Times New Roman" w:cs="Times New Roman"/>
                <w:color w:val="auto"/>
              </w:rPr>
            </w:pPr>
            <w:bookmarkStart w:id="153" w:name="OLE_LINK9"/>
            <w:bookmarkStart w:id="154" w:name="OLE_LINK7"/>
            <w:r>
              <w:rPr>
                <w:rFonts w:hint="default" w:ascii="Times New Roman" w:hAnsi="Times New Roman" w:cs="Times New Roman"/>
                <w:color w:val="auto"/>
              </w:rPr>
              <w:drawing>
                <wp:inline distT="0" distB="0" distL="114300" distR="114300">
                  <wp:extent cx="2669540" cy="1926590"/>
                  <wp:effectExtent l="0" t="0" r="16510" b="16510"/>
                  <wp:docPr id="12" name="图片 12" descr="IMG_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365"/>
                          <pic:cNvPicPr>
                            <a:picLocks noChangeAspect="1"/>
                          </pic:cNvPicPr>
                        </pic:nvPicPr>
                        <pic:blipFill>
                          <a:blip r:embed="rId77"/>
                          <a:stretch>
                            <a:fillRect/>
                          </a:stretch>
                        </pic:blipFill>
                        <pic:spPr>
                          <a:xfrm>
                            <a:off x="0" y="0"/>
                            <a:ext cx="2669540" cy="1926590"/>
                          </a:xfrm>
                          <a:prstGeom prst="rect">
                            <a:avLst/>
                          </a:prstGeom>
                        </pic:spPr>
                      </pic:pic>
                    </a:graphicData>
                  </a:graphic>
                </wp:inline>
              </w:drawing>
            </w:r>
            <w:bookmarkEnd w:id="153"/>
          </w:p>
        </w:tc>
        <w:tc>
          <w:tcPr>
            <w:tcW w:w="4616" w:type="dxa"/>
            <w:vAlign w:val="center"/>
          </w:tcPr>
          <w:p>
            <w:pPr>
              <w:jc w:val="center"/>
              <w:rPr>
                <w:rFonts w:hint="default" w:ascii="Times New Roman" w:hAnsi="Times New Roman" w:cs="Times New Roman"/>
                <w:color w:val="auto"/>
              </w:rPr>
            </w:pPr>
            <w:bookmarkStart w:id="155" w:name="OLE_LINK17"/>
            <w:r>
              <w:rPr>
                <w:rFonts w:hint="default" w:ascii="Times New Roman" w:hAnsi="Times New Roman" w:cs="Times New Roman"/>
                <w:color w:val="auto"/>
              </w:rPr>
              <w:drawing>
                <wp:inline distT="0" distB="0" distL="114300" distR="114300">
                  <wp:extent cx="2079625" cy="2032635"/>
                  <wp:effectExtent l="0" t="0" r="15875" b="5715"/>
                  <wp:docPr id="17" name="图片 17" descr="IMG_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385"/>
                          <pic:cNvPicPr>
                            <a:picLocks noChangeAspect="1"/>
                          </pic:cNvPicPr>
                        </pic:nvPicPr>
                        <pic:blipFill>
                          <a:blip r:embed="rId78"/>
                          <a:srcRect b="23965"/>
                          <a:stretch>
                            <a:fillRect/>
                          </a:stretch>
                        </pic:blipFill>
                        <pic:spPr>
                          <a:xfrm>
                            <a:off x="0" y="0"/>
                            <a:ext cx="2079625" cy="2032635"/>
                          </a:xfrm>
                          <a:prstGeom prst="rect">
                            <a:avLst/>
                          </a:prstGeom>
                        </pic:spPr>
                      </pic:pic>
                    </a:graphicData>
                  </a:graphic>
                </wp:inline>
              </w:drawing>
            </w:r>
            <w:bookmarkEnd w:id="155"/>
          </w:p>
        </w:tc>
        <w:tc>
          <w:tcPr>
            <w:tcW w:w="5007"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339975" cy="1925320"/>
                  <wp:effectExtent l="0" t="0" r="3175" b="17780"/>
                  <wp:docPr id="15" name="图片 15" descr="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396"/>
                          <pic:cNvPicPr>
                            <a:picLocks noChangeAspect="1"/>
                          </pic:cNvPicPr>
                        </pic:nvPicPr>
                        <pic:blipFill>
                          <a:blip r:embed="rId79"/>
                          <a:srcRect l="5561" r="7994"/>
                          <a:stretch>
                            <a:fillRect/>
                          </a:stretch>
                        </pic:blipFill>
                        <pic:spPr>
                          <a:xfrm>
                            <a:off x="0" y="0"/>
                            <a:ext cx="2339975" cy="1925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0" w:hRule="atLeast"/>
          <w:jc w:val="center"/>
        </w:trPr>
        <w:tc>
          <w:tcPr>
            <w:tcW w:w="5397"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原茶陵县电信发射塔旧址</w:t>
            </w:r>
          </w:p>
        </w:tc>
        <w:tc>
          <w:tcPr>
            <w:tcW w:w="4616"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项目发射塔址北侧</w:t>
            </w:r>
          </w:p>
        </w:tc>
        <w:tc>
          <w:tcPr>
            <w:tcW w:w="5007"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项目发射塔址西北侧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5" w:hRule="atLeast"/>
          <w:jc w:val="center"/>
        </w:trPr>
        <w:tc>
          <w:tcPr>
            <w:tcW w:w="5397" w:type="dxa"/>
            <w:vAlign w:val="center"/>
          </w:tcPr>
          <w:p>
            <w:pPr>
              <w:jc w:val="center"/>
              <w:rPr>
                <w:rFonts w:hint="default" w:ascii="Times New Roman" w:hAnsi="Times New Roman" w:cs="Times New Roman"/>
                <w:color w:val="auto"/>
              </w:rPr>
            </w:pPr>
            <w:bookmarkStart w:id="156" w:name="OLE_LINK22"/>
            <w:r>
              <w:rPr>
                <w:rFonts w:hint="default" w:ascii="Times New Roman" w:hAnsi="Times New Roman" w:cs="Times New Roman"/>
                <w:color w:val="auto"/>
              </w:rPr>
              <w:drawing>
                <wp:inline distT="0" distB="0" distL="114300" distR="114300">
                  <wp:extent cx="2213610" cy="1925955"/>
                  <wp:effectExtent l="0" t="0" r="15240" b="17145"/>
                  <wp:docPr id="18" name="图片 18" descr="IMG_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379"/>
                          <pic:cNvPicPr>
                            <a:picLocks noChangeAspect="1"/>
                          </pic:cNvPicPr>
                        </pic:nvPicPr>
                        <pic:blipFill>
                          <a:blip r:embed="rId80"/>
                          <a:srcRect t="22978" b="11756"/>
                          <a:stretch>
                            <a:fillRect/>
                          </a:stretch>
                        </pic:blipFill>
                        <pic:spPr>
                          <a:xfrm>
                            <a:off x="0" y="0"/>
                            <a:ext cx="2213610" cy="1925955"/>
                          </a:xfrm>
                          <a:prstGeom prst="rect">
                            <a:avLst/>
                          </a:prstGeom>
                        </pic:spPr>
                      </pic:pic>
                    </a:graphicData>
                  </a:graphic>
                </wp:inline>
              </w:drawing>
            </w:r>
            <w:bookmarkEnd w:id="156"/>
          </w:p>
        </w:tc>
        <w:tc>
          <w:tcPr>
            <w:tcW w:w="4616" w:type="dxa"/>
            <w:vAlign w:val="center"/>
          </w:tcPr>
          <w:p>
            <w:pPr>
              <w:jc w:val="center"/>
              <w:rPr>
                <w:rFonts w:hint="default" w:ascii="Times New Roman" w:hAnsi="Times New Roman" w:cs="Times New Roman"/>
                <w:color w:val="auto"/>
              </w:rPr>
            </w:pPr>
            <w:bookmarkStart w:id="157" w:name="OLE_LINK19"/>
            <w:r>
              <w:rPr>
                <w:rFonts w:hint="default" w:ascii="Times New Roman" w:hAnsi="Times New Roman" w:cs="Times New Roman"/>
                <w:color w:val="auto"/>
              </w:rPr>
              <w:drawing>
                <wp:inline distT="0" distB="0" distL="114300" distR="114300">
                  <wp:extent cx="2424430" cy="1818640"/>
                  <wp:effectExtent l="0" t="0" r="13970" b="10160"/>
                  <wp:docPr id="16" name="图片 16" descr="IMG_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391"/>
                          <pic:cNvPicPr>
                            <a:picLocks noChangeAspect="1"/>
                          </pic:cNvPicPr>
                        </pic:nvPicPr>
                        <pic:blipFill>
                          <a:blip r:embed="rId81"/>
                          <a:stretch>
                            <a:fillRect/>
                          </a:stretch>
                        </pic:blipFill>
                        <pic:spPr>
                          <a:xfrm>
                            <a:off x="0" y="0"/>
                            <a:ext cx="2424430" cy="1818640"/>
                          </a:xfrm>
                          <a:prstGeom prst="rect">
                            <a:avLst/>
                          </a:prstGeom>
                        </pic:spPr>
                      </pic:pic>
                    </a:graphicData>
                  </a:graphic>
                </wp:inline>
              </w:drawing>
            </w:r>
            <w:bookmarkEnd w:id="157"/>
          </w:p>
        </w:tc>
        <w:tc>
          <w:tcPr>
            <w:tcW w:w="5007" w:type="dxa"/>
            <w:vAlign w:val="center"/>
          </w:tcPr>
          <w:p>
            <w:pPr>
              <w:jc w:val="center"/>
              <w:rPr>
                <w:rFonts w:hint="default" w:ascii="Times New Roman" w:hAnsi="Times New Roman" w:cs="Times New Roman"/>
                <w:color w:val="auto"/>
              </w:rPr>
            </w:pPr>
            <w:bookmarkStart w:id="158" w:name="OLE_LINK20"/>
            <w:r>
              <w:rPr>
                <w:rFonts w:hint="default" w:ascii="Times New Roman" w:hAnsi="Times New Roman" w:cs="Times New Roman"/>
                <w:color w:val="auto"/>
              </w:rPr>
              <w:drawing>
                <wp:inline distT="0" distB="0" distL="114300" distR="114300">
                  <wp:extent cx="1593850" cy="1786255"/>
                  <wp:effectExtent l="0" t="0" r="6350" b="4445"/>
                  <wp:docPr id="14" name="图片 14" descr="IMG_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382"/>
                          <pic:cNvPicPr>
                            <a:picLocks noChangeAspect="1"/>
                          </pic:cNvPicPr>
                        </pic:nvPicPr>
                        <pic:blipFill>
                          <a:blip r:embed="rId82"/>
                          <a:srcRect t="7483" b="8480"/>
                          <a:stretch>
                            <a:fillRect/>
                          </a:stretch>
                        </pic:blipFill>
                        <pic:spPr>
                          <a:xfrm>
                            <a:off x="0" y="0"/>
                            <a:ext cx="1593850" cy="1786255"/>
                          </a:xfrm>
                          <a:prstGeom prst="rect">
                            <a:avLst/>
                          </a:prstGeom>
                        </pic:spPr>
                      </pic:pic>
                    </a:graphicData>
                  </a:graphic>
                </wp:inline>
              </w:drawing>
            </w:r>
            <w:bookmarkEnd w:id="1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85" w:hRule="atLeast"/>
          <w:jc w:val="center"/>
        </w:trPr>
        <w:tc>
          <w:tcPr>
            <w:tcW w:w="5397" w:type="dxa"/>
            <w:vAlign w:val="center"/>
          </w:tcPr>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项目发射塔址东侧</w:t>
            </w:r>
          </w:p>
        </w:tc>
        <w:tc>
          <w:tcPr>
            <w:tcW w:w="4616" w:type="dxa"/>
            <w:vAlign w:val="center"/>
          </w:tcPr>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项目发射塔址西侧</w:t>
            </w:r>
          </w:p>
        </w:tc>
        <w:tc>
          <w:tcPr>
            <w:tcW w:w="5007" w:type="dxa"/>
            <w:vAlign w:val="center"/>
          </w:tcPr>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现场监测</w:t>
            </w:r>
          </w:p>
        </w:tc>
      </w:tr>
      <w:bookmarkEnd w:id="154"/>
    </w:tbl>
    <w:p>
      <w:pPr>
        <w:spacing w:before="156" w:beforeLines="50" w:after="156" w:afterLines="50" w:line="360" w:lineRule="auto"/>
        <w:jc w:val="center"/>
        <w:rPr>
          <w:rFonts w:hint="default" w:ascii="Times New Roman" w:hAnsi="Times New Roman" w:cs="Times New Roman"/>
          <w:color w:val="auto"/>
          <w:sz w:val="24"/>
          <w:szCs w:val="32"/>
        </w:rPr>
      </w:pPr>
      <w:bookmarkStart w:id="159" w:name="OLE_LINK8"/>
      <w:r>
        <w:rPr>
          <w:rFonts w:hint="default" w:ascii="Times New Roman" w:hAnsi="Times New Roman" w:eastAsia="黑体" w:cs="Times New Roman"/>
          <w:color w:val="auto"/>
          <w:sz w:val="24"/>
          <w:szCs w:val="32"/>
        </w:rPr>
        <w:t>项目现场图片</w:t>
      </w:r>
      <w:bookmarkEnd w:id="159"/>
    </w:p>
    <w:p>
      <w:pPr>
        <w:spacing w:before="156" w:beforeLines="50" w:after="156" w:afterLines="50" w:line="360" w:lineRule="auto"/>
        <w:jc w:val="left"/>
        <w:rPr>
          <w:rFonts w:hint="default" w:ascii="Times New Roman" w:hAnsi="Times New Roman" w:cs="Times New Roman"/>
          <w:color w:val="auto"/>
          <w:sz w:val="24"/>
          <w:szCs w:val="32"/>
        </w:rPr>
        <w:sectPr>
          <w:pgSz w:w="16838" w:h="11906" w:orient="landscape"/>
          <w:pgMar w:top="720" w:right="720" w:bottom="720" w:left="720" w:header="851" w:footer="992" w:gutter="0"/>
          <w:pgNumType w:fmt="numberInDash"/>
          <w:cols w:space="425" w:num="1"/>
          <w:docGrid w:type="lines" w:linePitch="312" w:charSpace="0"/>
        </w:sectPr>
      </w:pPr>
    </w:p>
    <w:p>
      <w:pPr>
        <w:jc w:val="left"/>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附件1</w:t>
      </w: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6302375" cy="8660765"/>
            <wp:effectExtent l="0" t="0" r="3175" b="6985"/>
            <wp:docPr id="22" name="图片 22"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未标题-9"/>
                    <pic:cNvPicPr>
                      <a:picLocks noChangeAspect="1"/>
                    </pic:cNvPicPr>
                  </pic:nvPicPr>
                  <pic:blipFill>
                    <a:blip r:embed="rId83"/>
                    <a:srcRect t="2310" b="550"/>
                    <a:stretch>
                      <a:fillRect/>
                    </a:stretch>
                  </pic:blipFill>
                  <pic:spPr>
                    <a:xfrm>
                      <a:off x="0" y="0"/>
                      <a:ext cx="6302375" cy="8660765"/>
                    </a:xfrm>
                    <a:prstGeom prst="rect">
                      <a:avLst/>
                    </a:prstGeom>
                  </pic:spPr>
                </pic:pic>
              </a:graphicData>
            </a:graphic>
          </wp:inline>
        </w:drawing>
      </w: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6372860" cy="9015730"/>
            <wp:effectExtent l="0" t="0" r="8890" b="13970"/>
            <wp:docPr id="23" name="图片 23" descr="未标题-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20"/>
                    <pic:cNvPicPr>
                      <a:picLocks noChangeAspect="1"/>
                    </pic:cNvPicPr>
                  </pic:nvPicPr>
                  <pic:blipFill>
                    <a:blip r:embed="rId84"/>
                    <a:stretch>
                      <a:fillRect/>
                    </a:stretch>
                  </pic:blipFill>
                  <pic:spPr>
                    <a:xfrm>
                      <a:off x="0" y="0"/>
                      <a:ext cx="6372860" cy="9015730"/>
                    </a:xfrm>
                    <a:prstGeom prst="rect">
                      <a:avLst/>
                    </a:prstGeom>
                  </pic:spPr>
                </pic:pic>
              </a:graphicData>
            </a:graphic>
          </wp:inline>
        </w:drawing>
      </w:r>
    </w:p>
    <w:p>
      <w:pPr>
        <w:jc w:val="left"/>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附件2</w:t>
      </w:r>
    </w:p>
    <w:p>
      <w:pPr>
        <w:spacing w:before="156" w:beforeLines="50" w:after="156" w:afterLines="50" w:line="360" w:lineRule="auto"/>
        <w:jc w:val="left"/>
        <w:rPr>
          <w:rFonts w:hint="default" w:ascii="Times New Roman" w:hAnsi="Times New Roman" w:cs="Times New Roman"/>
          <w:color w:val="auto"/>
          <w:sz w:val="24"/>
          <w:szCs w:val="32"/>
        </w:rPr>
      </w:pP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8310880" cy="6043930"/>
            <wp:effectExtent l="0" t="0" r="13970" b="13970"/>
            <wp:docPr id="19" name="图片 19" descr="未标题-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标题-11"/>
                    <pic:cNvPicPr>
                      <a:picLocks noChangeAspect="1"/>
                    </pic:cNvPicPr>
                  </pic:nvPicPr>
                  <pic:blipFill>
                    <a:blip r:embed="rId85"/>
                    <a:srcRect l="6324" t="12452" r="22196" b="14030"/>
                    <a:stretch>
                      <a:fillRect/>
                    </a:stretch>
                  </pic:blipFill>
                  <pic:spPr>
                    <a:xfrm rot="5400000">
                      <a:off x="0" y="0"/>
                      <a:ext cx="8310880" cy="6043930"/>
                    </a:xfrm>
                    <a:prstGeom prst="rect">
                      <a:avLst/>
                    </a:prstGeom>
                  </pic:spPr>
                </pic:pic>
              </a:graphicData>
            </a:graphic>
          </wp:inline>
        </w:drawing>
      </w:r>
    </w:p>
    <w:p>
      <w:pPr>
        <w:jc w:val="left"/>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附件3</w:t>
      </w: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6332855" cy="8544560"/>
            <wp:effectExtent l="0" t="0" r="10795" b="8890"/>
            <wp:docPr id="24" name="图片 24" descr="未标题-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未标题-13"/>
                    <pic:cNvPicPr>
                      <a:picLocks noChangeAspect="1"/>
                    </pic:cNvPicPr>
                  </pic:nvPicPr>
                  <pic:blipFill>
                    <a:blip r:embed="rId86"/>
                    <a:srcRect t="1801" b="2815"/>
                    <a:stretch>
                      <a:fillRect/>
                    </a:stretch>
                  </pic:blipFill>
                  <pic:spPr>
                    <a:xfrm>
                      <a:off x="0" y="0"/>
                      <a:ext cx="6332855" cy="8544560"/>
                    </a:xfrm>
                    <a:prstGeom prst="rect">
                      <a:avLst/>
                    </a:prstGeom>
                  </pic:spPr>
                </pic:pic>
              </a:graphicData>
            </a:graphic>
          </wp:inline>
        </w:drawing>
      </w:r>
    </w:p>
    <w:p>
      <w:pPr>
        <w:jc w:val="left"/>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附件4</w:t>
      </w: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6130925" cy="8672830"/>
            <wp:effectExtent l="0" t="0" r="3175" b="13970"/>
            <wp:docPr id="25" name="图片 25" descr="未标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未标题-10"/>
                    <pic:cNvPicPr>
                      <a:picLocks noChangeAspect="1"/>
                    </pic:cNvPicPr>
                  </pic:nvPicPr>
                  <pic:blipFill>
                    <a:blip r:embed="rId87"/>
                    <a:stretch>
                      <a:fillRect/>
                    </a:stretch>
                  </pic:blipFill>
                  <pic:spPr>
                    <a:xfrm>
                      <a:off x="0" y="0"/>
                      <a:ext cx="6130925" cy="8672830"/>
                    </a:xfrm>
                    <a:prstGeom prst="rect">
                      <a:avLst/>
                    </a:prstGeom>
                  </pic:spPr>
                </pic:pic>
              </a:graphicData>
            </a:graphic>
          </wp:inline>
        </w:drawing>
      </w: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6384290" cy="9031605"/>
            <wp:effectExtent l="0" t="0" r="16510" b="17145"/>
            <wp:docPr id="26" name="图片 26" descr="未标题-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未标题-19"/>
                    <pic:cNvPicPr>
                      <a:picLocks noChangeAspect="1"/>
                    </pic:cNvPicPr>
                  </pic:nvPicPr>
                  <pic:blipFill>
                    <a:blip r:embed="rId88"/>
                    <a:stretch>
                      <a:fillRect/>
                    </a:stretch>
                  </pic:blipFill>
                  <pic:spPr>
                    <a:xfrm>
                      <a:off x="0" y="0"/>
                      <a:ext cx="6384290" cy="9031605"/>
                    </a:xfrm>
                    <a:prstGeom prst="rect">
                      <a:avLst/>
                    </a:prstGeom>
                  </pic:spPr>
                </pic:pic>
              </a:graphicData>
            </a:graphic>
          </wp:inline>
        </w:drawing>
      </w:r>
    </w:p>
    <w:p>
      <w:pPr>
        <w:spacing w:before="156" w:beforeLines="50" w:after="156" w:afterLines="50" w:line="360" w:lineRule="auto"/>
        <w:jc w:val="left"/>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附件5</w:t>
      </w:r>
    </w:p>
    <w:p>
      <w:pPr>
        <w:spacing w:before="156" w:beforeLines="50" w:after="156" w:afterLines="50" w:line="360" w:lineRule="auto"/>
        <w:jc w:val="center"/>
        <w:rPr>
          <w:rFonts w:hint="default" w:ascii="Times New Roman" w:hAnsi="Times New Roman" w:cs="Times New Roman"/>
          <w:color w:val="auto"/>
          <w:sz w:val="24"/>
          <w:szCs w:val="32"/>
        </w:rPr>
      </w:pP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6438900" cy="8328025"/>
            <wp:effectExtent l="0" t="0" r="0" b="15875"/>
            <wp:docPr id="20" name="图片 20" descr="未标题-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标题-14"/>
                    <pic:cNvPicPr>
                      <a:picLocks noChangeAspect="1"/>
                    </pic:cNvPicPr>
                  </pic:nvPicPr>
                  <pic:blipFill>
                    <a:blip r:embed="rId89"/>
                    <a:srcRect b="8564"/>
                    <a:stretch>
                      <a:fillRect/>
                    </a:stretch>
                  </pic:blipFill>
                  <pic:spPr>
                    <a:xfrm>
                      <a:off x="0" y="0"/>
                      <a:ext cx="6438900" cy="8328025"/>
                    </a:xfrm>
                    <a:prstGeom prst="rect">
                      <a:avLst/>
                    </a:prstGeom>
                  </pic:spPr>
                </pic:pic>
              </a:graphicData>
            </a:graphic>
          </wp:inline>
        </w:drawing>
      </w:r>
    </w:p>
    <w:p>
      <w:pPr>
        <w:spacing w:before="156" w:beforeLines="50" w:after="156" w:afterLines="50" w:line="360" w:lineRule="auto"/>
        <w:jc w:val="center"/>
        <w:rPr>
          <w:rFonts w:hint="default" w:ascii="Times New Roman" w:hAnsi="Times New Roman" w:cs="Times New Roman"/>
          <w:color w:val="auto"/>
          <w:sz w:val="24"/>
          <w:szCs w:val="32"/>
        </w:rPr>
      </w:pPr>
    </w:p>
    <w:p>
      <w:pPr>
        <w:spacing w:before="156" w:beforeLines="50" w:after="156" w:afterLines="50" w:line="360" w:lineRule="auto"/>
        <w:jc w:val="center"/>
        <w:rPr>
          <w:rFonts w:hint="default" w:ascii="Times New Roman" w:hAnsi="Times New Roman" w:cs="Times New Roman"/>
          <w:color w:val="auto"/>
          <w:sz w:val="24"/>
          <w:szCs w:val="32"/>
        </w:rPr>
        <w:sectPr>
          <w:pgSz w:w="11906" w:h="16838"/>
          <w:pgMar w:top="720" w:right="720" w:bottom="720" w:left="720" w:header="851" w:footer="992" w:gutter="0"/>
          <w:pgNumType w:fmt="numberInDash"/>
          <w:cols w:space="720" w:num="1"/>
          <w:docGrid w:type="lines" w:linePitch="312" w:charSpace="0"/>
        </w:sectPr>
      </w:pPr>
      <w:r>
        <w:rPr>
          <w:rFonts w:hint="default" w:ascii="Times New Roman" w:hAnsi="Times New Roman" w:cs="Times New Roman"/>
          <w:color w:val="auto"/>
          <w:sz w:val="24"/>
          <w:szCs w:val="32"/>
        </w:rPr>
        <w:drawing>
          <wp:inline distT="0" distB="0" distL="114300" distR="114300">
            <wp:extent cx="6663055" cy="8449945"/>
            <wp:effectExtent l="0" t="0" r="4445" b="8255"/>
            <wp:docPr id="4" name="图片 4" descr="未标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5"/>
                    <pic:cNvPicPr>
                      <a:picLocks noChangeAspect="1"/>
                    </pic:cNvPicPr>
                  </pic:nvPicPr>
                  <pic:blipFill>
                    <a:blip r:embed="rId90"/>
                    <a:srcRect b="10354"/>
                    <a:stretch>
                      <a:fillRect/>
                    </a:stretch>
                  </pic:blipFill>
                  <pic:spPr>
                    <a:xfrm>
                      <a:off x="0" y="0"/>
                      <a:ext cx="6663055" cy="8449945"/>
                    </a:xfrm>
                    <a:prstGeom prst="rect">
                      <a:avLst/>
                    </a:prstGeom>
                  </pic:spPr>
                </pic:pic>
              </a:graphicData>
            </a:graphic>
          </wp:inline>
        </w:drawing>
      </w:r>
    </w:p>
    <w:p>
      <w:pPr>
        <w:spacing w:line="360" w:lineRule="auto"/>
        <w:jc w:val="left"/>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 xml:space="preserve">附件6  </w:t>
      </w:r>
    </w:p>
    <w:p>
      <w:pPr>
        <w:spacing w:before="156" w:beforeLines="50" w:after="156" w:afterLines="50" w:line="360" w:lineRule="auto"/>
        <w:jc w:val="center"/>
        <w:rPr>
          <w:rFonts w:hint="default" w:ascii="Times New Roman" w:hAnsi="Times New Roman" w:cs="Times New Roman"/>
          <w:color w:val="auto"/>
          <w:sz w:val="24"/>
          <w:szCs w:val="32"/>
        </w:rPr>
      </w:pPr>
      <w:r>
        <w:rPr>
          <w:rFonts w:hint="default" w:ascii="Times New Roman" w:hAnsi="Times New Roman" w:cs="Times New Roman"/>
          <w:color w:val="auto"/>
          <w:sz w:val="24"/>
          <w:szCs w:val="32"/>
        </w:rPr>
        <w:drawing>
          <wp:inline distT="0" distB="0" distL="114300" distR="114300">
            <wp:extent cx="5631815" cy="9055735"/>
            <wp:effectExtent l="0" t="0" r="12065" b="6985"/>
            <wp:docPr id="27" name="图片 27" descr="茶陵县选址意见书申请审批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茶陵县选址意见书申请审批表"/>
                    <pic:cNvPicPr>
                      <a:picLocks noChangeAspect="1"/>
                    </pic:cNvPicPr>
                  </pic:nvPicPr>
                  <pic:blipFill>
                    <a:blip r:embed="rId91"/>
                    <a:srcRect l="6024" r="6024"/>
                    <a:stretch>
                      <a:fillRect/>
                    </a:stretch>
                  </pic:blipFill>
                  <pic:spPr>
                    <a:xfrm rot="5400000">
                      <a:off x="0" y="0"/>
                      <a:ext cx="5631815" cy="9055735"/>
                    </a:xfrm>
                    <a:prstGeom prst="rect">
                      <a:avLst/>
                    </a:prstGeom>
                  </pic:spPr>
                </pic:pic>
              </a:graphicData>
            </a:graphic>
          </wp:inline>
        </w:drawing>
      </w:r>
    </w:p>
    <w:p>
      <w:pPr>
        <w:spacing w:before="156" w:beforeLines="50" w:after="156" w:afterLines="50" w:line="360" w:lineRule="auto"/>
        <w:jc w:val="left"/>
        <w:rPr>
          <w:rFonts w:hint="default" w:ascii="Times New Roman" w:hAnsi="Times New Roman" w:cs="Times New Roman"/>
          <w:color w:val="auto"/>
          <w:sz w:val="24"/>
          <w:szCs w:val="32"/>
        </w:rPr>
        <w:sectPr>
          <w:pgSz w:w="16838" w:h="11906" w:orient="landscape"/>
          <w:pgMar w:top="720" w:right="720" w:bottom="720" w:left="720" w:header="851" w:footer="992" w:gutter="0"/>
          <w:pgNumType w:fmt="numberInDash"/>
          <w:cols w:space="720" w:num="1"/>
          <w:docGrid w:type="lines" w:linePitch="312" w:charSpace="0"/>
        </w:sectPr>
      </w:pPr>
    </w:p>
    <w:p>
      <w:pPr>
        <w:jc w:val="left"/>
        <w:rPr>
          <w:rFonts w:hint="default" w:ascii="Times New Roman" w:hAnsi="Times New Roman" w:eastAsia="黑体" w:cs="Times New Roman"/>
          <w:color w:val="auto"/>
          <w:sz w:val="24"/>
        </w:rPr>
      </w:pPr>
      <w:r>
        <w:rPr>
          <w:rFonts w:hint="default" w:ascii="Times New Roman" w:hAnsi="Times New Roman" w:eastAsia="黑体" w:cs="Times New Roman"/>
          <w:color w:val="auto"/>
          <w:sz w:val="24"/>
          <w:szCs w:val="32"/>
        </w:rPr>
        <w:t xml:space="preserve">附件7  </w:t>
      </w:r>
    </w:p>
    <w:p>
      <w:pPr>
        <w:spacing w:before="156" w:beforeLines="50" w:after="156" w:afterLines="50"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650865" cy="8452485"/>
            <wp:effectExtent l="0" t="0" r="5715" b="6985"/>
            <wp:docPr id="33" name="图片 33" descr="会议纪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会议纪要1"/>
                    <pic:cNvPicPr>
                      <a:picLocks noChangeAspect="1"/>
                    </pic:cNvPicPr>
                  </pic:nvPicPr>
                  <pic:blipFill>
                    <a:blip r:embed="rId92"/>
                    <a:srcRect r="5447"/>
                    <a:stretch>
                      <a:fillRect/>
                    </a:stretch>
                  </pic:blipFill>
                  <pic:spPr>
                    <a:xfrm rot="5400000">
                      <a:off x="0" y="0"/>
                      <a:ext cx="5650865" cy="8452485"/>
                    </a:xfrm>
                    <a:prstGeom prst="rect">
                      <a:avLst/>
                    </a:prstGeom>
                  </pic:spPr>
                </pic:pic>
              </a:graphicData>
            </a:graphic>
          </wp:inline>
        </w:drawing>
      </w:r>
    </w:p>
    <w:p>
      <w:pPr>
        <w:spacing w:before="156" w:beforeLines="50" w:after="156" w:afterLines="50" w:line="360" w:lineRule="auto"/>
        <w:jc w:val="center"/>
        <w:rPr>
          <w:rFonts w:hint="default" w:ascii="Times New Roman" w:hAnsi="Times New Roman" w:cs="Times New Roman"/>
          <w:color w:val="auto"/>
          <w:sz w:val="24"/>
        </w:rPr>
        <w:sectPr>
          <w:pgSz w:w="16838" w:h="11906" w:orient="landscape"/>
          <w:pgMar w:top="720" w:right="720" w:bottom="720" w:left="720" w:header="851" w:footer="992" w:gutter="0"/>
          <w:pgNumType w:fmt="numberInDash"/>
          <w:cols w:space="720" w:num="1"/>
          <w:docGrid w:type="lines" w:linePitch="312" w:charSpace="0"/>
        </w:sectPr>
      </w:pPr>
    </w:p>
    <w:p>
      <w:pPr>
        <w:spacing w:before="156" w:beforeLines="50" w:after="156" w:afterLines="50" w:line="360" w:lineRule="auto"/>
        <w:jc w:val="center"/>
        <w:rPr>
          <w:rFonts w:hint="default" w:ascii="Times New Roman" w:hAnsi="Times New Roman" w:cs="Times New Roman"/>
          <w:color w:val="auto"/>
          <w:sz w:val="24"/>
        </w:rPr>
        <w:sectPr>
          <w:pgSz w:w="16838" w:h="11906" w:orient="landscape"/>
          <w:pgMar w:top="720" w:right="720" w:bottom="720" w:left="720" w:header="851" w:footer="992" w:gutter="0"/>
          <w:pgNumType w:fmt="numberInDash"/>
          <w:cols w:space="720" w:num="1"/>
          <w:docGrid w:type="lines" w:linePitch="312" w:charSpace="0"/>
        </w:sectPr>
      </w:pPr>
      <w:r>
        <w:rPr>
          <w:rFonts w:hint="default" w:ascii="Times New Roman" w:hAnsi="Times New Roman" w:cs="Times New Roman"/>
          <w:color w:val="auto"/>
          <w:sz w:val="24"/>
        </w:rPr>
        <w:drawing>
          <wp:inline distT="0" distB="0" distL="114300" distR="114300">
            <wp:extent cx="6060440" cy="8570595"/>
            <wp:effectExtent l="0" t="0" r="1905" b="16510"/>
            <wp:docPr id="29" name="图片 29" descr="会议纪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会议纪要2"/>
                    <pic:cNvPicPr>
                      <a:picLocks noChangeAspect="1"/>
                    </pic:cNvPicPr>
                  </pic:nvPicPr>
                  <pic:blipFill>
                    <a:blip r:embed="rId93"/>
                    <a:stretch>
                      <a:fillRect/>
                    </a:stretch>
                  </pic:blipFill>
                  <pic:spPr>
                    <a:xfrm rot="5400000">
                      <a:off x="0" y="0"/>
                      <a:ext cx="6060440" cy="8570595"/>
                    </a:xfrm>
                    <a:prstGeom prst="rect">
                      <a:avLst/>
                    </a:prstGeom>
                  </pic:spPr>
                </pic:pic>
              </a:graphicData>
            </a:graphic>
          </wp:inline>
        </w:drawing>
      </w:r>
    </w:p>
    <w:p>
      <w:pPr>
        <w:jc w:val="left"/>
        <w:rPr>
          <w:rFonts w:hint="default" w:ascii="Times New Roman" w:hAnsi="Times New Roman" w:eastAsia="黑体" w:cs="Times New Roman"/>
          <w:color w:val="auto"/>
          <w:sz w:val="24"/>
          <w:szCs w:val="32"/>
          <w:lang w:val="en-US" w:eastAsia="zh-CN"/>
        </w:rPr>
      </w:pPr>
      <w:r>
        <w:rPr>
          <w:rFonts w:hint="default" w:ascii="Times New Roman" w:hAnsi="Times New Roman" w:eastAsia="黑体" w:cs="Times New Roman"/>
          <w:color w:val="auto"/>
          <w:sz w:val="24"/>
          <w:szCs w:val="32"/>
          <w:lang w:eastAsia="zh-CN"/>
        </w:rPr>
        <w:t>附件</w:t>
      </w:r>
      <w:r>
        <w:rPr>
          <w:rFonts w:hint="eastAsia" w:eastAsia="黑体" w:cs="Times New Roman"/>
          <w:color w:val="auto"/>
          <w:sz w:val="24"/>
          <w:szCs w:val="32"/>
          <w:lang w:val="en-US" w:eastAsia="zh-CN"/>
        </w:rPr>
        <w:t>8</w:t>
      </w:r>
    </w:p>
    <w:p>
      <w:pPr>
        <w:jc w:val="center"/>
        <w:rPr>
          <w:rFonts w:hint="default" w:ascii="Times New Roman" w:hAnsi="Times New Roman" w:eastAsia="黑体" w:cs="Times New Roman"/>
          <w:color w:val="auto"/>
          <w:sz w:val="24"/>
          <w:szCs w:val="32"/>
          <w:lang w:val="en-US" w:eastAsia="zh-CN"/>
        </w:rPr>
      </w:pPr>
      <w:r>
        <w:rPr>
          <w:rFonts w:hint="default" w:ascii="Times New Roman" w:hAnsi="Times New Roman" w:eastAsia="黑体" w:cs="Times New Roman"/>
          <w:color w:val="auto"/>
          <w:sz w:val="24"/>
          <w:szCs w:val="32"/>
          <w:lang w:val="en-US" w:eastAsia="zh-CN"/>
        </w:rPr>
        <w:drawing>
          <wp:inline distT="0" distB="0" distL="114300" distR="114300">
            <wp:extent cx="7526020" cy="5321300"/>
            <wp:effectExtent l="0" t="0" r="12700" b="17780"/>
            <wp:docPr id="39" name="图片 39" descr="质量保证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质量保证单"/>
                    <pic:cNvPicPr>
                      <a:picLocks noChangeAspect="1"/>
                    </pic:cNvPicPr>
                  </pic:nvPicPr>
                  <pic:blipFill>
                    <a:blip r:embed="rId94"/>
                    <a:stretch>
                      <a:fillRect/>
                    </a:stretch>
                  </pic:blipFill>
                  <pic:spPr>
                    <a:xfrm rot="5400000">
                      <a:off x="0" y="0"/>
                      <a:ext cx="7526020" cy="5321300"/>
                    </a:xfrm>
                    <a:prstGeom prst="rect">
                      <a:avLst/>
                    </a:prstGeom>
                  </pic:spPr>
                </pic:pic>
              </a:graphicData>
            </a:graphic>
          </wp:inline>
        </w:drawing>
      </w:r>
    </w:p>
    <w:p>
      <w:pPr>
        <w:jc w:val="center"/>
        <w:rPr>
          <w:rFonts w:hint="default" w:ascii="Times New Roman" w:hAnsi="Times New Roman" w:eastAsia="黑体" w:cs="Times New Roman"/>
          <w:color w:val="auto"/>
          <w:sz w:val="24"/>
          <w:szCs w:val="32"/>
        </w:rPr>
      </w:pPr>
    </w:p>
    <w:p>
      <w:pPr>
        <w:jc w:val="center"/>
        <w:rPr>
          <w:rFonts w:hint="default" w:ascii="Times New Roman" w:hAnsi="Times New Roman" w:eastAsia="黑体" w:cs="Times New Roman"/>
          <w:color w:val="auto"/>
          <w:sz w:val="24"/>
          <w:szCs w:val="32"/>
        </w:rPr>
      </w:pPr>
    </w:p>
    <w:p>
      <w:pPr>
        <w:jc w:val="center"/>
        <w:rPr>
          <w:rFonts w:hint="default" w:ascii="Times New Roman" w:hAnsi="Times New Roman" w:eastAsia="黑体" w:cs="Times New Roman"/>
          <w:color w:val="auto"/>
          <w:sz w:val="24"/>
          <w:szCs w:val="32"/>
        </w:rPr>
      </w:pPr>
    </w:p>
    <w:p>
      <w:pPr>
        <w:jc w:val="center"/>
        <w:rPr>
          <w:rFonts w:hint="default" w:ascii="Times New Roman" w:hAnsi="Times New Roman" w:eastAsia="黑体" w:cs="Times New Roman"/>
          <w:color w:val="auto"/>
          <w:sz w:val="24"/>
          <w:szCs w:val="32"/>
        </w:rPr>
      </w:pPr>
    </w:p>
    <w:p>
      <w:pPr>
        <w:jc w:val="center"/>
        <w:rPr>
          <w:rFonts w:hint="default" w:ascii="Times New Roman" w:hAnsi="Times New Roman" w:eastAsia="黑体" w:cs="Times New Roman"/>
          <w:color w:val="auto"/>
          <w:sz w:val="24"/>
          <w:szCs w:val="32"/>
        </w:rPr>
      </w:pPr>
    </w:p>
    <w:p>
      <w:pPr>
        <w:jc w:val="center"/>
        <w:rPr>
          <w:rFonts w:hint="default" w:ascii="Times New Roman" w:hAnsi="Times New Roman" w:eastAsia="黑体" w:cs="Times New Roman"/>
          <w:color w:val="auto"/>
          <w:sz w:val="24"/>
          <w:szCs w:val="32"/>
        </w:rPr>
      </w:pPr>
    </w:p>
    <w:p>
      <w:pPr>
        <w:jc w:val="both"/>
        <w:rPr>
          <w:rFonts w:hint="eastAsia" w:eastAsia="黑体" w:cs="Times New Roman"/>
          <w:color w:val="auto"/>
          <w:sz w:val="24"/>
          <w:szCs w:val="32"/>
          <w:lang w:val="en-US" w:eastAsia="zh-CN"/>
        </w:rPr>
      </w:pPr>
      <w:r>
        <w:rPr>
          <w:rFonts w:hint="eastAsia" w:eastAsia="黑体" w:cs="Times New Roman"/>
          <w:color w:val="auto"/>
          <w:sz w:val="24"/>
          <w:szCs w:val="32"/>
          <w:lang w:eastAsia="zh-CN"/>
        </w:rPr>
        <w:t>附件</w:t>
      </w:r>
      <w:r>
        <w:rPr>
          <w:rFonts w:hint="eastAsia" w:eastAsia="黑体" w:cs="Times New Roman"/>
          <w:color w:val="auto"/>
          <w:sz w:val="24"/>
          <w:szCs w:val="32"/>
          <w:lang w:val="en-US" w:eastAsia="zh-CN"/>
        </w:rPr>
        <w:t xml:space="preserve">9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b/>
          <w:bCs/>
          <w:color w:val="auto"/>
          <w:sz w:val="24"/>
          <w:szCs w:val="24"/>
          <w:lang w:val="en-US" w:eastAsia="zh-CN"/>
        </w:rPr>
      </w:pPr>
      <w:r>
        <w:rPr>
          <w:rFonts w:hint="eastAsia"/>
          <w:b/>
          <w:bCs/>
          <w:color w:val="auto"/>
          <w:sz w:val="24"/>
          <w:szCs w:val="24"/>
          <w:lang w:val="en-US" w:eastAsia="zh-CN"/>
        </w:rPr>
        <w:t>茶陵县无线广播电视塔复建工程项目环境影响评价信息公告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b w:val="0"/>
          <w:bCs w:val="0"/>
          <w:color w:val="auto"/>
          <w:sz w:val="24"/>
          <w:szCs w:val="24"/>
          <w:lang w:val="en-US" w:eastAsia="zh-CN"/>
        </w:rPr>
      </w:pPr>
      <w:r>
        <w:rPr>
          <w:rFonts w:hint="eastAsia"/>
          <w:b w:val="0"/>
          <w:bCs w:val="0"/>
          <w:color w:val="auto"/>
          <w:sz w:val="24"/>
          <w:szCs w:val="24"/>
          <w:lang w:val="en-US" w:eastAsia="zh-CN"/>
        </w:rPr>
        <w:t xml:space="preserve">    根据《环境影响评价参与暂行办法》（环发[2006]28号）的要求，四川省核工业辐射测试防护院就编制《茶陵县无线广播电视塔复建工程项目环境影响报告表》向公众公告如下信息：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b/>
          <w:bCs/>
          <w:color w:val="auto"/>
          <w:sz w:val="24"/>
          <w:szCs w:val="24"/>
          <w:lang w:val="en-US" w:eastAsia="zh-CN"/>
        </w:rPr>
      </w:pPr>
      <w:r>
        <w:rPr>
          <w:rFonts w:hint="eastAsia"/>
          <w:b/>
          <w:bCs/>
          <w:color w:val="auto"/>
          <w:sz w:val="24"/>
          <w:szCs w:val="24"/>
          <w:lang w:val="en-US" w:eastAsia="zh-CN"/>
        </w:rPr>
        <w:t>1、建设项目的名称及概要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left"/>
        <w:textAlignment w:val="auto"/>
        <w:rPr>
          <w:b w:val="0"/>
          <w:bCs w:val="0"/>
          <w:color w:val="auto"/>
          <w:sz w:val="24"/>
        </w:rPr>
      </w:pPr>
      <w:r>
        <w:rPr>
          <w:b w:val="0"/>
          <w:bCs w:val="0"/>
          <w:color w:val="auto"/>
          <w:sz w:val="24"/>
        </w:rPr>
        <w:t>项目名称：茶陵县无线广播电视发射塔复建工程</w:t>
      </w:r>
      <w:r>
        <w:rPr>
          <w:rFonts w:hint="eastAsia"/>
          <w:b w:val="0"/>
          <w:bCs w:val="0"/>
          <w:color w:val="auto"/>
          <w:sz w:val="24"/>
          <w:lang w:eastAsia="zh-CN"/>
        </w:rPr>
        <w:t>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left"/>
        <w:textAlignment w:val="auto"/>
        <w:rPr>
          <w:b w:val="0"/>
          <w:bCs w:val="0"/>
          <w:color w:val="auto"/>
          <w:sz w:val="24"/>
        </w:rPr>
      </w:pPr>
      <w:r>
        <w:rPr>
          <w:b w:val="0"/>
          <w:bCs w:val="0"/>
          <w:color w:val="auto"/>
          <w:sz w:val="24"/>
        </w:rPr>
        <w:t>建设单位：茶陵县广播电视台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left"/>
        <w:textAlignment w:val="auto"/>
        <w:rPr>
          <w:b w:val="0"/>
          <w:bCs w:val="0"/>
          <w:color w:val="auto"/>
          <w:sz w:val="24"/>
        </w:rPr>
      </w:pPr>
      <w:r>
        <w:rPr>
          <w:b w:val="0"/>
          <w:bCs w:val="0"/>
          <w:color w:val="auto"/>
          <w:sz w:val="24"/>
        </w:rPr>
        <w:t>建设地点：</w:t>
      </w:r>
      <w:r>
        <w:rPr>
          <w:rFonts w:hint="eastAsia"/>
          <w:b w:val="0"/>
          <w:bCs w:val="0"/>
          <w:color w:val="auto"/>
          <w:sz w:val="24"/>
          <w:lang w:eastAsia="zh-CN"/>
        </w:rPr>
        <w:t>茶陵县</w:t>
      </w:r>
      <w:r>
        <w:rPr>
          <w:b w:val="0"/>
          <w:bCs w:val="0"/>
          <w:color w:val="auto"/>
          <w:sz w:val="24"/>
        </w:rPr>
        <w:t>云阳山北门半山腰，即原茶陵县电信公司已废弃发射铁塔旧址（海拔高度330米；经度113°30'12.3"；纬度26°47'59.5"）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left"/>
        <w:textAlignment w:val="auto"/>
        <w:rPr>
          <w:b w:val="0"/>
          <w:bCs w:val="0"/>
          <w:color w:val="auto"/>
          <w:sz w:val="24"/>
        </w:rPr>
      </w:pPr>
      <w:r>
        <w:rPr>
          <w:b w:val="0"/>
          <w:bCs w:val="0"/>
          <w:color w:val="auto"/>
          <w:sz w:val="24"/>
        </w:rPr>
        <w:t>项目性质：新建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left"/>
        <w:textAlignment w:val="auto"/>
        <w:rPr>
          <w:color w:val="auto"/>
          <w:sz w:val="24"/>
        </w:rPr>
      </w:pPr>
      <w:r>
        <w:rPr>
          <w:color w:val="auto"/>
          <w:sz w:val="24"/>
        </w:rPr>
        <w:t>建设内容为：广播电视发射塔1座、技术及生活用房（368.2m</w:t>
      </w:r>
      <w:r>
        <w:rPr>
          <w:color w:val="auto"/>
          <w:sz w:val="24"/>
          <w:vertAlign w:val="superscript"/>
        </w:rPr>
        <w:t>2</w:t>
      </w:r>
      <w:r>
        <w:rPr>
          <w:color w:val="auto"/>
          <w:sz w:val="24"/>
        </w:rPr>
        <w:t>）及区内给水、供配电、通讯、围墙、地面硬化等附属工程，以及项目设备安装及调试</w:t>
      </w:r>
      <w:r>
        <w:rPr>
          <w:rFonts w:hint="eastAsia"/>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b/>
          <w:bCs w:val="0"/>
          <w:color w:val="auto"/>
          <w:sz w:val="24"/>
          <w:szCs w:val="24"/>
          <w:lang w:val="en-US" w:eastAsia="zh-CN"/>
        </w:rPr>
      </w:pPr>
      <w:r>
        <w:rPr>
          <w:rFonts w:hint="eastAsia"/>
          <w:b/>
          <w:bCs w:val="0"/>
          <w:color w:val="auto"/>
          <w:sz w:val="24"/>
          <w:szCs w:val="24"/>
          <w:lang w:val="en-US" w:eastAsia="zh-CN"/>
        </w:rPr>
        <w:t>2、建设项目的承办单位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Cs/>
          <w:color w:val="auto"/>
          <w:sz w:val="24"/>
          <w:szCs w:val="24"/>
          <w:lang w:val="en-US" w:eastAsia="zh-CN"/>
        </w:rPr>
      </w:pPr>
      <w:r>
        <w:rPr>
          <w:rFonts w:hint="eastAsia"/>
          <w:bCs/>
          <w:color w:val="auto"/>
          <w:sz w:val="24"/>
          <w:szCs w:val="24"/>
          <w:lang w:val="en-US" w:eastAsia="zh-CN"/>
        </w:rPr>
        <w:t>承办单位：茶陵县广播电视台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Cs/>
          <w:color w:val="auto"/>
          <w:sz w:val="24"/>
          <w:szCs w:val="24"/>
          <w:lang w:val="en-US" w:eastAsia="zh-CN"/>
        </w:rPr>
      </w:pPr>
      <w:r>
        <w:rPr>
          <w:rFonts w:hint="eastAsia"/>
          <w:bCs/>
          <w:color w:val="auto"/>
          <w:sz w:val="24"/>
          <w:szCs w:val="24"/>
          <w:lang w:val="en-US" w:eastAsia="zh-CN"/>
        </w:rPr>
        <w:t>通讯地址：</w:t>
      </w:r>
      <w:r>
        <w:rPr>
          <w:color w:val="auto"/>
          <w:sz w:val="24"/>
        </w:rPr>
        <w:t>茶陵县</w:t>
      </w:r>
      <w:r>
        <w:rPr>
          <w:rFonts w:hint="eastAsia"/>
          <w:color w:val="auto"/>
          <w:sz w:val="24"/>
          <w:lang w:eastAsia="zh-CN"/>
        </w:rPr>
        <w:t>云阳街道公园路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Cs/>
          <w:color w:val="auto"/>
          <w:sz w:val="24"/>
          <w:szCs w:val="24"/>
          <w:lang w:val="en-US" w:eastAsia="zh-CN"/>
        </w:rPr>
      </w:pPr>
      <w:r>
        <w:rPr>
          <w:rFonts w:hint="eastAsia"/>
          <w:bCs/>
          <w:color w:val="auto"/>
          <w:sz w:val="24"/>
          <w:szCs w:val="24"/>
          <w:lang w:val="en-US" w:eastAsia="zh-CN"/>
        </w:rPr>
        <w:t>联系人：</w:t>
      </w:r>
      <w:r>
        <w:rPr>
          <w:color w:val="auto"/>
          <w:sz w:val="24"/>
        </w:rPr>
        <w:t>胡涤勇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Cs/>
          <w:color w:val="auto"/>
          <w:sz w:val="24"/>
          <w:szCs w:val="24"/>
          <w:lang w:val="en-US" w:eastAsia="zh-CN"/>
        </w:rPr>
      </w:pPr>
      <w:r>
        <w:rPr>
          <w:rFonts w:hint="eastAsia"/>
          <w:color w:val="auto"/>
          <w:sz w:val="24"/>
          <w:lang w:val="en-US" w:eastAsia="zh-CN"/>
        </w:rPr>
        <w:t>联系电话：</w:t>
      </w:r>
      <w:r>
        <w:rPr>
          <w:color w:val="auto"/>
          <w:sz w:val="24"/>
        </w:rPr>
        <w:t>13607428398</w:t>
      </w:r>
      <w:r>
        <w:rPr>
          <w:rFonts w:hint="eastAsia"/>
          <w:color w:val="auto"/>
          <w:sz w:val="24"/>
          <w:lang w:val="en-US" w:eastAsia="zh-CN"/>
        </w:rPr>
        <w:t xml:space="preserve">    </w:t>
      </w:r>
      <w:r>
        <w:rPr>
          <w:rFonts w:hint="eastAsia"/>
          <w:bCs/>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Cs/>
          <w:color w:val="auto"/>
          <w:sz w:val="24"/>
          <w:szCs w:val="24"/>
          <w:lang w:val="en-US" w:eastAsia="zh-CN"/>
        </w:rPr>
      </w:pPr>
      <w:r>
        <w:rPr>
          <w:rFonts w:hint="eastAsia"/>
          <w:bCs/>
          <w:color w:val="auto"/>
          <w:sz w:val="24"/>
          <w:szCs w:val="24"/>
          <w:lang w:val="en-US" w:eastAsia="zh-CN"/>
        </w:rPr>
        <w:t>电子邮件：2316223791@qq.com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b/>
          <w:bCs w:val="0"/>
          <w:color w:val="auto"/>
          <w:sz w:val="24"/>
          <w:szCs w:val="24"/>
          <w:lang w:val="en-US" w:eastAsia="zh-CN"/>
        </w:rPr>
      </w:pPr>
      <w:r>
        <w:rPr>
          <w:rFonts w:hint="eastAsia"/>
          <w:b/>
          <w:bCs w:val="0"/>
          <w:color w:val="auto"/>
          <w:sz w:val="24"/>
          <w:szCs w:val="24"/>
          <w:lang w:val="en-US" w:eastAsia="zh-CN"/>
        </w:rPr>
        <w:t>3、承担评价工作的环境影响评价机构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Times New Roman" w:hAnsi="Times New Roman"/>
          <w:color w:val="auto"/>
          <w:sz w:val="24"/>
          <w:szCs w:val="24"/>
          <w:lang w:val="en-US" w:eastAsia="zh-CN"/>
        </w:rPr>
      </w:pPr>
      <w:r>
        <w:rPr>
          <w:rFonts w:hint="eastAsia"/>
          <w:bCs/>
          <w:color w:val="auto"/>
          <w:sz w:val="24"/>
          <w:szCs w:val="24"/>
          <w:lang w:val="en-US" w:eastAsia="zh-CN"/>
        </w:rPr>
        <w:t>环评机构名称：</w:t>
      </w:r>
      <w:r>
        <w:rPr>
          <w:rFonts w:hint="eastAsia" w:ascii="Times New Roman" w:hAnsi="Times New Roman"/>
          <w:color w:val="auto"/>
          <w:sz w:val="24"/>
          <w:szCs w:val="24"/>
          <w:lang w:val="en-US" w:eastAsia="zh-CN"/>
        </w:rPr>
        <w:t>四川省核工业辐射测试防护院（</w:t>
      </w:r>
      <w:r>
        <w:rPr>
          <w:rFonts w:hint="eastAsia"/>
          <w:b w:val="0"/>
          <w:bCs/>
          <w:color w:val="auto"/>
          <w:sz w:val="24"/>
          <w:szCs w:val="24"/>
          <w:lang w:val="en-US" w:eastAsia="zh-CN"/>
        </w:rPr>
        <w:t>国环评证甲字第3214号</w:t>
      </w:r>
      <w:r>
        <w:rPr>
          <w:rFonts w:hint="eastAsia" w:ascii="Times New Roman" w:hAnsi="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 w:val="0"/>
          <w:bCs/>
          <w:color w:val="auto"/>
          <w:sz w:val="24"/>
          <w:szCs w:val="24"/>
          <w:lang w:val="en-US" w:eastAsia="zh-CN"/>
        </w:rPr>
      </w:pPr>
      <w:r>
        <w:rPr>
          <w:rFonts w:hint="eastAsia" w:ascii="Times New Roman" w:hAnsi="Times New Roman"/>
          <w:color w:val="auto"/>
          <w:sz w:val="24"/>
          <w:szCs w:val="24"/>
          <w:lang w:val="en-US" w:eastAsia="zh-CN"/>
        </w:rPr>
        <w:t>通讯地址：</w:t>
      </w:r>
      <w:r>
        <w:rPr>
          <w:rFonts w:hint="eastAsia"/>
          <w:b w:val="0"/>
          <w:bCs/>
          <w:color w:val="auto"/>
          <w:sz w:val="24"/>
          <w:szCs w:val="24"/>
          <w:lang w:val="en-US" w:eastAsia="zh-CN"/>
        </w:rPr>
        <w:t>四川省成都市滨江中路18号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 w:val="0"/>
          <w:bCs/>
          <w:color w:val="auto"/>
          <w:sz w:val="24"/>
          <w:szCs w:val="24"/>
          <w:lang w:val="en-US" w:eastAsia="zh-CN"/>
        </w:rPr>
      </w:pPr>
      <w:r>
        <w:rPr>
          <w:rFonts w:hint="eastAsia"/>
          <w:b w:val="0"/>
          <w:bCs/>
          <w:color w:val="auto"/>
          <w:sz w:val="24"/>
          <w:szCs w:val="24"/>
          <w:lang w:val="en-US" w:eastAsia="zh-CN"/>
        </w:rPr>
        <w:t>邮政编码：610000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b w:val="0"/>
          <w:bCs/>
          <w:color w:val="auto"/>
          <w:sz w:val="24"/>
          <w:szCs w:val="24"/>
          <w:lang w:val="en-US" w:eastAsia="zh-CN"/>
        </w:rPr>
      </w:pPr>
      <w:r>
        <w:rPr>
          <w:rFonts w:hint="eastAsia"/>
          <w:b w:val="0"/>
          <w:bCs/>
          <w:color w:val="auto"/>
          <w:sz w:val="24"/>
          <w:szCs w:val="24"/>
          <w:lang w:val="en-US" w:eastAsia="zh-CN"/>
        </w:rPr>
        <w:t>联系人：王工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bCs/>
          <w:color w:val="auto"/>
          <w:sz w:val="24"/>
          <w:szCs w:val="24"/>
          <w:lang w:val="en-US" w:eastAsia="zh-CN"/>
        </w:rPr>
      </w:pPr>
      <w:r>
        <w:rPr>
          <w:rFonts w:hint="eastAsia"/>
          <w:bCs/>
          <w:color w:val="auto"/>
          <w:sz w:val="24"/>
          <w:szCs w:val="24"/>
          <w:lang w:val="en-US" w:eastAsia="zh-CN"/>
        </w:rPr>
        <w:t xml:space="preserve">    联系电话：0731-82250616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b/>
          <w:bCs w:val="0"/>
          <w:color w:val="auto"/>
          <w:sz w:val="24"/>
          <w:szCs w:val="24"/>
          <w:lang w:val="en-US" w:eastAsia="zh-CN"/>
        </w:rPr>
      </w:pPr>
      <w:r>
        <w:rPr>
          <w:rFonts w:hint="eastAsia"/>
          <w:b/>
          <w:bCs w:val="0"/>
          <w:color w:val="auto"/>
          <w:sz w:val="24"/>
          <w:szCs w:val="24"/>
          <w:lang w:val="en-US" w:eastAsia="zh-CN"/>
        </w:rPr>
        <w:t>4、环境影响评价的工作程序和主要工作内容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b w:val="0"/>
          <w:bCs/>
          <w:color w:val="auto"/>
          <w:sz w:val="24"/>
          <w:szCs w:val="24"/>
          <w:lang w:val="en-US" w:eastAsia="zh-CN"/>
        </w:rPr>
      </w:pPr>
      <w:r>
        <w:rPr>
          <w:rFonts w:hint="eastAsia" w:ascii="黑体" w:hAnsi="黑体" w:eastAsia="黑体" w:cs="黑体"/>
          <w:color w:val="auto"/>
          <w:sz w:val="24"/>
          <w:szCs w:val="24"/>
          <w:lang w:val="en-US" w:eastAsia="zh-CN"/>
        </w:rPr>
        <w:t xml:space="preserve">    ①</w:t>
      </w:r>
      <w:r>
        <w:rPr>
          <w:rFonts w:hint="default"/>
          <w:b w:val="0"/>
          <w:bCs/>
          <w:color w:val="auto"/>
          <w:sz w:val="24"/>
          <w:szCs w:val="24"/>
          <w:lang w:val="en-US" w:eastAsia="zh-CN"/>
        </w:rPr>
        <w:t>环评单位进行环境调研和环境监测；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b w:val="0"/>
          <w:bCs/>
          <w:color w:val="auto"/>
          <w:sz w:val="24"/>
          <w:szCs w:val="24"/>
          <w:lang w:val="en-US" w:eastAsia="zh-CN"/>
        </w:rPr>
      </w:pPr>
      <w:r>
        <w:rPr>
          <w:rFonts w:hint="eastAsia" w:ascii="黑体" w:hAnsi="黑体" w:eastAsia="黑体" w:cs="黑体"/>
          <w:b w:val="0"/>
          <w:bCs/>
          <w:color w:val="auto"/>
          <w:sz w:val="24"/>
          <w:szCs w:val="24"/>
          <w:lang w:val="en-US" w:eastAsia="zh-CN"/>
        </w:rPr>
        <w:t xml:space="preserve">    ②</w:t>
      </w:r>
      <w:r>
        <w:rPr>
          <w:rFonts w:hint="default"/>
          <w:b w:val="0"/>
          <w:bCs/>
          <w:color w:val="auto"/>
          <w:sz w:val="24"/>
          <w:szCs w:val="24"/>
          <w:lang w:val="en-US" w:eastAsia="zh-CN"/>
        </w:rPr>
        <w:t>环评单位编制完成环境影响报告书；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b w:val="0"/>
          <w:bCs/>
          <w:color w:val="auto"/>
          <w:sz w:val="24"/>
          <w:szCs w:val="24"/>
          <w:lang w:val="en-US" w:eastAsia="zh-CN"/>
        </w:rPr>
      </w:pPr>
      <w:r>
        <w:rPr>
          <w:rFonts w:hint="eastAsia" w:ascii="黑体" w:hAnsi="黑体" w:eastAsia="黑体" w:cs="黑体"/>
          <w:b w:val="0"/>
          <w:bCs/>
          <w:color w:val="auto"/>
          <w:sz w:val="24"/>
          <w:szCs w:val="24"/>
          <w:lang w:val="en-US" w:eastAsia="zh-CN"/>
        </w:rPr>
        <w:t xml:space="preserve">    ③发布环境影响评价公告；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b w:val="0"/>
          <w:bCs/>
          <w:color w:val="auto"/>
          <w:sz w:val="24"/>
          <w:szCs w:val="24"/>
          <w:lang w:val="en-US" w:eastAsia="zh-CN"/>
        </w:rPr>
      </w:pPr>
      <w:r>
        <w:rPr>
          <w:rFonts w:hint="eastAsia" w:ascii="黑体" w:hAnsi="黑体" w:eastAsia="黑体" w:cs="黑体"/>
          <w:b w:val="0"/>
          <w:bCs/>
          <w:color w:val="auto"/>
          <w:sz w:val="24"/>
          <w:szCs w:val="24"/>
          <w:lang w:val="en-US" w:eastAsia="zh-CN"/>
        </w:rPr>
        <w:t xml:space="preserve">    ④</w:t>
      </w:r>
      <w:r>
        <w:rPr>
          <w:rFonts w:hint="default"/>
          <w:b w:val="0"/>
          <w:bCs/>
          <w:color w:val="auto"/>
          <w:sz w:val="24"/>
          <w:szCs w:val="24"/>
          <w:lang w:val="en-US" w:eastAsia="zh-CN"/>
        </w:rPr>
        <w:t>组织专家对报告书进行技术评估；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    ⑤</w:t>
      </w:r>
      <w:r>
        <w:rPr>
          <w:rFonts w:hint="default"/>
          <w:b w:val="0"/>
          <w:bCs/>
          <w:color w:val="auto"/>
          <w:sz w:val="24"/>
          <w:szCs w:val="24"/>
          <w:lang w:val="en-US" w:eastAsia="zh-CN"/>
        </w:rPr>
        <w:t>县环境保护局对报告书进行批复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b/>
          <w:bCs w:val="0"/>
          <w:color w:val="auto"/>
          <w:sz w:val="24"/>
          <w:szCs w:val="24"/>
          <w:lang w:val="en-US" w:eastAsia="zh-CN"/>
        </w:rPr>
      </w:pPr>
      <w:r>
        <w:rPr>
          <w:rFonts w:hint="eastAsia"/>
          <w:b/>
          <w:bCs w:val="0"/>
          <w:color w:val="auto"/>
          <w:sz w:val="24"/>
          <w:szCs w:val="24"/>
          <w:lang w:val="en-US" w:eastAsia="zh-CN"/>
        </w:rPr>
        <w:t>5、征求公众意见的主要事项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b w:val="0"/>
          <w:i w:val="0"/>
          <w:caps w:val="0"/>
          <w:color w:val="auto"/>
          <w:spacing w:val="0"/>
          <w:sz w:val="21"/>
          <w:szCs w:val="21"/>
          <w:shd w:val="clear" w:fill="FFFFFF"/>
        </w:rPr>
      </w:pPr>
      <w:r>
        <w:rPr>
          <w:rFonts w:hint="eastAsia"/>
          <w:b w:val="0"/>
          <w:bCs/>
          <w:color w:val="auto"/>
          <w:sz w:val="24"/>
          <w:szCs w:val="24"/>
          <w:lang w:val="en-US" w:eastAsia="zh-CN"/>
        </w:rPr>
        <w:t>    </w:t>
      </w:r>
      <w:r>
        <w:rPr>
          <w:rFonts w:hint="eastAsia"/>
          <w:color w:val="auto"/>
          <w:sz w:val="24"/>
          <w:lang w:val="en-US" w:eastAsia="zh-CN"/>
        </w:rPr>
        <w:t>   </w:t>
      </w:r>
      <w:r>
        <w:rPr>
          <w:rFonts w:hint="eastAsia" w:ascii="黑体" w:hAnsi="黑体" w:eastAsia="黑体" w:cs="黑体"/>
          <w:color w:val="auto"/>
          <w:sz w:val="24"/>
        </w:rPr>
        <w:t>①</w:t>
      </w:r>
      <w:r>
        <w:rPr>
          <w:rFonts w:hint="eastAsia"/>
          <w:color w:val="auto"/>
          <w:sz w:val="24"/>
        </w:rPr>
        <w:t>从环境保护方面对本项目建设的意见。</w:t>
      </w:r>
      <w:r>
        <w:rPr>
          <w:rFonts w:hint="eastAsia" w:ascii="黑体" w:hAnsi="黑体" w:eastAsia="黑体" w:cs="黑体"/>
          <w:color w:val="auto"/>
          <w:sz w:val="24"/>
        </w:rPr>
        <w:t>②</w:t>
      </w:r>
      <w:r>
        <w:rPr>
          <w:rFonts w:hint="eastAsia"/>
          <w:color w:val="auto"/>
          <w:sz w:val="24"/>
        </w:rPr>
        <w:t>其他建议及环保要求。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eastAsia"/>
          <w:b/>
          <w:bCs w:val="0"/>
          <w:color w:val="auto"/>
          <w:sz w:val="24"/>
          <w:szCs w:val="24"/>
          <w:lang w:val="en-US" w:eastAsia="zh-CN"/>
        </w:rPr>
      </w:pPr>
      <w:r>
        <w:rPr>
          <w:rFonts w:hint="eastAsia"/>
          <w:b/>
          <w:bCs w:val="0"/>
          <w:color w:val="auto"/>
          <w:sz w:val="24"/>
          <w:szCs w:val="24"/>
          <w:lang w:val="en-US" w:eastAsia="zh-CN"/>
        </w:rPr>
        <w:t>6、公众提出意见的主要方式 </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leftChars="0" w:right="0" w:rightChars="0" w:firstLine="0"/>
        <w:jc w:val="left"/>
        <w:textAlignment w:val="auto"/>
        <w:rPr>
          <w:rFonts w:hint="default"/>
          <w:b w:val="0"/>
          <w:bCs/>
          <w:color w:val="auto"/>
          <w:sz w:val="24"/>
          <w:szCs w:val="24"/>
          <w:lang w:val="en-US" w:eastAsia="zh-CN"/>
        </w:rPr>
      </w:pPr>
      <w:r>
        <w:rPr>
          <w:rFonts w:hint="eastAsia"/>
          <w:b w:val="0"/>
          <w:bCs/>
          <w:color w:val="auto"/>
          <w:sz w:val="24"/>
          <w:szCs w:val="24"/>
          <w:lang w:val="en-US" w:eastAsia="zh-CN"/>
        </w:rPr>
        <w:t xml:space="preserve">      </w:t>
      </w:r>
      <w:r>
        <w:rPr>
          <w:rFonts w:hint="eastAsia"/>
          <w:color w:val="auto"/>
          <w:sz w:val="24"/>
          <w:lang w:val="en-US" w:eastAsia="zh-CN"/>
        </w:rPr>
        <w:t>公众可以通过电话、书信、电子邮件等多种方式向承办单位或环境影响评价单位提出意见和建议。公众提出的意见和看法的时间为2016年5月19日至5月29日。</w:t>
      </w: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both"/>
        <w:rPr>
          <w:rFonts w:hint="eastAsia" w:eastAsia="黑体" w:cs="Times New Roman"/>
          <w:color w:val="auto"/>
          <w:sz w:val="24"/>
          <w:szCs w:val="32"/>
          <w:lang w:val="en-US" w:eastAsia="zh-CN"/>
        </w:rPr>
      </w:pPr>
    </w:p>
    <w:p>
      <w:pPr>
        <w:jc w:val="center"/>
        <w:rPr>
          <w:rFonts w:hint="default" w:ascii="Times New Roman" w:hAnsi="Times New Roman" w:eastAsia="黑体" w:cs="Times New Roman"/>
          <w:color w:val="auto"/>
          <w:sz w:val="24"/>
          <w:szCs w:val="32"/>
        </w:rPr>
      </w:pPr>
    </w:p>
    <w:p>
      <w:pPr>
        <w:jc w:val="left"/>
        <w:rPr>
          <w:rFonts w:hint="default" w:ascii="Times New Roman" w:hAnsi="Times New Roman" w:eastAsia="黑体" w:cs="Times New Roman"/>
          <w:color w:val="auto"/>
          <w:sz w:val="24"/>
          <w:szCs w:val="32"/>
        </w:rPr>
      </w:pPr>
      <w:r>
        <w:rPr>
          <w:rFonts w:hint="default" w:ascii="Times New Roman" w:hAnsi="Times New Roman" w:eastAsia="黑体" w:cs="Times New Roman"/>
          <w:color w:val="auto"/>
          <w:sz w:val="24"/>
          <w:szCs w:val="32"/>
        </w:rPr>
        <w:t>附件</w:t>
      </w:r>
      <w:r>
        <w:rPr>
          <w:rFonts w:hint="eastAsia" w:eastAsia="黑体" w:cs="Times New Roman"/>
          <w:color w:val="auto"/>
          <w:sz w:val="24"/>
          <w:szCs w:val="32"/>
          <w:lang w:val="en-US" w:eastAsia="zh-CN"/>
        </w:rPr>
        <w:t>10</w:t>
      </w:r>
      <w:r>
        <w:rPr>
          <w:rFonts w:hint="default" w:ascii="Times New Roman" w:hAnsi="Times New Roman" w:eastAsia="黑体" w:cs="Times New Roman"/>
          <w:color w:val="auto"/>
          <w:sz w:val="24"/>
          <w:szCs w:val="32"/>
        </w:rPr>
        <w:t xml:space="preserve">  审批登记表</w:t>
      </w:r>
    </w:p>
    <w:p>
      <w:pPr>
        <w:rPr>
          <w:rFonts w:hint="default" w:ascii="Times New Roman" w:hAnsi="Times New Roman" w:cs="Times New Roman"/>
          <w:color w:val="auto"/>
        </w:rPr>
      </w:pPr>
    </w:p>
    <w:sectPr>
      <w:pgSz w:w="11906" w:h="16838"/>
      <w:pgMar w:top="720" w:right="720" w:bottom="720" w:left="72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RomanS"/>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RomanS">
    <w:panose1 w:val="02000400000000000000"/>
    <w:charset w:val="00"/>
    <w:family w:val="auto"/>
    <w:pitch w:val="default"/>
    <w:sig w:usb0="00000207" w:usb1="00000000" w:usb2="00000000" w:usb3="00000000" w:csb0="000001FF" w:csb1="00000000"/>
  </w:font>
  <w:font w:name="Lucida Sans Unicode">
    <w:panose1 w:val="020B0602030504020204"/>
    <w:charset w:val="00"/>
    <w:family w:val="auto"/>
    <w:pitch w:val="default"/>
    <w:sig w:usb0="80001AFF" w:usb1="0000396B" w:usb2="00000000" w:usb3="00000000" w:csb0="0000003F" w:csb1="D7F70000"/>
  </w:font>
  <w:font w:name="Arial">
    <w:panose1 w:val="020B0604020202020204"/>
    <w:charset w:val="00"/>
    <w:family w:val="swiss"/>
    <w:pitch w:val="default"/>
    <w:sig w:usb0="00007A87" w:usb1="80000000" w:usb2="00000008" w:usb3="00000000" w:csb0="400001FF" w:csb1="FFFF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alibri Light">
    <w:altName w:val="RomanS"/>
    <w:panose1 w:val="020F0302020204030204"/>
    <w:charset w:val="00"/>
    <w:family w:val="swiss"/>
    <w:pitch w:val="default"/>
    <w:sig w:usb0="00000000" w:usb1="00000000" w:usb2="00000000" w:usb3="00000000" w:csb0="2000019F" w:csb1="00000000"/>
  </w:font>
  <w:font w:name="仿宋">
    <w:altName w:val="宋体"/>
    <w:panose1 w:val="02010609060101010101"/>
    <w:charset w:val="86"/>
    <w:family w:val="auto"/>
    <w:pitch w:val="default"/>
    <w:sig w:usb0="00000000" w:usb1="00000000" w:usb2="00000016" w:usb3="00000000" w:csb0="00040001" w:csb1="00000000"/>
  </w:font>
  <w:font w:name="楷体">
    <w:altName w:val="楷体_GB2312"/>
    <w:panose1 w:val="02010609060101010101"/>
    <w:charset w:val="86"/>
    <w:family w:val="auto"/>
    <w:pitch w:val="default"/>
    <w:sig w:usb0="00000000" w:usb1="00000000" w:usb2="00000016" w:usb3="00000000" w:csb0="00040001" w:csb1="00000000"/>
  </w:font>
  <w:font w:name="微软雅黑">
    <w:altName w:val="黑体"/>
    <w:panose1 w:val="020B0503020204020204"/>
    <w:charset w:val="86"/>
    <w:family w:val="auto"/>
    <w:pitch w:val="default"/>
    <w:sig w:usb0="00000000" w:usb1="00000000" w:usb2="00000016" w:usb3="00000000" w:csb0="0004001F" w:csb1="00000000"/>
  </w:font>
  <w:font w:name="Segoe UI Semilight">
    <w:altName w:val="RomanS"/>
    <w:panose1 w:val="020B0402040204020203"/>
    <w:charset w:val="00"/>
    <w:family w:val="auto"/>
    <w:pitch w:val="default"/>
    <w:sig w:usb0="00000000" w:usb1="00000000" w:usb2="00000009" w:usb3="00000000" w:csb0="200001FF" w:csb1="00000000"/>
  </w:font>
  <w:font w:name="Courier New">
    <w:panose1 w:val="02070309020205020404"/>
    <w:charset w:val="00"/>
    <w:family w:val="modern"/>
    <w:pitch w:val="default"/>
    <w:sig w:usb0="00007A87" w:usb1="80000000" w:usb2="00000008"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61007A87" w:usb1="80000000" w:usb2="00000008" w:usb3="00000000" w:csb0="200101FF" w:csb1="20280000"/>
  </w:font>
  <w:font w:name="Verdana">
    <w:panose1 w:val="020B0604030504040204"/>
    <w:charset w:val="00"/>
    <w:family w:val="swiss"/>
    <w:pitch w:val="default"/>
    <w:sig w:usb0="00000287" w:usb1="00000000" w:usb2="00000000" w:usb3="00000000" w:csb0="2000019F" w:csb1="00000000"/>
  </w:font>
  <w:font w:name="monospace">
    <w:altName w:val="Adobe 仿宋 Std R"/>
    <w:panose1 w:val="00000000000000000000"/>
    <w:charset w:val="00"/>
    <w:family w:val="auto"/>
    <w:pitch w:val="default"/>
    <w:sig w:usb0="00000000" w:usb1="00000000" w:usb2="00000000" w:usb3="00000000" w:csb0="00040001" w:csb1="00000000"/>
  </w:font>
  <w:font w:name="Segoe Print">
    <w:altName w:val="Verdana"/>
    <w:panose1 w:val="02000600000000000000"/>
    <w:charset w:val="00"/>
    <w:family w:val="auto"/>
    <w:pitch w:val="default"/>
    <w:sig w:usb0="00000000"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华文仿宋">
    <w:altName w:val="仿宋_GB2312"/>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彩云">
    <w:altName w:val="宋体"/>
    <w:panose1 w:val="0201080004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Txt">
    <w:panose1 w:val="00000400000000000000"/>
    <w:charset w:val="00"/>
    <w:family w:val="auto"/>
    <w:pitch w:val="default"/>
    <w:sig w:usb0="80000227" w:usb1="00000000" w:usb2="00000000" w:usb3="00000000" w:csb0="000001FF" w:csb1="00000000"/>
  </w:font>
  <w:font w:name="方正小标宋简体">
    <w:altName w:val="黑体"/>
    <w:panose1 w:val="02010601030101010101"/>
    <w:charset w:val="86"/>
    <w:family w:val="script"/>
    <w:pitch w:val="default"/>
    <w:sig w:usb0="00000000" w:usb1="00000000" w:usb2="00000000" w:usb3="00000000" w:csb0="00040000" w:csb1="00000000"/>
  </w:font>
  <w:font w:name="PMingLiU">
    <w:panose1 w:val="02020300000000000000"/>
    <w:charset w:val="88"/>
    <w:family w:val="auto"/>
    <w:pitch w:val="default"/>
    <w:sig w:usb0="00000003" w:usb1="082E0000" w:usb2="00000016" w:usb3="00000000" w:csb0="00100001" w:csb1="00000000"/>
  </w:font>
  <w:font w:name="华文楷体">
    <w:altName w:val="宋体"/>
    <w:panose1 w:val="02010600040101010101"/>
    <w:charset w:val="86"/>
    <w:family w:val="auto"/>
    <w:pitch w:val="default"/>
    <w:sig w:usb0="00000000" w:usb1="00000000" w:usb2="00000000" w:usb3="00000000" w:csb0="0004009F" w:csb1="DFD70000"/>
  </w:font>
  <w:font w:name="宋体-PUA">
    <w:panose1 w:val="02010600030101010101"/>
    <w:charset w:val="86"/>
    <w:family w:val="auto"/>
    <w:pitch w:val="default"/>
    <w:sig w:usb0="00000000" w:usb1="10000000" w:usb2="00000000" w:usb3="00000000" w:csb0="00040000" w:csb1="00000000"/>
  </w:font>
  <w:font w:name="新宋体">
    <w:panose1 w:val="02010609030101010101"/>
    <w:charset w:val="86"/>
    <w:family w:val="auto"/>
    <w:pitch w:val="default"/>
    <w:sig w:usb0="00000003" w:usb1="080E0000" w:usb2="00000000" w:usb3="00000000" w:csb0="00040001" w:csb1="00000000"/>
  </w:font>
  <w:font w:name="汉仪旗黑-55">
    <w:panose1 w:val="00020600040101010101"/>
    <w:charset w:val="86"/>
    <w:family w:val="auto"/>
    <w:pitch w:val="default"/>
    <w:sig w:usb0="A00002BF" w:usb1="18EF7CFA" w:usb2="00000016" w:usb3="00000000" w:csb0="00040000" w:csb1="00000000"/>
  </w:font>
  <w:font w:name="汉仪旗黑-55S">
    <w:panose1 w:val="00020600040101010101"/>
    <w:charset w:val="86"/>
    <w:family w:val="auto"/>
    <w:pitch w:val="default"/>
    <w:sig w:usb0="A00002BF" w:usb1="18EF7CFA" w:usb2="00000016" w:usb3="00000000" w:csb0="00040000" w:csb1="00000000"/>
  </w:font>
  <w:font w:name="Vineta BT">
    <w:panose1 w:val="04020906050602070202"/>
    <w:charset w:val="00"/>
    <w:family w:val="auto"/>
    <w:pitch w:val="default"/>
    <w:sig w:usb0="00000000" w:usb1="00000000" w:usb2="00000000" w:usb3="00000000" w:csb0="00000000" w:csb1="00000000"/>
  </w:font>
  <w:font w:name="UniversalMath1 BT">
    <w:panose1 w:val="05050102010205020602"/>
    <w:charset w:val="00"/>
    <w:family w:val="auto"/>
    <w:pitch w:val="default"/>
    <w:sig w:usb0="00000000" w:usb1="00000000" w:usb2="00000000" w:usb3="00000000" w:csb0="00000000" w:csb1="00000000"/>
  </w:font>
  <w:font w:name="Trebuchet MS">
    <w:panose1 w:val="020B0603020202020204"/>
    <w:charset w:val="00"/>
    <w:family w:val="auto"/>
    <w:pitch w:val="default"/>
    <w:sig w:usb0="00000287" w:usb1="00000000" w:usb2="00000000" w:usb3="00000000" w:csb0="2000009F"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PMingLiU-ExtB">
    <w:altName w:val="PMingLiU"/>
    <w:panose1 w:val="02020500000000000000"/>
    <w:charset w:val="88"/>
    <w:family w:val="auto"/>
    <w:pitch w:val="default"/>
    <w:sig w:usb0="00000000" w:usb1="00000000" w:usb2="00000000" w:usb3="00000000" w:csb0="00100001" w:csb1="00000000"/>
  </w:font>
  <w:font w:name="Gabriola">
    <w:altName w:val="Charlemagne Std"/>
    <w:panose1 w:val="04040605051002020D02"/>
    <w:charset w:val="00"/>
    <w:family w:val="auto"/>
    <w:pitch w:val="default"/>
    <w:sig w:usb0="00000000" w:usb1="00000000" w:usb2="00000000" w:usb3="00000000" w:csb0="2000009F" w:csb1="00000000"/>
  </w:font>
  <w:font w:name="Malgun Gothic">
    <w:altName w:val="Adobe Gothic Std B"/>
    <w:panose1 w:val="020B0503020000020004"/>
    <w:charset w:val="81"/>
    <w:family w:val="auto"/>
    <w:pitch w:val="default"/>
    <w:sig w:usb0="00000000" w:usb1="00000000" w:usb2="00000012" w:usb3="00000000" w:csb0="00080001" w:csb1="00000000"/>
  </w:font>
  <w:font w:name="微软雅黑 Light">
    <w:altName w:val="黑体"/>
    <w:panose1 w:val="020B0502040204020203"/>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Malgun Gothic Semilight">
    <w:altName w:val="宋体"/>
    <w:panose1 w:val="020B0502040204020203"/>
    <w:charset w:val="86"/>
    <w:family w:val="auto"/>
    <w:pitch w:val="default"/>
    <w:sig w:usb0="00000000" w:usb1="00000000" w:usb2="00000012" w:usb3="00000000" w:csb0="203E01BD" w:csb1="D7FF0000"/>
  </w:font>
  <w:font w:name="Microsoft JhengHei UI Light">
    <w:altName w:val="PMingLiU"/>
    <w:panose1 w:val="020B0304030504040204"/>
    <w:charset w:val="88"/>
    <w:family w:val="auto"/>
    <w:pitch w:val="default"/>
    <w:sig w:usb0="00000000" w:usb1="00000000" w:usb2="00000016" w:usb3="00000000" w:csb0="00100009" w:csb1="00000000"/>
  </w:font>
  <w:font w:name="MingLiU_HKSCS-ExtB">
    <w:altName w:val="PMingLiU"/>
    <w:panose1 w:val="02020500000000000000"/>
    <w:charset w:val="88"/>
    <w:family w:val="auto"/>
    <w:pitch w:val="default"/>
    <w:sig w:usb0="00000000" w:usb1="00000000" w:usb2="00000000" w:usb3="00000000" w:csb0="00100001" w:csb1="00000000"/>
  </w:font>
  <w:font w:name="MS PGothic">
    <w:panose1 w:val="020B0600070205080204"/>
    <w:charset w:val="80"/>
    <w:family w:val="auto"/>
    <w:pitch w:val="default"/>
    <w:sig w:usb0="A00002BF" w:usb1="68C7FCFB" w:usb2="00000010" w:usb3="00000000" w:csb0="4002009F" w:csb1="DFD70000"/>
  </w:font>
  <w:font w:name="SimSun-ExtB">
    <w:altName w:val="宋体"/>
    <w:panose1 w:val="02010609060101010101"/>
    <w:charset w:val="86"/>
    <w:family w:val="auto"/>
    <w:pitch w:val="default"/>
    <w:sig w:usb0="00000000" w:usb1="00000000" w:usb2="00000000" w:usb3="00000000" w:csb0="00040001" w:csb1="00000000"/>
  </w:font>
  <w:font w:name="Yu Gothic">
    <w:altName w:val="Kozuka Gothic Pr6N R"/>
    <w:panose1 w:val="020B0400000000000000"/>
    <w:charset w:val="80"/>
    <w:family w:val="auto"/>
    <w:pitch w:val="default"/>
    <w:sig w:usb0="00000000" w:usb1="00000000" w:usb2="00000016" w:usb3="00000000" w:csb0="2002009F" w:csb1="00000000"/>
  </w:font>
  <w:font w:name="Yu Gothic Light">
    <w:altName w:val="Kozuka Gothic Pr6N R"/>
    <w:panose1 w:val="020B0300000000000000"/>
    <w:charset w:val="80"/>
    <w:family w:val="auto"/>
    <w:pitch w:val="default"/>
    <w:sig w:usb0="00000000" w:usb1="00000000" w:usb2="00000016" w:usb3="00000000" w:csb0="2002009F" w:csb1="00000000"/>
  </w:font>
  <w:font w:name="Yu Gothic Medium">
    <w:altName w:val="Kozuka Gothic Pr6N R"/>
    <w:panose1 w:val="020B0500000000000000"/>
    <w:charset w:val="80"/>
    <w:family w:val="auto"/>
    <w:pitch w:val="default"/>
    <w:sig w:usb0="00000000" w:usb1="00000000" w:usb2="00000016" w:usb3="00000000" w:csb0="2002009F" w:csb1="00000000"/>
  </w:font>
  <w:font w:name="Yu Gothic UI">
    <w:altName w:val="Kozuka Gothic Pr6N R"/>
    <w:panose1 w:val="020B0500000000000000"/>
    <w:charset w:val="80"/>
    <w:family w:val="auto"/>
    <w:pitch w:val="default"/>
    <w:sig w:usb0="00000000" w:usb1="00000000" w:usb2="00000016" w:usb3="00000000" w:csb0="2002009F" w:csb1="00000000"/>
  </w:font>
  <w:font w:name="Yu Gothic UI Light">
    <w:altName w:val="Kozuka Gothic Pr6N R"/>
    <w:panose1 w:val="020B0300000000000000"/>
    <w:charset w:val="80"/>
    <w:family w:val="auto"/>
    <w:pitch w:val="default"/>
    <w:sig w:usb0="00000000" w:usb1="00000000" w:usb2="00000016" w:usb3="00000000" w:csb0="2002009F" w:csb1="00000000"/>
  </w:font>
  <w:font w:name="Yu Gothic UI Semibold">
    <w:altName w:val="Kozuka Gothic Pr6N M"/>
    <w:panose1 w:val="020B0700000000000000"/>
    <w:charset w:val="80"/>
    <w:family w:val="auto"/>
    <w:pitch w:val="default"/>
    <w:sig w:usb0="00000000" w:usb1="00000000" w:usb2="00000016" w:usb3="00000000" w:csb0="2002009F" w:csb1="00000000"/>
  </w:font>
  <w:font w:name="Yu Gothic UI Semilight">
    <w:altName w:val="Kozuka Gothic Pr6N R"/>
    <w:panose1 w:val="020B0400000000000000"/>
    <w:charset w:val="80"/>
    <w:family w:val="auto"/>
    <w:pitch w:val="default"/>
    <w:sig w:usb0="00000000" w:usb1="00000000" w:usb2="00000016" w:usb3="00000000" w:csb0="2002009F" w:csb1="00000000"/>
  </w:font>
  <w:font w:name="Arial Black">
    <w:panose1 w:val="020B0A04020102020204"/>
    <w:charset w:val="00"/>
    <w:family w:val="auto"/>
    <w:pitch w:val="default"/>
    <w:sig w:usb0="00000287" w:usb1="00000000" w:usb2="00000000" w:usb3="00000000" w:csb0="2000009F" w:csb1="DFD70000"/>
  </w:font>
  <w:font w:name="Cambria Math">
    <w:altName w:val="RomanS"/>
    <w:panose1 w:val="02040503050406030204"/>
    <w:charset w:val="00"/>
    <w:family w:val="auto"/>
    <w:pitch w:val="default"/>
    <w:sig w:usb0="00000000" w:usb1="00000000" w:usb2="00000000" w:usb3="00000000" w:csb0="2000019F" w:csb1="00000000"/>
  </w:font>
  <w:font w:name="Constantia">
    <w:altName w:val="Kozuka Mincho Pro M"/>
    <w:panose1 w:val="02030602050306030303"/>
    <w:charset w:val="00"/>
    <w:family w:val="auto"/>
    <w:pitch w:val="default"/>
    <w:sig w:usb0="00000000" w:usb1="00000000" w:usb2="00000000" w:usb3="00000000" w:csb0="2000019F" w:csb1="00000000"/>
  </w:font>
  <w:font w:name="Corbel">
    <w:altName w:val="AmdtSymbols"/>
    <w:panose1 w:val="020B0503020204020204"/>
    <w:charset w:val="00"/>
    <w:family w:val="auto"/>
    <w:pitch w:val="default"/>
    <w:sig w:usb0="00000000" w:usb1="00000000" w:usb2="00000000" w:usb3="00000000" w:csb0="2000019F" w:csb1="00000000"/>
  </w:font>
  <w:font w:name="Franklin Gothic Medium">
    <w:panose1 w:val="020B0603020102020204"/>
    <w:charset w:val="00"/>
    <w:family w:val="auto"/>
    <w:pitch w:val="default"/>
    <w:sig w:usb0="00000287" w:usb1="00000000" w:usb2="00000000" w:usb3="00000000" w:csb0="2000009F" w:csb1="DFD70000"/>
  </w:font>
  <w:font w:name="Consolas">
    <w:altName w:val="RomanS"/>
    <w:panose1 w:val="020B0609020204030204"/>
    <w:charset w:val="00"/>
    <w:family w:val="auto"/>
    <w:pitch w:val="default"/>
    <w:sig w:usb0="00000000" w:usb1="00000000" w:usb2="00000001" w:usb3="00000000" w:csb0="6000019F" w:csb1="DFD70000"/>
  </w:font>
  <w:font w:name="Comic Sans MS">
    <w:panose1 w:val="030F0702030302020204"/>
    <w:charset w:val="00"/>
    <w:family w:val="auto"/>
    <w:pitch w:val="default"/>
    <w:sig w:usb0="00000287" w:usb1="00000000" w:usb2="00000000" w:usb3="00000000" w:csb0="2000009F" w:csb1="00000000"/>
  </w:font>
  <w:font w:name="Candara">
    <w:altName w:val="AmdtSymbols"/>
    <w:panose1 w:val="020E0502030303020204"/>
    <w:charset w:val="00"/>
    <w:family w:val="auto"/>
    <w:pitch w:val="default"/>
    <w:sig w:usb0="00000000" w:usb1="00000000" w:usb2="00000000" w:usb3="00000000" w:csb0="2000019F" w:csb1="00000000"/>
  </w:font>
  <w:font w:name="Microsoft YaHei UI">
    <w:altName w:val="宋体"/>
    <w:panose1 w:val="020B0503020204020204"/>
    <w:charset w:val="86"/>
    <w:family w:val="auto"/>
    <w:pitch w:val="default"/>
    <w:sig w:usb0="00000000" w:usb1="00000000" w:usb2="00000016" w:usb3="00000000" w:csb0="0004001F" w:csb1="00000000"/>
  </w:font>
  <w:font w:name="Microsoft JhengHei Light">
    <w:altName w:val="PMingLiU"/>
    <w:panose1 w:val="020B0304030504040204"/>
    <w:charset w:val="88"/>
    <w:family w:val="auto"/>
    <w:pitch w:val="default"/>
    <w:sig w:usb0="00000000" w:usb1="00000000" w:usb2="00000016" w:usb3="00000000" w:csb0="00100009" w:csb1="00000000"/>
  </w:font>
  <w:font w:name="Georgia">
    <w:panose1 w:val="02040502050405020303"/>
    <w:charset w:val="00"/>
    <w:family w:val="auto"/>
    <w:pitch w:val="default"/>
    <w:sig w:usb0="00000287" w:usb1="00000000" w:usb2="00000000" w:usb3="00000000" w:csb0="2000009F" w:csb1="00000000"/>
  </w:font>
  <w:font w:name="Javanese Text">
    <w:altName w:val="Verdana"/>
    <w:panose1 w:val="02000000000000000000"/>
    <w:charset w:val="00"/>
    <w:family w:val="auto"/>
    <w:pitch w:val="default"/>
    <w:sig w:usb0="00000000" w:usb1="00000000" w:usb2="00000000" w:usb3="00000000" w:csb0="00000001" w:csb1="00000000"/>
  </w:font>
  <w:font w:name="Microsoft Tai Le">
    <w:altName w:val="AcadEref"/>
    <w:panose1 w:val="020B0502040204020203"/>
    <w:charset w:val="00"/>
    <w:family w:val="auto"/>
    <w:pitch w:val="default"/>
    <w:sig w:usb0="00000000" w:usb1="00000000" w:usb2="40000000" w:usb3="00000000" w:csb0="00000001" w:csb1="00000000"/>
  </w:font>
  <w:font w:name="Palatino Linotype">
    <w:panose1 w:val="02040502050505030304"/>
    <w:charset w:val="00"/>
    <w:family w:val="auto"/>
    <w:pitch w:val="default"/>
    <w:sig w:usb0="E0000387" w:usb1="40000013" w:usb2="00000000" w:usb3="00000000" w:csb0="2000019F" w:csb1="00000000"/>
  </w:font>
  <w:font w:name="Segoe MDL2 Assets">
    <w:altName w:val="RomanS"/>
    <w:panose1 w:val="050A0102010101010101"/>
    <w:charset w:val="00"/>
    <w:family w:val="auto"/>
    <w:pitch w:val="default"/>
    <w:sig w:usb0="00000000" w:usb1="00000000" w:usb2="00000000" w:usb3="00000000" w:csb0="00000001" w:csb1="00000000"/>
  </w:font>
  <w:font w:name="Segoe Script">
    <w:altName w:val="AcadEref"/>
    <w:panose1 w:val="020B0504020000000003"/>
    <w:charset w:val="00"/>
    <w:family w:val="auto"/>
    <w:pitch w:val="default"/>
    <w:sig w:usb0="00000000" w:usb1="00000000" w:usb2="00000000" w:usb3="00000000" w:csb0="0000009F" w:csb1="00000000"/>
  </w:font>
  <w:font w:name="Segoe UI">
    <w:altName w:val="AcadEref"/>
    <w:panose1 w:val="020B0502040204020203"/>
    <w:charset w:val="00"/>
    <w:family w:val="auto"/>
    <w:pitch w:val="default"/>
    <w:sig w:usb0="00000000" w:usb1="00000000" w:usb2="00000009" w:usb3="00000000" w:csb0="200001FF" w:csb1="00000000"/>
  </w:font>
  <w:font w:name="Segoe UI Black">
    <w:altName w:val="AcadEref"/>
    <w:panose1 w:val="020B0A02040204020203"/>
    <w:charset w:val="00"/>
    <w:family w:val="auto"/>
    <w:pitch w:val="default"/>
    <w:sig w:usb0="00000000" w:usb1="00000000" w:usb2="00000021" w:usb3="00000000" w:csb0="2000019F" w:csb1="00000000"/>
  </w:font>
  <w:font w:name="Segoe UI Emoji">
    <w:altName w:val="AcadEref"/>
    <w:panose1 w:val="020B0502040204020203"/>
    <w:charset w:val="00"/>
    <w:family w:val="auto"/>
    <w:pitch w:val="default"/>
    <w:sig w:usb0="00000000" w:usb1="00000000" w:usb2="00000000" w:usb3="00000000" w:csb0="00000001" w:csb1="00000000"/>
  </w:font>
  <w:font w:name="Segoe UI Historic">
    <w:altName w:val="AcadEref"/>
    <w:panose1 w:val="020B0502040204020203"/>
    <w:charset w:val="00"/>
    <w:family w:val="auto"/>
    <w:pitch w:val="default"/>
    <w:sig w:usb0="00000000" w:usb1="00000000" w:usb2="0060C080" w:usb3="00000002" w:csb0="00000001" w:csb1="40000000"/>
  </w:font>
  <w:font w:name="Segoe UI Light">
    <w:altName w:val="AcadEref"/>
    <w:panose1 w:val="020B0502040204020203"/>
    <w:charset w:val="00"/>
    <w:family w:val="auto"/>
    <w:pitch w:val="default"/>
    <w:sig w:usb0="00000000" w:usb1="00000000" w:usb2="00000009" w:usb3="00000000" w:csb0="200001FF" w:csb1="00000000"/>
  </w:font>
  <w:font w:name="Segoe UI Semibold">
    <w:altName w:val="AcadEref"/>
    <w:panose1 w:val="020B0702040204020203"/>
    <w:charset w:val="00"/>
    <w:family w:val="auto"/>
    <w:pitch w:val="default"/>
    <w:sig w:usb0="00000000" w:usb1="00000000" w:usb2="00000009" w:usb3="00000000" w:csb0="200001FF" w:csb1="00000000"/>
  </w:font>
  <w:font w:name="Segoe UI Symbol">
    <w:altName w:val="Symbol"/>
    <w:panose1 w:val="020B0502040204020203"/>
    <w:charset w:val="00"/>
    <w:family w:val="auto"/>
    <w:pitch w:val="default"/>
    <w:sig w:usb0="00000000" w:usb1="00000000" w:usb2="00040000" w:usb3="04000000" w:csb0="00000001" w:csb1="40000000"/>
  </w:font>
  <w:font w:name="Sitka Banner">
    <w:altName w:val="AmdtSymbols"/>
    <w:panose1 w:val="02000505000000020004"/>
    <w:charset w:val="00"/>
    <w:family w:val="auto"/>
    <w:pitch w:val="default"/>
    <w:sig w:usb0="00000000" w:usb1="00000000" w:usb2="00000000" w:usb3="00000000" w:csb0="2000019F" w:csb1="00000000"/>
  </w:font>
  <w:font w:name="Sitka Display">
    <w:altName w:val="AmdtSymbols"/>
    <w:panose1 w:val="02000505000000020004"/>
    <w:charset w:val="00"/>
    <w:family w:val="auto"/>
    <w:pitch w:val="default"/>
    <w:sig w:usb0="00000000" w:usb1="00000000" w:usb2="00000000" w:usb3="00000000" w:csb0="2000019F" w:csb1="00000000"/>
  </w:font>
  <w:font w:name="Sitka Heading">
    <w:altName w:val="AmdtSymbols"/>
    <w:panose1 w:val="02000505000000020004"/>
    <w:charset w:val="00"/>
    <w:family w:val="auto"/>
    <w:pitch w:val="default"/>
    <w:sig w:usb0="00000000" w:usb1="00000000" w:usb2="00000000" w:usb3="00000000" w:csb0="2000019F" w:csb1="00000000"/>
  </w:font>
  <w:font w:name="Sitka Small">
    <w:altName w:val="AmdtSymbols"/>
    <w:panose1 w:val="02000505000000020004"/>
    <w:charset w:val="00"/>
    <w:family w:val="auto"/>
    <w:pitch w:val="default"/>
    <w:sig w:usb0="00000000" w:usb1="00000000" w:usb2="00000000" w:usb3="00000000" w:csb0="2000019F" w:csb1="00000000"/>
  </w:font>
  <w:font w:name="Sylfaen">
    <w:panose1 w:val="010A0502050306030303"/>
    <w:charset w:val="00"/>
    <w:family w:val="auto"/>
    <w:pitch w:val="default"/>
    <w:sig w:usb0="04000687" w:usb1="00000000" w:usb2="00000000" w:usb3="00000000" w:csb0="2000009F" w:csb1="00000000"/>
  </w:font>
  <w:font w:name="Adobe 仿宋 Std R">
    <w:panose1 w:val="02020400000000000000"/>
    <w:charset w:val="86"/>
    <w:family w:val="auto"/>
    <w:pitch w:val="default"/>
    <w:sig w:usb0="00000001" w:usb1="0A0F1810" w:usb2="00000016" w:usb3="00000000" w:csb0="00060007" w:csb1="00000000"/>
  </w:font>
  <w:font w:name="MV Boli">
    <w:panose1 w:val="02000500030200090000"/>
    <w:charset w:val="00"/>
    <w:family w:val="auto"/>
    <w:pitch w:val="default"/>
    <w:sig w:usb0="00000000" w:usb1="00000000" w:usb2="00000100" w:usb3="00000000" w:csb0="00000000" w:csb1="00000000"/>
  </w:font>
  <w:font w:name="Charlemagne Std">
    <w:panose1 w:val="04020705060702020204"/>
    <w:charset w:val="00"/>
    <w:family w:val="auto"/>
    <w:pitch w:val="default"/>
    <w:sig w:usb0="00000003" w:usb1="00000000" w:usb2="00000000" w:usb3="00000000" w:csb0="20000001" w:csb1="00000000"/>
  </w:font>
  <w:font w:name="AmdtSymbols">
    <w:panose1 w:val="02000500000000020004"/>
    <w:charset w:val="00"/>
    <w:family w:val="auto"/>
    <w:pitch w:val="default"/>
    <w:sig w:usb0="00000001" w:usb1="00000000" w:usb2="00000000" w:usb3="00000000" w:csb0="00000001" w:csb1="00000000"/>
  </w:font>
  <w:font w:name="Adobe 明體 Std L">
    <w:panose1 w:val="02020300000000000000"/>
    <w:charset w:val="88"/>
    <w:family w:val="auto"/>
    <w:pitch w:val="default"/>
    <w:sig w:usb0="00000001" w:usb1="1A0F1900" w:usb2="00000016" w:usb3="00000000" w:csb0="00120005" w:csb1="00000000"/>
  </w:font>
  <w:font w:name="Kozuka Mincho Pro M">
    <w:panose1 w:val="02020600000000000000"/>
    <w:charset w:val="80"/>
    <w:family w:val="auto"/>
    <w:pitch w:val="default"/>
    <w:sig w:usb0="00000083" w:usb1="2AC71C11" w:usb2="00000012" w:usb3="00000000" w:csb0="20020005" w:csb1="00000000"/>
  </w:font>
  <w:font w:name="AcadEref">
    <w:panose1 w:val="02000500000000020003"/>
    <w:charset w:val="00"/>
    <w:family w:val="auto"/>
    <w:pitch w:val="default"/>
    <w:sig w:usb0="00000003" w:usb1="0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Sitka Text">
    <w:altName w:val="AmdtSymbols"/>
    <w:panose1 w:val="02000505000000020004"/>
    <w:charset w:val="00"/>
    <w:family w:val="auto"/>
    <w:pitch w:val="default"/>
    <w:sig w:usb0="00000000" w:usb1="00000000" w:usb2="00000000" w:usb3="00000000" w:csb0="2000019F" w:csb1="00000000"/>
  </w:font>
  <w:font w:name="MS UI Gothic">
    <w:panose1 w:val="020B0600070205080204"/>
    <w:charset w:val="80"/>
    <w:family w:val="auto"/>
    <w:pitch w:val="default"/>
    <w:sig w:usb0="A00002BF" w:usb1="68C7FCFB" w:usb2="00000010" w:usb3="00000000" w:csb0="4002009F" w:csb1="DFD70000"/>
  </w:font>
  <w:font w:name="方正兰亭超细黑简体">
    <w:altName w:val="黑体"/>
    <w:panose1 w:val="02000000000000000000"/>
    <w:charset w:val="86"/>
    <w:family w:val="auto"/>
    <w:pitch w:val="default"/>
    <w:sig w:usb0="00000000" w:usb1="00000000" w:usb2="00000000" w:usb3="00000000" w:csb0="00040000" w:csb1="00000000"/>
  </w:font>
  <w:font w:name="Adobe Myungjo Std M">
    <w:panose1 w:val="02020600000000000000"/>
    <w:charset w:val="80"/>
    <w:family w:val="auto"/>
    <w:pitch w:val="default"/>
    <w:sig w:usb0="00000001" w:usb1="21D72C10" w:usb2="00000010" w:usb3="00000000" w:csb0="602A0005" w:csb1="00000000"/>
  </w:font>
  <w:font w:name="Lucida Console">
    <w:panose1 w:val="020B0609040504020204"/>
    <w:charset w:val="00"/>
    <w:family w:val="auto"/>
    <w:pitch w:val="default"/>
    <w:sig w:usb0="8000028F" w:usb1="00001800" w:usb2="00000000" w:usb3="00000000" w:csb0="0000001F" w:csb1="D7D70000"/>
  </w:font>
  <w:font w:name="Vrinda">
    <w:altName w:val="AcadEref"/>
    <w:panose1 w:val="020B0502040204020203"/>
    <w:charset w:val="00"/>
    <w:family w:val="auto"/>
    <w:pitch w:val="default"/>
    <w:sig w:usb0="00000000" w:usb1="00000000" w:usb2="00000000" w:usb3="00000000" w:csb0="00000001" w:csb1="00000000"/>
  </w:font>
  <w:font w:name="Meiryo UI">
    <w:altName w:val="MS UI Gothic"/>
    <w:panose1 w:val="020B0604030504040204"/>
    <w:charset w:val="80"/>
    <w:family w:val="auto"/>
    <w:pitch w:val="default"/>
    <w:sig w:usb0="00000000" w:usb1="00000000" w:usb2="00010012" w:usb3="00000000" w:csb0="6002009F" w:csb1="DFD70000"/>
  </w:font>
  <w:font w:name="MS PMincho">
    <w:altName w:val="MS UI Gothic"/>
    <w:panose1 w:val="02020600040205080304"/>
    <w:charset w:val="80"/>
    <w:family w:val="auto"/>
    <w:pitch w:val="default"/>
    <w:sig w:usb0="00000000" w:usb1="00000000" w:usb2="00000012" w:usb3="00000000" w:csb0="4002009F" w:csb1="DFD70000"/>
  </w:font>
  <w:font w:name="华文细黑">
    <w:altName w:val="宋体"/>
    <w:panose1 w:val="02010600040101010101"/>
    <w:charset w:val="86"/>
    <w:family w:val="auto"/>
    <w:pitch w:val="default"/>
    <w:sig w:usb0="00000000" w:usb1="00000000" w:usb2="00000010" w:usb3="00000000" w:csb0="0004009F" w:csb1="00000000"/>
  </w:font>
  <w:font w:name="Kozuka Gothic Pro R">
    <w:panose1 w:val="020B0400000000000000"/>
    <w:charset w:val="80"/>
    <w:family w:val="auto"/>
    <w:pitch w:val="default"/>
    <w:sig w:usb0="00000083" w:usb1="2AC71C11" w:usb2="00000012" w:usb3="00000000" w:csb0="20020005" w:csb1="00000000"/>
  </w:font>
  <w:font w:name="AMGDT">
    <w:panose1 w:val="00000400000000000000"/>
    <w:charset w:val="00"/>
    <w:family w:val="auto"/>
    <w:pitch w:val="default"/>
    <w:sig w:usb0="80000003" w:usb1="10000000" w:usb2="00000000" w:usb3="00000000" w:csb0="00000001" w:csb1="00000000"/>
  </w:font>
  <w:font w:name="Gulim">
    <w:panose1 w:val="020B0600000101010101"/>
    <w:charset w:val="81"/>
    <w:family w:val="auto"/>
    <w:pitch w:val="default"/>
    <w:sig w:usb0="B00002AF" w:usb1="69D77CFB" w:usb2="00000030" w:usb3="00000000" w:csb0="4008009F" w:csb1="DFD70000"/>
  </w:font>
  <w:font w:name="Letter Gothic Std">
    <w:panose1 w:val="020B0409020202030304"/>
    <w:charset w:val="00"/>
    <w:family w:val="auto"/>
    <w:pitch w:val="default"/>
    <w:sig w:usb0="00000003" w:usb1="00000000" w:usb2="00000000" w:usb3="00000000" w:csb0="60000001" w:csb1="00000000"/>
  </w:font>
  <w:font w:name="lucida Grande">
    <w:altName w:val="RomanS"/>
    <w:panose1 w:val="00000000000000000000"/>
    <w:charset w:val="00"/>
    <w:family w:val="auto"/>
    <w:pitch w:val="default"/>
    <w:sig w:usb0="00000000" w:usb1="00000000" w:usb2="00000000" w:usb3="00000000" w:csb0="00000000" w:csb1="00000000"/>
  </w:font>
  <w:font w:name="Adobe Gothic Std B">
    <w:panose1 w:val="020B0800000000000000"/>
    <w:charset w:val="80"/>
    <w:family w:val="auto"/>
    <w:pitch w:val="default"/>
    <w:sig w:usb0="00000001" w:usb1="21D72C10" w:usb2="00000010" w:usb3="00000000" w:csb0="602A0005" w:csb1="00000000"/>
  </w:font>
  <w:font w:name="Kozuka Gothic Pro H">
    <w:panose1 w:val="020B0800000000000000"/>
    <w:charset w:val="80"/>
    <w:family w:val="auto"/>
    <w:pitch w:val="default"/>
    <w:sig w:usb0="00000083" w:usb1="2AC71C11" w:usb2="00000012" w:usb3="00000000" w:csb0="20020005" w:csb1="00000000"/>
  </w:font>
  <w:font w:name="Arial">
    <w:panose1 w:val="020B0604020202020204"/>
    <w:charset w:val="86"/>
    <w:family w:val="swiss"/>
    <w:pitch w:val="default"/>
    <w:sig w:usb0="00007A87" w:usb1="80000000" w:usb2="00000008" w:usb3="00000000" w:csb0="400001FF" w:csb1="FFFF0000"/>
  </w:font>
  <w:font w:name="Wingdings 2">
    <w:panose1 w:val="05020102010507070707"/>
    <w:charset w:val="02"/>
    <w:family w:val="roman"/>
    <w:pitch w:val="default"/>
    <w:sig w:usb0="00000000" w:usb1="00000000" w:usb2="00000000" w:usb3="00000000" w:csb0="80000000" w:csb1="00000000"/>
  </w:font>
  <w:font w:name="方正小标宋_GBK">
    <w:altName w:val="宋体"/>
    <w:panose1 w:val="03000509000000000000"/>
    <w:charset w:val="86"/>
    <w:family w:val="script"/>
    <w:pitch w:val="default"/>
    <w:sig w:usb0="00000000" w:usb1="00000000" w:usb2="00000010" w:usb3="00000000" w:csb0="00040000" w:csb1="00000000"/>
  </w:font>
  <w:font w:name="宋体-方正超大字符集">
    <w:altName w:val="宋体"/>
    <w:panose1 w:val="03000509000000000000"/>
    <w:charset w:val="86"/>
    <w:family w:val="auto"/>
    <w:pitch w:val="default"/>
    <w:sig w:usb0="00000000" w:usb1="00000000" w:usb2="00000000" w:usb3="00000000" w:csb0="00040000" w:csb1="00000000"/>
  </w:font>
  <w:font w:name="方正仿宋_GBK">
    <w:altName w:val="宋体"/>
    <w:panose1 w:val="03000509000000000000"/>
    <w:charset w:val="86"/>
    <w:family w:val="script"/>
    <w:pitch w:val="default"/>
    <w:sig w:usb0="00000000" w:usb1="00000000" w:usb2="00000010" w:usb3="00000000" w:csb0="003C0041" w:csb1="00000000"/>
  </w:font>
  <w:font w:name="ˎ̥">
    <w:altName w:val="Times New Roman"/>
    <w:panose1 w:val="00000000000000000000"/>
    <w:charset w:val="00"/>
    <w:family w:val="roman"/>
    <w:pitch w:val="default"/>
    <w:sig w:usb0="00000000" w:usb1="00000000" w:usb2="00000000" w:usb3="00000000" w:csb0="00040001" w:csb1="00000000"/>
  </w:font>
  <w:font w:name="瀹嬩綋">
    <w:altName w:val="Adobe 仿宋 Std R"/>
    <w:panose1 w:val="00000000000000000000"/>
    <w:charset w:val="01"/>
    <w:family w:val="auto"/>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Kozuka Gothic Pr6N R">
    <w:panose1 w:val="020B0400000000000000"/>
    <w:charset w:val="80"/>
    <w:family w:val="auto"/>
    <w:pitch w:val="default"/>
    <w:sig w:usb0="000002D7" w:usb1="2AC71C11" w:usb2="00000012" w:usb3="00000000" w:csb0="2002009F" w:csb1="00000000"/>
  </w:font>
  <w:font w:name="Kozuka Gothic Pr6N M">
    <w:panose1 w:val="020B0700000000000000"/>
    <w:charset w:val="80"/>
    <w:family w:val="auto"/>
    <w:pitch w:val="default"/>
    <w:sig w:usb0="000002D7" w:usb1="2AC71C11" w:usb2="00000012" w:usb3="00000000" w:csb0="2002009F" w:csb1="00000000"/>
  </w:font>
  <w:font w:name="PMingLiU-ExtB">
    <w:altName w:val="MV Boli"/>
    <w:panose1 w:val="02020500000000000000"/>
    <w:charset w:val="00"/>
    <w:family w:val="auto"/>
    <w:pitch w:val="default"/>
    <w:sig w:usb0="00000000" w:usb1="00000000" w:usb2="00000000" w:usb3="00000000" w:csb0="00100001" w:csb1="00000000"/>
  </w:font>
  <w:font w:name="Malgun Gothic">
    <w:altName w:val="AmdtSymbols"/>
    <w:panose1 w:val="020B0503020000020004"/>
    <w:charset w:val="00"/>
    <w:family w:val="auto"/>
    <w:pitch w:val="default"/>
    <w:sig w:usb0="00000000" w:usb1="00000000" w:usb2="00000012" w:usb3="00000000" w:csb0="00080001" w:csb1="00000000"/>
  </w:font>
  <w:font w:name="Yu Gothic UI">
    <w:altName w:val="Letter Gothic Std"/>
    <w:panose1 w:val="020B0500000000000000"/>
    <w:charset w:val="00"/>
    <w:family w:val="auto"/>
    <w:pitch w:val="default"/>
    <w:sig w:usb0="00000000" w:usb1="00000000" w:usb2="00000016" w:usb3="00000000" w:csb0="2002009F" w:csb1="00000000"/>
  </w:font>
  <w:font w:name="方正黑体简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- 35 -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- 35 -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- 99 -</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- 99 -</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2C06A"/>
    <w:multiLevelType w:val="singleLevel"/>
    <w:tmpl w:val="5742C06A"/>
    <w:lvl w:ilvl="0" w:tentative="0">
      <w:start w:val="1"/>
      <w:numFmt w:val="decimal"/>
      <w:suff w:val="nothing"/>
      <w:lvlText w:val="%1）"/>
      <w:lvlJc w:val="left"/>
    </w:lvl>
  </w:abstractNum>
  <w:abstractNum w:abstractNumId="1">
    <w:nsid w:val="57488066"/>
    <w:multiLevelType w:val="singleLevel"/>
    <w:tmpl w:val="57488066"/>
    <w:lvl w:ilvl="0" w:tentative="0">
      <w:start w:val="1"/>
      <w:numFmt w:val="decimal"/>
      <w:suff w:val="nothing"/>
      <w:lvlText w:val="%1）"/>
      <w:lvlJc w:val="left"/>
    </w:lvl>
  </w:abstractNum>
  <w:abstractNum w:abstractNumId="2">
    <w:nsid w:val="575E3567"/>
    <w:multiLevelType w:val="singleLevel"/>
    <w:tmpl w:val="575E3567"/>
    <w:lvl w:ilvl="0" w:tentative="0">
      <w:start w:val="5"/>
      <w:numFmt w:val="chineseCounting"/>
      <w:suff w:val="nothing"/>
      <w:lvlText w:val="%1、"/>
      <w:lvlJc w:val="left"/>
    </w:lvl>
  </w:abstractNum>
  <w:abstractNum w:abstractNumId="3">
    <w:nsid w:val="575E391D"/>
    <w:multiLevelType w:val="singleLevel"/>
    <w:tmpl w:val="575E391D"/>
    <w:lvl w:ilvl="0" w:tentative="0">
      <w:start w:val="2"/>
      <w:numFmt w:val="decimal"/>
      <w:suff w:val="nothing"/>
      <w:lvlText w:val="%1、"/>
      <w:lvlJc w:val="left"/>
    </w:lvl>
  </w:abstractNum>
  <w:abstractNum w:abstractNumId="4">
    <w:nsid w:val="575E62BA"/>
    <w:multiLevelType w:val="singleLevel"/>
    <w:tmpl w:val="575E62BA"/>
    <w:lvl w:ilvl="0" w:tentative="0">
      <w:start w:val="5"/>
      <w:numFmt w:val="chineseCounting"/>
      <w:suff w:val="nothing"/>
      <w:lvlText w:val="%1、"/>
      <w:lvlJc w:val="left"/>
    </w:lvl>
  </w:abstractNum>
  <w:abstractNum w:abstractNumId="5">
    <w:nsid w:val="578B1EF9"/>
    <w:multiLevelType w:val="singleLevel"/>
    <w:tmpl w:val="578B1EF9"/>
    <w:lvl w:ilvl="0" w:tentative="0">
      <w:start w:val="2"/>
      <w:numFmt w:val="decimal"/>
      <w:suff w:val="nothing"/>
      <w:lvlText w:val="%1、"/>
      <w:lvlJc w:val="left"/>
    </w:lvl>
  </w:abstractNum>
  <w:abstractNum w:abstractNumId="6">
    <w:nsid w:val="5794D047"/>
    <w:multiLevelType w:val="singleLevel"/>
    <w:tmpl w:val="5794D047"/>
    <w:lvl w:ilvl="0" w:tentative="0">
      <w:start w:val="5"/>
      <w:numFmt w:val="chineseCounting"/>
      <w:suff w:val="nothing"/>
      <w:lvlText w:val="%1、"/>
      <w:lvlJc w:val="left"/>
    </w:lvl>
  </w:abstractNum>
  <w:abstractNum w:abstractNumId="7">
    <w:nsid w:val="579EF9CB"/>
    <w:multiLevelType w:val="singleLevel"/>
    <w:tmpl w:val="579EF9CB"/>
    <w:lvl w:ilvl="0" w:tentative="0">
      <w:start w:val="1"/>
      <w:numFmt w:val="chineseCounting"/>
      <w:suff w:val="nothing"/>
      <w:lvlText w:val="%1、"/>
      <w:lvlJc w:val="left"/>
    </w:lvl>
  </w:abstractNum>
  <w:abstractNum w:abstractNumId="8">
    <w:nsid w:val="579FE8B8"/>
    <w:multiLevelType w:val="singleLevel"/>
    <w:tmpl w:val="579FE8B8"/>
    <w:lvl w:ilvl="0" w:tentative="0">
      <w:start w:val="1"/>
      <w:numFmt w:val="chineseCounting"/>
      <w:suff w:val="nothing"/>
      <w:lvlText w:val="%1、"/>
      <w:lvlJc w:val="left"/>
    </w:lvl>
  </w:abstractNum>
  <w:abstractNum w:abstractNumId="9">
    <w:nsid w:val="57C13EBE"/>
    <w:multiLevelType w:val="singleLevel"/>
    <w:tmpl w:val="57C13EBE"/>
    <w:lvl w:ilvl="0" w:tentative="0">
      <w:start w:val="1"/>
      <w:numFmt w:val="chineseCounting"/>
      <w:suff w:val="nothing"/>
      <w:lvlText w:val="%1、"/>
      <w:lvlJc w:val="left"/>
    </w:lvl>
  </w:abstractNum>
  <w:abstractNum w:abstractNumId="10">
    <w:nsid w:val="57C14CBE"/>
    <w:multiLevelType w:val="singleLevel"/>
    <w:tmpl w:val="57C14CBE"/>
    <w:lvl w:ilvl="0" w:tentative="0">
      <w:start w:val="3"/>
      <w:numFmt w:val="chineseCounting"/>
      <w:suff w:val="nothing"/>
      <w:lvlText w:val="%1、"/>
      <w:lvlJc w:val="left"/>
    </w:lvl>
  </w:abstractNum>
  <w:abstractNum w:abstractNumId="11">
    <w:nsid w:val="57C3E0A8"/>
    <w:multiLevelType w:val="singleLevel"/>
    <w:tmpl w:val="57C3E0A8"/>
    <w:lvl w:ilvl="0" w:tentative="0">
      <w:start w:val="1"/>
      <w:numFmt w:val="chineseCounting"/>
      <w:suff w:val="nothing"/>
      <w:lvlText w:val="%1、"/>
      <w:lvlJc w:val="left"/>
    </w:lvl>
  </w:abstractNum>
  <w:abstractNum w:abstractNumId="12">
    <w:nsid w:val="57C3EA65"/>
    <w:multiLevelType w:val="singleLevel"/>
    <w:tmpl w:val="57C3EA65"/>
    <w:lvl w:ilvl="0" w:tentative="0">
      <w:start w:val="3"/>
      <w:numFmt w:val="chineseCounting"/>
      <w:suff w:val="nothing"/>
      <w:lvlText w:val="%1、"/>
      <w:lvlJc w:val="left"/>
    </w:lvl>
  </w:abstractNum>
  <w:abstractNum w:abstractNumId="13">
    <w:nsid w:val="6B294F82"/>
    <w:multiLevelType w:val="multilevel"/>
    <w:tmpl w:val="6B294F82"/>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7"/>
  </w:num>
  <w:num w:numId="2">
    <w:abstractNumId w:val="6"/>
  </w:num>
  <w:num w:numId="3">
    <w:abstractNumId w:val="8"/>
  </w:num>
  <w:num w:numId="4">
    <w:abstractNumId w:val="9"/>
  </w:num>
  <w:num w:numId="5">
    <w:abstractNumId w:val="1"/>
  </w:num>
  <w:num w:numId="6">
    <w:abstractNumId w:val="13"/>
  </w:num>
  <w:num w:numId="7">
    <w:abstractNumId w:val="0"/>
  </w:num>
  <w:num w:numId="8">
    <w:abstractNumId w:val="2"/>
  </w:num>
  <w:num w:numId="9">
    <w:abstractNumId w:val="3"/>
  </w:num>
  <w:num w:numId="10">
    <w:abstractNumId w:val="10"/>
  </w:num>
  <w:num w:numId="11">
    <w:abstractNumId w:val="4"/>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E91E65"/>
    <w:rsid w:val="000A454F"/>
    <w:rsid w:val="01E45800"/>
    <w:rsid w:val="05E44303"/>
    <w:rsid w:val="0A0E3426"/>
    <w:rsid w:val="0BBE74E7"/>
    <w:rsid w:val="10425DA6"/>
    <w:rsid w:val="1C022807"/>
    <w:rsid w:val="1C1B76D2"/>
    <w:rsid w:val="1C3A20D0"/>
    <w:rsid w:val="1EDF4CE0"/>
    <w:rsid w:val="1F914EF2"/>
    <w:rsid w:val="207F079B"/>
    <w:rsid w:val="244904EF"/>
    <w:rsid w:val="297A2EB3"/>
    <w:rsid w:val="2C292B1D"/>
    <w:rsid w:val="2C8B54AB"/>
    <w:rsid w:val="2E5F7CC6"/>
    <w:rsid w:val="32B5581E"/>
    <w:rsid w:val="363139BB"/>
    <w:rsid w:val="3944764C"/>
    <w:rsid w:val="3C6B2027"/>
    <w:rsid w:val="3F2A1822"/>
    <w:rsid w:val="4BFA4C10"/>
    <w:rsid w:val="4C27168B"/>
    <w:rsid w:val="4F74688D"/>
    <w:rsid w:val="54944379"/>
    <w:rsid w:val="5509502F"/>
    <w:rsid w:val="5A354D5F"/>
    <w:rsid w:val="5B8F56C7"/>
    <w:rsid w:val="5DC037FD"/>
    <w:rsid w:val="6A951F97"/>
    <w:rsid w:val="6CE91E65"/>
    <w:rsid w:val="6D735483"/>
    <w:rsid w:val="6DC81FE4"/>
    <w:rsid w:val="74475230"/>
    <w:rsid w:val="780E4701"/>
    <w:rsid w:val="78E559C9"/>
    <w:rsid w:val="79FC26D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spacing w:beforeAutospacing="1" w:afterAutospacing="1"/>
      <w:jc w:val="left"/>
      <w:outlineLvl w:val="2"/>
    </w:pPr>
    <w:rPr>
      <w:rFonts w:hint="eastAsia" w:ascii="宋体" w:hAnsi="宋体"/>
      <w:b/>
      <w:kern w:val="0"/>
      <w:sz w:val="27"/>
      <w:szCs w:val="27"/>
    </w:rPr>
  </w:style>
  <w:style w:type="character" w:default="1" w:styleId="10">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sz w:val="24"/>
      <w:szCs w:val="20"/>
    </w:rPr>
  </w:style>
  <w:style w:type="paragraph" w:styleId="5">
    <w:name w:val="Body Text Indent"/>
    <w:basedOn w:val="1"/>
    <w:qFormat/>
    <w:uiPriority w:val="0"/>
    <w:pPr>
      <w:ind w:firstLine="560" w:firstLineChars="200"/>
    </w:pPr>
    <w:rPr>
      <w:sz w:val="2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page number"/>
    <w:basedOn w:val="10"/>
    <w:qFormat/>
    <w:uiPriority w:val="0"/>
  </w:style>
  <w:style w:type="character" w:styleId="12">
    <w:name w:val="FollowedHyperlink"/>
    <w:basedOn w:val="10"/>
    <w:qFormat/>
    <w:uiPriority w:val="0"/>
    <w:rPr>
      <w:color w:val="000000"/>
      <w:u w:val="none"/>
    </w:rPr>
  </w:style>
  <w:style w:type="character" w:styleId="13">
    <w:name w:val="Hyperlink"/>
    <w:basedOn w:val="10"/>
    <w:qFormat/>
    <w:uiPriority w:val="0"/>
    <w:rPr>
      <w:color w:val="3366CC"/>
      <w:u w:val="single"/>
    </w:rPr>
  </w:style>
  <w:style w:type="character" w:styleId="14">
    <w:name w:val="annotation reference"/>
    <w:basedOn w:val="10"/>
    <w:qFormat/>
    <w:uiPriority w:val="0"/>
    <w:rPr>
      <w:sz w:val="21"/>
      <w:szCs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font11"/>
    <w:basedOn w:val="10"/>
    <w:qFormat/>
    <w:uiPriority w:val="0"/>
    <w:rPr>
      <w:rFonts w:hint="eastAsia" w:ascii="宋体" w:hAnsi="宋体" w:eastAsia="宋体" w:cs="宋体"/>
      <w:color w:val="000000"/>
      <w:sz w:val="21"/>
      <w:szCs w:val="21"/>
      <w:u w:val="none"/>
    </w:rPr>
  </w:style>
  <w:style w:type="paragraph" w:customStyle="1" w:styleId="18">
    <w:name w:val="表头及图例"/>
    <w:basedOn w:val="1"/>
    <w:qFormat/>
    <w:uiPriority w:val="0"/>
    <w:pPr>
      <w:spacing w:before="50" w:beforeLines="50"/>
      <w:jc w:val="center"/>
    </w:pPr>
    <w:rPr>
      <w:rFonts w:ascii="黑体"/>
      <w:b/>
      <w:sz w:val="24"/>
    </w:rPr>
  </w:style>
  <w:style w:type="paragraph" w:customStyle="1" w:styleId="19">
    <w:name w:val="小标题  1"/>
    <w:basedOn w:val="1"/>
    <w:qFormat/>
    <w:uiPriority w:val="0"/>
    <w:pPr>
      <w:spacing w:before="50" w:beforeLines="50" w:after="50" w:afterLines="50" w:line="360" w:lineRule="auto"/>
      <w:ind w:firstLine="200" w:firstLineChars="200"/>
    </w:pPr>
    <w:rPr>
      <w:b/>
      <w:sz w:val="24"/>
    </w:rPr>
  </w:style>
  <w:style w:type="paragraph" w:customStyle="1" w:styleId="20">
    <w:name w:val="报告正文"/>
    <w:basedOn w:val="1"/>
    <w:qFormat/>
    <w:uiPriority w:val="0"/>
    <w:pPr>
      <w:ind w:firstLine="200"/>
    </w:pPr>
    <w:rPr>
      <w:rFonts w:eastAsia="仿宋_GB2312"/>
      <w:sz w:val="28"/>
      <w:szCs w:val="20"/>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65.jpeg"/><Relationship Id="rId93" Type="http://schemas.openxmlformats.org/officeDocument/2006/relationships/image" Target="media/image64.jpeg"/><Relationship Id="rId92" Type="http://schemas.openxmlformats.org/officeDocument/2006/relationships/image" Target="media/image63.jpeg"/><Relationship Id="rId91" Type="http://schemas.openxmlformats.org/officeDocument/2006/relationships/image" Target="media/image62.jpeg"/><Relationship Id="rId90" Type="http://schemas.openxmlformats.org/officeDocument/2006/relationships/image" Target="media/image61.jpeg"/><Relationship Id="rId9" Type="http://schemas.openxmlformats.org/officeDocument/2006/relationships/image" Target="media/image1.wmf"/><Relationship Id="rId89" Type="http://schemas.openxmlformats.org/officeDocument/2006/relationships/image" Target="media/image60.jpeg"/><Relationship Id="rId88" Type="http://schemas.openxmlformats.org/officeDocument/2006/relationships/image" Target="media/image59.jpeg"/><Relationship Id="rId87" Type="http://schemas.openxmlformats.org/officeDocument/2006/relationships/image" Target="media/image58.jpeg"/><Relationship Id="rId86" Type="http://schemas.openxmlformats.org/officeDocument/2006/relationships/image" Target="media/image57.jpeg"/><Relationship Id="rId85" Type="http://schemas.openxmlformats.org/officeDocument/2006/relationships/image" Target="media/image56.jpeg"/><Relationship Id="rId84" Type="http://schemas.openxmlformats.org/officeDocument/2006/relationships/image" Target="media/image55.jpeg"/><Relationship Id="rId83" Type="http://schemas.openxmlformats.org/officeDocument/2006/relationships/image" Target="media/image54.jpeg"/><Relationship Id="rId82" Type="http://schemas.openxmlformats.org/officeDocument/2006/relationships/image" Target="media/image53.jpeg"/><Relationship Id="rId81" Type="http://schemas.openxmlformats.org/officeDocument/2006/relationships/image" Target="media/image52.jpeg"/><Relationship Id="rId80" Type="http://schemas.openxmlformats.org/officeDocument/2006/relationships/image" Target="media/image51.jpeg"/><Relationship Id="rId8" Type="http://schemas.openxmlformats.org/officeDocument/2006/relationships/oleObject" Target="embeddings/oleObject1.bin"/><Relationship Id="rId79" Type="http://schemas.openxmlformats.org/officeDocument/2006/relationships/image" Target="media/image50.jpeg"/><Relationship Id="rId78" Type="http://schemas.openxmlformats.org/officeDocument/2006/relationships/image" Target="media/image49.jpeg"/><Relationship Id="rId77" Type="http://schemas.openxmlformats.org/officeDocument/2006/relationships/image" Target="media/image48.jpeg"/><Relationship Id="rId76" Type="http://schemas.openxmlformats.org/officeDocument/2006/relationships/image" Target="media/image47.png"/><Relationship Id="rId75" Type="http://schemas.openxmlformats.org/officeDocument/2006/relationships/image" Target="media/image46.png"/><Relationship Id="rId74" Type="http://schemas.openxmlformats.org/officeDocument/2006/relationships/image" Target="media/image45.png"/><Relationship Id="rId73" Type="http://schemas.openxmlformats.org/officeDocument/2006/relationships/image" Target="media/image44.jpeg"/><Relationship Id="rId72" Type="http://schemas.openxmlformats.org/officeDocument/2006/relationships/image" Target="media/image43.jpeg"/><Relationship Id="rId71" Type="http://schemas.openxmlformats.org/officeDocument/2006/relationships/image" Target="media/image42.jpeg"/><Relationship Id="rId70" Type="http://schemas.openxmlformats.org/officeDocument/2006/relationships/image" Target="media/image41.jpeg"/><Relationship Id="rId7" Type="http://schemas.openxmlformats.org/officeDocument/2006/relationships/theme" Target="theme/theme1.xml"/><Relationship Id="rId69" Type="http://schemas.openxmlformats.org/officeDocument/2006/relationships/image" Target="media/image40.jpeg"/><Relationship Id="rId68" Type="http://schemas.openxmlformats.org/officeDocument/2006/relationships/image" Target="media/image39.png"/><Relationship Id="rId67" Type="http://schemas.openxmlformats.org/officeDocument/2006/relationships/image" Target="media/image38.jpeg"/><Relationship Id="rId66" Type="http://schemas.openxmlformats.org/officeDocument/2006/relationships/image" Target="media/image37.jpeg"/><Relationship Id="rId65" Type="http://schemas.openxmlformats.org/officeDocument/2006/relationships/image" Target="media/image36.wmf"/><Relationship Id="rId64" Type="http://schemas.openxmlformats.org/officeDocument/2006/relationships/oleObject" Target="embeddings/oleObject22.bin"/><Relationship Id="rId63" Type="http://schemas.openxmlformats.org/officeDocument/2006/relationships/image" Target="media/image35.wmf"/><Relationship Id="rId62" Type="http://schemas.openxmlformats.org/officeDocument/2006/relationships/oleObject" Target="embeddings/oleObject21.bin"/><Relationship Id="rId61" Type="http://schemas.openxmlformats.org/officeDocument/2006/relationships/oleObject" Target="embeddings/oleObject20.bin"/><Relationship Id="rId60" Type="http://schemas.openxmlformats.org/officeDocument/2006/relationships/image" Target="media/image34.wmf"/><Relationship Id="rId6" Type="http://schemas.openxmlformats.org/officeDocument/2006/relationships/footer" Target="footer3.xml"/><Relationship Id="rId59" Type="http://schemas.openxmlformats.org/officeDocument/2006/relationships/oleObject" Target="embeddings/oleObject19.bin"/><Relationship Id="rId58" Type="http://schemas.openxmlformats.org/officeDocument/2006/relationships/image" Target="media/image33.wmf"/><Relationship Id="rId57" Type="http://schemas.openxmlformats.org/officeDocument/2006/relationships/oleObject" Target="embeddings/oleObject18.bin"/><Relationship Id="rId56" Type="http://schemas.openxmlformats.org/officeDocument/2006/relationships/image" Target="media/image32.wmf"/><Relationship Id="rId55" Type="http://schemas.openxmlformats.org/officeDocument/2006/relationships/oleObject" Target="embeddings/oleObject17.bin"/><Relationship Id="rId54" Type="http://schemas.openxmlformats.org/officeDocument/2006/relationships/image" Target="media/image31.wmf"/><Relationship Id="rId53" Type="http://schemas.openxmlformats.org/officeDocument/2006/relationships/oleObject" Target="embeddings/oleObject16.bin"/><Relationship Id="rId52" Type="http://schemas.openxmlformats.org/officeDocument/2006/relationships/image" Target="media/image30.wmf"/><Relationship Id="rId51" Type="http://schemas.openxmlformats.org/officeDocument/2006/relationships/oleObject" Target="embeddings/oleObject15.bin"/><Relationship Id="rId50" Type="http://schemas.openxmlformats.org/officeDocument/2006/relationships/image" Target="media/image29.wmf"/><Relationship Id="rId5" Type="http://schemas.openxmlformats.org/officeDocument/2006/relationships/footer" Target="footer2.xml"/><Relationship Id="rId49" Type="http://schemas.openxmlformats.org/officeDocument/2006/relationships/oleObject" Target="embeddings/oleObject14.bin"/><Relationship Id="rId48" Type="http://schemas.openxmlformats.org/officeDocument/2006/relationships/image" Target="media/image28.wmf"/><Relationship Id="rId47" Type="http://schemas.openxmlformats.org/officeDocument/2006/relationships/oleObject" Target="embeddings/oleObject13.bin"/><Relationship Id="rId46" Type="http://schemas.openxmlformats.org/officeDocument/2006/relationships/image" Target="media/image27.wmf"/><Relationship Id="rId45" Type="http://schemas.openxmlformats.org/officeDocument/2006/relationships/oleObject" Target="embeddings/oleObject12.bin"/><Relationship Id="rId44" Type="http://schemas.openxmlformats.org/officeDocument/2006/relationships/oleObject" Target="embeddings/oleObject11.bin"/><Relationship Id="rId43" Type="http://schemas.openxmlformats.org/officeDocument/2006/relationships/image" Target="media/image26.wmf"/><Relationship Id="rId42" Type="http://schemas.openxmlformats.org/officeDocument/2006/relationships/oleObject" Target="embeddings/oleObject10.bin"/><Relationship Id="rId41" Type="http://schemas.openxmlformats.org/officeDocument/2006/relationships/image" Target="media/image25.png"/><Relationship Id="rId40" Type="http://schemas.openxmlformats.org/officeDocument/2006/relationships/image" Target="media/image24.wmf"/><Relationship Id="rId4" Type="http://schemas.openxmlformats.org/officeDocument/2006/relationships/footer" Target="footer1.xml"/><Relationship Id="rId39" Type="http://schemas.openxmlformats.org/officeDocument/2006/relationships/image" Target="media/image23.wmf"/><Relationship Id="rId38" Type="http://schemas.openxmlformats.org/officeDocument/2006/relationships/image" Target="media/image22.wmf"/><Relationship Id="rId37" Type="http://schemas.openxmlformats.org/officeDocument/2006/relationships/image" Target="media/image21.wmf"/><Relationship Id="rId36" Type="http://schemas.openxmlformats.org/officeDocument/2006/relationships/oleObject" Target="embeddings/oleObject9.bin"/><Relationship Id="rId35" Type="http://schemas.openxmlformats.org/officeDocument/2006/relationships/image" Target="media/image20.wmf"/><Relationship Id="rId34" Type="http://schemas.openxmlformats.org/officeDocument/2006/relationships/oleObject" Target="embeddings/oleObject8.bin"/><Relationship Id="rId33" Type="http://schemas.openxmlformats.org/officeDocument/2006/relationships/image" Target="media/image19.wmf"/><Relationship Id="rId32" Type="http://schemas.openxmlformats.org/officeDocument/2006/relationships/oleObject" Target="embeddings/oleObject7.bin"/><Relationship Id="rId31" Type="http://schemas.openxmlformats.org/officeDocument/2006/relationships/image" Target="media/image18.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5.bin"/><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oleObject" Target="embeddings/oleObject4.bin"/><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w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image" Target="media/image8.wmf"/><Relationship Id="rId17" Type="http://schemas.openxmlformats.org/officeDocument/2006/relationships/image" Target="media/image7.wmf"/><Relationship Id="rId16" Type="http://schemas.openxmlformats.org/officeDocument/2006/relationships/image" Target="media/image6.wmf"/><Relationship Id="rId15" Type="http://schemas.openxmlformats.org/officeDocument/2006/relationships/image" Target="media/image5.wmf"/><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oleObject" Target="embeddings/oleObject3.bin"/><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2016-08-01T06:50:00Z</dcterms:created>
  <dc:creator>Administrator</dc:creator>
  <cp:lastModifiedBy>Administrator</cp:lastModifiedBy>
  <cp:lastPrinted>2016-09-06T03:31:00Z</cp:lastPrinted>
  <dcterms:modified xsi:type="dcterms:W3CDTF">2016-09-14T01:13:04Z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