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hint="eastAsia"/>
          <w:sz w:val="32"/>
          <w:szCs w:val="32"/>
        </w:rPr>
      </w:pPr>
      <w:r>
        <w:rPr>
          <w:rFonts w:hint="eastAsia"/>
          <w:sz w:val="32"/>
          <w:szCs w:val="32"/>
          <w:lang w:eastAsia="zh-CN"/>
        </w:rPr>
        <w:t>表</w:t>
      </w:r>
      <w:r>
        <w:rPr>
          <w:rFonts w:hint="eastAsia"/>
          <w:sz w:val="32"/>
          <w:szCs w:val="32"/>
          <w:lang w:val="en-US" w:eastAsia="zh-CN"/>
        </w:rPr>
        <w:t>3</w:t>
      </w:r>
      <w:r>
        <w:rPr>
          <w:rFonts w:hint="eastAsia"/>
          <w:sz w:val="32"/>
          <w:szCs w:val="32"/>
        </w:rPr>
        <w:t>：</w:t>
      </w:r>
      <w:bookmarkStart w:id="0" w:name="_GoBack"/>
      <w:bookmarkEnd w:id="0"/>
    </w:p>
    <w:p>
      <w:pPr>
        <w:spacing w:line="300" w:lineRule="exact"/>
        <w:jc w:val="center"/>
        <w:rPr>
          <w:rFonts w:hint="eastAsia"/>
          <w:b/>
          <w:sz w:val="28"/>
          <w:szCs w:val="28"/>
        </w:rPr>
      </w:pPr>
      <w:r>
        <w:rPr>
          <w:rFonts w:hint="eastAsia"/>
          <w:b/>
          <w:sz w:val="28"/>
          <w:szCs w:val="28"/>
        </w:rPr>
        <w:t>省本级受理的投诉举报件办理情况</w:t>
      </w:r>
    </w:p>
    <w:tbl>
      <w:tblPr>
        <w:tblStyle w:val="6"/>
        <w:tblpPr w:leftFromText="180" w:rightFromText="180" w:vertAnchor="page" w:horzAnchor="margin" w:tblpY="3241"/>
        <w:tblW w:w="134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1"/>
        <w:gridCol w:w="1677"/>
        <w:gridCol w:w="1608"/>
        <w:gridCol w:w="77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371" w:type="dxa"/>
          </w:tcPr>
          <w:p>
            <w:pPr>
              <w:spacing w:line="300" w:lineRule="exact"/>
              <w:jc w:val="center"/>
              <w:rPr>
                <w:b/>
                <w:sz w:val="24"/>
                <w:szCs w:val="24"/>
              </w:rPr>
            </w:pPr>
            <w:r>
              <w:rPr>
                <w:rFonts w:hint="eastAsia"/>
                <w:b/>
                <w:sz w:val="24"/>
                <w:szCs w:val="24"/>
              </w:rPr>
              <w:t>基本情况</w:t>
            </w:r>
          </w:p>
        </w:tc>
        <w:tc>
          <w:tcPr>
            <w:tcW w:w="1677" w:type="dxa"/>
          </w:tcPr>
          <w:p>
            <w:pPr>
              <w:spacing w:line="300" w:lineRule="exact"/>
              <w:jc w:val="center"/>
              <w:rPr>
                <w:b/>
                <w:sz w:val="24"/>
                <w:szCs w:val="24"/>
              </w:rPr>
            </w:pPr>
            <w:r>
              <w:rPr>
                <w:rFonts w:hint="eastAsia"/>
                <w:b/>
                <w:sz w:val="24"/>
                <w:szCs w:val="24"/>
              </w:rPr>
              <w:t>受理时间</w:t>
            </w:r>
          </w:p>
        </w:tc>
        <w:tc>
          <w:tcPr>
            <w:tcW w:w="1608" w:type="dxa"/>
          </w:tcPr>
          <w:p>
            <w:pPr>
              <w:spacing w:line="300" w:lineRule="exact"/>
              <w:jc w:val="center"/>
              <w:rPr>
                <w:rFonts w:hint="eastAsia" w:eastAsiaTheme="minorEastAsia"/>
                <w:b/>
                <w:sz w:val="24"/>
                <w:szCs w:val="24"/>
                <w:lang w:eastAsia="zh-CN"/>
              </w:rPr>
            </w:pPr>
            <w:r>
              <w:rPr>
                <w:rFonts w:hint="eastAsia"/>
                <w:b/>
                <w:sz w:val="24"/>
                <w:szCs w:val="24"/>
                <w:lang w:eastAsia="zh-CN"/>
              </w:rPr>
              <w:t>办结时间</w:t>
            </w:r>
          </w:p>
        </w:tc>
        <w:tc>
          <w:tcPr>
            <w:tcW w:w="7798" w:type="dxa"/>
          </w:tcPr>
          <w:p>
            <w:pPr>
              <w:spacing w:line="300" w:lineRule="exact"/>
              <w:jc w:val="center"/>
              <w:rPr>
                <w:b/>
                <w:sz w:val="24"/>
                <w:szCs w:val="24"/>
              </w:rPr>
            </w:pPr>
            <w:r>
              <w:rPr>
                <w:rFonts w:hint="eastAsia"/>
                <w:b/>
                <w:sz w:val="24"/>
                <w:szCs w:val="24"/>
              </w:rPr>
              <w:t>调查和处理情况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71" w:type="dxa"/>
            <w:vAlign w:val="center"/>
          </w:tcPr>
          <w:p>
            <w:pPr>
              <w:jc w:val="left"/>
              <w:rPr>
                <w:rFonts w:ascii="仿宋" w:hAnsi="仿宋" w:eastAsia="仿宋"/>
                <w:color w:val="333333"/>
                <w:sz w:val="24"/>
                <w:shd w:val="clear" w:color="auto" w:fill="FFFFFF"/>
              </w:rPr>
            </w:pPr>
            <w:r>
              <w:rPr>
                <w:rFonts w:hint="eastAsia" w:ascii="仿宋" w:hAnsi="仿宋" w:eastAsia="仿宋"/>
                <w:color w:val="333333"/>
                <w:sz w:val="24"/>
                <w:shd w:val="clear" w:color="auto" w:fill="FFFFFF"/>
              </w:rPr>
              <w:t>长沙市望城区月亮岛路新修建高压电塔(谷山220KV变电站110kv线路工程)，参与环评听证的只有几十人，没有进行广泛的公示环评，周边居民不知情。相关数据涉嫌作假，报告称离居民区最近距离30米，实际测量不到20米，高压电塔高层离附近高层建筑横臂最近只有5-6米，当地居民意见很大。</w:t>
            </w:r>
          </w:p>
          <w:p>
            <w:pPr>
              <w:jc w:val="center"/>
            </w:pPr>
          </w:p>
        </w:tc>
        <w:tc>
          <w:tcPr>
            <w:tcW w:w="1677" w:type="dxa"/>
            <w:vAlign w:val="center"/>
          </w:tcPr>
          <w:p>
            <w:pPr>
              <w:jc w:val="center"/>
            </w:pPr>
            <w:r>
              <w:rPr>
                <w:rFonts w:hint="eastAsia"/>
              </w:rPr>
              <w:t>2019-04-01</w:t>
            </w:r>
          </w:p>
        </w:tc>
        <w:tc>
          <w:tcPr>
            <w:tcW w:w="1608" w:type="dxa"/>
            <w:vAlign w:val="center"/>
          </w:tcPr>
          <w:p>
            <w:pPr>
              <w:jc w:val="center"/>
              <w:rPr>
                <w:rFonts w:hint="default" w:ascii="仿宋" w:hAnsi="仿宋" w:eastAsia="仿宋"/>
                <w:color w:val="333333"/>
                <w:sz w:val="24"/>
                <w:shd w:val="clear" w:color="auto" w:fill="FFFFFF"/>
                <w:lang w:val="en-US" w:eastAsia="zh-CN"/>
              </w:rPr>
            </w:pPr>
            <w:r>
              <w:rPr>
                <w:rFonts w:hint="eastAsia"/>
                <w:lang w:val="en-US" w:eastAsia="zh-CN"/>
              </w:rPr>
              <w:t>2019-5-29</w:t>
            </w:r>
          </w:p>
        </w:tc>
        <w:tc>
          <w:tcPr>
            <w:tcW w:w="7798" w:type="dxa"/>
          </w:tcPr>
          <w:p>
            <w:pPr>
              <w:ind w:firstLine="480" w:firstLineChars="200"/>
              <w:rPr>
                <w:rFonts w:ascii="仿宋" w:hAnsi="仿宋" w:eastAsia="仿宋"/>
                <w:color w:val="333333"/>
                <w:sz w:val="24"/>
                <w:shd w:val="clear" w:color="auto" w:fill="FFFFFF"/>
              </w:rPr>
            </w:pPr>
            <w:r>
              <w:rPr>
                <w:rFonts w:hint="eastAsia" w:ascii="仿宋" w:hAnsi="仿宋" w:eastAsia="仿宋"/>
                <w:color w:val="333333"/>
                <w:sz w:val="24"/>
                <w:shd w:val="clear" w:color="auto" w:fill="FFFFFF"/>
              </w:rPr>
              <w:t xml:space="preserve">举报人反映的长沙谷山220kV变电站110kV线路工程环评作假问题，经现场调查核实，反映情况不属实。调查核实情况如下： </w:t>
            </w:r>
          </w:p>
          <w:p>
            <w:pPr>
              <w:ind w:firstLine="480" w:firstLineChars="200"/>
              <w:rPr>
                <w:rFonts w:ascii="仿宋" w:hAnsi="仿宋" w:eastAsia="仿宋"/>
                <w:color w:val="333333"/>
                <w:sz w:val="24"/>
                <w:shd w:val="clear" w:color="auto" w:fill="FFFFFF"/>
              </w:rPr>
            </w:pPr>
            <w:r>
              <w:rPr>
                <w:rFonts w:hint="eastAsia" w:ascii="仿宋" w:hAnsi="仿宋" w:eastAsia="仿宋"/>
                <w:color w:val="333333"/>
                <w:sz w:val="24"/>
                <w:shd w:val="clear" w:color="auto" w:fill="FFFFFF"/>
              </w:rPr>
              <w:t>1、根据《环境影响评价技术导则-输变电工程》（HJ24-2014）（以下简称导则）110kV架空线路评价等级为二级，评价范围为边导线地面投影外两侧各30米。</w:t>
            </w:r>
            <w:r>
              <w:rPr>
                <w:rFonts w:hint="eastAsia" w:ascii="仿宋" w:hAnsi="仿宋" w:eastAsia="仿宋"/>
                <w:color w:val="333333"/>
                <w:sz w:val="24"/>
                <w:shd w:val="clear" w:color="auto" w:fill="FFFFFF"/>
                <w:lang w:eastAsia="zh-CN"/>
              </w:rPr>
              <w:t>省生态环境</w:t>
            </w:r>
            <w:r>
              <w:rPr>
                <w:rFonts w:hint="eastAsia" w:ascii="仿宋" w:hAnsi="仿宋" w:eastAsia="仿宋"/>
                <w:color w:val="333333"/>
                <w:sz w:val="24"/>
                <w:shd w:val="clear" w:color="auto" w:fill="FFFFFF"/>
              </w:rPr>
              <w:t xml:space="preserve">厅于2019年4月30日上午对长沙谷山220kV变电站110kV线路工程段进行了现场踏勘，线路边导线投影处离明发一期、明发二期、砂之船等的建筑外墙均超过30米。根据导则，对环境保护目标的统计中没有对居民数统计的要求，因此在环评报告中对于居民小区仅统计评价范围内受影响的居民楼栋数。   </w:t>
            </w:r>
          </w:p>
          <w:p>
            <w:pPr>
              <w:ind w:firstLine="480" w:firstLineChars="200"/>
              <w:rPr>
                <w:rFonts w:ascii="仿宋" w:hAnsi="仿宋" w:eastAsia="仿宋"/>
                <w:color w:val="333333"/>
                <w:sz w:val="24"/>
                <w:shd w:val="clear" w:color="auto" w:fill="FFFFFF"/>
              </w:rPr>
            </w:pPr>
            <w:r>
              <w:rPr>
                <w:rFonts w:hint="eastAsia" w:ascii="仿宋" w:hAnsi="仿宋" w:eastAsia="仿宋"/>
                <w:color w:val="333333"/>
                <w:sz w:val="24"/>
                <w:shd w:val="clear" w:color="auto" w:fill="FFFFFF"/>
              </w:rPr>
              <w:t xml:space="preserve">2、根据《建设项目环境影响评价分类管理名录》（2018年4月28日修订），本项目类别为181、输变电工程，谷山配套110kV线路环评类别为环境影响报告表。根据《环境保护部关于印发〈建设项目环境影响评价信息公开机制方案〉的通知》（环发〔2015〕162号）和《环境影响评价公众参与办法》（生态环境部令第4号），编制环境影响报告书的项目需要开展公众参与，未对编制环境影响报告表的项目要求开展公众参与。 </w:t>
            </w:r>
          </w:p>
          <w:p>
            <w:pPr>
              <w:ind w:firstLine="480" w:firstLineChars="200"/>
              <w:rPr>
                <w:rFonts w:ascii="仿宋" w:hAnsi="仿宋" w:eastAsia="仿宋"/>
                <w:color w:val="333333"/>
                <w:sz w:val="24"/>
                <w:shd w:val="clear" w:color="auto" w:fill="FFFFFF"/>
              </w:rPr>
            </w:pPr>
            <w:r>
              <w:rPr>
                <w:rFonts w:hint="eastAsia" w:ascii="仿宋" w:hAnsi="仿宋" w:eastAsia="仿宋"/>
                <w:color w:val="333333"/>
                <w:sz w:val="24"/>
                <w:shd w:val="clear" w:color="auto" w:fill="FFFFFF"/>
              </w:rPr>
              <w:t xml:space="preserve">3、依据导则，电磁环境敏感目标不包括人行天桥，同时根据环境影响报告表对本工程线路沿线的工频电场强度、工频磁感应强度的模式预测和类比分析，长沙谷山220kV变电站110kV线路工程沿线的工频电场强度、工频磁感应强度能满足国家标准（GB8702-2014）的要求。 </w:t>
            </w:r>
          </w:p>
          <w:p>
            <w:pPr>
              <w:ind w:firstLine="480" w:firstLineChars="200"/>
            </w:pPr>
            <w:r>
              <w:rPr>
                <w:rFonts w:hint="eastAsia" w:ascii="仿宋" w:hAnsi="仿宋" w:eastAsia="仿宋"/>
                <w:color w:val="333333"/>
                <w:sz w:val="24"/>
                <w:shd w:val="clear" w:color="auto" w:fill="FFFFFF"/>
              </w:rPr>
              <w:t>4、按照长沙市政府审定的电力专项规划2015版，月亮岛路规划的电力线路为架空。《城市电力规划规范》（GBT50293-2014）、《长沙市城市规划管理技术规定（2018 年修订版）》均未禁止城市主干道电力线路采用架空。</w:t>
            </w:r>
            <w:r>
              <w:rPr>
                <w:rFonts w:hint="eastAsia" w:ascii="仿宋" w:hAnsi="仿宋" w:eastAsia="仿宋"/>
                <w:color w:val="333333"/>
                <w:sz w:val="24"/>
                <w:shd w:val="clear" w:color="auto" w:fill="FFFFFF"/>
                <w:lang w:eastAsia="zh-CN"/>
              </w:rPr>
              <w:t>以上答复意见已通过书面方式寄达举报人。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71" w:type="dxa"/>
            <w:vAlign w:val="center"/>
          </w:tcPr>
          <w:p>
            <w:pPr>
              <w:jc w:val="left"/>
            </w:pPr>
            <w:r>
              <w:rPr>
                <w:rFonts w:hint="eastAsia" w:ascii="仿宋" w:hAnsi="仿宋" w:eastAsia="仿宋"/>
                <w:color w:val="333333"/>
                <w:sz w:val="24"/>
                <w:shd w:val="clear" w:color="auto" w:fill="FFFFFF"/>
              </w:rPr>
              <w:t>常德市石门县宝丰街道花山社区居民反映张家界市慈利县苗市镇龙阳村矽沙矿业几年来经常性排放废水到常德市石门县东泉水库，造成水库严重污染，影响周边居民饮用水。多次反映至石门县环保局，因属于跨市界污染，一直没有得到解决。</w:t>
            </w:r>
          </w:p>
        </w:tc>
        <w:tc>
          <w:tcPr>
            <w:tcW w:w="1677" w:type="dxa"/>
            <w:vAlign w:val="center"/>
          </w:tcPr>
          <w:p>
            <w:pPr>
              <w:jc w:val="center"/>
            </w:pPr>
            <w:r>
              <w:rPr>
                <w:rFonts w:hint="eastAsia"/>
              </w:rPr>
              <w:t>2019-04-07</w:t>
            </w:r>
          </w:p>
        </w:tc>
        <w:tc>
          <w:tcPr>
            <w:tcW w:w="1608" w:type="dxa"/>
            <w:vAlign w:val="center"/>
          </w:tcPr>
          <w:p>
            <w:pPr>
              <w:jc w:val="center"/>
              <w:rPr>
                <w:rFonts w:hint="default" w:ascii="仿宋" w:hAnsi="仿宋" w:eastAsia="仿宋"/>
                <w:color w:val="333333"/>
                <w:sz w:val="24"/>
                <w:shd w:val="clear" w:color="auto" w:fill="FFFFFF"/>
                <w:lang w:val="en-US" w:eastAsia="zh-CN"/>
              </w:rPr>
            </w:pPr>
            <w:r>
              <w:rPr>
                <w:rFonts w:hint="eastAsia"/>
                <w:lang w:val="en-US" w:eastAsia="zh-CN"/>
              </w:rPr>
              <w:t>2019-5-20</w:t>
            </w:r>
          </w:p>
        </w:tc>
        <w:tc>
          <w:tcPr>
            <w:tcW w:w="7798" w:type="dxa"/>
            <w:vAlign w:val="center"/>
          </w:tcPr>
          <w:p>
            <w:pPr>
              <w:ind w:firstLine="480" w:firstLineChars="200"/>
              <w:jc w:val="both"/>
              <w:rPr>
                <w:rFonts w:ascii="仿宋" w:hAnsi="仿宋" w:eastAsia="仿宋"/>
                <w:color w:val="333333"/>
                <w:sz w:val="24"/>
                <w:shd w:val="clear" w:color="auto" w:fill="FFFFFF"/>
              </w:rPr>
            </w:pPr>
            <w:r>
              <w:rPr>
                <w:rFonts w:hint="eastAsia" w:ascii="仿宋" w:hAnsi="仿宋" w:eastAsia="仿宋"/>
                <w:color w:val="333333"/>
                <w:sz w:val="24"/>
                <w:shd w:val="clear" w:color="auto" w:fill="FFFFFF"/>
                <w:lang w:eastAsia="zh-CN"/>
              </w:rPr>
              <w:t>受理该举报件后，省生态环境厅立即组织市县两级工作人员到现场处理。</w:t>
            </w:r>
            <w:r>
              <w:rPr>
                <w:rFonts w:hint="eastAsia" w:ascii="仿宋" w:hAnsi="仿宋" w:eastAsia="仿宋"/>
                <w:color w:val="333333"/>
                <w:sz w:val="24"/>
                <w:shd w:val="clear" w:color="auto" w:fill="FFFFFF"/>
              </w:rPr>
              <w:t>举报人</w:t>
            </w:r>
            <w:r>
              <w:rPr>
                <w:rFonts w:ascii="仿宋" w:hAnsi="仿宋" w:eastAsia="仿宋"/>
                <w:color w:val="333333"/>
                <w:sz w:val="24"/>
                <w:shd w:val="clear" w:color="auto" w:fill="FFFFFF"/>
              </w:rPr>
              <w:t>反映的矽砂矿业是张家界慈胜石英材料有限公司的玻璃用砂岩矿开采加工项目，该项目位于慈利县苗市镇龙阳湾村（石门县东泉水库东泉洞上游）</w:t>
            </w:r>
            <w:r>
              <w:rPr>
                <w:rFonts w:hint="eastAsia" w:ascii="仿宋" w:hAnsi="仿宋" w:eastAsia="仿宋"/>
                <w:color w:val="333333"/>
                <w:sz w:val="24"/>
                <w:shd w:val="clear" w:color="auto" w:fill="FFFFFF"/>
              </w:rPr>
              <w:t>。</w:t>
            </w:r>
            <w:r>
              <w:rPr>
                <w:rFonts w:ascii="仿宋" w:hAnsi="仿宋" w:eastAsia="仿宋"/>
                <w:color w:val="333333"/>
                <w:sz w:val="24"/>
                <w:shd w:val="clear" w:color="auto" w:fill="FFFFFF"/>
              </w:rPr>
              <w:t>石门县环境监测站工作人员对石门县东泉水库东泉洞入水口地表水进行了取样监测。结果显示，该处地表水水质中化学需氧量、氨氮等因子达到国家规定的水质标准。</w:t>
            </w:r>
          </w:p>
          <w:p>
            <w:pPr>
              <w:ind w:firstLine="480" w:firstLineChars="200"/>
              <w:jc w:val="both"/>
              <w:rPr>
                <w:rFonts w:hint="eastAsia" w:ascii="仿宋" w:hAnsi="仿宋" w:eastAsia="仿宋"/>
                <w:color w:val="333333"/>
                <w:sz w:val="24"/>
                <w:shd w:val="clear" w:color="auto" w:fill="FFFFFF"/>
                <w:lang w:val="en-US" w:eastAsia="zh-CN"/>
              </w:rPr>
            </w:pPr>
            <w:r>
              <w:rPr>
                <w:rFonts w:hint="eastAsia" w:ascii="仿宋" w:hAnsi="仿宋" w:eastAsia="仿宋"/>
                <w:color w:val="333333"/>
                <w:sz w:val="24"/>
                <w:shd w:val="clear" w:color="auto" w:fill="FFFFFF"/>
                <w:lang w:eastAsia="zh-CN"/>
              </w:rPr>
              <w:t>经执法人员</w:t>
            </w:r>
            <w:r>
              <w:rPr>
                <w:rFonts w:ascii="仿宋" w:hAnsi="仿宋" w:eastAsia="仿宋"/>
                <w:color w:val="333333"/>
                <w:sz w:val="24"/>
                <w:shd w:val="clear" w:color="auto" w:fill="FFFFFF"/>
              </w:rPr>
              <w:t>现场检查</w:t>
            </w:r>
            <w:r>
              <w:rPr>
                <w:rFonts w:hint="eastAsia" w:ascii="仿宋" w:hAnsi="仿宋" w:eastAsia="仿宋"/>
                <w:color w:val="333333"/>
                <w:sz w:val="24"/>
                <w:shd w:val="clear" w:color="auto" w:fill="FFFFFF"/>
                <w:lang w:eastAsia="zh-CN"/>
              </w:rPr>
              <w:t>发现，该</w:t>
            </w:r>
            <w:r>
              <w:rPr>
                <w:rFonts w:hint="eastAsia" w:ascii="仿宋" w:hAnsi="仿宋" w:eastAsia="仿宋"/>
                <w:color w:val="333333"/>
                <w:sz w:val="24"/>
                <w:shd w:val="clear" w:color="auto" w:fill="FFFFFF"/>
              </w:rPr>
              <w:t>企业</w:t>
            </w:r>
            <w:r>
              <w:rPr>
                <w:rFonts w:ascii="仿宋" w:hAnsi="仿宋" w:eastAsia="仿宋"/>
                <w:color w:val="333333"/>
                <w:sz w:val="24"/>
                <w:shd w:val="clear" w:color="auto" w:fill="FFFFFF"/>
              </w:rPr>
              <w:t>管理不规范</w:t>
            </w:r>
            <w:r>
              <w:rPr>
                <w:rFonts w:hint="eastAsia" w:ascii="仿宋" w:hAnsi="仿宋" w:eastAsia="仿宋"/>
                <w:color w:val="333333"/>
                <w:sz w:val="24"/>
                <w:shd w:val="clear" w:color="auto" w:fill="FFFFFF"/>
                <w:lang w:eastAsia="zh-CN"/>
              </w:rPr>
              <w:t>，</w:t>
            </w:r>
            <w:r>
              <w:rPr>
                <w:rFonts w:ascii="仿宋" w:hAnsi="仿宋" w:eastAsia="仿宋"/>
                <w:color w:val="333333"/>
                <w:sz w:val="24"/>
                <w:shd w:val="clear" w:color="auto" w:fill="FFFFFF"/>
              </w:rPr>
              <w:t>存在矽砂原矿和成品尾矿堆场未有效覆盖</w:t>
            </w:r>
            <w:r>
              <w:rPr>
                <w:rFonts w:hint="eastAsia" w:ascii="仿宋" w:hAnsi="仿宋" w:eastAsia="仿宋"/>
                <w:color w:val="333333"/>
                <w:sz w:val="24"/>
                <w:shd w:val="clear" w:color="auto" w:fill="FFFFFF"/>
                <w:lang w:eastAsia="zh-CN"/>
              </w:rPr>
              <w:t>、</w:t>
            </w:r>
            <w:r>
              <w:rPr>
                <w:rFonts w:ascii="仿宋" w:hAnsi="仿宋" w:eastAsia="仿宋"/>
                <w:color w:val="333333"/>
                <w:sz w:val="24"/>
                <w:shd w:val="clear" w:color="auto" w:fill="FFFFFF"/>
              </w:rPr>
              <w:t>环保设施不健全</w:t>
            </w:r>
            <w:r>
              <w:rPr>
                <w:rFonts w:hint="eastAsia" w:ascii="仿宋" w:hAnsi="仿宋" w:eastAsia="仿宋"/>
                <w:color w:val="333333"/>
                <w:sz w:val="24"/>
                <w:shd w:val="clear" w:color="auto" w:fill="FFFFFF"/>
                <w:lang w:eastAsia="zh-CN"/>
              </w:rPr>
              <w:t>等环境违法行为</w:t>
            </w:r>
            <w:r>
              <w:rPr>
                <w:rFonts w:hint="eastAsia" w:ascii="仿宋" w:hAnsi="仿宋" w:eastAsia="仿宋"/>
                <w:color w:val="333333"/>
                <w:sz w:val="24"/>
                <w:shd w:val="clear" w:color="auto" w:fill="FFFFFF"/>
                <w:lang w:val="en-US" w:eastAsia="zh-CN"/>
              </w:rPr>
              <w:t>。慈利县环保局对该公司进行了立案处罚，责令停产整治。</w:t>
            </w:r>
          </w:p>
          <w:p>
            <w:pPr>
              <w:ind w:firstLine="480" w:firstLineChars="200"/>
              <w:jc w:val="both"/>
              <w:rPr>
                <w:rFonts w:ascii="仿宋" w:hAnsi="仿宋" w:eastAsia="仿宋"/>
                <w:color w:val="333333"/>
                <w:sz w:val="24"/>
                <w:shd w:val="clear" w:color="auto" w:fill="FFFFFF"/>
              </w:rPr>
            </w:pPr>
            <w:r>
              <w:rPr>
                <w:rFonts w:hint="eastAsia" w:ascii="仿宋" w:hAnsi="仿宋" w:eastAsia="仿宋"/>
                <w:color w:val="333333"/>
                <w:sz w:val="24"/>
                <w:shd w:val="clear" w:color="auto" w:fill="FFFFFF"/>
                <w:lang w:eastAsia="zh-CN"/>
              </w:rPr>
              <w:t>以上调查处理情况已向举报人反馈。</w:t>
            </w:r>
          </w:p>
        </w:tc>
      </w:tr>
    </w:tbl>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57FD"/>
    <w:rsid w:val="000437E3"/>
    <w:rsid w:val="000F168E"/>
    <w:rsid w:val="00123EB6"/>
    <w:rsid w:val="00151B61"/>
    <w:rsid w:val="00434F7E"/>
    <w:rsid w:val="006B0099"/>
    <w:rsid w:val="006F002A"/>
    <w:rsid w:val="006F1753"/>
    <w:rsid w:val="007322FF"/>
    <w:rsid w:val="00794181"/>
    <w:rsid w:val="008B145E"/>
    <w:rsid w:val="009957FD"/>
    <w:rsid w:val="00B418BD"/>
    <w:rsid w:val="00BB5F5E"/>
    <w:rsid w:val="00BC0F9E"/>
    <w:rsid w:val="00CB455B"/>
    <w:rsid w:val="00D74C23"/>
    <w:rsid w:val="00F519B5"/>
    <w:rsid w:val="028E192F"/>
    <w:rsid w:val="1FB30641"/>
    <w:rsid w:val="3B8D5A36"/>
    <w:rsid w:val="3D0C24A4"/>
    <w:rsid w:val="4ABE1794"/>
    <w:rsid w:val="57EF3DFD"/>
    <w:rsid w:val="5CAE5BE4"/>
    <w:rsid w:val="5D01375A"/>
    <w:rsid w:val="61E07A60"/>
    <w:rsid w:val="630662FA"/>
    <w:rsid w:val="7CEA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FangSong_GB2312" w:hAnsi="FangSong_GB2312" w:cs="FangSong_GB2312"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HNHBT</Company>
  <Pages>2</Pages>
  <Words>273</Words>
  <Characters>1561</Characters>
  <Lines>13</Lines>
  <Paragraphs>3</Paragraphs>
  <TotalTime>0</TotalTime>
  <ScaleCrop>false</ScaleCrop>
  <LinksUpToDate>false</LinksUpToDate>
  <CharactersWithSpaces>1831</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2019-06-27T01:40:00Z</dcterms:created>
  <dc:creator>蔡宇华</dc:creator>
  <cp:lastModifiedBy>Administrator</cp:lastModifiedBy>
  <dcterms:modified xsi:type="dcterms:W3CDTF">2019-08-13T03:33:18Z</dcterms:modified>
  <dc:title>附件4：</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