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bookmarkStart w:id="5" w:name="_GoBack"/>
            <w:bookmarkEnd w:id="5"/>
          </w:p>
        </w:tc>
      </w:tr>
    </w:tbl>
    <w:tbl>
      <w:tblPr>
        <w:tblStyle w:val="9"/>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方正仿宋_GBK" w:hAnsi="方正仿宋_GBK" w:eastAsia="方正仿宋_GBK" w:cs="方正仿宋_GBK"/>
                <w:kern w:val="0"/>
                <w:szCs w:val="32"/>
              </w:rPr>
            </w:pPr>
          </w:p>
        </w:tc>
        <w:tc>
          <w:tcPr>
            <w:tcW w:w="4465" w:type="dxa"/>
            <w:vAlign w:val="bottom"/>
          </w:tcPr>
          <w:p>
            <w:pPr>
              <w:spacing w:line="560" w:lineRule="exact"/>
              <w:jc w:val="right"/>
              <w:rPr>
                <w:rFonts w:hint="eastAsia" w:ascii="方正仿宋_GBK" w:hAnsi="方正仿宋_GBK" w:eastAsia="方正仿宋_GBK" w:cs="方正仿宋_GBK"/>
              </w:rPr>
            </w:pPr>
            <w:bookmarkStart w:id="0" w:name="PO_WH"/>
            <w:r>
              <w:rPr>
                <w:rFonts w:hint="eastAsia" w:ascii="方正仿宋_GBK" w:hAnsi="方正仿宋_GBK" w:eastAsia="方正仿宋_GBK" w:cs="方正仿宋_GBK"/>
                <w:szCs w:val="32"/>
                <w:lang w:eastAsia="zh-CN"/>
              </w:rPr>
              <w:t>湘环许决〔2025〕5</w:t>
            </w:r>
            <w:r>
              <w:rPr>
                <w:rFonts w:hint="eastAsia" w:ascii="方正仿宋_GBK" w:hAnsi="方正仿宋_GBK" w:eastAsia="方正仿宋_GBK" w:cs="方正仿宋_GBK"/>
                <w:szCs w:val="32"/>
                <w:lang w:val="en-US" w:eastAsia="zh-CN"/>
              </w:rPr>
              <w:t>71</w:t>
            </w:r>
            <w:r>
              <w:rPr>
                <w:rFonts w:hint="eastAsia" w:ascii="方正仿宋_GBK" w:hAnsi="方正仿宋_GBK" w:eastAsia="方正仿宋_GBK" w:cs="方正仿宋_GBK"/>
                <w:szCs w:val="32"/>
                <w:lang w:eastAsia="zh-CN"/>
              </w:rPr>
              <w:t>号</w:t>
            </w:r>
            <w:bookmarkEnd w:id="0"/>
          </w:p>
        </w:tc>
      </w:tr>
    </w:tbl>
    <w:p>
      <w:pPr>
        <w:keepNext w:val="0"/>
        <w:keepLines w:val="0"/>
        <w:pageBreakBefore w:val="0"/>
        <w:widowControl/>
        <w:kinsoku/>
        <w:wordWrap/>
        <w:overflowPunct/>
        <w:topLinePunct w:val="0"/>
        <w:autoSpaceDE w:val="0"/>
        <w:autoSpaceDN/>
        <w:bidi w:val="0"/>
        <w:adjustRightInd w:val="0"/>
        <w:snapToGrid w:val="0"/>
        <w:spacing w:before="800" w:after="600" w:line="800"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1" w:name="No122_Z4J2T38K1"/>
      <w:bookmarkEnd w:id="1"/>
      <w:bookmarkStart w:id="2" w:name="No257_Z6T82K3"/>
      <w:bookmarkEnd w:id="2"/>
      <w:bookmarkStart w:id="3" w:name="No256_Z6T82K2"/>
      <w:bookmarkEnd w:id="3"/>
      <w:bookmarkStart w:id="4" w:name="PO_WORDZW"/>
      <w:r>
        <w:rPr>
          <w:rFonts w:hint="eastAsia" w:ascii="方正小标宋_GBK" w:hAnsi="方正小标宋_GBK" w:eastAsia="方正小标宋_GBK" w:cs="方正小标宋_GBK"/>
          <w:color w:val="auto"/>
          <w:sz w:val="44"/>
          <w:szCs w:val="44"/>
          <w:lang w:val="en-US" w:eastAsia="zh-CN"/>
        </w:rPr>
        <w:t>湖南省生态环境厅</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关于</w:t>
      </w:r>
      <w:r>
        <w:rPr>
          <w:rFonts w:hint="eastAsia" w:ascii="方正小标宋_GBK" w:hAnsi="方正小标宋_GBK" w:eastAsia="方正小标宋_GBK" w:cs="方正小标宋_GBK"/>
          <w:color w:val="auto"/>
          <w:sz w:val="44"/>
          <w:szCs w:val="44"/>
        </w:rPr>
        <w:t>同</w:t>
      </w:r>
      <w:r>
        <w:rPr>
          <w:rFonts w:hint="eastAsia" w:ascii="方正小标宋_GBK" w:hAnsi="方正小标宋_GBK" w:eastAsia="方正小标宋_GBK" w:cs="方正小标宋_GBK"/>
          <w:color w:val="auto"/>
          <w:sz w:val="44"/>
          <w:szCs w:val="44"/>
          <w:lang w:val="en-US" w:eastAsia="zh-CN"/>
        </w:rPr>
        <w:t>意设置永州市博尔矿业有限公司</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蓝山县大塘铁矿入河排污口的决定书</w:t>
      </w:r>
    </w:p>
    <w:p>
      <w:pPr>
        <w:adjustRightInd w:val="0"/>
        <w:snapToGrid w:val="0"/>
        <w:spacing w:before="0" w:line="600" w:lineRule="exact"/>
        <w:ind w:left="0" w:leftChars="0" w:right="0" w:firstLine="0" w:firstLineChars="0"/>
        <w:jc w:val="both"/>
        <w:rPr>
          <w:rFonts w:hint="eastAsia" w:ascii="方正仿宋_GBK" w:hAnsi="方正仿宋_GBK" w:eastAsia="方正仿宋_GBK" w:cs="方正仿宋_GBK"/>
          <w:snapToGrid w:val="0"/>
          <w:spacing w:val="-6"/>
          <w:kern w:val="21"/>
          <w:sz w:val="32"/>
          <w:szCs w:val="32"/>
          <w:lang w:val="zh-TW" w:eastAsia="zh-TW" w:bidi="ar"/>
        </w:rPr>
      </w:pPr>
      <w:r>
        <w:rPr>
          <w:rFonts w:hint="eastAsia" w:ascii="方正仿宋_GBK" w:hAnsi="方正仿宋_GBK" w:eastAsia="方正仿宋_GBK" w:cs="方正仿宋_GBK"/>
          <w:snapToGrid w:val="0"/>
          <w:spacing w:val="-6"/>
          <w:kern w:val="21"/>
          <w:sz w:val="32"/>
          <w:szCs w:val="32"/>
          <w:lang w:val="en-US" w:eastAsia="zh-CN" w:bidi="ar"/>
        </w:rPr>
        <w:t>永州市博尔矿业有限公司</w:t>
      </w:r>
      <w:r>
        <w:rPr>
          <w:rFonts w:hint="eastAsia" w:ascii="方正仿宋_GBK" w:hAnsi="方正仿宋_GBK" w:eastAsia="方正仿宋_GBK" w:cs="方正仿宋_GBK"/>
          <w:snapToGrid w:val="0"/>
          <w:spacing w:val="-6"/>
          <w:kern w:val="21"/>
          <w:sz w:val="32"/>
          <w:szCs w:val="32"/>
          <w:lang w:val="zh-TW" w:eastAsia="zh-TW" w:bidi="ar"/>
        </w:rPr>
        <w:t>：</w:t>
      </w:r>
    </w:p>
    <w:p>
      <w:pPr>
        <w:pStyle w:val="7"/>
        <w:keepNext w:val="0"/>
        <w:keepLines w:val="0"/>
        <w:widowControl/>
        <w:suppressLineNumbers w:val="0"/>
        <w:adjustRightInd w:val="0"/>
        <w:snapToGrid w:val="0"/>
        <w:spacing w:line="600" w:lineRule="exact"/>
        <w:ind w:firstLine="612" w:firstLineChars="200"/>
        <w:jc w:val="both"/>
        <w:rPr>
          <w:rFonts w:hint="eastAsia" w:ascii="方正仿宋_GBK" w:hAnsi="方正仿宋_GBK" w:eastAsia="方正仿宋_GBK" w:cs="方正仿宋_GBK"/>
          <w:snapToGrid w:val="0"/>
          <w:spacing w:val="-6"/>
          <w:kern w:val="21"/>
          <w:sz w:val="32"/>
          <w:szCs w:val="32"/>
          <w:lang w:val="en-US" w:eastAsia="zh-CN" w:bidi="ar"/>
        </w:rPr>
      </w:pPr>
      <w:r>
        <w:rPr>
          <w:rFonts w:hint="eastAsia" w:ascii="方正仿宋_GBK" w:hAnsi="方正仿宋_GBK" w:eastAsia="方正仿宋_GBK" w:cs="方正仿宋_GBK"/>
          <w:snapToGrid w:val="0"/>
          <w:spacing w:val="-6"/>
          <w:kern w:val="21"/>
          <w:sz w:val="32"/>
          <w:szCs w:val="32"/>
          <w:lang w:val="en-US" w:eastAsia="zh-CN" w:bidi="ar"/>
        </w:rPr>
        <w:t>你单位于2025年11月25日向我厅提出了永州市博尔矿业有限公司蓝山县大塘铁矿入河排污口设置申请。我厅已依法于2025年11月30日受理，已开展了技术评估并完成受理公示和拟审批公示。经审查并征求永州市生态环境局等单位意见，根据《中华人民共和国行政许可法》第三十八条第一款、《中华人民共和国长江保护法》第四十七条第三款和《入河排污口监督管理办法》（生态环境部令第35号）第十一条等的规定，同意永州市博尔矿业有限公司蓝山县大塘铁矿入河排污口设置决定如下：</w:t>
      </w:r>
    </w:p>
    <w:tbl>
      <w:tblPr>
        <w:tblStyle w:val="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921"/>
        <w:gridCol w:w="851"/>
        <w:gridCol w:w="426"/>
        <w:gridCol w:w="1116"/>
        <w:gridCol w:w="1124"/>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00" w:type="dxa"/>
            <w:noWrap w:val="0"/>
            <w:vAlign w:val="center"/>
          </w:tcPr>
          <w:p>
            <w:pPr>
              <w:pStyle w:val="3"/>
              <w:adjustRightInd w:val="0"/>
              <w:snapToGrid w:val="0"/>
              <w:spacing w:before="0" w:line="240" w:lineRule="auto"/>
              <w:ind w:left="0"/>
              <w:jc w:val="center"/>
              <w:rPr>
                <w:rFonts w:hint="eastAsia" w:ascii="方正仿宋_GBK" w:hAnsi="方正仿宋_GBK" w:eastAsia="方正仿宋_GBK" w:cs="方正仿宋_GBK"/>
                <w:kern w:val="2"/>
                <w:sz w:val="24"/>
                <w:szCs w:val="24"/>
                <w:lang w:eastAsia="zh-CN"/>
              </w:rPr>
            </w:pPr>
            <w:r>
              <w:rPr>
                <w:rFonts w:hint="eastAsia" w:ascii="方正仿宋_GBK" w:hAnsi="方正仿宋_GBK" w:eastAsia="方正仿宋_GBK" w:cs="方正仿宋_GBK"/>
                <w:sz w:val="24"/>
                <w:szCs w:val="24"/>
                <w:lang w:eastAsia="zh-CN"/>
              </w:rPr>
              <w:br w:type="page"/>
            </w:r>
            <w:r>
              <w:rPr>
                <w:rFonts w:hint="eastAsia" w:ascii="方正仿宋_GBK" w:hAnsi="方正仿宋_GBK" w:eastAsia="方正仿宋_GBK" w:cs="方正仿宋_GBK"/>
                <w:kern w:val="2"/>
                <w:sz w:val="24"/>
                <w:szCs w:val="24"/>
                <w:lang w:eastAsia="zh-CN"/>
              </w:rPr>
              <w:t>入河排污口类型</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工矿企业入河排污口</w:t>
            </w:r>
          </w:p>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工业及其他各类园区污水处理厂入河排污口</w:t>
            </w:r>
          </w:p>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城镇污水处理厂入河排污口</w:t>
            </w:r>
          </w:p>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其他参照上述管理的入河排污口_______________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入河排污口名称</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永州市博尔矿业有限公司蓝山县大塘铁矿入河排污口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入河排污口编码</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设置类型</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52"/>
            </w:r>
            <w:r>
              <w:rPr>
                <w:rFonts w:hint="eastAsia" w:ascii="方正仿宋_GBK" w:hAnsi="方正仿宋_GBK" w:eastAsia="方正仿宋_GBK" w:cs="方正仿宋_GBK"/>
                <w:sz w:val="24"/>
                <w:szCs w:val="24"/>
              </w:rPr>
              <w:t xml:space="preserve">新设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改设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扩大</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07" w:type="dxa"/>
            <w:gridSpan w:val="7"/>
            <w:noWrap w:val="0"/>
            <w:vAlign w:val="center"/>
          </w:tcPr>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607" w:type="dxa"/>
            <w:gridSpan w:val="7"/>
            <w:noWrap w:val="0"/>
            <w:vAlign w:val="center"/>
          </w:tcPr>
          <w:p>
            <w:pPr>
              <w:widowControl/>
              <w:adjustRightInd w:val="0"/>
              <w:snapToGrid w:val="0"/>
              <w:spacing w:line="24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责任主体名</w:t>
            </w:r>
            <w:r>
              <w:rPr>
                <w:rFonts w:hint="eastAsia" w:ascii="方正仿宋_GBK" w:hAnsi="方正仿宋_GBK" w:eastAsia="方正仿宋_GBK" w:cs="方正仿宋_GBK"/>
                <w:sz w:val="24"/>
                <w:szCs w:val="24"/>
              </w:rPr>
              <w:t>称：</w:t>
            </w:r>
            <w:r>
              <w:rPr>
                <w:rFonts w:hint="eastAsia" w:ascii="方正仿宋_GBK" w:hAnsi="方正仿宋_GBK" w:eastAsia="方正仿宋_GBK" w:cs="方正仿宋_GBK"/>
                <w:sz w:val="24"/>
                <w:szCs w:val="24"/>
                <w:lang w:val="en-US" w:eastAsia="zh-CN"/>
              </w:rPr>
              <w:t>永州市博尔矿业有限公司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详细地址</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u w:val="none" w:color="auto"/>
                <w:lang w:eastAsia="zh-CN"/>
              </w:rPr>
              <w:t>湖南</w:t>
            </w:r>
            <w:r>
              <w:rPr>
                <w:rFonts w:hint="eastAsia" w:ascii="方正仿宋_GBK" w:hAnsi="方正仿宋_GBK" w:eastAsia="方正仿宋_GBK" w:cs="方正仿宋_GBK"/>
                <w:sz w:val="24"/>
                <w:szCs w:val="24"/>
                <w:u w:val="none" w:color="auto"/>
              </w:rPr>
              <w:t>省</w:t>
            </w:r>
            <w:r>
              <w:rPr>
                <w:rFonts w:hint="eastAsia" w:ascii="方正仿宋_GBK" w:hAnsi="方正仿宋_GBK" w:eastAsia="方正仿宋_GBK" w:cs="方正仿宋_GBK"/>
                <w:sz w:val="24"/>
                <w:szCs w:val="24"/>
                <w:u w:val="none" w:color="auto"/>
                <w:lang w:eastAsia="zh-CN"/>
              </w:rPr>
              <w:t>永州</w:t>
            </w:r>
            <w:r>
              <w:rPr>
                <w:rFonts w:hint="eastAsia" w:ascii="方正仿宋_GBK" w:hAnsi="方正仿宋_GBK" w:eastAsia="方正仿宋_GBK" w:cs="方正仿宋_GBK"/>
                <w:sz w:val="24"/>
                <w:szCs w:val="24"/>
                <w:u w:val="none" w:color="auto"/>
              </w:rPr>
              <w:t>市</w:t>
            </w:r>
            <w:r>
              <w:rPr>
                <w:rFonts w:hint="eastAsia" w:ascii="方正仿宋_GBK" w:hAnsi="方正仿宋_GBK" w:eastAsia="方正仿宋_GBK" w:cs="方正仿宋_GBK"/>
                <w:sz w:val="24"/>
                <w:szCs w:val="24"/>
                <w:u w:val="none" w:color="auto"/>
                <w:lang w:eastAsia="zh-CN"/>
              </w:rPr>
              <w:t>蓝山</w:t>
            </w:r>
            <w:r>
              <w:rPr>
                <w:rFonts w:hint="eastAsia" w:ascii="方正仿宋_GBK" w:hAnsi="方正仿宋_GBK" w:eastAsia="方正仿宋_GBK" w:cs="方正仿宋_GBK"/>
                <w:sz w:val="24"/>
                <w:szCs w:val="24"/>
                <w:u w:val="none" w:color="auto"/>
              </w:rPr>
              <w:t>县</w:t>
            </w:r>
            <w:r>
              <w:rPr>
                <w:rFonts w:hint="eastAsia" w:ascii="方正仿宋_GBK" w:hAnsi="方正仿宋_GBK" w:eastAsia="方正仿宋_GBK" w:cs="方正仿宋_GBK"/>
                <w:sz w:val="24"/>
                <w:szCs w:val="24"/>
                <w:u w:val="none" w:color="auto"/>
                <w:lang w:eastAsia="zh-CN"/>
              </w:rPr>
              <w:t>新圩</w:t>
            </w:r>
            <w:r>
              <w:rPr>
                <w:rFonts w:hint="eastAsia" w:ascii="方正仿宋_GBK" w:hAnsi="方正仿宋_GBK" w:eastAsia="方正仿宋_GBK" w:cs="方正仿宋_GBK"/>
                <w:sz w:val="24"/>
                <w:szCs w:val="24"/>
                <w:u w:val="none" w:color="auto"/>
              </w:rPr>
              <w:t>镇</w:t>
            </w:r>
            <w:r>
              <w:rPr>
                <w:rFonts w:hint="eastAsia" w:ascii="方正仿宋_GBK" w:hAnsi="方正仿宋_GBK" w:eastAsia="方正仿宋_GBK" w:cs="方正仿宋_GBK"/>
                <w:sz w:val="24"/>
                <w:szCs w:val="24"/>
                <w:u w:val="none" w:color="auto"/>
                <w:lang w:eastAsia="zh-CN"/>
              </w:rPr>
              <w:t>大塘</w:t>
            </w:r>
            <w:r>
              <w:rPr>
                <w:rFonts w:hint="eastAsia" w:ascii="方正仿宋_GBK" w:hAnsi="方正仿宋_GBK" w:eastAsia="方正仿宋_GBK" w:cs="方正仿宋_GBK"/>
                <w:sz w:val="24"/>
                <w:szCs w:val="24"/>
                <w:u w:val="none" w:color="auto"/>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u w:val="none" w:color="auto"/>
              </w:rPr>
              <w:t>91431100696205951W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法定代表人及联系电话</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u w:val="none" w:color="auto"/>
              </w:rPr>
              <w:t>姓名：</w:t>
            </w:r>
            <w:r>
              <w:rPr>
                <w:rFonts w:hint="eastAsia" w:ascii="方正仿宋_GBK" w:hAnsi="方正仿宋_GBK" w:eastAsia="方正仿宋_GBK" w:cs="方正仿宋_GBK"/>
                <w:sz w:val="24"/>
                <w:szCs w:val="24"/>
                <w:u w:val="none" w:color="auto"/>
                <w:lang w:eastAsia="zh-CN"/>
              </w:rPr>
              <w:t>雷纯汉</w:t>
            </w:r>
            <w:r>
              <w:rPr>
                <w:rFonts w:hint="eastAsia" w:ascii="方正仿宋_GBK" w:hAnsi="方正仿宋_GBK" w:eastAsia="方正仿宋_GBK" w:cs="方正仿宋_GBK"/>
                <w:sz w:val="24"/>
                <w:szCs w:val="24"/>
                <w:u w:val="none" w:color="auto"/>
                <w:lang w:val="en-US" w:eastAsia="zh-CN"/>
              </w:rPr>
              <w:t xml:space="preserve"> </w:t>
            </w:r>
            <w:r>
              <w:rPr>
                <w:rFonts w:hint="eastAsia" w:ascii="方正仿宋_GBK" w:hAnsi="方正仿宋_GBK" w:eastAsia="方正仿宋_GBK" w:cs="方正仿宋_GBK"/>
                <w:sz w:val="24"/>
                <w:szCs w:val="24"/>
                <w:u w:val="none" w:color="auto"/>
              </w:rPr>
              <w:t xml:space="preserve">  联系电话： </w:t>
            </w:r>
            <w:r>
              <w:rPr>
                <w:rFonts w:hint="eastAsia" w:ascii="方正仿宋_GBK" w:hAnsi="方正仿宋_GBK" w:eastAsia="方正仿宋_GBK" w:cs="方正仿宋_GBK"/>
                <w:color w:val="auto"/>
                <w:sz w:val="24"/>
                <w:szCs w:val="24"/>
                <w:highlight w:val="none"/>
                <w:u w:val="none" w:color="auto"/>
                <w:lang w:val="en-US" w:eastAsia="zh-CN"/>
              </w:rPr>
              <w:t>19931290317</w:t>
            </w:r>
            <w:r>
              <w:rPr>
                <w:rFonts w:hint="eastAsia" w:ascii="方正仿宋_GBK" w:hAnsi="方正仿宋_GBK" w:eastAsia="方正仿宋_GBK" w:cs="方正仿宋_GBK"/>
                <w:sz w:val="24"/>
                <w:szCs w:val="24"/>
                <w:u w:val="none"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行业类别</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sz w:val="24"/>
                <w:szCs w:val="24"/>
                <w:u w:val="none" w:color="auto"/>
              </w:rPr>
              <w:t>B0810 铁矿采选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排污许可证或排污登记编号</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auto"/>
                <w:sz w:val="24"/>
                <w:szCs w:val="24"/>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200" w:type="dxa"/>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w:t>
            </w:r>
          </w:p>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设置地点</w:t>
            </w:r>
          </w:p>
        </w:tc>
        <w:tc>
          <w:tcPr>
            <w:tcW w:w="7407"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lang w:eastAsia="zh-CN"/>
              </w:rPr>
              <w:t>湖南</w:t>
            </w:r>
            <w:r>
              <w:rPr>
                <w:rFonts w:hint="eastAsia" w:ascii="方正仿宋_GBK" w:hAnsi="方正仿宋_GBK" w:eastAsia="方正仿宋_GBK" w:cs="方正仿宋_GBK"/>
                <w:sz w:val="24"/>
                <w:szCs w:val="24"/>
                <w:u w:val="none" w:color="auto"/>
              </w:rPr>
              <w:t>省</w:t>
            </w:r>
            <w:r>
              <w:rPr>
                <w:rFonts w:hint="eastAsia" w:ascii="方正仿宋_GBK" w:hAnsi="方正仿宋_GBK" w:eastAsia="方正仿宋_GBK" w:cs="方正仿宋_GBK"/>
                <w:sz w:val="24"/>
                <w:szCs w:val="24"/>
                <w:u w:val="none" w:color="auto"/>
                <w:lang w:eastAsia="zh-CN"/>
              </w:rPr>
              <w:t>永州</w:t>
            </w:r>
            <w:r>
              <w:rPr>
                <w:rFonts w:hint="eastAsia" w:ascii="方正仿宋_GBK" w:hAnsi="方正仿宋_GBK" w:eastAsia="方正仿宋_GBK" w:cs="方正仿宋_GBK"/>
                <w:sz w:val="24"/>
                <w:szCs w:val="24"/>
                <w:u w:val="none" w:color="auto"/>
              </w:rPr>
              <w:t>市</w:t>
            </w:r>
            <w:r>
              <w:rPr>
                <w:rFonts w:hint="eastAsia" w:ascii="方正仿宋_GBK" w:hAnsi="方正仿宋_GBK" w:eastAsia="方正仿宋_GBK" w:cs="方正仿宋_GBK"/>
                <w:sz w:val="24"/>
                <w:szCs w:val="24"/>
                <w:u w:val="none" w:color="auto"/>
                <w:lang w:eastAsia="zh-CN"/>
              </w:rPr>
              <w:t>蓝山</w:t>
            </w:r>
            <w:r>
              <w:rPr>
                <w:rFonts w:hint="eastAsia" w:ascii="方正仿宋_GBK" w:hAnsi="方正仿宋_GBK" w:eastAsia="方正仿宋_GBK" w:cs="方正仿宋_GBK"/>
                <w:sz w:val="24"/>
                <w:szCs w:val="24"/>
                <w:u w:val="none" w:color="auto"/>
              </w:rPr>
              <w:t>县</w:t>
            </w:r>
            <w:r>
              <w:rPr>
                <w:rFonts w:hint="eastAsia" w:ascii="方正仿宋_GBK" w:hAnsi="方正仿宋_GBK" w:eastAsia="方正仿宋_GBK" w:cs="方正仿宋_GBK"/>
                <w:sz w:val="24"/>
                <w:szCs w:val="24"/>
                <w:u w:val="none" w:color="auto"/>
                <w:lang w:eastAsia="zh-CN"/>
              </w:rPr>
              <w:t>新圩</w:t>
            </w:r>
            <w:r>
              <w:rPr>
                <w:rFonts w:hint="eastAsia" w:ascii="方正仿宋_GBK" w:hAnsi="方正仿宋_GBK" w:eastAsia="方正仿宋_GBK" w:cs="方正仿宋_GBK"/>
                <w:sz w:val="24"/>
                <w:szCs w:val="24"/>
                <w:u w:val="none" w:color="auto"/>
              </w:rPr>
              <w:t>镇</w:t>
            </w:r>
            <w:r>
              <w:rPr>
                <w:rFonts w:hint="eastAsia" w:ascii="方正仿宋_GBK" w:hAnsi="方正仿宋_GBK" w:eastAsia="方正仿宋_GBK" w:cs="方正仿宋_GBK"/>
                <w:sz w:val="24"/>
                <w:szCs w:val="24"/>
                <w:u w:val="none" w:color="auto"/>
                <w:lang w:eastAsia="zh-CN"/>
              </w:rPr>
              <w:t>大塘</w:t>
            </w:r>
            <w:r>
              <w:rPr>
                <w:rFonts w:hint="eastAsia" w:ascii="方正仿宋_GBK" w:hAnsi="方正仿宋_GBK" w:eastAsia="方正仿宋_GBK" w:cs="方正仿宋_GBK"/>
                <w:sz w:val="24"/>
                <w:szCs w:val="24"/>
                <w:u w:val="none" w:color="auto"/>
              </w:rPr>
              <w:t>村</w:t>
            </w:r>
            <w:r>
              <w:rPr>
                <w:rFonts w:hint="eastAsia" w:ascii="方正仿宋_GBK" w:hAnsi="方正仿宋_GBK" w:eastAsia="方正仿宋_GBK" w:cs="方正仿宋_GBK"/>
                <w:sz w:val="24"/>
                <w:szCs w:val="24"/>
                <w:u w:val="none" w:color="auto"/>
                <w:lang w:eastAsia="zh-CN"/>
              </w:rPr>
              <w:t>（</w:t>
            </w:r>
            <w:r>
              <w:rPr>
                <w:rFonts w:hint="eastAsia" w:ascii="方正仿宋_GBK" w:hAnsi="方正仿宋_GBK" w:eastAsia="方正仿宋_GBK" w:cs="方正仿宋_GBK"/>
                <w:color w:val="auto"/>
                <w:sz w:val="24"/>
                <w:szCs w:val="24"/>
                <w:highlight w:val="none"/>
                <w:u w:val="none" w:color="auto"/>
                <w:lang w:val="en-US" w:eastAsia="zh-CN"/>
              </w:rPr>
              <w:t>经度：112.384738、纬度：25.385885</w:t>
            </w:r>
            <w:r>
              <w:rPr>
                <w:rFonts w:hint="eastAsia" w:ascii="方正仿宋_GBK" w:hAnsi="方正仿宋_GBK" w:eastAsia="方正仿宋_GBK" w:cs="方正仿宋_GBK"/>
                <w:sz w:val="24"/>
                <w:szCs w:val="24"/>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00"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rPr>
              <w:t>排入水体名称：</w:t>
            </w:r>
            <w:r>
              <w:rPr>
                <w:rFonts w:hint="eastAsia" w:ascii="方正仿宋_GBK" w:hAnsi="方正仿宋_GBK" w:eastAsia="方正仿宋_GBK" w:cs="方正仿宋_GBK"/>
                <w:sz w:val="24"/>
                <w:szCs w:val="24"/>
                <w:u w:val="none" w:color="auto"/>
                <w:lang w:eastAsia="zh-CN"/>
              </w:rPr>
              <w:t>田心河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00"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rPr>
              <w:t>所在流域：</w:t>
            </w:r>
            <w:r>
              <w:rPr>
                <w:rFonts w:hint="eastAsia" w:ascii="方正仿宋_GBK" w:hAnsi="方正仿宋_GBK" w:eastAsia="方正仿宋_GBK" w:cs="方正仿宋_GBK"/>
                <w:sz w:val="24"/>
                <w:szCs w:val="24"/>
                <w:u w:val="none" w:color="auto"/>
                <w:lang w:eastAsia="zh-CN"/>
              </w:rPr>
              <w:t>长江流域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200"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sz w:val="24"/>
                <w:szCs w:val="24"/>
                <w:u w:val="none" w:color="auto"/>
                <w:lang w:val="en-US" w:eastAsia="zh-CN"/>
              </w:rPr>
            </w:pPr>
            <w:r>
              <w:rPr>
                <w:rFonts w:hint="eastAsia" w:ascii="方正仿宋_GBK" w:hAnsi="方正仿宋_GBK" w:eastAsia="方正仿宋_GBK" w:cs="方正仿宋_GBK"/>
                <w:sz w:val="24"/>
                <w:szCs w:val="24"/>
                <w:u w:val="none" w:color="auto"/>
              </w:rPr>
              <w:t>经度：</w:t>
            </w:r>
            <w:r>
              <w:rPr>
                <w:rFonts w:hint="eastAsia" w:ascii="方正仿宋_GBK" w:hAnsi="方正仿宋_GBK" w:eastAsia="方正仿宋_GBK" w:cs="方正仿宋_GBK"/>
                <w:sz w:val="24"/>
                <w:szCs w:val="24"/>
                <w:u w:val="none" w:color="auto"/>
                <w:lang w:val="en-US" w:eastAsia="zh-CN"/>
              </w:rPr>
              <w:t>112.384738</w:t>
            </w:r>
          </w:p>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rPr>
              <w:t>纬度：</w:t>
            </w:r>
            <w:r>
              <w:rPr>
                <w:rFonts w:hint="eastAsia" w:ascii="方正仿宋_GBK" w:hAnsi="方正仿宋_GBK" w:eastAsia="方正仿宋_GBK" w:cs="方正仿宋_GBK"/>
                <w:sz w:val="24"/>
                <w:szCs w:val="24"/>
                <w:u w:val="none" w:color="auto"/>
                <w:lang w:val="en-US" w:eastAsia="zh-CN"/>
              </w:rPr>
              <w:t>25.385885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污水排放方式</w:t>
            </w:r>
          </w:p>
        </w:tc>
        <w:tc>
          <w:tcPr>
            <w:tcW w:w="1921" w:type="dxa"/>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连续 </w:t>
            </w:r>
          </w:p>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间歇</w:t>
            </w:r>
          </w:p>
        </w:tc>
        <w:tc>
          <w:tcPr>
            <w:tcW w:w="851" w:type="dxa"/>
            <w:vMerge w:val="restart"/>
            <w:noWrap w:val="0"/>
            <w:vAlign w:val="center"/>
          </w:tcPr>
          <w:p>
            <w:pPr>
              <w:widowControl/>
              <w:adjustRightInd w:val="0"/>
              <w:snapToGrid w:val="0"/>
              <w:spacing w:line="240" w:lineRule="auto"/>
              <w:ind w:right="0" w:right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w:t>
            </w:r>
          </w:p>
          <w:p>
            <w:pPr>
              <w:widowControl/>
              <w:adjustRightInd w:val="0"/>
              <w:snapToGrid w:val="0"/>
              <w:spacing w:line="240" w:lineRule="auto"/>
              <w:ind w:right="0" w:right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方式</w:t>
            </w:r>
          </w:p>
        </w:tc>
        <w:tc>
          <w:tcPr>
            <w:tcW w:w="4635" w:type="dxa"/>
            <w:gridSpan w:val="4"/>
            <w:vMerge w:val="restart"/>
            <w:noWrap w:val="0"/>
            <w:vAlign w:val="center"/>
          </w:tcPr>
          <w:p>
            <w:pPr>
              <w:adjustRightInd w:val="0"/>
              <w:snapToGrid w:val="0"/>
              <w:spacing w:line="240" w:lineRule="auto"/>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明渠  </w:t>
            </w: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管道</w:t>
            </w:r>
          </w:p>
          <w:p>
            <w:pPr>
              <w:adjustRightInd w:val="0"/>
              <w:snapToGrid w:val="0"/>
              <w:spacing w:line="240" w:lineRule="auto"/>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泵站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涵闸</w:t>
            </w:r>
          </w:p>
          <w:p>
            <w:pPr>
              <w:widowControl/>
              <w:adjustRightInd w:val="0"/>
              <w:snapToGrid w:val="0"/>
              <w:spacing w:line="240" w:lineRule="auto"/>
              <w:ind w:firstLine="357" w:firstLineChars="15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 xml:space="preserve">箱涵  </w:t>
            </w: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是否共用</w:t>
            </w:r>
          </w:p>
        </w:tc>
        <w:tc>
          <w:tcPr>
            <w:tcW w:w="1921" w:type="dxa"/>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是</w:t>
            </w:r>
          </w:p>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否</w:t>
            </w:r>
          </w:p>
        </w:tc>
        <w:tc>
          <w:tcPr>
            <w:tcW w:w="851" w:type="dxa"/>
            <w:vMerge w:val="continue"/>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p>
        </w:tc>
        <w:tc>
          <w:tcPr>
            <w:tcW w:w="4635" w:type="dxa"/>
            <w:gridSpan w:val="4"/>
            <w:vMerge w:val="continue"/>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200" w:type="dxa"/>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入河排污口截面信息</w:t>
            </w:r>
          </w:p>
        </w:tc>
        <w:tc>
          <w:tcPr>
            <w:tcW w:w="7407" w:type="dxa"/>
            <w:gridSpan w:val="6"/>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圆形截面：</w:t>
            </w:r>
            <w:r>
              <w:rPr>
                <w:rFonts w:hint="eastAsia" w:ascii="方正仿宋_GBK" w:hAnsi="方正仿宋_GBK" w:eastAsia="方正仿宋_GBK" w:cs="方正仿宋_GBK"/>
                <w:sz w:val="24"/>
                <w:szCs w:val="24"/>
              </w:rPr>
              <w:t>d=</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m，S=</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m</w:t>
            </w:r>
            <w:r>
              <w:rPr>
                <w:rFonts w:hint="eastAsia" w:ascii="方正仿宋_GBK" w:hAnsi="方正仿宋_GBK" w:eastAsia="方正仿宋_GBK" w:cs="方正仿宋_GBK"/>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00" w:type="dxa"/>
            <w:vMerge w:val="continue"/>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p>
        </w:tc>
        <w:tc>
          <w:tcPr>
            <w:tcW w:w="7407" w:type="dxa"/>
            <w:gridSpan w:val="6"/>
            <w:noWrap w:val="0"/>
            <w:vAlign w:val="center"/>
          </w:tcPr>
          <w:p>
            <w:pPr>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A3"/>
            </w:r>
            <w:r>
              <w:rPr>
                <w:rFonts w:hint="eastAsia" w:ascii="方正仿宋_GBK" w:hAnsi="方正仿宋_GBK" w:eastAsia="方正仿宋_GBK" w:cs="方正仿宋_GBK"/>
                <w:color w:val="auto"/>
                <w:sz w:val="24"/>
                <w:szCs w:val="24"/>
              </w:rPr>
              <w:t>方形截面：L×B=   m×  m，S=   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200" w:type="dxa"/>
            <w:vMerge w:val="continue"/>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p>
        </w:tc>
        <w:tc>
          <w:tcPr>
            <w:tcW w:w="7407" w:type="dxa"/>
            <w:gridSpan w:val="6"/>
            <w:noWrap w:val="0"/>
            <w:vAlign w:val="center"/>
          </w:tcPr>
          <w:p>
            <w:pPr>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sym w:font="Wingdings 2" w:char="0052"/>
            </w:r>
            <w:r>
              <w:rPr>
                <w:rFonts w:hint="eastAsia" w:ascii="方正仿宋_GBK" w:hAnsi="方正仿宋_GBK" w:eastAsia="方正仿宋_GBK" w:cs="方正仿宋_GBK"/>
                <w:color w:val="auto"/>
                <w:sz w:val="24"/>
                <w:szCs w:val="24"/>
              </w:rPr>
              <w:t>其他形状截面：S=</w:t>
            </w:r>
            <w:r>
              <w:rPr>
                <w:rFonts w:hint="eastAsia" w:ascii="方正仿宋_GBK" w:hAnsi="方正仿宋_GBK" w:eastAsia="方正仿宋_GBK" w:cs="方正仿宋_GBK"/>
                <w:sz w:val="24"/>
                <w:szCs w:val="24"/>
                <w:u w:val="none" w:color="auto"/>
                <w:lang w:val="en-US" w:eastAsia="zh-CN"/>
              </w:rPr>
              <w:t>0.56</w:t>
            </w:r>
            <w:r>
              <w:rPr>
                <w:rFonts w:hint="eastAsia" w:ascii="方正仿宋_GBK" w:hAnsi="方正仿宋_GBK" w:eastAsia="方正仿宋_GBK" w:cs="方正仿宋_GBK"/>
                <w:color w:val="auto"/>
                <w:sz w:val="24"/>
                <w:szCs w:val="24"/>
              </w:rPr>
              <w:t>m</w:t>
            </w:r>
            <w:r>
              <w:rPr>
                <w:rFonts w:hint="eastAsia" w:ascii="方正仿宋_GBK" w:hAnsi="方正仿宋_GBK" w:eastAsia="方正仿宋_GBK" w:cs="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607" w:type="dxa"/>
            <w:gridSpan w:val="7"/>
            <w:noWrap w:val="0"/>
            <w:vAlign w:val="center"/>
          </w:tcPr>
          <w:p>
            <w:pPr>
              <w:widowControl/>
              <w:adjustRightInd w:val="0"/>
              <w:snapToGrid w:val="0"/>
              <w:spacing w:line="240" w:lineRule="auto"/>
              <w:ind w:left="0" w:hanging="238" w:hangingChars="100"/>
              <w:rPr>
                <w:rFonts w:hint="eastAsia" w:ascii="方正仿宋_GBK" w:hAnsi="方正仿宋_GBK" w:eastAsia="方正仿宋_GBK" w:cs="方正仿宋_GBK"/>
                <w:sz w:val="24"/>
                <w:szCs w:val="24"/>
                <w:lang w:val="en" w:eastAsia="zh-CN"/>
              </w:rPr>
            </w:pPr>
            <w:r>
              <w:rPr>
                <w:rFonts w:hint="eastAsia" w:ascii="方正仿宋_GBK" w:hAnsi="方正仿宋_GBK" w:eastAsia="方正仿宋_GBK" w:cs="方正仿宋_GBK"/>
                <w:sz w:val="24"/>
                <w:szCs w:val="24"/>
              </w:rPr>
              <w:t>入河排污口污水排放量，入河排污口重点污染物排放种类、排放浓度和排放量</w:t>
            </w:r>
            <w:r>
              <w:rPr>
                <w:rFonts w:hint="eastAsia" w:ascii="方正仿宋_GBK" w:hAnsi="方正仿宋_GBK" w:eastAsia="方正仿宋_GBK" w:cs="方正仿宋_GBK"/>
                <w:sz w:val="24"/>
                <w:szCs w:val="24"/>
                <w:lang w:val="en"/>
              </w:rPr>
              <w:t xml:space="preserve">:           </w:t>
            </w:r>
            <w:r>
              <w:rPr>
                <w:rFonts w:hint="eastAsia" w:ascii="方正仿宋_GBK" w:hAnsi="方正仿宋_GBK" w:eastAsia="方正仿宋_GBK" w:cs="方正仿宋_GBK"/>
                <w:b w:val="0"/>
                <w:bCs w:val="0"/>
                <w:sz w:val="24"/>
                <w:szCs w:val="24"/>
                <w:u w:val="none" w:color="auto"/>
              </w:rPr>
              <w:t>执行《铁矿采选工业污染物排放标准》（GB 28661-2012）、《铅、锌工业污染物排放标准》（GB 25466-2010）及其修改单、《工业废水锰污染物排放标准》（DB43/2426-2022）和《工业废水铊污染物排放标准》（DB43/ 968-2021）的</w:t>
            </w:r>
            <w:r>
              <w:rPr>
                <w:rFonts w:hint="eastAsia" w:ascii="方正仿宋_GBK" w:hAnsi="方正仿宋_GBK" w:eastAsia="方正仿宋_GBK" w:cs="方正仿宋_GBK"/>
                <w:b w:val="0"/>
                <w:bCs w:val="0"/>
                <w:sz w:val="24"/>
                <w:szCs w:val="24"/>
                <w:u w:val="none" w:color="auto"/>
                <w:lang w:eastAsia="zh-CN"/>
              </w:rPr>
              <w:t>直接排放标准较严者</w:t>
            </w:r>
            <w:r>
              <w:rPr>
                <w:rFonts w:hint="eastAsia" w:ascii="方正仿宋_GBK" w:hAnsi="方正仿宋_GBK" w:eastAsia="方正仿宋_GBK" w:cs="方正仿宋_GBK"/>
                <w:b w:val="0"/>
                <w:bCs w:val="0"/>
                <w:sz w:val="24"/>
                <w:szCs w:val="24"/>
                <w:u w:val="none" w:color="auto"/>
              </w:rPr>
              <w:t>。汞执行《铁矿采选工业污染物排放标准》（GB 28661-2012）的特别排放限值。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00" w:type="dxa"/>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污染物种类</w:t>
            </w:r>
          </w:p>
        </w:tc>
        <w:tc>
          <w:tcPr>
            <w:tcW w:w="1921" w:type="dxa"/>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排放浓度（mg/L）</w:t>
            </w:r>
          </w:p>
        </w:tc>
        <w:tc>
          <w:tcPr>
            <w:tcW w:w="2393" w:type="dxa"/>
            <w:gridSpan w:val="3"/>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全年</w:t>
            </w:r>
          </w:p>
        </w:tc>
        <w:tc>
          <w:tcPr>
            <w:tcW w:w="3093" w:type="dxa"/>
            <w:gridSpan w:val="2"/>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特殊时段（</w:t>
            </w:r>
            <w:r>
              <w:rPr>
                <w:rFonts w:hint="eastAsia" w:ascii="方正仿宋_GBK" w:hAnsi="方正仿宋_GBK" w:eastAsia="方正仿宋_GBK" w:cs="方正仿宋_GBK"/>
                <w:color w:val="auto"/>
                <w:sz w:val="24"/>
                <w:szCs w:val="24"/>
                <w:u w:val="single"/>
                <w:lang w:val="en-US" w:eastAsia="zh-CN"/>
              </w:rPr>
              <w:t>10</w:t>
            </w:r>
            <w:r>
              <w:rPr>
                <w:rFonts w:hint="eastAsia" w:ascii="方正仿宋_GBK" w:hAnsi="方正仿宋_GBK" w:eastAsia="方正仿宋_GBK" w:cs="方正仿宋_GBK"/>
                <w:color w:val="auto"/>
                <w:sz w:val="24"/>
                <w:szCs w:val="24"/>
              </w:rPr>
              <w:t>月至</w:t>
            </w:r>
            <w:r>
              <w:rPr>
                <w:rFonts w:hint="eastAsia" w:ascii="方正仿宋_GBK" w:hAnsi="方正仿宋_GBK" w:eastAsia="方正仿宋_GBK" w:cs="方正仿宋_GBK"/>
                <w:color w:val="auto"/>
                <w:sz w:val="24"/>
                <w:szCs w:val="24"/>
                <w:u w:val="single"/>
                <w:lang w:val="en-US" w:eastAsia="zh-CN"/>
              </w:rPr>
              <w:t>次年3</w:t>
            </w:r>
            <w:r>
              <w:rPr>
                <w:rFonts w:hint="eastAsia" w:ascii="方正仿宋_GBK" w:hAnsi="方正仿宋_GBK" w:eastAsia="方正仿宋_GBK" w:cs="方正仿宋_GBK"/>
                <w:color w:val="auto"/>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200" w:type="dxa"/>
            <w:vMerge w:val="continue"/>
            <w:noWrap w:val="0"/>
            <w:vAlign w:val="center"/>
          </w:tcPr>
          <w:p>
            <w:pPr>
              <w:adjustRightInd w:val="0"/>
              <w:snapToGrid w:val="0"/>
              <w:spacing w:line="240" w:lineRule="auto"/>
              <w:rPr>
                <w:rFonts w:hint="eastAsia" w:ascii="方正仿宋_GBK" w:hAnsi="方正仿宋_GBK" w:eastAsia="方正仿宋_GBK" w:cs="方正仿宋_GBK"/>
                <w:color w:val="auto"/>
                <w:sz w:val="24"/>
                <w:szCs w:val="24"/>
              </w:rPr>
            </w:pPr>
          </w:p>
        </w:tc>
        <w:tc>
          <w:tcPr>
            <w:tcW w:w="1921"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277" w:type="dxa"/>
            <w:gridSpan w:val="2"/>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污水排放量（万t/a）</w:t>
            </w:r>
          </w:p>
        </w:tc>
        <w:tc>
          <w:tcPr>
            <w:tcW w:w="1116"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污染物排放量（t/a）</w:t>
            </w:r>
          </w:p>
        </w:tc>
        <w:tc>
          <w:tcPr>
            <w:tcW w:w="1124"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污水日排放量（t/d）</w:t>
            </w:r>
          </w:p>
        </w:tc>
        <w:tc>
          <w:tcPr>
            <w:tcW w:w="1969" w:type="dxa"/>
            <w:noWrap w:val="0"/>
            <w:vAlign w:val="center"/>
          </w:tcPr>
          <w:p>
            <w:pPr>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污染物日排放量（t/d）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07" w:type="dxa"/>
            <w:gridSpan w:val="7"/>
            <w:noWrap w:val="0"/>
            <w:vAlign w:val="center"/>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rPr>
              <w:t>COD</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60</w:t>
            </w:r>
          </w:p>
        </w:tc>
        <w:tc>
          <w:tcPr>
            <w:tcW w:w="1277" w:type="dxa"/>
            <w:gridSpan w:val="2"/>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u w:val="none" w:color="auto"/>
                <w:lang w:val="en-US" w:eastAsia="zh-CN"/>
              </w:rPr>
              <w:t>17.8226</w:t>
            </w: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10.6936 </w:t>
            </w:r>
          </w:p>
        </w:tc>
        <w:tc>
          <w:tcPr>
            <w:tcW w:w="1124" w:type="dxa"/>
            <w:vMerge w:val="restart"/>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lang w:val="en-US" w:eastAsia="zh-CN"/>
              </w:rPr>
              <w:t>190.928</w:t>
            </w: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0.011456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none" w:color="auto"/>
              </w:rPr>
              <w:t>NH</w:t>
            </w:r>
            <w:r>
              <w:rPr>
                <w:rFonts w:hint="eastAsia" w:ascii="方正仿宋_GBK" w:hAnsi="方正仿宋_GBK" w:eastAsia="方正仿宋_GBK" w:cs="方正仿宋_GBK"/>
                <w:sz w:val="24"/>
                <w:szCs w:val="24"/>
                <w:u w:val="none" w:color="auto"/>
                <w:vertAlign w:val="subscript"/>
              </w:rPr>
              <w:t>3</w:t>
            </w:r>
            <w:r>
              <w:rPr>
                <w:rFonts w:hint="eastAsia" w:ascii="方正仿宋_GBK" w:hAnsi="方正仿宋_GBK" w:eastAsia="方正仿宋_GBK" w:cs="方正仿宋_GBK"/>
                <w:sz w:val="24"/>
                <w:szCs w:val="24"/>
                <w:u w:val="none" w:color="auto"/>
              </w:rPr>
              <w:t>-N</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8</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1.4258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0.001527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snapToGrid w:val="0"/>
                <w:sz w:val="24"/>
                <w:u w:val="none" w:color="auto"/>
              </w:rPr>
              <w:t>汞</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0.01</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0.0018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rPr>
              <w:t>镉</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0.05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0.0089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rPr>
              <w:t>六价铬</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0.0891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rPr>
              <w:t>砷</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0.3</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0.0535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rPr>
              <w:t>铅</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0.0891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lang w:eastAsia="zh-CN"/>
              </w:rPr>
              <w:t>锰</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2</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0.3565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0.000382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lang w:eastAsia="zh-CN"/>
              </w:rPr>
              <w:t>铁</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0.8911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lang w:eastAsia="zh-CN"/>
              </w:rPr>
              <w:t>铊</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0.005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0.0009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sz w:val="24"/>
                <w:u w:val="none" w:color="auto"/>
                <w:lang w:eastAsia="zh-CN"/>
              </w:rPr>
              <w:t>锌</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sz w:val="24"/>
                <w:szCs w:val="24"/>
                <w:u w:val="none" w:color="auto"/>
                <w:lang w:val="en-US" w:eastAsia="zh-CN"/>
              </w:rPr>
              <w:t>1.5</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0.2673 </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i w:val="0"/>
                <w:iCs w:val="0"/>
                <w:color w:val="000000"/>
                <w:kern w:val="0"/>
                <w:sz w:val="24"/>
                <w:szCs w:val="24"/>
                <w:u w:val="none" w:color="auto"/>
                <w:lang w:val="en-US" w:eastAsia="zh-CN" w:bidi="ar"/>
              </w:rPr>
              <w:t xml:space="preserve">0.000286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0" w:type="dxa"/>
            <w:noWrap w:val="0"/>
            <w:vAlign w:val="center"/>
          </w:tcPr>
          <w:p>
            <w:pPr>
              <w:pStyle w:val="1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napToGrid w:val="0"/>
                <w:kern w:val="24"/>
                <w:sz w:val="24"/>
                <w:szCs w:val="24"/>
                <w:u w:val="none" w:color="auto"/>
                <w:lang w:val="en-US" w:eastAsia="zh-CN" w:bidi="ar-SA"/>
              </w:rPr>
              <w:t>氟化物</w:t>
            </w:r>
          </w:p>
        </w:tc>
        <w:tc>
          <w:tcPr>
            <w:tcW w:w="1921" w:type="dxa"/>
            <w:noWrap w:val="0"/>
            <w:vAlign w:val="center"/>
          </w:tcPr>
          <w:p>
            <w:pPr>
              <w:pStyle w:val="14"/>
              <w:overflowPunct w:val="0"/>
              <w:autoSpaceDE w:val="0"/>
              <w:autoSpaceDN w:val="0"/>
              <w:bidi w:val="0"/>
              <w:snapToGrid w:val="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napToGrid w:val="0"/>
                <w:kern w:val="2"/>
                <w:sz w:val="24"/>
                <w:szCs w:val="24"/>
                <w:u w:val="none" w:color="auto"/>
                <w:lang w:val="en-US" w:eastAsia="zh-CN" w:bidi="ar-SA"/>
              </w:rPr>
              <w:t>8</w:t>
            </w:r>
          </w:p>
        </w:tc>
        <w:tc>
          <w:tcPr>
            <w:tcW w:w="1277" w:type="dxa"/>
            <w:gridSpan w:val="2"/>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116"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u w:val="none" w:color="auto"/>
                <w:lang w:val="en-US" w:eastAsia="zh-CN"/>
              </w:rPr>
              <w:t>1.4258</w:t>
            </w:r>
          </w:p>
        </w:tc>
        <w:tc>
          <w:tcPr>
            <w:tcW w:w="1124" w:type="dxa"/>
            <w:vMerge w:val="continue"/>
            <w:noWrap w:val="0"/>
            <w:vAlign w:val="center"/>
          </w:tcPr>
          <w:p>
            <w:pPr>
              <w:widowControl/>
              <w:adjustRightInd w:val="0"/>
              <w:snapToGrid w:val="0"/>
              <w:spacing w:line="240" w:lineRule="auto"/>
              <w:jc w:val="center"/>
              <w:rPr>
                <w:rFonts w:hint="eastAsia" w:ascii="方正仿宋_GBK" w:hAnsi="方正仿宋_GBK" w:eastAsia="方正仿宋_GBK" w:cs="方正仿宋_GBK"/>
                <w:color w:val="auto"/>
                <w:sz w:val="24"/>
                <w:szCs w:val="24"/>
              </w:rPr>
            </w:pPr>
          </w:p>
        </w:tc>
        <w:tc>
          <w:tcPr>
            <w:tcW w:w="1969" w:type="dxa"/>
            <w:noWrap w:val="0"/>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u w:val="none" w:color="auto"/>
                <w:lang w:val="en-US" w:eastAsia="zh-CN"/>
              </w:rPr>
              <w:t>0.001527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607" w:type="dxa"/>
            <w:gridSpan w:val="7"/>
            <w:noWrap w:val="0"/>
            <w:vAlign w:val="top"/>
          </w:tcPr>
          <w:p>
            <w:pPr>
              <w:widowControl/>
              <w:adjustRightInd w:val="0"/>
              <w:snapToGrid w:val="0"/>
              <w:spacing w:line="240"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信息公开要求：</w:t>
            </w:r>
          </w:p>
          <w:p>
            <w:pPr>
              <w:pStyle w:val="3"/>
              <w:widowControl/>
              <w:adjustRightInd w:val="0"/>
              <w:snapToGrid w:val="0"/>
              <w:spacing w:line="240" w:lineRule="auto"/>
              <w:ind w:left="0" w:firstLine="476" w:firstLineChars="200"/>
              <w:jc w:val="both"/>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kern w:val="2"/>
                <w:sz w:val="24"/>
                <w:szCs w:val="24"/>
                <w:lang w:eastAsia="zh-CN"/>
              </w:rPr>
              <w:t>根据《入河排污口监督管理办法》以及HJ1386标准要求，该入河排污口的</w:t>
            </w:r>
            <w:r>
              <w:rPr>
                <w:rFonts w:hint="eastAsia" w:ascii="方正仿宋_GBK" w:hAnsi="方正仿宋_GBK" w:eastAsia="方正仿宋_GBK" w:cs="方正仿宋_GBK"/>
                <w:color w:val="auto"/>
                <w:kern w:val="2"/>
                <w:sz w:val="24"/>
                <w:szCs w:val="24"/>
                <w:u w:val="none"/>
                <w:lang w:val="en-US" w:eastAsia="zh-CN"/>
              </w:rPr>
              <w:t>名称、</w:t>
            </w:r>
            <w:r>
              <w:rPr>
                <w:rFonts w:hint="eastAsia" w:ascii="方正仿宋_GBK" w:hAnsi="方正仿宋_GBK" w:eastAsia="方正仿宋_GBK" w:cs="方正仿宋_GBK"/>
                <w:color w:val="auto"/>
                <w:kern w:val="2"/>
                <w:sz w:val="24"/>
                <w:szCs w:val="24"/>
                <w:u w:val="none"/>
                <w:lang w:eastAsia="zh-CN"/>
              </w:rPr>
              <w:t>编码、</w:t>
            </w:r>
            <w:r>
              <w:rPr>
                <w:rFonts w:hint="eastAsia" w:ascii="方正仿宋_GBK" w:hAnsi="方正仿宋_GBK" w:eastAsia="方正仿宋_GBK" w:cs="方正仿宋_GBK"/>
                <w:color w:val="auto"/>
                <w:kern w:val="2"/>
                <w:sz w:val="24"/>
                <w:szCs w:val="24"/>
                <w:u w:val="none"/>
                <w:lang w:val="en-US" w:eastAsia="zh-CN"/>
              </w:rPr>
              <w:t>类型、经纬度、责任主体及详细地址、排放方式、排放要求、受纳水体名称、管理单位和监督电话</w:t>
            </w:r>
            <w:r>
              <w:rPr>
                <w:rFonts w:hint="eastAsia" w:ascii="方正仿宋_GBK" w:hAnsi="方正仿宋_GBK" w:eastAsia="方正仿宋_GBK" w:cs="方正仿宋_GBK"/>
                <w:color w:val="auto"/>
                <w:kern w:val="2"/>
                <w:sz w:val="24"/>
                <w:szCs w:val="24"/>
                <w:lang w:eastAsia="zh-CN"/>
              </w:rPr>
              <w:t>等信息应以</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标识牌</w:t>
            </w:r>
            <w:r>
              <w:rPr>
                <w:rFonts w:hint="eastAsia" w:ascii="方正仿宋_GBK" w:hAnsi="方正仿宋_GBK" w:eastAsia="方正仿宋_GBK" w:cs="方正仿宋_GBK"/>
                <w:color w:val="auto"/>
                <w:kern w:val="2"/>
                <w:sz w:val="24"/>
                <w:szCs w:val="24"/>
                <w:lang w:eastAsia="zh-CN"/>
              </w:rPr>
              <w:sym w:font="Wingdings 2" w:char="0052"/>
            </w:r>
            <w:r>
              <w:rPr>
                <w:rFonts w:hint="eastAsia" w:ascii="方正仿宋_GBK" w:hAnsi="方正仿宋_GBK" w:eastAsia="方正仿宋_GBK" w:cs="方正仿宋_GBK"/>
                <w:color w:val="auto"/>
                <w:kern w:val="2"/>
                <w:sz w:val="24"/>
                <w:szCs w:val="24"/>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607" w:type="dxa"/>
            <w:gridSpan w:val="7"/>
            <w:noWrap w:val="0"/>
            <w:vAlign w:val="center"/>
          </w:tcPr>
          <w:p>
            <w:pPr>
              <w:widowControl/>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水污染事故应急处理预案以及环境风险防范措施：</w:t>
            </w:r>
          </w:p>
          <w:p>
            <w:pPr>
              <w:pStyle w:val="7"/>
              <w:keepNext w:val="0"/>
              <w:keepLines w:val="0"/>
              <w:widowControl/>
              <w:suppressLineNumbers w:val="0"/>
              <w:adjustRightInd w:val="0"/>
              <w:snapToGrid w:val="0"/>
              <w:ind w:firstLine="476" w:firstLineChars="200"/>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kern w:val="2"/>
                <w:sz w:val="24"/>
                <w:szCs w:val="24"/>
                <w:lang w:eastAsia="zh-CN"/>
              </w:rPr>
              <w:t>该入河排污口对应的责任主体</w:t>
            </w:r>
            <w:r>
              <w:rPr>
                <w:rFonts w:hint="eastAsia" w:ascii="方正仿宋_GBK" w:hAnsi="方正仿宋_GBK" w:eastAsia="方正仿宋_GBK" w:cs="方正仿宋_GBK"/>
                <w:kern w:val="2"/>
                <w:sz w:val="24"/>
                <w:szCs w:val="24"/>
                <w:lang w:val="en-US" w:eastAsia="zh-CN"/>
              </w:rPr>
              <w:t>永州市博尔矿业有限公司</w:t>
            </w:r>
            <w:r>
              <w:rPr>
                <w:rFonts w:hint="eastAsia" w:ascii="方正仿宋_GBK" w:hAnsi="方正仿宋_GBK" w:eastAsia="方正仿宋_GBK" w:cs="方正仿宋_GBK"/>
                <w:kern w:val="2"/>
                <w:sz w:val="24"/>
                <w:szCs w:val="24"/>
                <w:lang w:eastAsia="zh-CN"/>
              </w:rPr>
              <w:t>应当按照排污单位有关要求，做好污染事故应急处理预案、环境风险防范及应急处置措施，具体包括：不断改进、优化事故分级</w:t>
            </w:r>
            <w:r>
              <w:rPr>
                <w:rFonts w:hint="eastAsia" w:ascii="方正仿宋_GBK" w:hAnsi="方正仿宋_GBK" w:eastAsia="方正仿宋_GBK" w:cs="方正仿宋_GBK"/>
                <w:kern w:val="2"/>
                <w:sz w:val="24"/>
                <w:szCs w:val="24"/>
                <w:lang w:val="en-US" w:eastAsia="zh-CN"/>
              </w:rPr>
              <w:t>响应和应急处置预案，切实加强风</w:t>
            </w:r>
            <w:r>
              <w:rPr>
                <w:rFonts w:hint="eastAsia" w:ascii="方正仿宋_GBK" w:hAnsi="方正仿宋_GBK" w:eastAsia="方正仿宋_GBK" w:cs="方正仿宋_GBK"/>
                <w:kern w:val="2"/>
                <w:sz w:val="24"/>
                <w:szCs w:val="24"/>
                <w:lang w:eastAsia="zh-CN"/>
              </w:rPr>
              <w:t>险</w:t>
            </w:r>
            <w:r>
              <w:rPr>
                <w:rFonts w:hint="eastAsia" w:ascii="方正仿宋_GBK" w:hAnsi="方正仿宋_GBK" w:eastAsia="方正仿宋_GBK" w:cs="方正仿宋_GBK"/>
                <w:kern w:val="2"/>
                <w:sz w:val="24"/>
                <w:szCs w:val="24"/>
                <w:lang w:val="en-US" w:eastAsia="zh-CN"/>
              </w:rPr>
              <w:t>防范</w:t>
            </w:r>
            <w:r>
              <w:rPr>
                <w:rFonts w:hint="eastAsia" w:ascii="方正仿宋_GBK" w:hAnsi="方正仿宋_GBK" w:eastAsia="方正仿宋_GBK" w:cs="方正仿宋_GBK"/>
                <w:kern w:val="2"/>
                <w:sz w:val="24"/>
                <w:szCs w:val="24"/>
                <w:lang w:eastAsia="zh-CN"/>
              </w:rPr>
              <w:t>应急措施及风险源管控，做好应急演练和外排污水监测，防止污染事故的发生。特殊情况下，应服从具有管理权限部门依法作出的入河排污限制排污决定。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607" w:type="dxa"/>
            <w:gridSpan w:val="7"/>
            <w:noWrap w:val="0"/>
            <w:vAlign w:val="top"/>
          </w:tcPr>
          <w:p>
            <w:pPr>
              <w:widowControl/>
              <w:adjustRightInd w:val="0"/>
              <w:snapToGrid w:val="0"/>
              <w:spacing w:line="240" w:lineRule="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水生态环境保护措施：</w:t>
            </w:r>
          </w:p>
          <w:p>
            <w:pPr>
              <w:pStyle w:val="7"/>
              <w:keepNext w:val="0"/>
              <w:keepLines w:val="0"/>
              <w:widowControl/>
              <w:suppressLineNumbers w:val="0"/>
              <w:adjustRightInd w:val="0"/>
              <w:snapToGrid w:val="0"/>
              <w:ind w:firstLine="476" w:firstLineChars="200"/>
              <w:rPr>
                <w:rFonts w:ascii="方正仿宋_GBK" w:hAnsi="方正仿宋_GBK" w:eastAsia="方正仿宋_GBK" w:cs="方正仿宋_GBK"/>
                <w:lang w:eastAsia="zh-CN"/>
              </w:rPr>
            </w:pPr>
            <w:r>
              <w:rPr>
                <w:rFonts w:hint="eastAsia" w:ascii="方正仿宋_GBK" w:hAnsi="方正仿宋_GBK" w:eastAsia="方正仿宋_GBK" w:cs="方正仿宋_GBK"/>
                <w:kern w:val="2"/>
                <w:sz w:val="24"/>
                <w:szCs w:val="24"/>
                <w:lang w:eastAsia="zh-CN"/>
              </w:rPr>
              <w:t>为减免该入河排污口设置带来的不利影响，入河排污口设置/使用过程中应当采取监测、巡查、预警等水生态环境保护措施，具体包括：</w:t>
            </w:r>
            <w:r>
              <w:rPr>
                <w:rFonts w:hint="eastAsia" w:ascii="方正仿宋_GBK" w:hAnsi="方正仿宋_GBK" w:eastAsia="方正仿宋_GBK" w:cs="方正仿宋_GBK"/>
                <w:kern w:val="2"/>
                <w:sz w:val="24"/>
                <w:szCs w:val="24"/>
                <w:lang w:val="en-US" w:eastAsia="zh-CN" w:bidi="ar-SA"/>
              </w:rPr>
              <w:t>应严格落实环评报告及批复、竣工环保验收及本入河排污口设置论证报告提出的各项污染防治措施、生态影响减缓措施，确保污水处理站长期稳定运行、污染物达标排放，确保排污口下游水质及水生态安全。应规范化建设入河排污口，按规范要求落实排污口标志牌等相关设施，并落实相关监测要求。应当定期巡查维护排污通道、口门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607" w:type="dxa"/>
            <w:gridSpan w:val="7"/>
            <w:noWrap w:val="0"/>
            <w:vAlign w:val="top"/>
          </w:tcPr>
          <w:p>
            <w:pPr>
              <w:widowControl/>
              <w:adjustRightInd w:val="0"/>
              <w:snapToGrid w:val="0"/>
              <w:spacing w:line="240" w:lineRule="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其他需要注意的事项：</w:t>
            </w:r>
          </w:p>
          <w:p>
            <w:pPr>
              <w:pStyle w:val="3"/>
              <w:widowControl/>
              <w:adjustRightInd w:val="0"/>
              <w:snapToGrid w:val="0"/>
              <w:spacing w:line="240" w:lineRule="auto"/>
              <w:ind w:left="0" w:firstLine="476"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（一）应符合相关部门对防洪、堤防安全和河势稳定等问题的保护措施要求；</w:t>
            </w:r>
          </w:p>
          <w:p>
            <w:pPr>
              <w:keepNext w:val="0"/>
              <w:keepLines w:val="0"/>
              <w:pageBreakBefore w:val="0"/>
              <w:kinsoku/>
              <w:overflowPunct/>
              <w:topLinePunct w:val="0"/>
              <w:bidi w:val="0"/>
              <w:adjustRightInd w:val="0"/>
              <w:snapToGrid w:val="0"/>
              <w:spacing w:line="240" w:lineRule="auto"/>
              <w:ind w:firstLine="476" w:firstLineChars="200"/>
              <w:outlineLvl w:val="1"/>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  该入河排污口设置经批准后，入河排污口责任主体名称、生产经营场所地址、法定代表人或者主要负责人以及联系方式等信息发生变更的，应当自变更之日起三十日内，向审批部门申请办理决定书变更手续。其主要污染物种类、排水量、污染物排放浓度、主要污染物排放量可能超过同意设置入河排污口的决定书中规定要求的，其责任主体、位置发生变化，或新增排污单位的，应按照有关规定重新进行入河排污口设置申请。</w:t>
            </w:r>
          </w:p>
          <w:p>
            <w:pPr>
              <w:keepNext w:val="0"/>
              <w:keepLines w:val="0"/>
              <w:widowControl/>
              <w:suppressLineNumbers w:val="0"/>
              <w:adjustRightInd w:val="0"/>
              <w:snapToGrid w:val="0"/>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永州市生态环境局具体负责该排污口日常监督检查和管理工作，并将排污口设置批复及《论证报告》要求落实情况纳入日常监督检查。你单位应在收到本批复后的15个工作日内，将批复后的排污口设置论证报告等相关文件送至永州市生态环境局，并按规定接受日常监督检查和管理。</w:t>
            </w:r>
          </w:p>
          <w:p>
            <w:pPr>
              <w:keepNext w:val="0"/>
              <w:keepLines w:val="0"/>
              <w:widowControl/>
              <w:suppressLineNumbers w:val="0"/>
              <w:adjustRightInd w:val="0"/>
              <w:snapToGrid w:val="0"/>
              <w:ind w:firstLine="476" w:firstLineChars="200"/>
              <w:jc w:val="both"/>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（四）国家、省级层面有新的规定文件出台，按新的规定及要求执行。</w:t>
            </w:r>
          </w:p>
        </w:tc>
      </w:tr>
    </w:tbl>
    <w:p>
      <w:pPr>
        <w:pStyle w:val="3"/>
        <w:widowControl/>
        <w:adjustRightInd w:val="0"/>
        <w:snapToGrid w:val="0"/>
        <w:spacing w:before="0" w:line="600" w:lineRule="exact"/>
        <w:ind w:left="0" w:firstLine="636" w:firstLineChars="200"/>
        <w:jc w:val="both"/>
        <w:rPr>
          <w:rFonts w:hint="eastAsia" w:ascii="方正仿宋_GBK" w:hAnsi="方正仿宋_GBK" w:eastAsia="方正仿宋_GBK" w:cs="方正仿宋_GBK"/>
          <w:snapToGrid w:val="0"/>
          <w:kern w:val="21"/>
          <w:sz w:val="32"/>
          <w:szCs w:val="32"/>
          <w:lang w:eastAsia="zh-CN"/>
        </w:rPr>
      </w:pPr>
      <w:r>
        <w:rPr>
          <w:rFonts w:hint="eastAsia" w:ascii="方正仿宋_GBK" w:hAnsi="方正仿宋_GBK" w:eastAsia="方正仿宋_GBK" w:cs="方正仿宋_GBK"/>
          <w:snapToGrid w:val="0"/>
          <w:kern w:val="21"/>
          <w:sz w:val="32"/>
          <w:szCs w:val="32"/>
          <w:lang w:eastAsia="zh-CN"/>
        </w:rPr>
        <w:t>你单位如对本批复不服，可以在收到决定书之日起六十日内依法向湖南省人民政府申请行政复议，或者六个月内向长沙铁路运输法院提起行政诉讼。</w:t>
      </w:r>
    </w:p>
    <w:p>
      <w:pPr>
        <w:adjustRightInd w:val="0"/>
        <w:snapToGrid w:val="0"/>
        <w:spacing w:line="600" w:lineRule="exact"/>
        <w:ind w:firstLine="636" w:firstLineChars="200"/>
        <w:rPr>
          <w:rFonts w:hint="eastAsia" w:ascii="方正仿宋_GBK" w:hAnsi="方正仿宋_GBK" w:eastAsia="方正仿宋_GBK" w:cs="方正仿宋_GBK"/>
          <w:snapToGrid w:val="0"/>
          <w:kern w:val="21"/>
          <w:sz w:val="32"/>
          <w:szCs w:val="32"/>
          <w:lang w:eastAsia="zh-CN"/>
        </w:rPr>
      </w:pPr>
    </w:p>
    <w:p>
      <w:pPr>
        <w:adjustRightInd w:val="0"/>
        <w:snapToGrid w:val="0"/>
        <w:spacing w:line="600" w:lineRule="exact"/>
        <w:ind w:firstLine="636" w:firstLineChars="200"/>
        <w:rPr>
          <w:rFonts w:hint="eastAsia" w:ascii="方正仿宋_GBK" w:hAnsi="方正仿宋_GBK" w:eastAsia="方正仿宋_GBK" w:cs="方正仿宋_GBK"/>
          <w:snapToGrid w:val="0"/>
          <w:kern w:val="21"/>
          <w:sz w:val="32"/>
          <w:szCs w:val="32"/>
          <w:lang w:eastAsia="zh-CN"/>
        </w:rPr>
      </w:pPr>
    </w:p>
    <w:p>
      <w:pPr>
        <w:adjustRightInd w:val="0"/>
        <w:snapToGrid w:val="0"/>
        <w:spacing w:line="600" w:lineRule="exact"/>
        <w:ind w:firstLine="636" w:firstLineChars="200"/>
        <w:rPr>
          <w:rFonts w:hint="eastAsia" w:ascii="方正仿宋_GBK" w:hAnsi="方正仿宋_GBK" w:eastAsia="方正仿宋_GBK" w:cs="方正仿宋_GBK"/>
          <w:snapToGrid w:val="0"/>
          <w:kern w:val="21"/>
          <w:sz w:val="32"/>
          <w:szCs w:val="32"/>
          <w:lang w:eastAsia="zh-CN"/>
        </w:rPr>
      </w:pPr>
    </w:p>
    <w:p>
      <w:pPr>
        <w:pStyle w:val="3"/>
        <w:adjustRightInd w:val="0"/>
        <w:snapToGrid w:val="0"/>
        <w:spacing w:before="0" w:line="600" w:lineRule="exact"/>
        <w:ind w:left="0" w:firstLine="5088" w:firstLineChars="1600"/>
        <w:jc w:val="both"/>
        <w:rPr>
          <w:rFonts w:hint="eastAsia" w:ascii="方正仿宋_GBK" w:hAnsi="方正仿宋_GBK" w:eastAsia="方正仿宋_GBK" w:cs="方正仿宋_GBK"/>
          <w:snapToGrid w:val="0"/>
          <w:spacing w:val="0"/>
          <w:kern w:val="21"/>
          <w:sz w:val="32"/>
          <w:szCs w:val="32"/>
          <w:lang w:val="en-US" w:eastAsia="zh-CN"/>
        </w:rPr>
      </w:pPr>
      <w:r>
        <w:rPr>
          <w:rFonts w:hint="eastAsia" w:ascii="方正仿宋_GBK" w:hAnsi="方正仿宋_GBK" w:eastAsia="方正仿宋_GBK" w:cs="方正仿宋_GBK"/>
          <w:snapToGrid w:val="0"/>
          <w:spacing w:val="0"/>
          <w:kern w:val="21"/>
          <w:sz w:val="32"/>
          <w:szCs w:val="32"/>
          <w:lang w:val="en-US" w:eastAsia="zh-CN"/>
        </w:rPr>
        <w:t>湖南省生态环境厅</w:t>
      </w:r>
    </w:p>
    <w:p>
      <w:pPr>
        <w:pStyle w:val="3"/>
        <w:adjustRightInd w:val="0"/>
        <w:snapToGrid w:val="0"/>
        <w:spacing w:before="0" w:line="600" w:lineRule="exact"/>
        <w:ind w:left="0" w:firstLine="5088" w:firstLineChars="1600"/>
        <w:jc w:val="both"/>
        <w:rPr>
          <w:rFonts w:hint="eastAsia" w:ascii="方正仿宋_GBK" w:hAnsi="方正仿宋_GBK" w:eastAsia="方正仿宋_GBK" w:cs="方正仿宋_GBK"/>
          <w:snapToGrid w:val="0"/>
          <w:kern w:val="21"/>
          <w:sz w:val="32"/>
          <w:szCs w:val="32"/>
        </w:rPr>
      </w:pPr>
      <w:r>
        <w:rPr>
          <w:rFonts w:hint="eastAsia" w:ascii="方正仿宋_GBK" w:hAnsi="方正仿宋_GBK" w:eastAsia="方正仿宋_GBK" w:cs="方正仿宋_GBK"/>
          <w:snapToGrid w:val="0"/>
          <w:kern w:val="21"/>
          <w:sz w:val="32"/>
          <w:szCs w:val="32"/>
          <w:lang w:val="en-US" w:eastAsia="zh-CN"/>
        </w:rPr>
        <w:t>2025</w:t>
      </w:r>
      <w:r>
        <w:rPr>
          <w:rFonts w:hint="eastAsia" w:ascii="方正仿宋_GBK" w:hAnsi="方正仿宋_GBK" w:eastAsia="方正仿宋_GBK" w:cs="方正仿宋_GBK"/>
          <w:snapToGrid w:val="0"/>
          <w:kern w:val="21"/>
          <w:sz w:val="32"/>
          <w:szCs w:val="32"/>
          <w:lang w:eastAsia="zh-CN"/>
        </w:rPr>
        <w:t>年</w:t>
      </w:r>
      <w:r>
        <w:rPr>
          <w:rFonts w:hint="eastAsia" w:ascii="方正仿宋_GBK" w:hAnsi="方正仿宋_GBK" w:eastAsia="方正仿宋_GBK" w:cs="方正仿宋_GBK"/>
          <w:snapToGrid w:val="0"/>
          <w:kern w:val="21"/>
          <w:sz w:val="32"/>
          <w:szCs w:val="32"/>
          <w:lang w:val="en-US" w:eastAsia="zh-CN"/>
        </w:rPr>
        <w:t>12</w:t>
      </w:r>
      <w:r>
        <w:rPr>
          <w:rFonts w:hint="eastAsia" w:ascii="方正仿宋_GBK" w:hAnsi="方正仿宋_GBK" w:eastAsia="方正仿宋_GBK" w:cs="方正仿宋_GBK"/>
          <w:snapToGrid w:val="0"/>
          <w:kern w:val="21"/>
          <w:sz w:val="32"/>
          <w:szCs w:val="32"/>
          <w:lang w:eastAsia="zh-CN"/>
        </w:rPr>
        <w:t>月</w:t>
      </w:r>
      <w:r>
        <w:rPr>
          <w:rFonts w:hint="eastAsia" w:ascii="方正仿宋_GBK" w:hAnsi="方正仿宋_GBK" w:eastAsia="方正仿宋_GBK" w:cs="方正仿宋_GBK"/>
          <w:snapToGrid w:val="0"/>
          <w:kern w:val="21"/>
          <w:sz w:val="32"/>
          <w:szCs w:val="32"/>
          <w:lang w:val="en-US" w:eastAsia="zh-CN"/>
        </w:rPr>
        <w:t>27</w:t>
      </w:r>
      <w:r>
        <w:rPr>
          <w:rFonts w:hint="eastAsia" w:ascii="方正仿宋_GBK" w:hAnsi="方正仿宋_GBK" w:eastAsia="方正仿宋_GBK" w:cs="方正仿宋_GBK"/>
          <w:snapToGrid w:val="0"/>
          <w:kern w:val="21"/>
          <w:sz w:val="32"/>
          <w:szCs w:val="32"/>
          <w:lang w:eastAsia="zh-CN"/>
        </w:rPr>
        <w:t>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
      <w:pPr>
        <w:pStyle w:val="2"/>
      </w:pPr>
    </w:p>
    <w:p/>
    <w:p>
      <w:pPr>
        <w:pStyle w:val="2"/>
      </w:pPr>
    </w:p>
    <w:p/>
    <w:p>
      <w:pPr>
        <w:pStyle w:val="2"/>
      </w:pPr>
    </w:p>
    <w:p/>
    <w:p>
      <w:pPr>
        <w:pStyle w:val="2"/>
        <w:spacing w:line="900" w:lineRule="exact"/>
      </w:pPr>
    </w:p>
    <w:tbl>
      <w:tblPr>
        <w:tblStyle w:val="9"/>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noWrap w:val="0"/>
            <w:vAlign w:val="top"/>
          </w:tcPr>
          <w:p>
            <w:pPr>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w:t>
            </w:r>
          </w:p>
        </w:tc>
        <w:tc>
          <w:tcPr>
            <w:tcW w:w="7733" w:type="dxa"/>
            <w:noWrap w:val="0"/>
            <w:vAlign w:val="top"/>
          </w:tcPr>
          <w:p>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永州市生态环境局，永州市生态环境局蓝山分局</w:t>
            </w:r>
            <w:r>
              <w:rPr>
                <w:rFonts w:hint="eastAsia" w:ascii="方正仿宋_GBK" w:hAnsi="方正仿宋_GBK" w:eastAsia="方正仿宋_GBK" w:cs="方正仿宋_GBK"/>
                <w:sz w:val="28"/>
                <w:szCs w:val="28"/>
                <w:lang w:eastAsia="zh-CN"/>
              </w:rPr>
              <w:t>。</w:t>
            </w:r>
          </w:p>
        </w:tc>
      </w:tr>
    </w:tbl>
    <w:p>
      <w:pPr>
        <w:snapToGrid w:val="0"/>
        <w:spacing w:line="20" w:lineRule="exact"/>
        <w:rPr>
          <w:rFonts w:ascii="仿宋" w:hAnsi="仿宋" w:eastAsia="仿宋"/>
          <w:sz w:val="28"/>
          <w:szCs w:val="28"/>
        </w:rPr>
      </w:pPr>
    </w:p>
    <w:bookmarkEnd w:id="4"/>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宋体" w:hAnsi="宋体" w:eastAsia="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B4D7F3C"/>
    <w:rsid w:val="3C7AB1BB"/>
    <w:rsid w:val="3EFA0678"/>
    <w:rsid w:val="48000E1F"/>
    <w:rsid w:val="57FDDDE7"/>
    <w:rsid w:val="68C955F2"/>
    <w:rsid w:val="6D222129"/>
    <w:rsid w:val="77DB59AD"/>
    <w:rsid w:val="79E6A58C"/>
    <w:rsid w:val="7DFF6C6E"/>
    <w:rsid w:val="7E1F361D"/>
    <w:rsid w:val="7FED57CA"/>
    <w:rsid w:val="87FB5C5D"/>
    <w:rsid w:val="AEBF6FEC"/>
    <w:rsid w:val="BEDF417B"/>
    <w:rsid w:val="BF7C8D87"/>
    <w:rsid w:val="CF1B11E7"/>
    <w:rsid w:val="DF7F5B87"/>
    <w:rsid w:val="FBFEAAF5"/>
    <w:rsid w:val="FDFA6858"/>
    <w:rsid w:val="FF6A58B4"/>
    <w:rsid w:val="FF8F8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Times New Roman"/>
    </w:rPr>
  </w:style>
  <w:style w:type="paragraph" w:styleId="3">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4">
    <w:name w:val="Balloon Text"/>
    <w:basedOn w:val="1"/>
    <w:link w:val="13"/>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脚 Char"/>
    <w:basedOn w:val="10"/>
    <w:link w:val="5"/>
    <w:qFormat/>
    <w:uiPriority w:val="99"/>
    <w:rPr>
      <w:rFonts w:ascii="Times New Roman" w:hAnsi="Times New Roman" w:eastAsia="仿宋_GB2312" w:cs="Times New Roman"/>
      <w:sz w:val="18"/>
      <w:szCs w:val="20"/>
    </w:rPr>
  </w:style>
  <w:style w:type="character" w:customStyle="1" w:styleId="12">
    <w:name w:val="页眉 Char"/>
    <w:basedOn w:val="10"/>
    <w:link w:val="6"/>
    <w:qFormat/>
    <w:uiPriority w:val="0"/>
    <w:rPr>
      <w:rFonts w:ascii="Times New Roman" w:hAnsi="Times New Roman" w:eastAsia="仿宋_GB2312" w:cs="Times New Roman"/>
      <w:sz w:val="18"/>
      <w:szCs w:val="20"/>
    </w:rPr>
  </w:style>
  <w:style w:type="character" w:customStyle="1" w:styleId="13">
    <w:name w:val="批注框文本 Char"/>
    <w:basedOn w:val="10"/>
    <w:link w:val="4"/>
    <w:semiHidden/>
    <w:qFormat/>
    <w:uiPriority w:val="99"/>
    <w:rPr>
      <w:rFonts w:ascii="Times New Roman" w:hAnsi="Times New Roman" w:eastAsia="仿宋_GB2312" w:cs="Times New Roman"/>
      <w:sz w:val="18"/>
      <w:szCs w:val="18"/>
    </w:rPr>
  </w:style>
  <w:style w:type="paragraph" w:customStyle="1" w:styleId="14">
    <w:name w:val="Ly-表格"/>
    <w:basedOn w:val="1"/>
    <w:next w:val="1"/>
    <w:qFormat/>
    <w:uiPriority w:val="0"/>
    <w:pPr>
      <w:widowControl w:val="0"/>
      <w:adjustRightInd w:val="0"/>
      <w:jc w:val="center"/>
    </w:pPr>
    <w:rPr>
      <w:kern w:val="0"/>
      <w:szCs w:val="20"/>
    </w:rPr>
  </w:style>
  <w:style w:type="paragraph" w:customStyle="1" w:styleId="15">
    <w:name w:val="表格内容"/>
    <w:qFormat/>
    <w:uiPriority w:val="2"/>
    <w:pPr>
      <w:widowControl w:val="0"/>
      <w:overflowPunct w:val="0"/>
      <w:autoSpaceDE w:val="0"/>
      <w:autoSpaceDN w:val="0"/>
      <w:adjustRightInd w:val="0"/>
      <w:snapToGrid w:val="0"/>
      <w:jc w:val="center"/>
    </w:pPr>
    <w:rPr>
      <w:rFonts w:ascii="Times New Roman" w:hAnsi="Times New Roman" w:eastAsia="宋体"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2</TotalTime>
  <ScaleCrop>false</ScaleCrop>
  <LinksUpToDate>false</LinksUpToDate>
  <CharactersWithSpaces>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2017-03-08T21:57:00Z</dcterms:created>
  <dc:creator>陈炼</dc:creator>
  <cp:lastModifiedBy>kylin</cp:lastModifiedBy>
  <cp:lastPrinted>2017-03-11T14:38:00Z</cp:lastPrinted>
  <dcterms:modified xsi:type="dcterms:W3CDTF">2025-12-30T08:17:42Z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