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center" w:tblpY="169"/>
        <w:tblW w:w="9639" w:type="dxa"/>
        <w:jc w:val="center"/>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noWrap w:val="0"/>
            <w:vAlign w:val="center"/>
          </w:tcPr>
          <w:p>
            <w:pPr>
              <w:snapToGrid w:val="0"/>
              <w:spacing w:line="40" w:lineRule="exact"/>
              <w:rPr>
                <w:rFonts w:ascii="仿宋" w:hAnsi="仿宋" w:eastAsia="仿宋"/>
                <w:szCs w:val="32"/>
              </w:rPr>
            </w:pPr>
            <w:bookmarkStart w:id="1" w:name="_GoBack"/>
            <w:bookmarkEnd w:id="1"/>
          </w:p>
        </w:tc>
      </w:tr>
    </w:tbl>
    <w:tbl>
      <w:tblPr>
        <w:tblStyle w:val="8"/>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trPr>
        <w:tc>
          <w:tcPr>
            <w:tcW w:w="4436" w:type="dxa"/>
            <w:noWrap w:val="0"/>
            <w:vAlign w:val="bottom"/>
          </w:tcPr>
          <w:p>
            <w:pPr>
              <w:snapToGrid w:val="0"/>
              <w:spacing w:line="560" w:lineRule="exact"/>
              <w:rPr>
                <w:rFonts w:ascii="黑体" w:hAnsi="黑体" w:eastAsia="黑体"/>
                <w:kern w:val="0"/>
                <w:szCs w:val="32"/>
              </w:rPr>
            </w:pPr>
          </w:p>
        </w:tc>
        <w:tc>
          <w:tcPr>
            <w:tcW w:w="4465" w:type="dxa"/>
            <w:noWrap w:val="0"/>
            <w:vAlign w:val="bottom"/>
          </w:tcPr>
          <w:p>
            <w:pPr>
              <w:spacing w:line="560" w:lineRule="exact"/>
              <w:jc w:val="right"/>
              <w:rPr>
                <w:rFonts w:hint="eastAsia" w:ascii="方正仿宋_GBK" w:hAnsi="方正仿宋_GBK" w:eastAsia="方正仿宋_GBK" w:cs="方正仿宋_GBK"/>
              </w:rPr>
            </w:pPr>
            <w:bookmarkStart w:id="0" w:name="PO_WH"/>
            <w:r>
              <w:rPr>
                <w:rFonts w:hint="eastAsia" w:ascii="方正仿宋_GBK" w:hAnsi="方正仿宋_GBK" w:eastAsia="方正仿宋_GBK" w:cs="方正仿宋_GBK"/>
                <w:szCs w:val="32"/>
                <w:lang w:val="en"/>
              </w:rPr>
              <w:t>湘环</w:t>
            </w:r>
            <w:r>
              <w:rPr>
                <w:rFonts w:hint="eastAsia" w:ascii="方正仿宋_GBK" w:hAnsi="方正仿宋_GBK" w:eastAsia="方正仿宋_GBK" w:cs="方正仿宋_GBK"/>
                <w:szCs w:val="32"/>
                <w:lang w:val="en" w:eastAsia="zh-CN"/>
              </w:rPr>
              <w:t>许决</w:t>
            </w:r>
            <w:r>
              <w:rPr>
                <w:rFonts w:hint="eastAsia" w:ascii="方正仿宋_GBK" w:hAnsi="方正仿宋_GBK" w:eastAsia="方正仿宋_GBK" w:cs="方正仿宋_GBK"/>
                <w:szCs w:val="32"/>
                <w:lang w:val="en"/>
              </w:rPr>
              <w:t>〔2025〕</w:t>
            </w:r>
            <w:r>
              <w:rPr>
                <w:rFonts w:hint="eastAsia" w:ascii="方正仿宋_GBK" w:hAnsi="方正仿宋_GBK" w:eastAsia="方正仿宋_GBK" w:cs="方正仿宋_GBK"/>
                <w:szCs w:val="32"/>
                <w:lang w:val="en-US" w:eastAsia="zh-CN"/>
              </w:rPr>
              <w:t>553</w:t>
            </w:r>
            <w:r>
              <w:rPr>
                <w:rFonts w:hint="eastAsia" w:ascii="方正仿宋_GBK" w:hAnsi="方正仿宋_GBK" w:eastAsia="方正仿宋_GBK" w:cs="方正仿宋_GBK"/>
                <w:szCs w:val="32"/>
                <w:lang w:val="en"/>
              </w:rPr>
              <w:t>号</w:t>
            </w:r>
            <w:bookmarkEnd w:id="0"/>
          </w:p>
        </w:tc>
      </w:tr>
    </w:tbl>
    <w:p>
      <w:pPr>
        <w:widowControl/>
        <w:autoSpaceDE w:val="0"/>
        <w:adjustRightInd w:val="0"/>
        <w:snapToGrid w:val="0"/>
        <w:spacing w:before="800" w:after="600" w:line="800" w:lineRule="exact"/>
        <w:ind w:right="0"/>
        <w:jc w:val="center"/>
        <w:outlineLvl w:val="0"/>
        <w:rPr>
          <w:rFonts w:ascii="宋体" w:hAnsi="宋体"/>
          <w:spacing w:val="-4"/>
          <w:szCs w:val="21"/>
        </w:rPr>
      </w:pPr>
      <w:r>
        <w:rPr>
          <w:rFonts w:hint="eastAsia" w:ascii="方正小标宋_GBK" w:eastAsia="方正小标宋_GBK"/>
          <w:color w:val="auto"/>
          <w:sz w:val="44"/>
          <w:szCs w:val="44"/>
          <w:lang w:val="en-US" w:eastAsia="zh-CN"/>
        </w:rPr>
        <w:t>湖南省生态环境厅</w:t>
      </w:r>
      <w:r>
        <w:rPr>
          <w:rFonts w:hint="eastAsia" w:ascii="方正小标宋_GBK" w:eastAsia="方正小标宋_GBK"/>
          <w:color w:val="auto"/>
          <w:sz w:val="44"/>
          <w:szCs w:val="44"/>
          <w:lang w:val="en-US" w:eastAsia="zh-CN"/>
        </w:rPr>
        <w:br w:type="textWrapping"/>
      </w:r>
      <w:r>
        <w:rPr>
          <w:rFonts w:hint="eastAsia" w:ascii="方正小标宋_GBK" w:eastAsia="方正小标宋_GBK"/>
          <w:color w:val="auto"/>
          <w:sz w:val="44"/>
          <w:szCs w:val="44"/>
        </w:rPr>
        <w:t>同意</w:t>
      </w:r>
      <w:r>
        <w:rPr>
          <w:rFonts w:hint="eastAsia" w:ascii="方正小标宋_GBK" w:eastAsia="方正小标宋_GBK"/>
          <w:color w:val="auto"/>
          <w:sz w:val="44"/>
          <w:szCs w:val="44"/>
          <w:lang w:val="en-US" w:eastAsia="zh-CN"/>
        </w:rPr>
        <w:t>设置中稀(湖南)稀土开发有限公司</w:t>
      </w:r>
      <w:r>
        <w:rPr>
          <w:rFonts w:hint="eastAsia" w:ascii="方正小标宋_GBK" w:eastAsia="方正小标宋_GBK"/>
          <w:color w:val="auto"/>
          <w:sz w:val="44"/>
          <w:szCs w:val="44"/>
          <w:lang w:val="en-US" w:eastAsia="zh-CN"/>
        </w:rPr>
        <w:br w:type="textWrapping"/>
      </w:r>
      <w:r>
        <w:rPr>
          <w:rFonts w:hint="eastAsia" w:ascii="方正小标宋_GBK" w:eastAsia="方正小标宋_GBK"/>
          <w:color w:val="auto"/>
          <w:sz w:val="44"/>
          <w:szCs w:val="44"/>
          <w:lang w:val="en-US" w:eastAsia="zh-CN"/>
        </w:rPr>
        <w:t>入河排污口的决定书</w:t>
      </w:r>
      <w:r>
        <w:rPr>
          <w:rFonts w:ascii="宋体" w:hAnsi="宋体"/>
          <w:spacing w:val="-4"/>
          <w:szCs w:val="21"/>
        </w:rPr>
        <w:t xml:space="preserve">        </w:t>
      </w:r>
    </w:p>
    <w:p>
      <w:pPr>
        <w:pStyle w:val="2"/>
        <w:adjustRightInd w:val="0"/>
        <w:snapToGrid w:val="0"/>
        <w:spacing w:before="0" w:line="600" w:lineRule="exact"/>
        <w:ind w:left="0" w:leftChars="0" w:right="0" w:firstLine="0" w:firstLineChars="0"/>
        <w:jc w:val="both"/>
        <w:rPr>
          <w:rFonts w:hint="eastAsia" w:ascii="方正仿宋_GBK" w:hAnsi="方正仿宋_GBK" w:eastAsia="方正仿宋_GBK" w:cs="方正仿宋_GBK"/>
          <w:snapToGrid w:val="0"/>
          <w:spacing w:val="0"/>
          <w:kern w:val="21"/>
          <w:sz w:val="32"/>
          <w:szCs w:val="32"/>
          <w:lang w:val="zh-TW" w:eastAsia="zh-TW" w:bidi="ar"/>
        </w:rPr>
      </w:pPr>
      <w:r>
        <w:rPr>
          <w:rFonts w:hint="eastAsia" w:ascii="方正仿宋_GBK" w:hAnsi="方正仿宋_GBK" w:eastAsia="方正仿宋_GBK" w:cs="方正仿宋_GBK"/>
          <w:snapToGrid w:val="0"/>
          <w:spacing w:val="0"/>
          <w:kern w:val="21"/>
          <w:sz w:val="32"/>
          <w:szCs w:val="32"/>
          <w:lang w:val="en-US" w:eastAsia="zh-CN" w:bidi="ar"/>
        </w:rPr>
        <w:t>中稀(湖南)稀土开发有限公司</w:t>
      </w:r>
      <w:r>
        <w:rPr>
          <w:rFonts w:hint="eastAsia" w:ascii="方正仿宋_GBK" w:hAnsi="方正仿宋_GBK" w:eastAsia="方正仿宋_GBK" w:cs="方正仿宋_GBK"/>
          <w:snapToGrid w:val="0"/>
          <w:spacing w:val="0"/>
          <w:kern w:val="21"/>
          <w:sz w:val="32"/>
          <w:szCs w:val="32"/>
          <w:lang w:val="zh-TW" w:eastAsia="zh-TW" w:bidi="ar"/>
        </w:rPr>
        <w:t>：</w:t>
      </w:r>
    </w:p>
    <w:p>
      <w:pPr>
        <w:pStyle w:val="6"/>
        <w:keepNext w:val="0"/>
        <w:keepLines w:val="0"/>
        <w:widowControl w:val="0"/>
        <w:suppressLineNumbers w:val="0"/>
        <w:adjustRightInd w:val="0"/>
        <w:snapToGrid w:val="0"/>
        <w:spacing w:line="600" w:lineRule="exact"/>
        <w:ind w:firstLine="636" w:firstLineChars="200"/>
        <w:jc w:val="both"/>
        <w:rPr>
          <w:rFonts w:hint="eastAsia" w:ascii="方正仿宋_GBK" w:hAnsi="方正仿宋_GBK" w:eastAsia="方正仿宋_GBK" w:cs="方正仿宋_GBK"/>
          <w:spacing w:val="0"/>
          <w:kern w:val="21"/>
          <w:sz w:val="32"/>
          <w:szCs w:val="32"/>
          <w:lang w:val="en-US" w:eastAsia="zh-CN" w:bidi="ar"/>
        </w:rPr>
      </w:pPr>
      <w:r>
        <w:rPr>
          <w:rFonts w:hint="eastAsia" w:ascii="方正仿宋_GBK" w:hAnsi="方正仿宋_GBK" w:eastAsia="方正仿宋_GBK" w:cs="方正仿宋_GBK"/>
          <w:spacing w:val="0"/>
          <w:kern w:val="21"/>
          <w:sz w:val="32"/>
          <w:szCs w:val="32"/>
          <w:lang w:val="en-US" w:eastAsia="zh-CN" w:bidi="ar"/>
        </w:rPr>
        <w:t>你单位于2025年11月12日向我厅提出了中稀(湖南)稀土开发有限公司入河排污口设置申请。我厅已依法于2025年11月14日受理，已开展了技术评估并完成受理公示和拟审批公示。经审查并征求永州市生态环境局等单位意见，根据《中华人民共和国行政许可法》第三十八条第一款、《中华人民共和国长江保护法》第四十七条第三款和《入河排污口监督管理办法》（生态环境部令第35号）第十一条等的规定，同意中稀(湖南)稀土开发有限公司入河排污口设置决定如下：</w:t>
      </w:r>
    </w:p>
    <w:tbl>
      <w:tblPr>
        <w:tblStyle w:val="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331"/>
        <w:gridCol w:w="1101"/>
        <w:gridCol w:w="268"/>
        <w:gridCol w:w="1055"/>
        <w:gridCol w:w="134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382" w:type="dxa"/>
            <w:noWrap w:val="0"/>
            <w:vAlign w:val="center"/>
          </w:tcPr>
          <w:p>
            <w:pPr>
              <w:pStyle w:val="2"/>
              <w:adjustRightInd w:val="0"/>
              <w:snapToGrid w:val="0"/>
              <w:spacing w:before="0" w:line="240" w:lineRule="auto"/>
              <w:ind w:left="0"/>
              <w:jc w:val="center"/>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sz w:val="28"/>
                <w:szCs w:val="28"/>
                <w:lang w:eastAsia="zh-CN"/>
              </w:rPr>
              <w:br w:type="page"/>
            </w:r>
            <w:r>
              <w:rPr>
                <w:rFonts w:hint="eastAsia" w:ascii="方正仿宋_GBK" w:hAnsi="方正仿宋_GBK" w:eastAsia="方正仿宋_GBK" w:cs="方正仿宋_GBK"/>
                <w:kern w:val="2"/>
                <w:sz w:val="28"/>
                <w:szCs w:val="28"/>
                <w:lang w:eastAsia="zh-CN"/>
              </w:rPr>
              <w:t>入河排污口类型</w:t>
            </w:r>
          </w:p>
        </w:tc>
        <w:tc>
          <w:tcPr>
            <w:tcW w:w="6563" w:type="dxa"/>
            <w:gridSpan w:val="6"/>
            <w:noWrap w:val="0"/>
            <w:vAlign w:val="center"/>
          </w:tcPr>
          <w:p>
            <w:pPr>
              <w:widowControl w:val="0"/>
              <w:adjustRightInd w:val="0"/>
              <w:snapToGrid w:val="0"/>
              <w:spacing w:line="240" w:lineRule="auto"/>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2" w:char="0052"/>
            </w:r>
            <w:r>
              <w:rPr>
                <w:rFonts w:hint="eastAsia" w:ascii="方正仿宋_GBK" w:hAnsi="方正仿宋_GBK" w:eastAsia="方正仿宋_GBK" w:cs="方正仿宋_GBK"/>
                <w:sz w:val="28"/>
                <w:szCs w:val="28"/>
              </w:rPr>
              <w:t>工矿企业入河排污口</w:t>
            </w:r>
          </w:p>
          <w:p>
            <w:pPr>
              <w:widowControl w:val="0"/>
              <w:adjustRightInd w:val="0"/>
              <w:snapToGrid w:val="0"/>
              <w:spacing w:line="240" w:lineRule="auto"/>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2" w:char="00A3"/>
            </w:r>
            <w:r>
              <w:rPr>
                <w:rFonts w:hint="eastAsia" w:ascii="方正仿宋_GBK" w:hAnsi="方正仿宋_GBK" w:eastAsia="方正仿宋_GBK" w:cs="方正仿宋_GBK"/>
                <w:sz w:val="28"/>
                <w:szCs w:val="28"/>
              </w:rPr>
              <w:t>工业及其他各类园区污水处理厂入河排污口</w:t>
            </w:r>
          </w:p>
          <w:p>
            <w:pPr>
              <w:widowControl w:val="0"/>
              <w:adjustRightInd w:val="0"/>
              <w:snapToGrid w:val="0"/>
              <w:spacing w:line="240" w:lineRule="auto"/>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2" w:char="00A3"/>
            </w:r>
            <w:r>
              <w:rPr>
                <w:rFonts w:hint="eastAsia" w:ascii="方正仿宋_GBK" w:hAnsi="方正仿宋_GBK" w:eastAsia="方正仿宋_GBK" w:cs="方正仿宋_GBK"/>
                <w:sz w:val="28"/>
                <w:szCs w:val="28"/>
              </w:rPr>
              <w:t>城镇污水处理厂入河排污口</w:t>
            </w:r>
          </w:p>
          <w:p>
            <w:pPr>
              <w:widowControl w:val="0"/>
              <w:adjustRightInd w:val="0"/>
              <w:snapToGrid w:val="0"/>
              <w:spacing w:line="240" w:lineRule="auto"/>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2" w:char="00A3"/>
            </w:r>
            <w:r>
              <w:rPr>
                <w:rFonts w:hint="eastAsia" w:ascii="方正仿宋_GBK" w:hAnsi="方正仿宋_GBK" w:eastAsia="方正仿宋_GBK" w:cs="方正仿宋_GBK"/>
                <w:sz w:val="28"/>
                <w:szCs w:val="28"/>
              </w:rPr>
              <w:t>其他参照上述管理的入河排污口_______________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入河排污口名称</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中稀(湖南)稀土开发有限公司入河排污口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入河排污口编码</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FF4311290038GY00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设置类型</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2" w:char="00A3"/>
            </w:r>
            <w:r>
              <w:rPr>
                <w:rFonts w:hint="eastAsia" w:ascii="方正仿宋_GBK" w:hAnsi="方正仿宋_GBK" w:eastAsia="方正仿宋_GBK" w:cs="方正仿宋_GBK"/>
                <w:sz w:val="28"/>
                <w:szCs w:val="28"/>
              </w:rPr>
              <w:t xml:space="preserve">新设  </w:t>
            </w:r>
            <w:r>
              <w:rPr>
                <w:rFonts w:hint="eastAsia" w:ascii="方正仿宋_GBK" w:hAnsi="方正仿宋_GBK" w:eastAsia="方正仿宋_GBK" w:cs="方正仿宋_GBK"/>
                <w:sz w:val="28"/>
                <w:szCs w:val="28"/>
              </w:rPr>
              <w:sym w:font="Wingdings 2" w:char="0052"/>
            </w:r>
            <w:r>
              <w:rPr>
                <w:rFonts w:hint="eastAsia" w:ascii="方正仿宋_GBK" w:hAnsi="方正仿宋_GBK" w:eastAsia="方正仿宋_GBK" w:cs="方正仿宋_GBK"/>
                <w:sz w:val="28"/>
                <w:szCs w:val="28"/>
              </w:rPr>
              <w:t xml:space="preserve">改设  </w:t>
            </w:r>
            <w:r>
              <w:rPr>
                <w:rFonts w:hint="eastAsia" w:ascii="方正仿宋_GBK" w:hAnsi="方正仿宋_GBK" w:eastAsia="方正仿宋_GBK" w:cs="方正仿宋_GBK"/>
                <w:sz w:val="28"/>
                <w:szCs w:val="28"/>
              </w:rPr>
              <w:sym w:font="Wingdings 2" w:char="0052"/>
            </w:r>
            <w:r>
              <w:rPr>
                <w:rFonts w:hint="eastAsia" w:ascii="方正仿宋_GBK" w:hAnsi="方正仿宋_GBK" w:eastAsia="方正仿宋_GBK" w:cs="方正仿宋_GBK"/>
                <w:sz w:val="28"/>
                <w:szCs w:val="28"/>
              </w:rPr>
              <w:t>扩大</w:t>
            </w:r>
            <w:r>
              <w:rPr>
                <w:rFonts w:hint="eastAsia" w:ascii="方正仿宋_GBK" w:hAnsi="方正仿宋_GBK" w:eastAsia="方正仿宋_GBK" w:cs="方正仿宋_GBK"/>
                <w:sz w:val="28"/>
                <w:szCs w:val="28"/>
                <w:lang w:val="en"/>
              </w:rPr>
              <w:t xml:space="preserve"> </w:t>
            </w:r>
            <w:r>
              <w:rPr>
                <w:rFonts w:hint="eastAsia" w:ascii="方正仿宋_GBK" w:hAnsi="方正仿宋_GBK" w:eastAsia="方正仿宋_GBK" w:cs="方正仿宋_GBK"/>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noWrap w:val="0"/>
            <w:vAlign w:val="center"/>
          </w:tcPr>
          <w:p>
            <w:pPr>
              <w:widowControl w:val="0"/>
              <w:adjustRightInd w:val="0"/>
              <w:snapToGrid w:val="0"/>
              <w:spacing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noWrap w:val="0"/>
            <w:vAlign w:val="center"/>
          </w:tcPr>
          <w:p>
            <w:pPr>
              <w:widowControl w:val="0"/>
              <w:adjustRightInd w:val="0"/>
              <w:snapToGrid w:val="0"/>
              <w:spacing w:line="24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责任主体名</w:t>
            </w:r>
            <w:r>
              <w:rPr>
                <w:rFonts w:hint="eastAsia" w:ascii="方正仿宋_GBK" w:hAnsi="方正仿宋_GBK" w:eastAsia="方正仿宋_GBK" w:cs="方正仿宋_GBK"/>
                <w:sz w:val="28"/>
                <w:szCs w:val="28"/>
              </w:rPr>
              <w:t>称：</w:t>
            </w:r>
            <w:r>
              <w:rPr>
                <w:rFonts w:hint="eastAsia" w:ascii="方正仿宋_GBK" w:hAnsi="方正仿宋_GBK" w:eastAsia="方正仿宋_GBK" w:cs="方正仿宋_GBK"/>
                <w:sz w:val="28"/>
                <w:szCs w:val="28"/>
                <w:u w:val="none"/>
                <w:lang w:val="en-US" w:eastAsia="zh-CN"/>
              </w:rPr>
              <w:t>中稀(湖南)稀土开发有限公司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详细地址</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u w:val="none"/>
                <w:lang w:val="en-US" w:eastAsia="zh-CN"/>
              </w:rPr>
              <w:t>湖南省永州市江华瑶族自治县河路口镇牛路村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统一社会信用代码</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91431129559527663Q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法定代表人及</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联系电话</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姓名:梅毅</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联系电话:0746-2563957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行业类别</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auto"/>
                <w:sz w:val="28"/>
                <w:szCs w:val="28"/>
                <w:u w:val="none" w:color="auto"/>
                <w:lang w:val="en-US" w:eastAsia="zh-CN"/>
              </w:rPr>
              <w:t>B0932 稀土金属矿采选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排污许可证或排污登记编号</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auto"/>
                <w:sz w:val="28"/>
                <w:szCs w:val="28"/>
                <w:u w:val="none" w:color="auto"/>
                <w:lang w:val="en-US" w:eastAsia="zh-CN"/>
              </w:rPr>
              <w:t>91431129559527663Q001X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382" w:type="dxa"/>
            <w:vMerge w:val="restart"/>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入河排污口</w:t>
            </w:r>
          </w:p>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设置地点</w:t>
            </w:r>
          </w:p>
        </w:tc>
        <w:tc>
          <w:tcPr>
            <w:tcW w:w="6563" w:type="dxa"/>
            <w:gridSpan w:val="6"/>
            <w:noWrap w:val="0"/>
            <w:vAlign w:val="center"/>
          </w:tcPr>
          <w:p>
            <w:pPr>
              <w:widowControl w:val="0"/>
              <w:adjustRightInd w:val="0"/>
              <w:snapToGrid w:val="0"/>
              <w:spacing w:line="240" w:lineRule="auto"/>
              <w:ind w:left="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所在行政区域：</w:t>
            </w:r>
            <w:r>
              <w:rPr>
                <w:rFonts w:hint="eastAsia" w:ascii="方正仿宋_GBK" w:hAnsi="方正仿宋_GBK" w:eastAsia="方正仿宋_GBK" w:cs="方正仿宋_GBK"/>
                <w:sz w:val="28"/>
                <w:szCs w:val="28"/>
                <w:u w:val="none"/>
                <w:lang w:val="en-US" w:eastAsia="zh-CN"/>
              </w:rPr>
              <w:t>湖南省永州市江华瑶族自治县河路口镇牛路村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82" w:type="dxa"/>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排入水体名称：</w:t>
            </w:r>
            <w:r>
              <w:rPr>
                <w:rFonts w:hint="eastAsia" w:ascii="方正仿宋_GBK" w:hAnsi="方正仿宋_GBK" w:eastAsia="方正仿宋_GBK" w:cs="方正仿宋_GBK"/>
                <w:sz w:val="28"/>
                <w:szCs w:val="28"/>
                <w:lang w:val="en-US" w:eastAsia="zh-CN"/>
              </w:rPr>
              <w:t>扎头源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82" w:type="dxa"/>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所在流域：</w:t>
            </w:r>
            <w:r>
              <w:rPr>
                <w:rFonts w:hint="eastAsia" w:ascii="方正仿宋_GBK" w:hAnsi="方正仿宋_GBK" w:eastAsia="方正仿宋_GBK" w:cs="方正仿宋_GBK"/>
                <w:sz w:val="28"/>
                <w:szCs w:val="28"/>
                <w:lang w:val="en-US" w:eastAsia="zh-CN"/>
              </w:rPr>
              <w:t>长江流域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382" w:type="dxa"/>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经度:111.518347</w:t>
            </w:r>
          </w:p>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纬度:24.742500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污水排放方式</w:t>
            </w:r>
          </w:p>
        </w:tc>
        <w:tc>
          <w:tcPr>
            <w:tcW w:w="1331" w:type="dxa"/>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 xml:space="preserve">连续 </w:t>
            </w:r>
          </w:p>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52"/>
            </w:r>
            <w:r>
              <w:rPr>
                <w:rFonts w:hint="eastAsia" w:ascii="方正仿宋_GBK" w:hAnsi="方正仿宋_GBK" w:eastAsia="方正仿宋_GBK" w:cs="方正仿宋_GBK"/>
                <w:color w:val="auto"/>
                <w:sz w:val="28"/>
                <w:szCs w:val="28"/>
              </w:rPr>
              <w:t>间歇</w:t>
            </w:r>
          </w:p>
        </w:tc>
        <w:tc>
          <w:tcPr>
            <w:tcW w:w="1101" w:type="dxa"/>
            <w:vMerge w:val="restart"/>
            <w:noWrap w:val="0"/>
            <w:vAlign w:val="center"/>
          </w:tcPr>
          <w:p>
            <w:pPr>
              <w:widowControl w:val="0"/>
              <w:adjustRightInd w:val="0"/>
              <w:snapToGrid w:val="0"/>
              <w:spacing w:line="240" w:lineRule="auto"/>
              <w:ind w:right="0" w:right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入河</w:t>
            </w:r>
          </w:p>
          <w:p>
            <w:pPr>
              <w:widowControl w:val="0"/>
              <w:adjustRightInd w:val="0"/>
              <w:snapToGrid w:val="0"/>
              <w:spacing w:line="240" w:lineRule="auto"/>
              <w:ind w:right="0" w:right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方式</w:t>
            </w:r>
          </w:p>
        </w:tc>
        <w:tc>
          <w:tcPr>
            <w:tcW w:w="4131" w:type="dxa"/>
            <w:gridSpan w:val="4"/>
            <w:vMerge w:val="restart"/>
            <w:noWrap w:val="0"/>
            <w:vAlign w:val="center"/>
          </w:tcPr>
          <w:p>
            <w:pPr>
              <w:adjustRightInd w:val="0"/>
              <w:snapToGrid w:val="0"/>
              <w:spacing w:line="240" w:lineRule="auto"/>
              <w:ind w:firstLine="417"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 xml:space="preserve">明渠  </w:t>
            </w:r>
            <w:r>
              <w:rPr>
                <w:rFonts w:hint="eastAsia" w:ascii="方正仿宋_GBK" w:hAnsi="方正仿宋_GBK" w:eastAsia="方正仿宋_GBK" w:cs="方正仿宋_GBK"/>
                <w:color w:val="auto"/>
                <w:sz w:val="28"/>
                <w:szCs w:val="28"/>
              </w:rPr>
              <w:sym w:font="Wingdings 2" w:char="0052"/>
            </w:r>
            <w:r>
              <w:rPr>
                <w:rFonts w:hint="eastAsia" w:ascii="方正仿宋_GBK" w:hAnsi="方正仿宋_GBK" w:eastAsia="方正仿宋_GBK" w:cs="方正仿宋_GBK"/>
                <w:color w:val="auto"/>
                <w:sz w:val="28"/>
                <w:szCs w:val="28"/>
              </w:rPr>
              <w:t>管道</w:t>
            </w:r>
          </w:p>
          <w:p>
            <w:pPr>
              <w:adjustRightInd w:val="0"/>
              <w:snapToGrid w:val="0"/>
              <w:spacing w:line="240" w:lineRule="auto"/>
              <w:ind w:firstLine="417"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 xml:space="preserve">泵站  </w:t>
            </w: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涵闸</w:t>
            </w:r>
          </w:p>
          <w:p>
            <w:pPr>
              <w:widowControl w:val="0"/>
              <w:adjustRightInd w:val="0"/>
              <w:snapToGrid w:val="0"/>
              <w:spacing w:line="240" w:lineRule="auto"/>
              <w:ind w:firstLine="417"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 xml:space="preserve">箱涵  </w:t>
            </w: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是否共用</w:t>
            </w:r>
          </w:p>
        </w:tc>
        <w:tc>
          <w:tcPr>
            <w:tcW w:w="1331" w:type="dxa"/>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是</w:t>
            </w:r>
          </w:p>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52"/>
            </w:r>
            <w:r>
              <w:rPr>
                <w:rFonts w:hint="eastAsia" w:ascii="方正仿宋_GBK" w:hAnsi="方正仿宋_GBK" w:eastAsia="方正仿宋_GBK" w:cs="方正仿宋_GBK"/>
                <w:color w:val="auto"/>
                <w:sz w:val="28"/>
                <w:szCs w:val="28"/>
              </w:rPr>
              <w:t>否</w:t>
            </w:r>
          </w:p>
        </w:tc>
        <w:tc>
          <w:tcPr>
            <w:tcW w:w="1101" w:type="dxa"/>
            <w:vMerge w:val="continue"/>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p>
        </w:tc>
        <w:tc>
          <w:tcPr>
            <w:tcW w:w="4131" w:type="dxa"/>
            <w:gridSpan w:val="4"/>
            <w:vMerge w:val="continue"/>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382" w:type="dxa"/>
            <w:vMerge w:val="restart"/>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入河排污口截面信息</w:t>
            </w:r>
          </w:p>
        </w:tc>
        <w:tc>
          <w:tcPr>
            <w:tcW w:w="6563" w:type="dxa"/>
            <w:gridSpan w:val="6"/>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52"/>
            </w:r>
            <w:r>
              <w:rPr>
                <w:rFonts w:hint="eastAsia" w:ascii="方正仿宋_GBK" w:hAnsi="方正仿宋_GBK" w:eastAsia="方正仿宋_GBK" w:cs="方正仿宋_GBK"/>
                <w:color w:val="auto"/>
                <w:sz w:val="28"/>
                <w:szCs w:val="28"/>
              </w:rPr>
              <w:t>圆形截面：</w:t>
            </w:r>
            <w:r>
              <w:rPr>
                <w:rFonts w:hint="eastAsia" w:ascii="方正仿宋_GBK" w:hAnsi="方正仿宋_GBK" w:eastAsia="方正仿宋_GBK" w:cs="方正仿宋_GBK"/>
                <w:sz w:val="28"/>
                <w:szCs w:val="28"/>
              </w:rPr>
              <w:t>d=</w:t>
            </w:r>
            <w:r>
              <w:rPr>
                <w:rFonts w:hint="eastAsia" w:ascii="方正仿宋_GBK" w:hAnsi="方正仿宋_GBK" w:eastAsia="方正仿宋_GBK" w:cs="方正仿宋_GBK"/>
                <w:sz w:val="28"/>
                <w:szCs w:val="28"/>
                <w:lang w:val="en-US" w:eastAsia="zh-CN"/>
              </w:rPr>
              <w:t>0.6</w:t>
            </w:r>
            <w:r>
              <w:rPr>
                <w:rFonts w:hint="eastAsia" w:ascii="方正仿宋_GBK" w:hAnsi="方正仿宋_GBK" w:eastAsia="方正仿宋_GBK" w:cs="方正仿宋_GBK"/>
                <w:sz w:val="28"/>
                <w:szCs w:val="28"/>
              </w:rPr>
              <w:t>m，S=</w:t>
            </w:r>
            <w:r>
              <w:rPr>
                <w:rFonts w:hint="eastAsia" w:ascii="方正仿宋_GBK" w:hAnsi="方正仿宋_GBK" w:eastAsia="方正仿宋_GBK" w:cs="方正仿宋_GBK"/>
                <w:sz w:val="28"/>
                <w:szCs w:val="28"/>
                <w:lang w:val="en-US" w:eastAsia="zh-CN"/>
              </w:rPr>
              <w:t>0.2827</w:t>
            </w:r>
            <w:r>
              <w:rPr>
                <w:rFonts w:hint="eastAsia" w:ascii="方正仿宋_GBK" w:hAnsi="方正仿宋_GBK" w:eastAsia="方正仿宋_GBK" w:cs="方正仿宋_GBK"/>
                <w:sz w:val="28"/>
                <w:szCs w:val="28"/>
              </w:rPr>
              <w:t>m</w:t>
            </w:r>
            <w:r>
              <w:rPr>
                <w:rFonts w:hint="eastAsia" w:ascii="方正仿宋_GBK" w:hAnsi="方正仿宋_GBK" w:eastAsia="方正仿宋_GBK" w:cs="方正仿宋_GBK"/>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382" w:type="dxa"/>
            <w:vMerge w:val="continue"/>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p>
        </w:tc>
        <w:tc>
          <w:tcPr>
            <w:tcW w:w="6563" w:type="dxa"/>
            <w:gridSpan w:val="6"/>
            <w:noWrap w:val="0"/>
            <w:vAlign w:val="center"/>
          </w:tcPr>
          <w:p>
            <w:pPr>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方形截面：L×B=   m×  m，S=   m</w:t>
            </w:r>
            <w:r>
              <w:rPr>
                <w:rFonts w:hint="eastAsia" w:ascii="方正仿宋_GBK" w:hAnsi="方正仿宋_GBK" w:eastAsia="方正仿宋_GBK" w:cs="方正仿宋_GBK"/>
                <w:color w:val="auto"/>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382" w:type="dxa"/>
            <w:vMerge w:val="continue"/>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p>
        </w:tc>
        <w:tc>
          <w:tcPr>
            <w:tcW w:w="6563" w:type="dxa"/>
            <w:gridSpan w:val="6"/>
            <w:noWrap w:val="0"/>
            <w:vAlign w:val="center"/>
          </w:tcPr>
          <w:p>
            <w:pPr>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sym w:font="Wingdings 2" w:char="00A3"/>
            </w:r>
            <w:r>
              <w:rPr>
                <w:rFonts w:hint="eastAsia" w:ascii="方正仿宋_GBK" w:hAnsi="方正仿宋_GBK" w:eastAsia="方正仿宋_GBK" w:cs="方正仿宋_GBK"/>
                <w:color w:val="auto"/>
                <w:sz w:val="28"/>
                <w:szCs w:val="28"/>
              </w:rPr>
              <w:t>其他形状截面：S=    m</w:t>
            </w:r>
            <w:r>
              <w:rPr>
                <w:rFonts w:hint="eastAsia" w:ascii="方正仿宋_GBK" w:hAnsi="方正仿宋_GBK" w:eastAsia="方正仿宋_GBK" w:cs="方正仿宋_GBK"/>
                <w:color w:val="auto"/>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noWrap w:val="0"/>
            <w:vAlign w:val="center"/>
          </w:tcPr>
          <w:p>
            <w:pPr>
              <w:widowControl w:val="0"/>
              <w:wordWrap w:val="0"/>
              <w:adjustRightInd w:val="0"/>
              <w:snapToGrid w:val="0"/>
              <w:spacing w:line="360" w:lineRule="exact"/>
              <w:ind w:left="0" w:firstLine="0" w:firstLineChars="0"/>
              <w:jc w:val="left"/>
              <w:rPr>
                <w:rFonts w:hint="eastAsia" w:ascii="方正仿宋_GBK" w:hAnsi="方正仿宋_GBK" w:eastAsia="方正仿宋_GBK" w:cs="方正仿宋_GBK"/>
                <w:sz w:val="28"/>
                <w:szCs w:val="28"/>
                <w:lang w:val="en" w:eastAsia="zh-CN"/>
              </w:rPr>
            </w:pPr>
            <w:r>
              <w:rPr>
                <w:rFonts w:hint="eastAsia" w:ascii="方正仿宋_GBK" w:hAnsi="方正仿宋_GBK" w:eastAsia="方正仿宋_GBK" w:cs="方正仿宋_GBK"/>
                <w:sz w:val="28"/>
                <w:szCs w:val="28"/>
              </w:rPr>
              <w:t>入河排污口污水排放量，入河排污口重点污染物排放种类、排放浓度和排放量</w:t>
            </w:r>
            <w:r>
              <w:rPr>
                <w:rFonts w:hint="eastAsia" w:ascii="方正仿宋_GBK" w:hAnsi="方正仿宋_GBK" w:eastAsia="方正仿宋_GBK" w:cs="方正仿宋_GBK"/>
                <w:sz w:val="28"/>
                <w:szCs w:val="28"/>
                <w:lang w:val="en"/>
              </w:rPr>
              <w:t xml:space="preserve">: </w:t>
            </w:r>
            <w:r>
              <w:rPr>
                <w:rFonts w:hint="eastAsia" w:ascii="方正仿宋_GBK" w:hAnsi="方正仿宋_GBK" w:eastAsia="方正仿宋_GBK" w:cs="方正仿宋_GBK"/>
                <w:sz w:val="28"/>
                <w:szCs w:val="28"/>
                <w:lang w:val="en" w:eastAsia="zh-CN"/>
              </w:rPr>
              <w:t>执行江西省《离子型稀土矿山开采污染物排放标准》(DB361016-2018)中一级排放标准及《稀土工业污染物排放标准》(GB26451-2011)表 3 水污染物特别排放限值中的较严值，应确保扎头源水质满足《农田灌溉水质标准》(GB5084-2021)要求，扎头源汇入西河混合过程段下游的监管断面满足《地表水环境质量标准》（GB3838-2002）Ⅲ类标准要求，总硬度、硫酸盐和溶解性总固体满足《生活饮用水卫生标准》（GB5749-2022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82" w:type="dxa"/>
            <w:vMerge w:val="restart"/>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污染物种类</w:t>
            </w:r>
          </w:p>
        </w:tc>
        <w:tc>
          <w:tcPr>
            <w:tcW w:w="1331" w:type="dxa"/>
            <w:vMerge w:val="restart"/>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排放浓度（mg/L）</w:t>
            </w:r>
          </w:p>
        </w:tc>
        <w:tc>
          <w:tcPr>
            <w:tcW w:w="2424" w:type="dxa"/>
            <w:gridSpan w:val="3"/>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全年</w:t>
            </w:r>
          </w:p>
        </w:tc>
        <w:tc>
          <w:tcPr>
            <w:tcW w:w="2808" w:type="dxa"/>
            <w:gridSpan w:val="2"/>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特殊时段（</w:t>
            </w:r>
            <w:r>
              <w:rPr>
                <w:rFonts w:hint="eastAsia" w:ascii="方正仿宋_GBK" w:hAnsi="方正仿宋_GBK" w:eastAsia="方正仿宋_GBK" w:cs="方正仿宋_GBK"/>
                <w:color w:val="auto"/>
                <w:sz w:val="28"/>
                <w:szCs w:val="28"/>
                <w:u w:val="single"/>
                <w:lang w:val="en-US" w:eastAsia="zh-CN"/>
              </w:rPr>
              <w:t>10</w:t>
            </w:r>
            <w:r>
              <w:rPr>
                <w:rFonts w:hint="eastAsia" w:ascii="方正仿宋_GBK" w:hAnsi="方正仿宋_GBK" w:eastAsia="方正仿宋_GBK" w:cs="方正仿宋_GBK"/>
                <w:color w:val="auto"/>
                <w:sz w:val="28"/>
                <w:szCs w:val="28"/>
              </w:rPr>
              <w:t>月至</w:t>
            </w:r>
            <w:r>
              <w:rPr>
                <w:rFonts w:hint="eastAsia" w:ascii="方正仿宋_GBK" w:hAnsi="方正仿宋_GBK" w:eastAsia="方正仿宋_GBK" w:cs="方正仿宋_GBK"/>
                <w:color w:val="auto"/>
                <w:sz w:val="28"/>
                <w:szCs w:val="28"/>
                <w:u w:val="single"/>
                <w:lang w:val="en-US" w:eastAsia="zh-CN"/>
              </w:rPr>
              <w:t>次年3</w:t>
            </w:r>
            <w:r>
              <w:rPr>
                <w:rFonts w:hint="eastAsia" w:ascii="方正仿宋_GBK" w:hAnsi="方正仿宋_GBK" w:eastAsia="方正仿宋_GBK" w:cs="方正仿宋_GBK"/>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382" w:type="dxa"/>
            <w:vMerge w:val="continue"/>
            <w:noWrap w:val="0"/>
            <w:vAlign w:val="center"/>
          </w:tcPr>
          <w:p>
            <w:pPr>
              <w:adjustRightInd w:val="0"/>
              <w:snapToGrid w:val="0"/>
              <w:spacing w:line="240" w:lineRule="auto"/>
              <w:rPr>
                <w:rFonts w:hint="eastAsia" w:ascii="方正仿宋_GBK" w:hAnsi="方正仿宋_GBK" w:eastAsia="方正仿宋_GBK" w:cs="方正仿宋_GBK"/>
                <w:color w:val="auto"/>
                <w:sz w:val="28"/>
                <w:szCs w:val="28"/>
              </w:rPr>
            </w:pPr>
          </w:p>
        </w:tc>
        <w:tc>
          <w:tcPr>
            <w:tcW w:w="1331" w:type="dxa"/>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1369" w:type="dxa"/>
            <w:gridSpan w:val="2"/>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污水</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排放量</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（万t/a）</w:t>
            </w:r>
          </w:p>
        </w:tc>
        <w:tc>
          <w:tcPr>
            <w:tcW w:w="105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污染物排放量（t/a）</w:t>
            </w:r>
          </w:p>
        </w:tc>
        <w:tc>
          <w:tcPr>
            <w:tcW w:w="1343"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污水日</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color w:val="auto"/>
                <w:sz w:val="28"/>
                <w:szCs w:val="28"/>
              </w:rPr>
              <w:t>排放量（t/d）</w:t>
            </w:r>
          </w:p>
        </w:tc>
        <w:tc>
          <w:tcPr>
            <w:tcW w:w="1465" w:type="dxa"/>
            <w:noWrap w:val="0"/>
            <w:vAlign w:val="center"/>
          </w:tcPr>
          <w:p>
            <w:pPr>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污染物日排放量（t/d）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noWrap w:val="0"/>
            <w:vAlign w:val="center"/>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入河排污口合计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COD</w:t>
            </w:r>
          </w:p>
        </w:tc>
        <w:tc>
          <w:tcPr>
            <w:tcW w:w="1331"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14</w:t>
            </w:r>
          </w:p>
        </w:tc>
        <w:tc>
          <w:tcPr>
            <w:tcW w:w="1369" w:type="dxa"/>
            <w:gridSpan w:val="2"/>
            <w:vMerge w:val="restart"/>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392.4</w:t>
            </w:r>
          </w:p>
        </w:tc>
        <w:tc>
          <w:tcPr>
            <w:tcW w:w="105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54.94</w:t>
            </w:r>
          </w:p>
        </w:tc>
        <w:tc>
          <w:tcPr>
            <w:tcW w:w="1343" w:type="dxa"/>
            <w:vMerge w:val="restart"/>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val="en-US" w:eastAsia="zh-CN"/>
              </w:rPr>
              <w:t>不排放</w:t>
            </w:r>
          </w:p>
        </w:tc>
        <w:tc>
          <w:tcPr>
            <w:tcW w:w="146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NH</w:t>
            </w:r>
            <w:r>
              <w:rPr>
                <w:rFonts w:hint="eastAsia" w:ascii="方正仿宋_GBK" w:hAnsi="方正仿宋_GBK" w:eastAsia="方正仿宋_GBK" w:cs="方正仿宋_GBK"/>
                <w:sz w:val="28"/>
                <w:szCs w:val="28"/>
                <w:vertAlign w:val="subscript"/>
              </w:rPr>
              <w:t>3</w:t>
            </w:r>
            <w:r>
              <w:rPr>
                <w:rFonts w:hint="eastAsia" w:ascii="方正仿宋_GBK" w:hAnsi="方正仿宋_GBK" w:eastAsia="方正仿宋_GBK" w:cs="方正仿宋_GBK"/>
                <w:sz w:val="28"/>
                <w:szCs w:val="28"/>
              </w:rPr>
              <w:t>-N</w:t>
            </w:r>
          </w:p>
        </w:tc>
        <w:tc>
          <w:tcPr>
            <w:tcW w:w="1331"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8</w:t>
            </w:r>
          </w:p>
        </w:tc>
        <w:tc>
          <w:tcPr>
            <w:tcW w:w="1369" w:type="dxa"/>
            <w:gridSpan w:val="2"/>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105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31.39</w:t>
            </w:r>
          </w:p>
        </w:tc>
        <w:tc>
          <w:tcPr>
            <w:tcW w:w="1343" w:type="dxa"/>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146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82"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sz w:val="28"/>
                <w:szCs w:val="28"/>
                <w:lang w:eastAsia="zh-CN"/>
              </w:rPr>
              <w:t>硫酸盐</w:t>
            </w:r>
          </w:p>
        </w:tc>
        <w:tc>
          <w:tcPr>
            <w:tcW w:w="1331"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155</w:t>
            </w:r>
          </w:p>
        </w:tc>
        <w:tc>
          <w:tcPr>
            <w:tcW w:w="1369" w:type="dxa"/>
            <w:gridSpan w:val="2"/>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105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608.22</w:t>
            </w:r>
          </w:p>
        </w:tc>
        <w:tc>
          <w:tcPr>
            <w:tcW w:w="1343" w:type="dxa"/>
            <w:vMerge w:val="continue"/>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rPr>
            </w:pPr>
          </w:p>
        </w:tc>
        <w:tc>
          <w:tcPr>
            <w:tcW w:w="1465" w:type="dxa"/>
            <w:noWrap w:val="0"/>
            <w:vAlign w:val="center"/>
          </w:tcPr>
          <w:p>
            <w:pPr>
              <w:widowControl w:val="0"/>
              <w:adjustRightInd w:val="0"/>
              <w:snapToGrid w:val="0"/>
              <w:spacing w:line="24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noWrap w:val="0"/>
            <w:vAlign w:val="top"/>
          </w:tcPr>
          <w:p>
            <w:pPr>
              <w:widowControl w:val="0"/>
              <w:adjustRightInd w:val="0"/>
              <w:snapToGrid w:val="0"/>
              <w:spacing w:line="24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信息公开要求：</w:t>
            </w:r>
          </w:p>
          <w:p>
            <w:pPr>
              <w:pStyle w:val="2"/>
              <w:widowControl w:val="0"/>
              <w:adjustRightInd w:val="0"/>
              <w:snapToGrid w:val="0"/>
              <w:spacing w:line="240" w:lineRule="auto"/>
              <w:ind w:left="0" w:firstLine="556" w:firstLineChars="200"/>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2"/>
                <w:sz w:val="28"/>
                <w:szCs w:val="28"/>
                <w:lang w:eastAsia="zh-CN"/>
              </w:rPr>
              <w:t>根据《入河排污口监督管理办法》以及HJ1386标准要求，该入河排污口的</w:t>
            </w:r>
            <w:r>
              <w:rPr>
                <w:rFonts w:hint="eastAsia" w:ascii="方正仿宋_GBK" w:hAnsi="方正仿宋_GBK" w:eastAsia="方正仿宋_GBK" w:cs="方正仿宋_GBK"/>
                <w:color w:val="auto"/>
                <w:kern w:val="2"/>
                <w:sz w:val="28"/>
                <w:szCs w:val="28"/>
                <w:u w:val="none"/>
                <w:lang w:val="en-US" w:eastAsia="zh-CN"/>
              </w:rPr>
              <w:t>名称、</w:t>
            </w:r>
            <w:r>
              <w:rPr>
                <w:rFonts w:hint="eastAsia" w:ascii="方正仿宋_GBK" w:hAnsi="方正仿宋_GBK" w:eastAsia="方正仿宋_GBK" w:cs="方正仿宋_GBK"/>
                <w:color w:val="auto"/>
                <w:kern w:val="2"/>
                <w:sz w:val="28"/>
                <w:szCs w:val="28"/>
                <w:u w:val="none"/>
                <w:lang w:eastAsia="zh-CN"/>
              </w:rPr>
              <w:t>编码、</w:t>
            </w:r>
            <w:r>
              <w:rPr>
                <w:rFonts w:hint="eastAsia" w:ascii="方正仿宋_GBK" w:hAnsi="方正仿宋_GBK" w:eastAsia="方正仿宋_GBK" w:cs="方正仿宋_GBK"/>
                <w:color w:val="auto"/>
                <w:kern w:val="2"/>
                <w:sz w:val="28"/>
                <w:szCs w:val="28"/>
                <w:u w:val="none"/>
                <w:lang w:val="en-US" w:eastAsia="zh-CN"/>
              </w:rPr>
              <w:t>类型、经纬度、责任主体及详细地址、排放方式、排放要求、受纳水体名称、管理单位和监督电话</w:t>
            </w:r>
            <w:r>
              <w:rPr>
                <w:rFonts w:hint="eastAsia" w:ascii="方正仿宋_GBK" w:hAnsi="方正仿宋_GBK" w:eastAsia="方正仿宋_GBK" w:cs="方正仿宋_GBK"/>
                <w:color w:val="auto"/>
                <w:kern w:val="2"/>
                <w:sz w:val="28"/>
                <w:szCs w:val="28"/>
                <w:lang w:eastAsia="zh-CN"/>
              </w:rPr>
              <w:t>等信息应以</w:t>
            </w:r>
            <w:r>
              <w:rPr>
                <w:rFonts w:hint="eastAsia" w:ascii="方正仿宋_GBK" w:hAnsi="方正仿宋_GBK" w:eastAsia="方正仿宋_GBK" w:cs="方正仿宋_GBK"/>
                <w:color w:val="auto"/>
                <w:kern w:val="2"/>
                <w:sz w:val="28"/>
                <w:szCs w:val="28"/>
                <w:lang w:eastAsia="zh-CN"/>
              </w:rPr>
              <w:sym w:font="Wingdings 2" w:char="0052"/>
            </w:r>
            <w:r>
              <w:rPr>
                <w:rFonts w:hint="eastAsia" w:ascii="方正仿宋_GBK" w:hAnsi="方正仿宋_GBK" w:eastAsia="方正仿宋_GBK" w:cs="方正仿宋_GBK"/>
                <w:color w:val="auto"/>
                <w:kern w:val="2"/>
                <w:sz w:val="28"/>
                <w:szCs w:val="28"/>
                <w:lang w:eastAsia="zh-CN"/>
              </w:rPr>
              <w:t>标识牌</w:t>
            </w:r>
            <w:r>
              <w:rPr>
                <w:rFonts w:hint="eastAsia" w:ascii="方正仿宋_GBK" w:hAnsi="方正仿宋_GBK" w:eastAsia="方正仿宋_GBK" w:cs="方正仿宋_GBK"/>
                <w:color w:val="auto"/>
                <w:kern w:val="2"/>
                <w:sz w:val="28"/>
                <w:szCs w:val="28"/>
                <w:lang w:eastAsia="zh-CN"/>
              </w:rPr>
              <w:sym w:font="Wingdings 2" w:char="0052"/>
            </w:r>
            <w:r>
              <w:rPr>
                <w:rFonts w:hint="eastAsia" w:ascii="方正仿宋_GBK" w:hAnsi="方正仿宋_GBK" w:eastAsia="方正仿宋_GBK" w:cs="方正仿宋_GBK"/>
                <w:color w:val="auto"/>
                <w:kern w:val="2"/>
                <w:sz w:val="28"/>
                <w:szCs w:val="28"/>
                <w:lang w:eastAsia="zh-CN"/>
              </w:rPr>
              <w:t>二维码等方式在入河排污口处信息公开。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noWrap w:val="0"/>
            <w:vAlign w:val="center"/>
          </w:tcPr>
          <w:p>
            <w:pPr>
              <w:widowControl w:val="0"/>
              <w:adjustRightInd w:val="0"/>
              <w:snapToGrid w:val="0"/>
              <w:spacing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水污染事故应急处理预案以及环境风险防范措施：</w:t>
            </w:r>
          </w:p>
          <w:p>
            <w:pPr>
              <w:pStyle w:val="6"/>
              <w:keepNext w:val="0"/>
              <w:keepLines w:val="0"/>
              <w:widowControl w:val="0"/>
              <w:suppressLineNumbers w:val="0"/>
              <w:adjustRightInd w:val="0"/>
              <w:snapToGrid w:val="0"/>
              <w:ind w:firstLine="556"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kern w:val="2"/>
                <w:sz w:val="28"/>
                <w:szCs w:val="28"/>
                <w:lang w:eastAsia="zh-CN"/>
              </w:rPr>
              <w:t>该入河排污口对应的责任主体</w:t>
            </w:r>
            <w:r>
              <w:rPr>
                <w:rFonts w:hint="eastAsia" w:ascii="方正仿宋_GBK" w:hAnsi="方正仿宋_GBK" w:eastAsia="方正仿宋_GBK" w:cs="方正仿宋_GBK"/>
                <w:kern w:val="2"/>
                <w:sz w:val="28"/>
                <w:szCs w:val="28"/>
                <w:lang w:val="en-US" w:eastAsia="zh-CN"/>
              </w:rPr>
              <w:t>中稀(湖南)稀土开发有限公司</w:t>
            </w:r>
            <w:r>
              <w:rPr>
                <w:rFonts w:hint="eastAsia" w:ascii="方正仿宋_GBK" w:hAnsi="方正仿宋_GBK" w:eastAsia="方正仿宋_GBK" w:cs="方正仿宋_GBK"/>
                <w:kern w:val="2"/>
                <w:sz w:val="28"/>
                <w:szCs w:val="28"/>
                <w:lang w:eastAsia="zh-CN"/>
              </w:rPr>
              <w:t>应当按照排污单位有关要求，做好污染事故应急处理预案、环境风险防范及应急处置措施，具体包括：不断改进、优化事故分级</w:t>
            </w:r>
            <w:r>
              <w:rPr>
                <w:rFonts w:hint="eastAsia" w:ascii="方正仿宋_GBK" w:hAnsi="方正仿宋_GBK" w:eastAsia="方正仿宋_GBK" w:cs="方正仿宋_GBK"/>
                <w:kern w:val="2"/>
                <w:sz w:val="28"/>
                <w:szCs w:val="28"/>
                <w:lang w:val="en-US" w:eastAsia="zh-CN"/>
              </w:rPr>
              <w:t>响应和应急处置预案，切实加强风</w:t>
            </w:r>
            <w:r>
              <w:rPr>
                <w:rFonts w:hint="eastAsia" w:ascii="方正仿宋_GBK" w:hAnsi="方正仿宋_GBK" w:eastAsia="方正仿宋_GBK" w:cs="方正仿宋_GBK"/>
                <w:kern w:val="2"/>
                <w:sz w:val="28"/>
                <w:szCs w:val="28"/>
                <w:lang w:eastAsia="zh-CN"/>
              </w:rPr>
              <w:t>险</w:t>
            </w:r>
            <w:r>
              <w:rPr>
                <w:rFonts w:hint="eastAsia" w:ascii="方正仿宋_GBK" w:hAnsi="方正仿宋_GBK" w:eastAsia="方正仿宋_GBK" w:cs="方正仿宋_GBK"/>
                <w:kern w:val="2"/>
                <w:sz w:val="28"/>
                <w:szCs w:val="28"/>
                <w:lang w:val="en-US" w:eastAsia="zh-CN"/>
              </w:rPr>
              <w:t>防范</w:t>
            </w:r>
            <w:r>
              <w:rPr>
                <w:rFonts w:hint="eastAsia" w:ascii="方正仿宋_GBK" w:hAnsi="方正仿宋_GBK" w:eastAsia="方正仿宋_GBK" w:cs="方正仿宋_GBK"/>
                <w:kern w:val="2"/>
                <w:sz w:val="28"/>
                <w:szCs w:val="28"/>
                <w:lang w:eastAsia="zh-CN"/>
              </w:rPr>
              <w:t>应急措施及风险源管控，做好应急演练和外排污水监测，防止污染事故的发生。特殊情况下，应服从具有管理权限部门依法作出的入河排污限制排污决定。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noWrap w:val="0"/>
            <w:vAlign w:val="top"/>
          </w:tcPr>
          <w:p>
            <w:pPr>
              <w:widowControl w:val="0"/>
              <w:adjustRightInd w:val="0"/>
              <w:snapToGrid w:val="0"/>
              <w:spacing w:line="3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水生态环境保护措施：</w:t>
            </w:r>
          </w:p>
          <w:p>
            <w:pPr>
              <w:pStyle w:val="6"/>
              <w:keepNext w:val="0"/>
              <w:keepLines w:val="0"/>
              <w:widowControl w:val="0"/>
              <w:suppressLineNumbers w:val="0"/>
              <w:adjustRightInd w:val="0"/>
              <w:snapToGrid w:val="0"/>
              <w:spacing w:line="360" w:lineRule="exact"/>
              <w:ind w:firstLine="556" w:firstLineChars="200"/>
              <w:rPr>
                <w:rFonts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eastAsia="zh-CN"/>
              </w:rPr>
              <w:t>为减免该入河排污口设置带来的不利影响，入河排污口设置/使用过程中应当采取监测、巡查、预警等水生态环境保护措施，具体包括：</w:t>
            </w:r>
            <w:r>
              <w:rPr>
                <w:rFonts w:hint="eastAsia" w:ascii="方正仿宋_GBK" w:hAnsi="方正仿宋_GBK" w:eastAsia="方正仿宋_GBK" w:cs="方正仿宋_GBK"/>
                <w:kern w:val="2"/>
                <w:sz w:val="28"/>
                <w:szCs w:val="28"/>
                <w:lang w:val="en-US" w:eastAsia="zh-CN" w:bidi="ar-SA"/>
              </w:rPr>
              <w:t>应严格落实环评报告及批复、竣工环保验收及本入河排污口设置论证报告提出的各项污染防治措施、生态影响减缓措施，确保污水处理站长期稳定运行、污染物达标排放，确保排污口下游水质及水生态安全。应规范化建设入河排污口，按规范要求落实排污口标志牌等相关设施，并落实相关监测要求。应当定期巡查维护排污通道、口门及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noWrap w:val="0"/>
            <w:vAlign w:val="top"/>
          </w:tcPr>
          <w:p>
            <w:pPr>
              <w:pStyle w:val="2"/>
              <w:adjustRightInd w:val="0"/>
              <w:snapToGrid w:val="0"/>
              <w:spacing w:before="0" w:line="360" w:lineRule="exact"/>
              <w:ind w:left="0"/>
              <w:jc w:val="both"/>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kern w:val="2"/>
                <w:sz w:val="28"/>
                <w:szCs w:val="28"/>
                <w:lang w:eastAsia="zh-CN"/>
              </w:rPr>
              <w:t>放射性物质管控措施：</w:t>
            </w:r>
          </w:p>
          <w:p>
            <w:pPr>
              <w:pStyle w:val="6"/>
              <w:keepNext w:val="0"/>
              <w:keepLines w:val="0"/>
              <w:widowControl w:val="0"/>
              <w:suppressLineNumbers w:val="0"/>
              <w:adjustRightInd w:val="0"/>
              <w:snapToGrid w:val="0"/>
              <w:spacing w:line="360" w:lineRule="exact"/>
              <w:ind w:firstLine="556" w:firstLineChars="200"/>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废水及地表水辐射均应满足相关标准要求。入河排污口出口废水和扎头源矿界地表水中钍、铀总量均不得超过《稀土工业污染物排放标准》(GB26451-2011)规定的限值，总 a、总β活度浓度均不得超过《污水综合排放标准》(GB8978-1996)规定的限值。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noWrap w:val="0"/>
            <w:vAlign w:val="top"/>
          </w:tcPr>
          <w:p>
            <w:pPr>
              <w:widowControl w:val="0"/>
              <w:adjustRightInd w:val="0"/>
              <w:snapToGrid w:val="0"/>
              <w:spacing w:line="240" w:lineRule="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其他需要注意的事项：</w:t>
            </w:r>
          </w:p>
          <w:p>
            <w:pPr>
              <w:pStyle w:val="2"/>
              <w:widowControl w:val="0"/>
              <w:adjustRightInd w:val="0"/>
              <w:snapToGrid w:val="0"/>
              <w:spacing w:line="240" w:lineRule="auto"/>
              <w:ind w:left="0" w:firstLine="556"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（一）应符合相关部门对防洪、堤防安全和河势稳定等问题的保护措施要求；</w:t>
            </w:r>
          </w:p>
          <w:p>
            <w:pPr>
              <w:keepNext w:val="0"/>
              <w:keepLines w:val="0"/>
              <w:pageBreakBefore w:val="0"/>
              <w:kinsoku/>
              <w:overflowPunct/>
              <w:topLinePunct w:val="0"/>
              <w:bidi w:val="0"/>
              <w:adjustRightInd w:val="0"/>
              <w:snapToGrid w:val="0"/>
              <w:spacing w:line="240" w:lineRule="auto"/>
              <w:ind w:firstLine="556" w:firstLineChars="200"/>
              <w:outlineLvl w:val="1"/>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（二）  该入河排污口设置经批准后，入河排污口责任主体名称、生产经营场所地址、法定代表人或者主要负责人以及联系方式等信息发生变更的，应当自变更之日起三十日内，向审批部门申请办理决定书变更手续。其主要污染物种类、排水量、污染物排放浓度、主要污染物排放量可能超过同意设置入河排污口的决定书中规定要求的，其责任主体、位置发生变化，或新增排污单位的，应按照有关规定重新进行入河排污口设置申请。</w:t>
            </w:r>
          </w:p>
          <w:p>
            <w:pPr>
              <w:keepNext w:val="0"/>
              <w:keepLines w:val="0"/>
              <w:widowControl w:val="0"/>
              <w:suppressLineNumbers w:val="0"/>
              <w:adjustRightInd w:val="0"/>
              <w:snapToGrid w:val="0"/>
              <w:ind w:firstLine="556" w:firstLineChars="200"/>
              <w:jc w:val="both"/>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三）永州市生态环境局具体负责该排污口日常监督检查和管理工作，并将排污口设置批复及《论证报告》要求落实情况纳入日常监督检查。你单位应在收到本批复后的15个工作日内，将批复后的排污口设置论证报告等相关文件送至永州市生态环境局，并按规定接受日常监督检查和管理。</w:t>
            </w:r>
          </w:p>
          <w:p>
            <w:pPr>
              <w:keepNext w:val="0"/>
              <w:keepLines w:val="0"/>
              <w:widowControl w:val="0"/>
              <w:suppressLineNumbers w:val="0"/>
              <w:adjustRightInd w:val="0"/>
              <w:snapToGrid w:val="0"/>
              <w:ind w:firstLine="532" w:firstLineChars="200"/>
              <w:jc w:val="both"/>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pacing w:val="-6"/>
                <w:kern w:val="2"/>
                <w:sz w:val="28"/>
                <w:szCs w:val="28"/>
                <w:lang w:val="en-US" w:eastAsia="zh-CN" w:bidi="ar-SA"/>
              </w:rPr>
              <w:t>（四）国家、省级层面有新的规定文件出台，按新的规定及要求执行。</w:t>
            </w:r>
          </w:p>
        </w:tc>
      </w:tr>
    </w:tbl>
    <w:p>
      <w:pPr>
        <w:pStyle w:val="2"/>
        <w:widowControl w:val="0"/>
        <w:adjustRightInd w:val="0"/>
        <w:snapToGrid w:val="0"/>
        <w:spacing w:before="0" w:line="500" w:lineRule="exact"/>
        <w:ind w:left="0" w:firstLine="636" w:firstLineChars="200"/>
        <w:jc w:val="both"/>
        <w:rPr>
          <w:rFonts w:hint="eastAsia" w:ascii="方正仿宋_GBK" w:hAnsi="方正仿宋_GBK" w:eastAsia="方正仿宋_GBK" w:cs="方正仿宋_GBK"/>
          <w:kern w:val="2"/>
          <w:sz w:val="32"/>
          <w:szCs w:val="32"/>
          <w:lang w:eastAsia="zh-CN"/>
        </w:rPr>
      </w:pPr>
      <w:r>
        <w:rPr>
          <w:rFonts w:hint="eastAsia" w:ascii="方正仿宋_GBK" w:hAnsi="方正仿宋_GBK" w:eastAsia="方正仿宋_GBK" w:cs="方正仿宋_GBK"/>
          <w:kern w:val="2"/>
          <w:sz w:val="32"/>
          <w:szCs w:val="32"/>
          <w:lang w:eastAsia="zh-CN"/>
        </w:rPr>
        <w:t>你单位如对本批复不服，可以在收到决定书之日起六十日内依法向湖南省人民政府申请行政复议，或者六个月内向长沙铁路运输法院提起行政诉讼。</w:t>
      </w:r>
    </w:p>
    <w:p>
      <w:pPr>
        <w:adjustRightInd w:val="0"/>
        <w:snapToGrid w:val="0"/>
        <w:spacing w:line="500" w:lineRule="exact"/>
        <w:ind w:firstLine="636" w:firstLineChars="200"/>
        <w:rPr>
          <w:rFonts w:hint="eastAsia" w:ascii="方正仿宋_GBK" w:hAnsi="方正仿宋_GBK" w:eastAsia="方正仿宋_GBK" w:cs="方正仿宋_GBK"/>
          <w:kern w:val="2"/>
          <w:sz w:val="32"/>
          <w:szCs w:val="32"/>
          <w:lang w:eastAsia="zh-CN"/>
        </w:rPr>
      </w:pPr>
    </w:p>
    <w:p>
      <w:pPr>
        <w:adjustRightInd w:val="0"/>
        <w:snapToGrid w:val="0"/>
        <w:spacing w:line="500" w:lineRule="exact"/>
        <w:ind w:firstLine="636" w:firstLineChars="200"/>
        <w:rPr>
          <w:rFonts w:hint="eastAsia" w:ascii="方正仿宋_GBK" w:hAnsi="方正仿宋_GBK" w:eastAsia="方正仿宋_GBK" w:cs="方正仿宋_GBK"/>
          <w:kern w:val="2"/>
          <w:sz w:val="32"/>
          <w:szCs w:val="32"/>
          <w:lang w:eastAsia="zh-CN"/>
        </w:rPr>
      </w:pPr>
    </w:p>
    <w:p>
      <w:pPr>
        <w:adjustRightInd w:val="0"/>
        <w:snapToGrid w:val="0"/>
        <w:spacing w:line="500" w:lineRule="exact"/>
        <w:ind w:firstLine="636" w:firstLineChars="200"/>
        <w:rPr>
          <w:rFonts w:hint="eastAsia" w:ascii="方正仿宋_GBK" w:hAnsi="方正仿宋_GBK" w:eastAsia="方正仿宋_GBK" w:cs="方正仿宋_GBK"/>
          <w:kern w:val="2"/>
          <w:sz w:val="32"/>
          <w:szCs w:val="32"/>
          <w:lang w:eastAsia="zh-CN"/>
        </w:rPr>
      </w:pPr>
    </w:p>
    <w:p>
      <w:pPr>
        <w:pStyle w:val="2"/>
        <w:adjustRightInd w:val="0"/>
        <w:snapToGrid w:val="0"/>
        <w:spacing w:before="0" w:line="500" w:lineRule="exact"/>
        <w:ind w:left="0" w:firstLine="5236" w:firstLineChars="1700"/>
        <w:jc w:val="both"/>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湖南省生态环境厅</w:t>
      </w:r>
    </w:p>
    <w:p>
      <w:pPr>
        <w:pStyle w:val="2"/>
        <w:adjustRightInd w:val="0"/>
        <w:snapToGrid w:val="0"/>
        <w:spacing w:line="500" w:lineRule="exact"/>
        <w:ind w:firstLine="5088" w:firstLineChars="1600"/>
        <w:rPr>
          <w:rFonts w:hint="eastAsia" w:ascii="仿宋_GB2312" w:hAnsi="仿宋_GB2312" w:eastAsia="仿宋_GB2312" w:cs="仿宋_GB2312"/>
          <w:sz w:val="32"/>
          <w:szCs w:val="32"/>
          <w:lang w:eastAsia="zh-CN"/>
        </w:rPr>
      </w:pP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lang w:eastAsia="zh-CN"/>
        </w:rPr>
        <w:t>日</w:t>
      </w:r>
    </w:p>
    <w:p>
      <w:pPr>
        <w:adjustRightInd w:val="0"/>
        <w:snapToGrid w:val="0"/>
        <w:spacing w:line="400" w:lineRule="exact"/>
        <w:ind w:left="0" w:firstLine="0" w:firstLineChars="0"/>
        <w:rPr>
          <w:rFonts w:hint="eastAsia" w:ascii="方正仿宋_GBK" w:hAnsi="方正仿宋_GBK" w:eastAsia="方正仿宋_GBK" w:cs="方正仿宋_GBK"/>
          <w:sz w:val="28"/>
          <w:szCs w:val="28"/>
          <w:lang w:eastAsia="zh-CN"/>
        </w:rPr>
      </w:pPr>
    </w:p>
    <w:p>
      <w:pPr>
        <w:adjustRightInd w:val="0"/>
        <w:snapToGrid w:val="0"/>
        <w:spacing w:line="400" w:lineRule="exact"/>
        <w:ind w:left="0" w:firstLine="0" w:firstLineChars="0"/>
        <w:rPr>
          <w:rFonts w:hint="eastAsia" w:ascii="方正仿宋_GBK" w:hAnsi="方正仿宋_GBK" w:eastAsia="方正仿宋_GBK" w:cs="方正仿宋_GBK"/>
          <w:sz w:val="28"/>
          <w:szCs w:val="28"/>
          <w:lang w:eastAsia="zh-CN"/>
        </w:rPr>
      </w:pPr>
    </w:p>
    <w:p>
      <w:pPr>
        <w:adjustRightInd w:val="0"/>
        <w:snapToGrid w:val="0"/>
        <w:spacing w:line="400" w:lineRule="exact"/>
        <w:ind w:left="0" w:firstLine="0" w:firstLineChars="0"/>
        <w:rPr>
          <w:rFonts w:hint="eastAsia" w:ascii="方正仿宋_GBK" w:hAnsi="方正仿宋_GBK" w:eastAsia="方正仿宋_GBK" w:cs="方正仿宋_GBK"/>
          <w:sz w:val="28"/>
          <w:szCs w:val="28"/>
          <w:lang w:eastAsia="zh-CN"/>
        </w:rPr>
      </w:pPr>
    </w:p>
    <w:p>
      <w:pPr>
        <w:adjustRightInd w:val="0"/>
        <w:snapToGrid w:val="0"/>
        <w:spacing w:line="400" w:lineRule="exact"/>
        <w:ind w:left="0" w:firstLine="0" w:firstLineChars="0"/>
        <w:rPr>
          <w:rFonts w:hint="eastAsia" w:ascii="方正仿宋_GBK" w:hAnsi="方正仿宋_GBK" w:eastAsia="方正仿宋_GBK" w:cs="方正仿宋_GBK"/>
          <w:sz w:val="28"/>
          <w:szCs w:val="28"/>
          <w:lang w:eastAsia="zh-CN"/>
        </w:rPr>
      </w:pPr>
    </w:p>
    <w:p>
      <w:pPr>
        <w:adjustRightInd w:val="0"/>
        <w:snapToGrid w:val="0"/>
        <w:spacing w:line="400" w:lineRule="exact"/>
        <w:ind w:left="0" w:firstLine="0" w:firstLineChars="0"/>
        <w:rPr>
          <w:rFonts w:hint="eastAsia" w:ascii="方正仿宋_GBK" w:hAnsi="方正仿宋_GBK" w:eastAsia="方正仿宋_GBK" w:cs="方正仿宋_GBK"/>
          <w:sz w:val="28"/>
          <w:szCs w:val="28"/>
          <w:lang w:eastAsia="zh-CN"/>
        </w:rPr>
      </w:pPr>
    </w:p>
    <w:p>
      <w:pPr>
        <w:adjustRightInd w:val="0"/>
        <w:snapToGrid w:val="0"/>
        <w:ind w:left="0" w:firstLine="278" w:firstLineChars="1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eastAsia="zh-CN"/>
        </w:rPr>
        <w:t>抄送：</w:t>
      </w:r>
      <w:r>
        <w:rPr>
          <w:rFonts w:hint="eastAsia" w:ascii="方正仿宋_GBK" w:hAnsi="方正仿宋_GBK" w:eastAsia="方正仿宋_GBK" w:cs="方正仿宋_GBK"/>
          <w:kern w:val="2"/>
          <w:sz w:val="28"/>
          <w:szCs w:val="28"/>
          <w:lang w:val="en-US" w:eastAsia="zh-CN" w:bidi="ar-SA"/>
        </w:rPr>
        <w:t>永州市生态环境局，永州市生态环境局江华分局。</w:t>
      </w:r>
    </w:p>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720"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rPr>
        <w:rFonts w:ascii="宋体" w:hAnsi="宋体" w:eastAsia="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noWrap w:val="0"/>
          <w:vAlign w:val="center"/>
        </w:tcPr>
        <w:p>
          <w:pPr>
            <w:snapToGrid w:val="0"/>
            <w:spacing w:line="40" w:lineRule="exact"/>
            <w:jc w:val="center"/>
            <w:rPr>
              <w:rFonts w:ascii="仿宋" w:hAnsi="仿宋" w:eastAsia="仿宋"/>
              <w:szCs w:val="32"/>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1BAE6D21"/>
    <w:rsid w:val="2B4D7F3C"/>
    <w:rsid w:val="3C7AB1BB"/>
    <w:rsid w:val="3CFF3E83"/>
    <w:rsid w:val="3EFA0678"/>
    <w:rsid w:val="48000E1F"/>
    <w:rsid w:val="68C955F2"/>
    <w:rsid w:val="6BBFDAFD"/>
    <w:rsid w:val="6D222129"/>
    <w:rsid w:val="7DFF6C6E"/>
    <w:rsid w:val="7E1F361D"/>
    <w:rsid w:val="AFF793DC"/>
    <w:rsid w:val="B0DFB11E"/>
    <w:rsid w:val="BD7F890E"/>
    <w:rsid w:val="BEDF417B"/>
    <w:rsid w:val="FAEE5783"/>
    <w:rsid w:val="FF6A58B4"/>
    <w:rsid w:val="FF8F3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39"/>
      <w:ind w:left="111"/>
      <w:jc w:val="left"/>
    </w:pPr>
    <w:rPr>
      <w:rFonts w:ascii="仿宋_GB2312" w:hAnsi="仿宋_GB2312" w:eastAsia="仿宋_GB2312"/>
      <w:kern w:val="0"/>
      <w:sz w:val="30"/>
      <w:szCs w:val="30"/>
      <w:lang w:eastAsia="en-US"/>
    </w:rPr>
  </w:style>
  <w:style w:type="paragraph" w:styleId="3">
    <w:name w:val="Balloon Text"/>
    <w:basedOn w:val="1"/>
    <w:link w:val="10"/>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批注框文本 Char"/>
    <w:basedOn w:val="9"/>
    <w:link w:val="3"/>
    <w:semiHidden/>
    <w:qFormat/>
    <w:uiPriority w:val="99"/>
    <w:rPr>
      <w:rFonts w:ascii="Times New Roman" w:hAnsi="Times New Roman" w:eastAsia="仿宋_GB2312" w:cs="Times New Roman"/>
      <w:sz w:val="18"/>
      <w:szCs w:val="18"/>
    </w:rPr>
  </w:style>
  <w:style w:type="character" w:customStyle="1" w:styleId="11">
    <w:name w:val="页脚 Char"/>
    <w:basedOn w:val="9"/>
    <w:link w:val="4"/>
    <w:qFormat/>
    <w:uiPriority w:val="99"/>
    <w:rPr>
      <w:rFonts w:ascii="Times New Roman" w:hAnsi="Times New Roman" w:eastAsia="仿宋_GB2312" w:cs="Times New Roman"/>
      <w:sz w:val="18"/>
      <w:szCs w:val="20"/>
    </w:rPr>
  </w:style>
  <w:style w:type="character" w:customStyle="1" w:styleId="12">
    <w:name w:val="页眉 Char"/>
    <w:basedOn w:val="9"/>
    <w:link w:val="5"/>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27</Characters>
  <Lines>13</Lines>
  <Paragraphs>10</Paragraphs>
  <TotalTime>3</TotalTime>
  <ScaleCrop>false</ScaleCrop>
  <LinksUpToDate>false</LinksUpToDate>
  <CharactersWithSpaces>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2017-03-09T13:57:00Z</dcterms:created>
  <dc:creator>陈炼</dc:creator>
  <cp:lastModifiedBy>kylin</cp:lastModifiedBy>
  <cp:lastPrinted>2017-03-12T06:38:00Z</cp:lastPrinted>
  <dcterms:modified xsi:type="dcterms:W3CDTF">2025-12-22T11:34:15Z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