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E33E87">
      <w:pPr>
        <w:pStyle w:val="2"/>
        <w:spacing w:line="276" w:lineRule="auto"/>
      </w:pPr>
    </w:p>
    <w:p w14:paraId="37BC6710">
      <w:pPr>
        <w:pStyle w:val="2"/>
        <w:spacing w:line="276" w:lineRule="auto"/>
      </w:pPr>
    </w:p>
    <w:p w14:paraId="7D5DC635">
      <w:pPr>
        <w:pStyle w:val="2"/>
        <w:spacing w:line="276" w:lineRule="auto"/>
      </w:pPr>
    </w:p>
    <w:p w14:paraId="21345488">
      <w:pPr>
        <w:pStyle w:val="2"/>
        <w:spacing w:line="276" w:lineRule="auto"/>
      </w:pPr>
    </w:p>
    <w:p w14:paraId="49F34576">
      <w:pPr>
        <w:pStyle w:val="2"/>
        <w:spacing w:line="276" w:lineRule="auto"/>
      </w:pPr>
    </w:p>
    <w:p w14:paraId="66AA3F19">
      <w:pPr>
        <w:pStyle w:val="2"/>
        <w:spacing w:line="277" w:lineRule="auto"/>
      </w:pPr>
    </w:p>
    <w:p w14:paraId="5EC735F3">
      <w:pPr>
        <w:spacing w:before="169" w:line="222" w:lineRule="auto"/>
        <w:ind w:right="4"/>
        <w:jc w:val="right"/>
        <w:rPr>
          <w:rFonts w:ascii="黑体" w:hAnsi="黑体" w:eastAsia="黑体" w:cs="黑体"/>
          <w:sz w:val="52"/>
          <w:szCs w:val="52"/>
        </w:rPr>
      </w:pPr>
      <w:r>
        <w:rPr>
          <w:rFonts w:ascii="黑体" w:hAnsi="黑体" w:eastAsia="黑体" w:cs="黑体"/>
          <w:spacing w:val="-3"/>
          <w:sz w:val="52"/>
          <w:szCs w:val="52"/>
        </w:rPr>
        <w:t>隆回县工业污水处理厂进行提标扩容</w:t>
      </w:r>
    </w:p>
    <w:p w14:paraId="16F6EBDD">
      <w:pPr>
        <w:spacing w:before="135" w:line="222" w:lineRule="auto"/>
        <w:ind w:left="2122"/>
        <w:rPr>
          <w:rFonts w:ascii="黑体" w:hAnsi="黑体" w:eastAsia="黑体" w:cs="黑体"/>
          <w:sz w:val="52"/>
          <w:szCs w:val="52"/>
        </w:rPr>
      </w:pPr>
      <w:r>
        <w:rPr>
          <w:rFonts w:ascii="黑体" w:hAnsi="黑体" w:eastAsia="黑体" w:cs="黑体"/>
          <w:spacing w:val="-5"/>
          <w:sz w:val="52"/>
          <w:szCs w:val="52"/>
        </w:rPr>
        <w:t>改造（二期）工程</w:t>
      </w:r>
    </w:p>
    <w:p w14:paraId="37280BFF">
      <w:pPr>
        <w:spacing w:before="137" w:line="222" w:lineRule="auto"/>
        <w:ind w:left="1325"/>
        <w:rPr>
          <w:rFonts w:ascii="黑体" w:hAnsi="黑体" w:eastAsia="黑体" w:cs="黑体"/>
          <w:sz w:val="52"/>
          <w:szCs w:val="52"/>
        </w:rPr>
      </w:pPr>
      <w:r>
        <w:rPr>
          <w:rFonts w:ascii="黑体" w:hAnsi="黑体" w:eastAsia="黑体" w:cs="黑体"/>
          <w:spacing w:val="-2"/>
          <w:sz w:val="52"/>
          <w:szCs w:val="52"/>
        </w:rPr>
        <w:t>入河排污口设置论证报告</w:t>
      </w:r>
    </w:p>
    <w:p w14:paraId="1CF5D2F5">
      <w:pPr>
        <w:pStyle w:val="2"/>
        <w:spacing w:line="243" w:lineRule="auto"/>
      </w:pPr>
    </w:p>
    <w:p w14:paraId="1AFEF7E2">
      <w:pPr>
        <w:pStyle w:val="2"/>
        <w:spacing w:line="243" w:lineRule="auto"/>
      </w:pPr>
    </w:p>
    <w:p w14:paraId="0D56E37B">
      <w:pPr>
        <w:pStyle w:val="2"/>
        <w:spacing w:line="243" w:lineRule="auto"/>
      </w:pPr>
    </w:p>
    <w:p w14:paraId="5DB460A5">
      <w:pPr>
        <w:pStyle w:val="2"/>
        <w:spacing w:line="243" w:lineRule="auto"/>
      </w:pPr>
    </w:p>
    <w:p w14:paraId="7FA3536B">
      <w:pPr>
        <w:pStyle w:val="2"/>
        <w:spacing w:line="243" w:lineRule="auto"/>
      </w:pPr>
    </w:p>
    <w:p w14:paraId="3AAF134F">
      <w:pPr>
        <w:pStyle w:val="2"/>
        <w:spacing w:line="243" w:lineRule="auto"/>
      </w:pPr>
    </w:p>
    <w:p w14:paraId="2082F5EB">
      <w:pPr>
        <w:pStyle w:val="2"/>
        <w:spacing w:line="243" w:lineRule="auto"/>
      </w:pPr>
    </w:p>
    <w:p w14:paraId="24B3066D">
      <w:pPr>
        <w:pStyle w:val="2"/>
        <w:spacing w:line="243" w:lineRule="auto"/>
      </w:pPr>
    </w:p>
    <w:p w14:paraId="0CEDB623">
      <w:pPr>
        <w:pStyle w:val="2"/>
        <w:spacing w:line="243" w:lineRule="auto"/>
      </w:pPr>
    </w:p>
    <w:p w14:paraId="6F1C813C">
      <w:pPr>
        <w:pStyle w:val="2"/>
        <w:spacing w:line="243" w:lineRule="auto"/>
      </w:pPr>
    </w:p>
    <w:p w14:paraId="1D300D07">
      <w:pPr>
        <w:pStyle w:val="2"/>
        <w:spacing w:line="243" w:lineRule="auto"/>
      </w:pPr>
    </w:p>
    <w:p w14:paraId="2C2E1774">
      <w:pPr>
        <w:pStyle w:val="2"/>
        <w:spacing w:line="243" w:lineRule="auto"/>
      </w:pPr>
    </w:p>
    <w:p w14:paraId="5B415059">
      <w:pPr>
        <w:pStyle w:val="2"/>
        <w:spacing w:line="243" w:lineRule="auto"/>
      </w:pPr>
    </w:p>
    <w:p w14:paraId="6B5196DA">
      <w:pPr>
        <w:pStyle w:val="2"/>
        <w:spacing w:line="243" w:lineRule="auto"/>
      </w:pPr>
    </w:p>
    <w:p w14:paraId="6AE26E67">
      <w:pPr>
        <w:pStyle w:val="2"/>
        <w:spacing w:line="243" w:lineRule="auto"/>
      </w:pPr>
    </w:p>
    <w:p w14:paraId="3D176506">
      <w:pPr>
        <w:pStyle w:val="2"/>
        <w:spacing w:line="243" w:lineRule="auto"/>
      </w:pPr>
    </w:p>
    <w:p w14:paraId="305BC9C0">
      <w:pPr>
        <w:pStyle w:val="2"/>
        <w:spacing w:line="243" w:lineRule="auto"/>
      </w:pPr>
    </w:p>
    <w:p w14:paraId="02507D7A">
      <w:pPr>
        <w:pStyle w:val="2"/>
        <w:spacing w:line="243" w:lineRule="auto"/>
      </w:pPr>
    </w:p>
    <w:p w14:paraId="7CE08558">
      <w:pPr>
        <w:pStyle w:val="2"/>
        <w:spacing w:line="243" w:lineRule="auto"/>
      </w:pPr>
    </w:p>
    <w:p w14:paraId="36EE964A">
      <w:pPr>
        <w:pStyle w:val="2"/>
        <w:spacing w:line="243" w:lineRule="auto"/>
      </w:pPr>
    </w:p>
    <w:p w14:paraId="586CB672">
      <w:pPr>
        <w:pStyle w:val="2"/>
        <w:spacing w:line="243" w:lineRule="auto"/>
      </w:pPr>
    </w:p>
    <w:p w14:paraId="267E2947">
      <w:pPr>
        <w:pStyle w:val="2"/>
        <w:spacing w:line="243" w:lineRule="auto"/>
      </w:pPr>
    </w:p>
    <w:p w14:paraId="67A10F23">
      <w:pPr>
        <w:pStyle w:val="2"/>
        <w:spacing w:line="243" w:lineRule="auto"/>
      </w:pPr>
    </w:p>
    <w:p w14:paraId="1F57902E">
      <w:pPr>
        <w:pStyle w:val="2"/>
        <w:spacing w:line="243" w:lineRule="auto"/>
      </w:pPr>
    </w:p>
    <w:p w14:paraId="4D71C1AF">
      <w:pPr>
        <w:pStyle w:val="2"/>
        <w:spacing w:line="243" w:lineRule="auto"/>
      </w:pPr>
    </w:p>
    <w:p w14:paraId="25AF1FF0">
      <w:pPr>
        <w:pStyle w:val="2"/>
        <w:spacing w:line="244" w:lineRule="auto"/>
      </w:pPr>
    </w:p>
    <w:p w14:paraId="18DF1DB0">
      <w:pPr>
        <w:pStyle w:val="2"/>
        <w:spacing w:line="244" w:lineRule="auto"/>
      </w:pPr>
    </w:p>
    <w:p w14:paraId="5B85114C">
      <w:pPr>
        <w:pStyle w:val="2"/>
        <w:spacing w:line="244" w:lineRule="auto"/>
      </w:pPr>
    </w:p>
    <w:p w14:paraId="068809F8">
      <w:pPr>
        <w:pStyle w:val="2"/>
        <w:spacing w:line="244" w:lineRule="auto"/>
      </w:pPr>
    </w:p>
    <w:p w14:paraId="405666BC">
      <w:pPr>
        <w:pStyle w:val="2"/>
        <w:spacing w:line="244" w:lineRule="auto"/>
      </w:pPr>
    </w:p>
    <w:p w14:paraId="7F5C78F1">
      <w:pPr>
        <w:pStyle w:val="2"/>
        <w:spacing w:line="244" w:lineRule="auto"/>
      </w:pPr>
    </w:p>
    <w:p w14:paraId="0E513AA4">
      <w:pPr>
        <w:spacing w:before="101" w:line="225" w:lineRule="auto"/>
        <w:ind w:left="901"/>
        <w:rPr>
          <w:rFonts w:ascii="宋体" w:hAnsi="宋体" w:eastAsia="宋体" w:cs="宋体"/>
          <w:sz w:val="31"/>
          <w:szCs w:val="31"/>
        </w:rPr>
      </w:pPr>
      <w:r>
        <w:rPr>
          <w:rFonts w:ascii="宋体" w:hAnsi="宋体" w:eastAsia="宋体" w:cs="宋体"/>
          <w:spacing w:val="24"/>
          <w:sz w:val="31"/>
          <w:szCs w:val="31"/>
        </w:rPr>
        <w:t>建设单位：隆回县工业园开发建设投资有限公司</w:t>
      </w:r>
    </w:p>
    <w:p w14:paraId="4FAB7CB1">
      <w:pPr>
        <w:pStyle w:val="2"/>
        <w:spacing w:line="283" w:lineRule="auto"/>
      </w:pPr>
    </w:p>
    <w:p w14:paraId="09D5D2C8">
      <w:pPr>
        <w:spacing w:before="101" w:line="224" w:lineRule="auto"/>
        <w:ind w:left="950"/>
        <w:rPr>
          <w:rFonts w:ascii="宋体" w:hAnsi="宋体" w:eastAsia="宋体" w:cs="宋体"/>
          <w:sz w:val="31"/>
          <w:szCs w:val="31"/>
        </w:rPr>
      </w:pPr>
      <w:r>
        <w:rPr>
          <w:rFonts w:ascii="宋体" w:hAnsi="宋体" w:eastAsia="宋体" w:cs="宋体"/>
          <w:spacing w:val="27"/>
          <w:sz w:val="31"/>
          <w:szCs w:val="31"/>
        </w:rPr>
        <w:t>编制单位：湖南三晟环保科技有限公司</w:t>
      </w:r>
    </w:p>
    <w:p w14:paraId="7D2AC1E0">
      <w:pPr>
        <w:pStyle w:val="2"/>
        <w:spacing w:line="247" w:lineRule="auto"/>
      </w:pPr>
    </w:p>
    <w:p w14:paraId="4B6BFEC6">
      <w:pPr>
        <w:spacing w:before="114" w:line="225" w:lineRule="auto"/>
        <w:ind w:left="3185"/>
        <w:rPr>
          <w:rFonts w:ascii="宋体" w:hAnsi="宋体" w:eastAsia="宋体" w:cs="宋体"/>
          <w:sz w:val="35"/>
          <w:szCs w:val="35"/>
        </w:rPr>
      </w:pPr>
      <w:r>
        <w:rPr>
          <w:rFonts w:ascii="宋体" w:hAnsi="宋体" w:eastAsia="宋体" w:cs="宋体"/>
          <w:spacing w:val="24"/>
          <w:sz w:val="35"/>
          <w:szCs w:val="35"/>
        </w:rPr>
        <w:t>二〇二五年七月</w:t>
      </w:r>
    </w:p>
    <w:p w14:paraId="3ED09E16">
      <w:pPr>
        <w:spacing w:line="225" w:lineRule="auto"/>
        <w:rPr>
          <w:rFonts w:ascii="宋体" w:hAnsi="宋体" w:eastAsia="宋体" w:cs="宋体"/>
          <w:sz w:val="35"/>
          <w:szCs w:val="35"/>
        </w:rPr>
        <w:sectPr>
          <w:pgSz w:w="11906" w:h="16839"/>
          <w:pgMar w:top="1431" w:right="1785" w:bottom="0" w:left="1785" w:header="0" w:footer="0" w:gutter="0"/>
          <w:cols w:space="720" w:num="1"/>
        </w:sectPr>
      </w:pPr>
    </w:p>
    <w:p w14:paraId="447B35A2">
      <w:pPr>
        <w:pStyle w:val="2"/>
        <w:spacing w:line="403" w:lineRule="auto"/>
      </w:pPr>
    </w:p>
    <w:sdt>
      <w:sdtPr>
        <w:rPr>
          <w:rFonts w:ascii="宋体" w:hAnsi="宋体" w:eastAsia="宋体" w:cs="宋体"/>
          <w:sz w:val="31"/>
          <w:szCs w:val="31"/>
        </w:rPr>
        <w:id w:val="147463426"/>
        <w:docPartObj>
          <w:docPartGallery w:val="Table of Contents"/>
          <w:docPartUnique/>
        </w:docPartObj>
      </w:sdtPr>
      <w:sdtEndPr>
        <w:rPr>
          <w:rFonts w:ascii="Times New Roman" w:hAnsi="Times New Roman" w:eastAsia="Times New Roman" w:cs="Times New Roman"/>
          <w:sz w:val="24"/>
          <w:szCs w:val="24"/>
        </w:rPr>
      </w:sdtEndPr>
      <w:sdtContent>
        <w:p w14:paraId="1B075D66">
          <w:pPr>
            <w:spacing w:before="101" w:line="227" w:lineRule="auto"/>
            <w:ind w:left="3712"/>
            <w:rPr>
              <w:rFonts w:ascii="宋体" w:hAnsi="宋体" w:eastAsia="宋体" w:cs="宋体"/>
              <w:sz w:val="31"/>
              <w:szCs w:val="31"/>
            </w:rPr>
          </w:pPr>
          <w:r>
            <w:rPr>
              <w:rFonts w:ascii="宋体" w:hAnsi="宋体" w:eastAsia="宋体" w:cs="宋体"/>
              <w:b/>
              <w:bCs/>
              <w:spacing w:val="-36"/>
              <w:sz w:val="31"/>
              <w:szCs w:val="31"/>
            </w:rPr>
            <w:t>目录</w:t>
          </w:r>
        </w:p>
        <w:p w14:paraId="7BD63354">
          <w:pPr>
            <w:pStyle w:val="2"/>
            <w:spacing w:line="275" w:lineRule="auto"/>
          </w:pPr>
        </w:p>
        <w:p w14:paraId="538E33E2">
          <w:pPr>
            <w:tabs>
              <w:tab w:val="right" w:leader="dot" w:pos="8502"/>
            </w:tabs>
            <w:spacing w:before="78" w:line="184" w:lineRule="auto"/>
            <w:ind w:left="488"/>
            <w:rPr>
              <w:rFonts w:ascii="Times New Roman" w:hAnsi="Times New Roman" w:eastAsia="Times New Roman" w:cs="Times New Roman"/>
              <w:sz w:val="24"/>
              <w:szCs w:val="24"/>
            </w:rPr>
          </w:pPr>
          <w:r>
            <w:fldChar w:fldCharType="begin"/>
          </w:r>
          <w:r>
            <w:instrText xml:space="preserve"> HYPERLINK \l "bookmark1" </w:instrText>
          </w:r>
          <w:r>
            <w:fldChar w:fldCharType="separate"/>
          </w:r>
          <w:r>
            <w:rPr>
              <w:rFonts w:ascii="宋体" w:hAnsi="宋体" w:eastAsia="宋体" w:cs="宋体"/>
              <w:spacing w:val="-1"/>
              <w:sz w:val="24"/>
              <w:szCs w:val="24"/>
            </w:rPr>
            <w:t>入河排污口设置论证报告基本情况表</w:t>
          </w:r>
          <w:r>
            <w:rPr>
              <w:rFonts w:ascii="宋体" w:hAnsi="宋体" w:eastAsia="宋体" w:cs="宋体"/>
              <w:sz w:val="24"/>
              <w:szCs w:val="24"/>
            </w:rPr>
            <w:tab/>
          </w:r>
          <w:r>
            <w:rPr>
              <w:rFonts w:ascii="Times New Roman" w:hAnsi="Times New Roman" w:eastAsia="Times New Roman" w:cs="Times New Roman"/>
              <w:spacing w:val="14"/>
              <w:sz w:val="24"/>
              <w:szCs w:val="24"/>
            </w:rPr>
            <w:t>1</w:t>
          </w:r>
          <w:r>
            <w:rPr>
              <w:rFonts w:ascii="Times New Roman" w:hAnsi="Times New Roman" w:eastAsia="Times New Roman" w:cs="Times New Roman"/>
              <w:spacing w:val="14"/>
              <w:sz w:val="24"/>
              <w:szCs w:val="24"/>
            </w:rPr>
            <w:fldChar w:fldCharType="end"/>
          </w:r>
        </w:p>
        <w:p w14:paraId="3D39900F">
          <w:pPr>
            <w:tabs>
              <w:tab w:val="right" w:leader="dot" w:pos="8502"/>
            </w:tabs>
            <w:spacing w:before="259" w:line="184" w:lineRule="auto"/>
            <w:ind w:left="496"/>
            <w:rPr>
              <w:rFonts w:ascii="Times New Roman" w:hAnsi="Times New Roman" w:eastAsia="Times New Roman" w:cs="Times New Roman"/>
              <w:sz w:val="24"/>
              <w:szCs w:val="24"/>
            </w:rPr>
          </w:pPr>
          <w:r>
            <w:fldChar w:fldCharType="begin"/>
          </w:r>
          <w:r>
            <w:instrText xml:space="preserve"> HYPERLINK \l "bookmark2" </w:instrText>
          </w:r>
          <w:r>
            <w:fldChar w:fldCharType="separate"/>
          </w:r>
          <w:r>
            <w:rPr>
              <w:rFonts w:ascii="Times New Roman" w:hAnsi="Times New Roman" w:eastAsia="Times New Roman" w:cs="Times New Roman"/>
              <w:b/>
              <w:bCs/>
              <w:spacing w:val="-13"/>
              <w:sz w:val="24"/>
              <w:szCs w:val="24"/>
            </w:rPr>
            <w:t>1</w:t>
          </w:r>
          <w:r>
            <w:rPr>
              <w:rFonts w:ascii="宋体" w:hAnsi="宋体" w:eastAsia="宋体" w:cs="宋体"/>
              <w:b/>
              <w:bCs/>
              <w:spacing w:val="-13"/>
              <w:sz w:val="24"/>
              <w:szCs w:val="24"/>
            </w:rPr>
            <w:t>总则</w:t>
          </w:r>
          <w:r>
            <w:rPr>
              <w:rFonts w:ascii="宋体" w:hAnsi="宋体" w:eastAsia="宋体" w:cs="宋体"/>
              <w:b/>
              <w:bCs/>
              <w:sz w:val="24"/>
              <w:szCs w:val="24"/>
            </w:rPr>
            <w:tab/>
          </w:r>
          <w:r>
            <w:rPr>
              <w:rFonts w:ascii="Times New Roman" w:hAnsi="Times New Roman" w:eastAsia="Times New Roman" w:cs="Times New Roman"/>
              <w:b/>
              <w:bCs/>
              <w:spacing w:val="12"/>
              <w:sz w:val="24"/>
              <w:szCs w:val="24"/>
            </w:rPr>
            <w:t>1</w:t>
          </w:r>
          <w:r>
            <w:rPr>
              <w:rFonts w:ascii="Times New Roman" w:hAnsi="Times New Roman" w:eastAsia="Times New Roman" w:cs="Times New Roman"/>
              <w:b/>
              <w:bCs/>
              <w:spacing w:val="12"/>
              <w:sz w:val="24"/>
              <w:szCs w:val="24"/>
            </w:rPr>
            <w:fldChar w:fldCharType="end"/>
          </w:r>
        </w:p>
        <w:p w14:paraId="53F85D3C">
          <w:pPr>
            <w:tabs>
              <w:tab w:val="right" w:leader="dot" w:pos="8502"/>
            </w:tabs>
            <w:spacing w:before="260" w:line="184" w:lineRule="auto"/>
            <w:ind w:left="1067"/>
            <w:rPr>
              <w:rFonts w:ascii="Times New Roman" w:hAnsi="Times New Roman" w:eastAsia="Times New Roman" w:cs="Times New Roman"/>
              <w:sz w:val="24"/>
              <w:szCs w:val="24"/>
            </w:rPr>
          </w:pPr>
          <w:r>
            <w:fldChar w:fldCharType="begin"/>
          </w:r>
          <w:r>
            <w:instrText xml:space="preserve"> HYPERLINK \l "bookmark3" </w:instrText>
          </w:r>
          <w:r>
            <w:fldChar w:fldCharType="separate"/>
          </w:r>
          <w:r>
            <w:rPr>
              <w:rFonts w:ascii="Times New Roman" w:hAnsi="Times New Roman" w:eastAsia="Times New Roman" w:cs="Times New Roman"/>
              <w:spacing w:val="-6"/>
              <w:sz w:val="24"/>
              <w:szCs w:val="24"/>
            </w:rPr>
            <w:t>1.1</w:t>
          </w:r>
          <w:r>
            <w:rPr>
              <w:rFonts w:ascii="宋体" w:hAnsi="宋体" w:eastAsia="宋体" w:cs="宋体"/>
              <w:spacing w:val="-6"/>
              <w:sz w:val="24"/>
              <w:szCs w:val="24"/>
            </w:rPr>
            <w:t>论证目的</w:t>
          </w:r>
          <w:r>
            <w:rPr>
              <w:rFonts w:ascii="宋体" w:hAnsi="宋体" w:eastAsia="宋体" w:cs="宋体"/>
              <w:sz w:val="24"/>
              <w:szCs w:val="24"/>
            </w:rPr>
            <w:tab/>
          </w:r>
          <w:r>
            <w:rPr>
              <w:rFonts w:ascii="Times New Roman" w:hAnsi="Times New Roman" w:eastAsia="Times New Roman" w:cs="Times New Roman"/>
              <w:spacing w:val="-29"/>
              <w:sz w:val="24"/>
              <w:szCs w:val="24"/>
            </w:rPr>
            <w:t>1</w:t>
          </w:r>
          <w:r>
            <w:rPr>
              <w:rFonts w:ascii="Times New Roman" w:hAnsi="Times New Roman" w:eastAsia="Times New Roman" w:cs="Times New Roman"/>
              <w:spacing w:val="-29"/>
              <w:sz w:val="24"/>
              <w:szCs w:val="24"/>
            </w:rPr>
            <w:fldChar w:fldCharType="end"/>
          </w:r>
        </w:p>
        <w:p w14:paraId="75227041">
          <w:pPr>
            <w:tabs>
              <w:tab w:val="right" w:leader="dot" w:pos="8502"/>
            </w:tabs>
            <w:spacing w:before="262" w:line="184" w:lineRule="auto"/>
            <w:ind w:left="1067"/>
            <w:rPr>
              <w:rFonts w:ascii="Times New Roman" w:hAnsi="Times New Roman" w:eastAsia="Times New Roman" w:cs="Times New Roman"/>
              <w:sz w:val="24"/>
              <w:szCs w:val="24"/>
            </w:rPr>
          </w:pPr>
          <w:r>
            <w:fldChar w:fldCharType="begin"/>
          </w:r>
          <w:r>
            <w:instrText xml:space="preserve"> HYPERLINK \l "bookmark4" </w:instrText>
          </w:r>
          <w:r>
            <w:fldChar w:fldCharType="separate"/>
          </w:r>
          <w:r>
            <w:rPr>
              <w:rFonts w:ascii="Times New Roman" w:hAnsi="Times New Roman" w:eastAsia="Times New Roman" w:cs="Times New Roman"/>
              <w:spacing w:val="-6"/>
              <w:sz w:val="24"/>
              <w:szCs w:val="24"/>
            </w:rPr>
            <w:t>1.2</w:t>
          </w:r>
          <w:r>
            <w:rPr>
              <w:rFonts w:ascii="宋体" w:hAnsi="宋体" w:eastAsia="宋体" w:cs="宋体"/>
              <w:spacing w:val="-6"/>
              <w:sz w:val="24"/>
              <w:szCs w:val="24"/>
            </w:rPr>
            <w:t>论证依据</w:t>
          </w:r>
          <w:r>
            <w:rPr>
              <w:rFonts w:ascii="宋体" w:hAnsi="宋体" w:eastAsia="宋体" w:cs="宋体"/>
              <w:sz w:val="24"/>
              <w:szCs w:val="24"/>
            </w:rPr>
            <w:tab/>
          </w:r>
          <w:r>
            <w:rPr>
              <w:rFonts w:ascii="Times New Roman" w:hAnsi="Times New Roman" w:eastAsia="Times New Roman" w:cs="Times New Roman"/>
              <w:spacing w:val="-10"/>
              <w:sz w:val="24"/>
              <w:szCs w:val="24"/>
            </w:rPr>
            <w:t>3</w:t>
          </w:r>
          <w:r>
            <w:rPr>
              <w:rFonts w:ascii="Times New Roman" w:hAnsi="Times New Roman" w:eastAsia="Times New Roman" w:cs="Times New Roman"/>
              <w:spacing w:val="-10"/>
              <w:sz w:val="24"/>
              <w:szCs w:val="24"/>
            </w:rPr>
            <w:fldChar w:fldCharType="end"/>
          </w:r>
        </w:p>
        <w:p w14:paraId="368CD910">
          <w:pPr>
            <w:tabs>
              <w:tab w:val="right" w:leader="dot" w:pos="8502"/>
            </w:tabs>
            <w:spacing w:before="259" w:line="184" w:lineRule="auto"/>
            <w:ind w:left="1067"/>
            <w:rPr>
              <w:rFonts w:ascii="Times New Roman" w:hAnsi="Times New Roman" w:eastAsia="Times New Roman" w:cs="Times New Roman"/>
              <w:sz w:val="24"/>
              <w:szCs w:val="24"/>
            </w:rPr>
          </w:pPr>
          <w:r>
            <w:fldChar w:fldCharType="begin"/>
          </w:r>
          <w:r>
            <w:instrText xml:space="preserve"> HYPERLINK \l "bookmark5" </w:instrText>
          </w:r>
          <w:r>
            <w:fldChar w:fldCharType="separate"/>
          </w:r>
          <w:r>
            <w:rPr>
              <w:rFonts w:ascii="Times New Roman" w:hAnsi="Times New Roman" w:eastAsia="Times New Roman" w:cs="Times New Roman"/>
              <w:spacing w:val="-6"/>
              <w:sz w:val="24"/>
              <w:szCs w:val="24"/>
            </w:rPr>
            <w:t>1.3</w:t>
          </w:r>
          <w:r>
            <w:rPr>
              <w:rFonts w:ascii="宋体" w:hAnsi="宋体" w:eastAsia="宋体" w:cs="宋体"/>
              <w:spacing w:val="-6"/>
              <w:sz w:val="24"/>
              <w:szCs w:val="24"/>
            </w:rPr>
            <w:t>论证原则</w:t>
          </w:r>
          <w:r>
            <w:rPr>
              <w:rFonts w:ascii="宋体" w:hAnsi="宋体" w:eastAsia="宋体" w:cs="宋体"/>
              <w:sz w:val="24"/>
              <w:szCs w:val="24"/>
            </w:rPr>
            <w:tab/>
          </w:r>
          <w:r>
            <w:rPr>
              <w:rFonts w:ascii="Times New Roman" w:hAnsi="Times New Roman" w:eastAsia="Times New Roman" w:cs="Times New Roman"/>
              <w:spacing w:val="-12"/>
              <w:sz w:val="24"/>
              <w:szCs w:val="24"/>
            </w:rPr>
            <w:t>5</w:t>
          </w:r>
          <w:r>
            <w:rPr>
              <w:rFonts w:ascii="Times New Roman" w:hAnsi="Times New Roman" w:eastAsia="Times New Roman" w:cs="Times New Roman"/>
              <w:spacing w:val="-12"/>
              <w:sz w:val="24"/>
              <w:szCs w:val="24"/>
            </w:rPr>
            <w:fldChar w:fldCharType="end"/>
          </w:r>
        </w:p>
        <w:p w14:paraId="10D3EE3E">
          <w:pPr>
            <w:tabs>
              <w:tab w:val="right" w:leader="dot" w:pos="8502"/>
            </w:tabs>
            <w:spacing w:before="260" w:line="184" w:lineRule="auto"/>
            <w:ind w:left="1067"/>
            <w:rPr>
              <w:rFonts w:ascii="Times New Roman" w:hAnsi="Times New Roman" w:eastAsia="Times New Roman" w:cs="Times New Roman"/>
              <w:sz w:val="24"/>
              <w:szCs w:val="24"/>
            </w:rPr>
          </w:pPr>
          <w:r>
            <w:fldChar w:fldCharType="begin"/>
          </w:r>
          <w:r>
            <w:instrText xml:space="preserve"> HYPERLINK \l "bookmark6" </w:instrText>
          </w:r>
          <w:r>
            <w:fldChar w:fldCharType="separate"/>
          </w:r>
          <w:r>
            <w:rPr>
              <w:rFonts w:ascii="Times New Roman" w:hAnsi="Times New Roman" w:eastAsia="Times New Roman" w:cs="Times New Roman"/>
              <w:spacing w:val="-6"/>
              <w:sz w:val="24"/>
              <w:szCs w:val="24"/>
            </w:rPr>
            <w:t>1.4</w:t>
          </w:r>
          <w:r>
            <w:rPr>
              <w:rFonts w:ascii="宋体" w:hAnsi="宋体" w:eastAsia="宋体" w:cs="宋体"/>
              <w:spacing w:val="-6"/>
              <w:sz w:val="24"/>
              <w:szCs w:val="24"/>
            </w:rPr>
            <w:t>论证范围</w:t>
          </w:r>
          <w:r>
            <w:rPr>
              <w:rFonts w:ascii="宋体" w:hAnsi="宋体" w:eastAsia="宋体" w:cs="宋体"/>
              <w:sz w:val="24"/>
              <w:szCs w:val="24"/>
            </w:rPr>
            <w:tab/>
          </w:r>
          <w:r>
            <w:rPr>
              <w:rFonts w:ascii="Times New Roman" w:hAnsi="Times New Roman" w:eastAsia="Times New Roman" w:cs="Times New Roman"/>
              <w:spacing w:val="-11"/>
              <w:sz w:val="24"/>
              <w:szCs w:val="24"/>
            </w:rPr>
            <w:t>6</w:t>
          </w:r>
          <w:r>
            <w:rPr>
              <w:rFonts w:ascii="Times New Roman" w:hAnsi="Times New Roman" w:eastAsia="Times New Roman" w:cs="Times New Roman"/>
              <w:spacing w:val="-11"/>
              <w:sz w:val="24"/>
              <w:szCs w:val="24"/>
            </w:rPr>
            <w:fldChar w:fldCharType="end"/>
          </w:r>
        </w:p>
        <w:p w14:paraId="1E0F3B31">
          <w:pPr>
            <w:tabs>
              <w:tab w:val="right" w:leader="dot" w:pos="8502"/>
            </w:tabs>
            <w:spacing w:before="263" w:line="184" w:lineRule="auto"/>
            <w:ind w:left="1067"/>
            <w:rPr>
              <w:rFonts w:ascii="Times New Roman" w:hAnsi="Times New Roman" w:eastAsia="Times New Roman" w:cs="Times New Roman"/>
              <w:sz w:val="24"/>
              <w:szCs w:val="24"/>
            </w:rPr>
          </w:pPr>
          <w:r>
            <w:fldChar w:fldCharType="begin"/>
          </w:r>
          <w:r>
            <w:instrText xml:space="preserve"> HYPERLINK \l "bookmark7" </w:instrText>
          </w:r>
          <w:r>
            <w:fldChar w:fldCharType="separate"/>
          </w:r>
          <w:r>
            <w:rPr>
              <w:rFonts w:ascii="Times New Roman" w:hAnsi="Times New Roman" w:eastAsia="Times New Roman" w:cs="Times New Roman"/>
              <w:spacing w:val="-3"/>
              <w:sz w:val="24"/>
              <w:szCs w:val="24"/>
            </w:rPr>
            <w:t>1.5</w:t>
          </w:r>
          <w:r>
            <w:rPr>
              <w:rFonts w:ascii="宋体" w:hAnsi="宋体" w:eastAsia="宋体" w:cs="宋体"/>
              <w:spacing w:val="-3"/>
              <w:sz w:val="24"/>
              <w:szCs w:val="24"/>
            </w:rPr>
            <w:t>论证工作程序</w:t>
          </w:r>
          <w:r>
            <w:rPr>
              <w:rFonts w:ascii="宋体" w:hAnsi="宋体" w:eastAsia="宋体" w:cs="宋体"/>
              <w:sz w:val="24"/>
              <w:szCs w:val="24"/>
            </w:rPr>
            <w:tab/>
          </w:r>
          <w:r>
            <w:rPr>
              <w:rFonts w:ascii="Times New Roman" w:hAnsi="Times New Roman" w:eastAsia="Times New Roman" w:cs="Times New Roman"/>
              <w:spacing w:val="-9"/>
              <w:sz w:val="24"/>
              <w:szCs w:val="24"/>
            </w:rPr>
            <w:t>7</w:t>
          </w:r>
          <w:r>
            <w:rPr>
              <w:rFonts w:ascii="Times New Roman" w:hAnsi="Times New Roman" w:eastAsia="Times New Roman" w:cs="Times New Roman"/>
              <w:spacing w:val="-9"/>
              <w:sz w:val="24"/>
              <w:szCs w:val="24"/>
            </w:rPr>
            <w:fldChar w:fldCharType="end"/>
          </w:r>
        </w:p>
        <w:p w14:paraId="4BB39ECE">
          <w:pPr>
            <w:tabs>
              <w:tab w:val="right" w:leader="dot" w:pos="8502"/>
            </w:tabs>
            <w:spacing w:before="260" w:line="184" w:lineRule="auto"/>
            <w:ind w:left="1067"/>
            <w:rPr>
              <w:rFonts w:ascii="Times New Roman" w:hAnsi="Times New Roman" w:eastAsia="Times New Roman" w:cs="Times New Roman"/>
              <w:sz w:val="24"/>
              <w:szCs w:val="24"/>
            </w:rPr>
          </w:pPr>
          <w:r>
            <w:fldChar w:fldCharType="begin"/>
          </w:r>
          <w:r>
            <w:instrText xml:space="preserve"> HYPERLINK \l "bookmark8" </w:instrText>
          </w:r>
          <w:r>
            <w:fldChar w:fldCharType="separate"/>
          </w:r>
          <w:r>
            <w:rPr>
              <w:rFonts w:ascii="Times New Roman" w:hAnsi="Times New Roman" w:eastAsia="Times New Roman" w:cs="Times New Roman"/>
              <w:spacing w:val="-3"/>
              <w:sz w:val="24"/>
              <w:szCs w:val="24"/>
            </w:rPr>
            <w:t>1.6</w:t>
          </w:r>
          <w:r>
            <w:rPr>
              <w:rFonts w:ascii="宋体" w:hAnsi="宋体" w:eastAsia="宋体" w:cs="宋体"/>
              <w:spacing w:val="-3"/>
              <w:sz w:val="24"/>
              <w:szCs w:val="24"/>
            </w:rPr>
            <w:t>论证的主要内容</w:t>
          </w:r>
          <w:r>
            <w:rPr>
              <w:rFonts w:ascii="宋体" w:hAnsi="宋体" w:eastAsia="宋体" w:cs="宋体"/>
              <w:sz w:val="24"/>
              <w:szCs w:val="24"/>
            </w:rPr>
            <w:tab/>
          </w:r>
          <w:r>
            <w:rPr>
              <w:rFonts w:ascii="Times New Roman" w:hAnsi="Times New Roman" w:eastAsia="Times New Roman" w:cs="Times New Roman"/>
              <w:spacing w:val="-10"/>
              <w:sz w:val="24"/>
              <w:szCs w:val="24"/>
            </w:rPr>
            <w:t>9</w:t>
          </w:r>
          <w:r>
            <w:rPr>
              <w:rFonts w:ascii="Times New Roman" w:hAnsi="Times New Roman" w:eastAsia="Times New Roman" w:cs="Times New Roman"/>
              <w:spacing w:val="-10"/>
              <w:sz w:val="24"/>
              <w:szCs w:val="24"/>
            </w:rPr>
            <w:fldChar w:fldCharType="end"/>
          </w:r>
        </w:p>
        <w:p w14:paraId="5989B0A5">
          <w:pPr>
            <w:tabs>
              <w:tab w:val="right" w:leader="dot" w:pos="8502"/>
            </w:tabs>
            <w:spacing w:before="260" w:line="184" w:lineRule="auto"/>
            <w:ind w:left="486"/>
            <w:rPr>
              <w:rFonts w:ascii="Times New Roman" w:hAnsi="Times New Roman" w:eastAsia="Times New Roman" w:cs="Times New Roman"/>
              <w:sz w:val="24"/>
              <w:szCs w:val="24"/>
            </w:rPr>
          </w:pPr>
          <w:r>
            <w:fldChar w:fldCharType="begin"/>
          </w:r>
          <w:r>
            <w:instrText xml:space="preserve"> HYPERLINK \l "bookmark9" </w:instrText>
          </w:r>
          <w:r>
            <w:fldChar w:fldCharType="separate"/>
          </w:r>
          <w:r>
            <w:rPr>
              <w:rFonts w:ascii="Times New Roman" w:hAnsi="Times New Roman" w:eastAsia="Times New Roman" w:cs="Times New Roman"/>
              <w:b/>
              <w:bCs/>
              <w:spacing w:val="-5"/>
              <w:sz w:val="24"/>
              <w:szCs w:val="24"/>
            </w:rPr>
            <w:t>2</w:t>
          </w:r>
          <w:r>
            <w:rPr>
              <w:rFonts w:ascii="宋体" w:hAnsi="宋体" w:eastAsia="宋体" w:cs="宋体"/>
              <w:b/>
              <w:bCs/>
              <w:spacing w:val="-5"/>
              <w:sz w:val="24"/>
              <w:szCs w:val="24"/>
            </w:rPr>
            <w:t>责任主体基本情况</w:t>
          </w:r>
          <w:r>
            <w:rPr>
              <w:rFonts w:ascii="宋体" w:hAnsi="宋体" w:eastAsia="宋体" w:cs="宋体"/>
              <w:b/>
              <w:bCs/>
              <w:sz w:val="24"/>
              <w:szCs w:val="24"/>
            </w:rPr>
            <w:tab/>
          </w:r>
          <w:r>
            <w:rPr>
              <w:rFonts w:ascii="Times New Roman" w:hAnsi="Times New Roman" w:eastAsia="Times New Roman" w:cs="Times New Roman"/>
              <w:b/>
              <w:bCs/>
              <w:spacing w:val="3"/>
              <w:sz w:val="24"/>
              <w:szCs w:val="24"/>
            </w:rPr>
            <w:t>10</w:t>
          </w:r>
          <w:r>
            <w:rPr>
              <w:rFonts w:ascii="Times New Roman" w:hAnsi="Times New Roman" w:eastAsia="Times New Roman" w:cs="Times New Roman"/>
              <w:b/>
              <w:bCs/>
              <w:spacing w:val="3"/>
              <w:sz w:val="24"/>
              <w:szCs w:val="24"/>
            </w:rPr>
            <w:fldChar w:fldCharType="end"/>
          </w:r>
        </w:p>
        <w:p w14:paraId="6E52EC74">
          <w:pPr>
            <w:tabs>
              <w:tab w:val="right" w:leader="dot" w:pos="8502"/>
            </w:tabs>
            <w:spacing w:before="262" w:line="184" w:lineRule="auto"/>
            <w:ind w:left="1044"/>
            <w:rPr>
              <w:rFonts w:ascii="Times New Roman" w:hAnsi="Times New Roman" w:eastAsia="Times New Roman" w:cs="Times New Roman"/>
              <w:sz w:val="24"/>
              <w:szCs w:val="24"/>
            </w:rPr>
          </w:pPr>
          <w:r>
            <w:fldChar w:fldCharType="begin"/>
          </w:r>
          <w:r>
            <w:instrText xml:space="preserve"> HYPERLINK \l "bookmark10" </w:instrText>
          </w:r>
          <w:r>
            <w:fldChar w:fldCharType="separate"/>
          </w:r>
          <w:r>
            <w:rPr>
              <w:rFonts w:ascii="Times New Roman" w:hAnsi="Times New Roman" w:eastAsia="Times New Roman" w:cs="Times New Roman"/>
              <w:spacing w:val="-2"/>
              <w:sz w:val="24"/>
              <w:szCs w:val="24"/>
            </w:rPr>
            <w:t>2.1</w:t>
          </w:r>
          <w:r>
            <w:rPr>
              <w:rFonts w:ascii="宋体" w:hAnsi="宋体" w:eastAsia="宋体" w:cs="宋体"/>
              <w:spacing w:val="-2"/>
              <w:sz w:val="24"/>
              <w:szCs w:val="24"/>
            </w:rPr>
            <w:t>责任主体名称、单位性质、地址</w:t>
          </w:r>
          <w:r>
            <w:rPr>
              <w:rFonts w:ascii="宋体" w:hAnsi="宋体" w:eastAsia="宋体" w:cs="宋体"/>
              <w:sz w:val="24"/>
              <w:szCs w:val="24"/>
            </w:rPr>
            <w:tab/>
          </w:r>
          <w:r>
            <w:rPr>
              <w:rFonts w:ascii="Times New Roman" w:hAnsi="Times New Roman" w:eastAsia="Times New Roman" w:cs="Times New Roman"/>
              <w:spacing w:val="-16"/>
              <w:sz w:val="24"/>
              <w:szCs w:val="24"/>
            </w:rPr>
            <w:t>1</w:t>
          </w:r>
          <w:r>
            <w:rPr>
              <w:rFonts w:ascii="Times New Roman" w:hAnsi="Times New Roman" w:eastAsia="Times New Roman" w:cs="Times New Roman"/>
              <w:spacing w:val="-14"/>
              <w:sz w:val="24"/>
              <w:szCs w:val="24"/>
            </w:rPr>
            <w:t>0</w:t>
          </w:r>
          <w:r>
            <w:rPr>
              <w:rFonts w:ascii="Times New Roman" w:hAnsi="Times New Roman" w:eastAsia="Times New Roman" w:cs="Times New Roman"/>
              <w:spacing w:val="-14"/>
              <w:sz w:val="24"/>
              <w:szCs w:val="24"/>
            </w:rPr>
            <w:fldChar w:fldCharType="end"/>
          </w:r>
        </w:p>
        <w:p w14:paraId="04C80EE5">
          <w:pPr>
            <w:tabs>
              <w:tab w:val="right" w:leader="dot" w:pos="8502"/>
            </w:tabs>
            <w:spacing w:before="260" w:line="184" w:lineRule="auto"/>
            <w:ind w:left="1044"/>
            <w:rPr>
              <w:rFonts w:ascii="Times New Roman" w:hAnsi="Times New Roman" w:eastAsia="Times New Roman" w:cs="Times New Roman"/>
              <w:sz w:val="24"/>
              <w:szCs w:val="24"/>
            </w:rPr>
          </w:pPr>
          <w:r>
            <w:fldChar w:fldCharType="begin"/>
          </w:r>
          <w:r>
            <w:instrText xml:space="preserve"> HYPERLINK \l "bookmark11" </w:instrText>
          </w:r>
          <w:r>
            <w:fldChar w:fldCharType="separate"/>
          </w:r>
          <w:r>
            <w:rPr>
              <w:rFonts w:ascii="Times New Roman" w:hAnsi="Times New Roman" w:eastAsia="Times New Roman" w:cs="Times New Roman"/>
              <w:spacing w:val="-2"/>
              <w:sz w:val="24"/>
              <w:szCs w:val="24"/>
            </w:rPr>
            <w:t>2.2</w:t>
          </w:r>
          <w:r>
            <w:rPr>
              <w:rFonts w:ascii="宋体" w:hAnsi="宋体" w:eastAsia="宋体" w:cs="宋体"/>
              <w:spacing w:val="-2"/>
              <w:sz w:val="24"/>
              <w:szCs w:val="24"/>
            </w:rPr>
            <w:t>责任主体生产经营状况</w:t>
          </w:r>
          <w:r>
            <w:rPr>
              <w:rFonts w:ascii="宋体" w:hAnsi="宋体" w:eastAsia="宋体" w:cs="宋体"/>
              <w:sz w:val="24"/>
              <w:szCs w:val="24"/>
            </w:rPr>
            <w:tab/>
          </w:r>
          <w:r>
            <w:rPr>
              <w:rFonts w:ascii="Times New Roman" w:hAnsi="Times New Roman" w:eastAsia="Times New Roman" w:cs="Times New Roman"/>
              <w:spacing w:val="-16"/>
              <w:sz w:val="24"/>
              <w:szCs w:val="24"/>
            </w:rPr>
            <w:t>1</w:t>
          </w:r>
          <w:r>
            <w:rPr>
              <w:rFonts w:ascii="Times New Roman" w:hAnsi="Times New Roman" w:eastAsia="Times New Roman" w:cs="Times New Roman"/>
              <w:spacing w:val="-14"/>
              <w:sz w:val="24"/>
              <w:szCs w:val="24"/>
            </w:rPr>
            <w:t>0</w:t>
          </w:r>
          <w:r>
            <w:rPr>
              <w:rFonts w:ascii="Times New Roman" w:hAnsi="Times New Roman" w:eastAsia="Times New Roman" w:cs="Times New Roman"/>
              <w:spacing w:val="-14"/>
              <w:sz w:val="24"/>
              <w:szCs w:val="24"/>
            </w:rPr>
            <w:fldChar w:fldCharType="end"/>
          </w:r>
        </w:p>
        <w:p w14:paraId="7157BA2A">
          <w:pPr>
            <w:tabs>
              <w:tab w:val="right" w:leader="dot" w:pos="8507"/>
            </w:tabs>
            <w:spacing w:before="260" w:line="184" w:lineRule="auto"/>
            <w:ind w:left="484"/>
            <w:rPr>
              <w:rFonts w:ascii="Times New Roman" w:hAnsi="Times New Roman" w:eastAsia="Times New Roman" w:cs="Times New Roman"/>
              <w:sz w:val="24"/>
              <w:szCs w:val="24"/>
            </w:rPr>
          </w:pPr>
          <w:r>
            <w:fldChar w:fldCharType="begin"/>
          </w:r>
          <w:r>
            <w:instrText xml:space="preserve"> HYPERLINK \l "bookmark12" </w:instrText>
          </w:r>
          <w:r>
            <w:fldChar w:fldCharType="separate"/>
          </w:r>
          <w:r>
            <w:rPr>
              <w:rFonts w:ascii="Times New Roman" w:hAnsi="Times New Roman" w:eastAsia="Times New Roman" w:cs="Times New Roman"/>
              <w:b/>
              <w:bCs/>
              <w:spacing w:val="-2"/>
              <w:sz w:val="24"/>
              <w:szCs w:val="24"/>
            </w:rPr>
            <w:t>3</w:t>
          </w:r>
          <w:r>
            <w:rPr>
              <w:rFonts w:ascii="宋体" w:hAnsi="宋体" w:eastAsia="宋体" w:cs="宋体"/>
              <w:b/>
              <w:bCs/>
              <w:spacing w:val="-2"/>
              <w:sz w:val="24"/>
              <w:szCs w:val="24"/>
            </w:rPr>
            <w:t>建设项目基本情况及产排污分析</w:t>
          </w:r>
          <w:r>
            <w:rPr>
              <w:rFonts w:ascii="宋体" w:hAnsi="宋体" w:eastAsia="宋体" w:cs="宋体"/>
              <w:sz w:val="24"/>
              <w:szCs w:val="24"/>
            </w:rPr>
            <w:tab/>
          </w:r>
          <w:r>
            <w:rPr>
              <w:rFonts w:ascii="Times New Roman" w:hAnsi="Times New Roman" w:eastAsia="Times New Roman" w:cs="Times New Roman"/>
              <w:b/>
              <w:bCs/>
              <w:spacing w:val="2"/>
              <w:sz w:val="24"/>
              <w:szCs w:val="24"/>
            </w:rPr>
            <w:t>11</w:t>
          </w:r>
          <w:r>
            <w:rPr>
              <w:rFonts w:ascii="Times New Roman" w:hAnsi="Times New Roman" w:eastAsia="Times New Roman" w:cs="Times New Roman"/>
              <w:b/>
              <w:bCs/>
              <w:spacing w:val="2"/>
              <w:sz w:val="24"/>
              <w:szCs w:val="24"/>
            </w:rPr>
            <w:fldChar w:fldCharType="end"/>
          </w:r>
        </w:p>
        <w:p w14:paraId="14BB0B2A">
          <w:pPr>
            <w:tabs>
              <w:tab w:val="right" w:leader="dot" w:pos="8507"/>
            </w:tabs>
            <w:spacing w:before="262" w:line="184" w:lineRule="auto"/>
            <w:ind w:left="1049"/>
            <w:rPr>
              <w:rFonts w:ascii="Times New Roman" w:hAnsi="Times New Roman" w:eastAsia="Times New Roman" w:cs="Times New Roman"/>
              <w:sz w:val="24"/>
              <w:szCs w:val="24"/>
            </w:rPr>
          </w:pPr>
          <w:r>
            <w:fldChar w:fldCharType="begin"/>
          </w:r>
          <w:r>
            <w:instrText xml:space="preserve"> HYPERLINK \l "bookmark13" </w:instrText>
          </w:r>
          <w:r>
            <w:fldChar w:fldCharType="separate"/>
          </w:r>
          <w:r>
            <w:rPr>
              <w:rFonts w:ascii="Times New Roman" w:hAnsi="Times New Roman" w:eastAsia="Times New Roman" w:cs="Times New Roman"/>
              <w:spacing w:val="-2"/>
              <w:sz w:val="24"/>
              <w:szCs w:val="24"/>
            </w:rPr>
            <w:t>3.1</w:t>
          </w:r>
          <w:r>
            <w:rPr>
              <w:rFonts w:ascii="宋体" w:hAnsi="宋体" w:eastAsia="宋体" w:cs="宋体"/>
              <w:spacing w:val="-2"/>
              <w:sz w:val="24"/>
              <w:szCs w:val="24"/>
            </w:rPr>
            <w:t>隆回县工业污水处理厂（二期）工程基本情况</w:t>
          </w:r>
          <w:r>
            <w:rPr>
              <w:rFonts w:ascii="宋体" w:hAnsi="宋体" w:eastAsia="宋体" w:cs="宋体"/>
              <w:sz w:val="24"/>
              <w:szCs w:val="24"/>
            </w:rPr>
            <w:tab/>
          </w:r>
          <w:r>
            <w:rPr>
              <w:rFonts w:ascii="Times New Roman" w:hAnsi="Times New Roman" w:eastAsia="Times New Roman" w:cs="Times New Roman"/>
              <w:spacing w:val="-2"/>
              <w:sz w:val="24"/>
              <w:szCs w:val="24"/>
            </w:rPr>
            <w:t>11</w:t>
          </w:r>
          <w:r>
            <w:rPr>
              <w:rFonts w:ascii="Times New Roman" w:hAnsi="Times New Roman" w:eastAsia="Times New Roman" w:cs="Times New Roman"/>
              <w:spacing w:val="-2"/>
              <w:sz w:val="24"/>
              <w:szCs w:val="24"/>
            </w:rPr>
            <w:fldChar w:fldCharType="end"/>
          </w:r>
        </w:p>
        <w:p w14:paraId="01AF177D">
          <w:pPr>
            <w:tabs>
              <w:tab w:val="right" w:leader="dot" w:pos="8502"/>
            </w:tabs>
            <w:spacing w:before="260" w:line="184" w:lineRule="auto"/>
            <w:ind w:left="1049"/>
            <w:rPr>
              <w:rFonts w:ascii="Times New Roman" w:hAnsi="Times New Roman" w:eastAsia="Times New Roman" w:cs="Times New Roman"/>
              <w:sz w:val="24"/>
              <w:szCs w:val="24"/>
            </w:rPr>
          </w:pPr>
          <w:r>
            <w:fldChar w:fldCharType="begin"/>
          </w:r>
          <w:r>
            <w:instrText xml:space="preserve"> HYPERLINK \l "bookmark14" </w:instrText>
          </w:r>
          <w:r>
            <w:fldChar w:fldCharType="separate"/>
          </w:r>
          <w:r>
            <w:rPr>
              <w:rFonts w:ascii="Times New Roman" w:hAnsi="Times New Roman" w:eastAsia="Times New Roman" w:cs="Times New Roman"/>
              <w:spacing w:val="-2"/>
              <w:sz w:val="24"/>
              <w:szCs w:val="24"/>
            </w:rPr>
            <w:t>3.2</w:t>
          </w:r>
          <w:r>
            <w:rPr>
              <w:rFonts w:ascii="宋体" w:hAnsi="宋体" w:eastAsia="宋体" w:cs="宋体"/>
              <w:spacing w:val="-2"/>
              <w:sz w:val="24"/>
              <w:szCs w:val="24"/>
            </w:rPr>
            <w:t>隆回县工业污水处理厂（一期）项目概况</w:t>
          </w:r>
          <w:r>
            <w:rPr>
              <w:rFonts w:ascii="宋体" w:hAnsi="宋体" w:eastAsia="宋体" w:cs="宋体"/>
              <w:sz w:val="24"/>
              <w:szCs w:val="24"/>
            </w:rPr>
            <w:tab/>
          </w:r>
          <w:r>
            <w:rPr>
              <w:rFonts w:ascii="Times New Roman" w:hAnsi="Times New Roman" w:eastAsia="Times New Roman" w:cs="Times New Roman"/>
              <w:spacing w:val="-15"/>
              <w:sz w:val="24"/>
              <w:szCs w:val="24"/>
            </w:rPr>
            <w:t>15</w:t>
          </w:r>
          <w:r>
            <w:rPr>
              <w:rFonts w:ascii="Times New Roman" w:hAnsi="Times New Roman" w:eastAsia="Times New Roman" w:cs="Times New Roman"/>
              <w:spacing w:val="-15"/>
              <w:sz w:val="24"/>
              <w:szCs w:val="24"/>
            </w:rPr>
            <w:fldChar w:fldCharType="end"/>
          </w:r>
        </w:p>
        <w:p w14:paraId="2BD5EEAA">
          <w:pPr>
            <w:tabs>
              <w:tab w:val="right" w:leader="dot" w:pos="8502"/>
            </w:tabs>
            <w:spacing w:before="260" w:line="184" w:lineRule="auto"/>
            <w:ind w:left="1049"/>
            <w:rPr>
              <w:rFonts w:ascii="Times New Roman" w:hAnsi="Times New Roman" w:eastAsia="Times New Roman" w:cs="Times New Roman"/>
              <w:sz w:val="24"/>
              <w:szCs w:val="24"/>
            </w:rPr>
          </w:pPr>
          <w:r>
            <w:fldChar w:fldCharType="begin"/>
          </w:r>
          <w:r>
            <w:instrText xml:space="preserve"> HYPERLINK \l "bookmark15" </w:instrText>
          </w:r>
          <w:r>
            <w:fldChar w:fldCharType="separate"/>
          </w:r>
          <w:r>
            <w:rPr>
              <w:rFonts w:ascii="Times New Roman" w:hAnsi="Times New Roman" w:eastAsia="Times New Roman" w:cs="Times New Roman"/>
              <w:spacing w:val="-3"/>
              <w:sz w:val="24"/>
              <w:szCs w:val="24"/>
            </w:rPr>
            <w:t>3.3</w:t>
          </w:r>
          <w:r>
            <w:rPr>
              <w:rFonts w:ascii="宋体" w:hAnsi="宋体" w:eastAsia="宋体" w:cs="宋体"/>
              <w:spacing w:val="-3"/>
              <w:sz w:val="24"/>
              <w:szCs w:val="24"/>
            </w:rPr>
            <w:t>隆回县华茂污水处理厂项目概况</w:t>
          </w:r>
          <w:r>
            <w:rPr>
              <w:rFonts w:ascii="宋体" w:hAnsi="宋体" w:eastAsia="宋体" w:cs="宋体"/>
              <w:sz w:val="24"/>
              <w:szCs w:val="24"/>
            </w:rPr>
            <w:tab/>
          </w:r>
          <w:r>
            <w:rPr>
              <w:rFonts w:ascii="Times New Roman" w:hAnsi="Times New Roman" w:eastAsia="Times New Roman" w:cs="Times New Roman"/>
              <w:spacing w:val="-15"/>
              <w:sz w:val="24"/>
              <w:szCs w:val="24"/>
            </w:rPr>
            <w:t>19</w:t>
          </w:r>
          <w:r>
            <w:rPr>
              <w:rFonts w:ascii="Times New Roman" w:hAnsi="Times New Roman" w:eastAsia="Times New Roman" w:cs="Times New Roman"/>
              <w:spacing w:val="-15"/>
              <w:sz w:val="24"/>
              <w:szCs w:val="24"/>
            </w:rPr>
            <w:fldChar w:fldCharType="end"/>
          </w:r>
        </w:p>
        <w:p w14:paraId="21196FD0">
          <w:pPr>
            <w:tabs>
              <w:tab w:val="right" w:leader="dot" w:pos="8502"/>
            </w:tabs>
            <w:spacing w:before="263" w:line="184" w:lineRule="auto"/>
            <w:ind w:left="1049"/>
            <w:rPr>
              <w:rFonts w:ascii="Times New Roman" w:hAnsi="Times New Roman" w:eastAsia="Times New Roman" w:cs="Times New Roman"/>
              <w:sz w:val="24"/>
              <w:szCs w:val="24"/>
            </w:rPr>
          </w:pPr>
          <w:r>
            <w:fldChar w:fldCharType="begin"/>
          </w:r>
          <w:r>
            <w:instrText xml:space="preserve"> HYPERLINK \l "bookmark16" </w:instrText>
          </w:r>
          <w:r>
            <w:fldChar w:fldCharType="separate"/>
          </w:r>
          <w:r>
            <w:rPr>
              <w:rFonts w:ascii="Times New Roman" w:hAnsi="Times New Roman" w:eastAsia="Times New Roman" w:cs="Times New Roman"/>
              <w:spacing w:val="-1"/>
              <w:sz w:val="24"/>
              <w:szCs w:val="24"/>
            </w:rPr>
            <w:t>3.4</w:t>
          </w:r>
          <w:r>
            <w:rPr>
              <w:rFonts w:ascii="宋体" w:hAnsi="宋体" w:eastAsia="宋体" w:cs="宋体"/>
              <w:spacing w:val="-1"/>
              <w:sz w:val="24"/>
              <w:szCs w:val="24"/>
            </w:rPr>
            <w:t>项目所在区域概况</w:t>
          </w:r>
          <w:r>
            <w:rPr>
              <w:rFonts w:ascii="宋体" w:hAnsi="宋体" w:eastAsia="宋体" w:cs="宋体"/>
              <w:sz w:val="24"/>
              <w:szCs w:val="24"/>
            </w:rPr>
            <w:tab/>
          </w:r>
          <w:r>
            <w:rPr>
              <w:rFonts w:ascii="Times New Roman" w:hAnsi="Times New Roman" w:eastAsia="Times New Roman" w:cs="Times New Roman"/>
              <w:spacing w:val="-3"/>
              <w:sz w:val="24"/>
              <w:szCs w:val="24"/>
            </w:rPr>
            <w:t>22</w:t>
          </w:r>
          <w:r>
            <w:rPr>
              <w:rFonts w:ascii="Times New Roman" w:hAnsi="Times New Roman" w:eastAsia="Times New Roman" w:cs="Times New Roman"/>
              <w:spacing w:val="-3"/>
              <w:sz w:val="24"/>
              <w:szCs w:val="24"/>
            </w:rPr>
            <w:fldChar w:fldCharType="end"/>
          </w:r>
        </w:p>
        <w:p w14:paraId="17B56EAF">
          <w:pPr>
            <w:tabs>
              <w:tab w:val="right" w:leader="dot" w:pos="8502"/>
            </w:tabs>
            <w:spacing w:before="260" w:line="184" w:lineRule="auto"/>
            <w:ind w:left="1049"/>
            <w:rPr>
              <w:rFonts w:ascii="Times New Roman" w:hAnsi="Times New Roman" w:eastAsia="Times New Roman" w:cs="Times New Roman"/>
              <w:sz w:val="24"/>
              <w:szCs w:val="24"/>
            </w:rPr>
          </w:pPr>
          <w:r>
            <w:fldChar w:fldCharType="begin"/>
          </w:r>
          <w:r>
            <w:instrText xml:space="preserve"> HYPERLINK \l "bookmark17" </w:instrText>
          </w:r>
          <w:r>
            <w:fldChar w:fldCharType="separate"/>
          </w:r>
          <w:r>
            <w:rPr>
              <w:rFonts w:ascii="Times New Roman" w:hAnsi="Times New Roman" w:eastAsia="Times New Roman" w:cs="Times New Roman"/>
              <w:spacing w:val="-1"/>
              <w:sz w:val="24"/>
              <w:szCs w:val="24"/>
            </w:rPr>
            <w:t>3.5</w:t>
          </w:r>
          <w:r>
            <w:rPr>
              <w:rFonts w:ascii="宋体" w:hAnsi="宋体" w:eastAsia="宋体" w:cs="宋体"/>
              <w:spacing w:val="-1"/>
              <w:sz w:val="24"/>
              <w:szCs w:val="24"/>
            </w:rPr>
            <w:t>建设项目水平衡及废污水排放分析</w:t>
          </w:r>
          <w:r>
            <w:rPr>
              <w:rFonts w:ascii="宋体" w:hAnsi="宋体" w:eastAsia="宋体" w:cs="宋体"/>
              <w:sz w:val="24"/>
              <w:szCs w:val="24"/>
            </w:rPr>
            <w:tab/>
          </w:r>
          <w:r>
            <w:rPr>
              <w:rFonts w:ascii="Times New Roman" w:hAnsi="Times New Roman" w:eastAsia="Times New Roman" w:cs="Times New Roman"/>
              <w:spacing w:val="-5"/>
              <w:sz w:val="24"/>
              <w:szCs w:val="24"/>
            </w:rPr>
            <w:t>3</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5"/>
              <w:sz w:val="24"/>
              <w:szCs w:val="24"/>
            </w:rPr>
            <w:t>3</w:t>
          </w:r>
        </w:p>
        <w:p w14:paraId="20F03CA8">
          <w:pPr>
            <w:tabs>
              <w:tab w:val="right" w:leader="dot" w:pos="8502"/>
            </w:tabs>
            <w:spacing w:before="260" w:line="184" w:lineRule="auto"/>
            <w:ind w:left="486"/>
            <w:rPr>
              <w:rFonts w:ascii="Times New Roman" w:hAnsi="Times New Roman" w:eastAsia="Times New Roman" w:cs="Times New Roman"/>
              <w:sz w:val="24"/>
              <w:szCs w:val="24"/>
            </w:rPr>
          </w:pPr>
          <w:r>
            <w:fldChar w:fldCharType="begin"/>
          </w:r>
          <w:r>
            <w:instrText xml:space="preserve"> HYPERLINK \l "bookmark18" </w:instrText>
          </w:r>
          <w:r>
            <w:fldChar w:fldCharType="separate"/>
          </w:r>
          <w:r>
            <w:rPr>
              <w:rFonts w:ascii="Times New Roman" w:hAnsi="Times New Roman" w:eastAsia="Times New Roman" w:cs="Times New Roman"/>
              <w:b/>
              <w:bCs/>
              <w:spacing w:val="-2"/>
              <w:sz w:val="24"/>
              <w:szCs w:val="24"/>
            </w:rPr>
            <w:t>4</w:t>
          </w:r>
          <w:r>
            <w:rPr>
              <w:rFonts w:ascii="宋体" w:hAnsi="宋体" w:eastAsia="宋体" w:cs="宋体"/>
              <w:b/>
              <w:bCs/>
              <w:spacing w:val="-2"/>
              <w:sz w:val="24"/>
              <w:szCs w:val="24"/>
            </w:rPr>
            <w:t>水生态环境现状调查分析</w:t>
          </w:r>
          <w:r>
            <w:rPr>
              <w:rFonts w:ascii="宋体" w:hAnsi="宋体" w:eastAsia="宋体" w:cs="宋体"/>
              <w:b/>
              <w:bCs/>
              <w:sz w:val="24"/>
              <w:szCs w:val="24"/>
            </w:rPr>
            <w:tab/>
          </w:r>
          <w:r>
            <w:rPr>
              <w:rFonts w:ascii="Times New Roman" w:hAnsi="Times New Roman" w:eastAsia="Times New Roman" w:cs="Times New Roman"/>
              <w:b/>
              <w:bCs/>
              <w:spacing w:val="2"/>
              <w:sz w:val="24"/>
              <w:szCs w:val="24"/>
            </w:rPr>
            <w:t>36</w:t>
          </w:r>
          <w:r>
            <w:rPr>
              <w:rFonts w:ascii="Times New Roman" w:hAnsi="Times New Roman" w:eastAsia="Times New Roman" w:cs="Times New Roman"/>
              <w:b/>
              <w:bCs/>
              <w:spacing w:val="2"/>
              <w:sz w:val="24"/>
              <w:szCs w:val="24"/>
            </w:rPr>
            <w:fldChar w:fldCharType="end"/>
          </w:r>
        </w:p>
        <w:p w14:paraId="31E86E4C">
          <w:pPr>
            <w:tabs>
              <w:tab w:val="right" w:leader="dot" w:pos="8502"/>
            </w:tabs>
            <w:spacing w:before="262" w:line="184" w:lineRule="auto"/>
            <w:ind w:left="1043"/>
            <w:rPr>
              <w:rFonts w:ascii="Times New Roman" w:hAnsi="Times New Roman" w:eastAsia="Times New Roman" w:cs="Times New Roman"/>
              <w:sz w:val="24"/>
              <w:szCs w:val="24"/>
            </w:rPr>
          </w:pPr>
          <w:r>
            <w:fldChar w:fldCharType="begin"/>
          </w:r>
          <w:r>
            <w:instrText xml:space="preserve"> HYPERLINK \l "bookmark19" </w:instrText>
          </w:r>
          <w:r>
            <w:fldChar w:fldCharType="separate"/>
          </w:r>
          <w:r>
            <w:rPr>
              <w:rFonts w:ascii="Times New Roman" w:hAnsi="Times New Roman" w:eastAsia="Times New Roman" w:cs="Times New Roman"/>
              <w:spacing w:val="-1"/>
              <w:sz w:val="24"/>
              <w:szCs w:val="24"/>
            </w:rPr>
            <w:t>4.1</w:t>
          </w:r>
          <w:r>
            <w:rPr>
              <w:rFonts w:ascii="宋体" w:hAnsi="宋体" w:eastAsia="宋体" w:cs="宋体"/>
              <w:spacing w:val="-1"/>
              <w:sz w:val="24"/>
              <w:szCs w:val="24"/>
            </w:rPr>
            <w:t>现有入河排污口调查分析</w:t>
          </w:r>
          <w:r>
            <w:rPr>
              <w:rFonts w:ascii="宋体" w:hAnsi="宋体" w:eastAsia="宋体" w:cs="宋体"/>
              <w:sz w:val="24"/>
              <w:szCs w:val="24"/>
            </w:rPr>
            <w:tab/>
          </w:r>
          <w:r>
            <w:rPr>
              <w:rFonts w:ascii="Times New Roman" w:hAnsi="Times New Roman" w:eastAsia="Times New Roman" w:cs="Times New Roman"/>
              <w:spacing w:val="-5"/>
              <w:sz w:val="24"/>
              <w:szCs w:val="24"/>
            </w:rPr>
            <w:t>36</w:t>
          </w:r>
          <w:r>
            <w:rPr>
              <w:rFonts w:ascii="Times New Roman" w:hAnsi="Times New Roman" w:eastAsia="Times New Roman" w:cs="Times New Roman"/>
              <w:spacing w:val="-5"/>
              <w:sz w:val="24"/>
              <w:szCs w:val="24"/>
            </w:rPr>
            <w:fldChar w:fldCharType="end"/>
          </w:r>
        </w:p>
        <w:p w14:paraId="029EB8D9">
          <w:pPr>
            <w:tabs>
              <w:tab w:val="right" w:leader="dot" w:pos="8502"/>
            </w:tabs>
            <w:spacing w:before="260" w:line="184" w:lineRule="auto"/>
            <w:ind w:left="1043"/>
            <w:rPr>
              <w:rFonts w:ascii="Times New Roman" w:hAnsi="Times New Roman" w:eastAsia="Times New Roman" w:cs="Times New Roman"/>
              <w:sz w:val="24"/>
              <w:szCs w:val="24"/>
            </w:rPr>
          </w:pPr>
          <w:r>
            <w:fldChar w:fldCharType="begin"/>
          </w:r>
          <w:r>
            <w:instrText xml:space="preserve"> HYPERLINK \l "bookmark20" </w:instrText>
          </w:r>
          <w:r>
            <w:fldChar w:fldCharType="separate"/>
          </w:r>
          <w:r>
            <w:rPr>
              <w:rFonts w:ascii="Times New Roman" w:hAnsi="Times New Roman" w:eastAsia="Times New Roman" w:cs="Times New Roman"/>
              <w:spacing w:val="-1"/>
              <w:sz w:val="24"/>
              <w:szCs w:val="24"/>
            </w:rPr>
            <w:t>4.2</w:t>
          </w:r>
          <w:r>
            <w:rPr>
              <w:rFonts w:ascii="宋体" w:hAnsi="宋体" w:eastAsia="宋体" w:cs="宋体"/>
              <w:spacing w:val="-1"/>
              <w:sz w:val="24"/>
              <w:szCs w:val="24"/>
            </w:rPr>
            <w:t>水功能区现有取排水现状</w:t>
          </w:r>
          <w:r>
            <w:rPr>
              <w:rFonts w:ascii="宋体" w:hAnsi="宋体" w:eastAsia="宋体" w:cs="宋体"/>
              <w:sz w:val="24"/>
              <w:szCs w:val="24"/>
            </w:rPr>
            <w:tab/>
          </w:r>
          <w:r>
            <w:rPr>
              <w:rFonts w:ascii="Times New Roman" w:hAnsi="Times New Roman" w:eastAsia="Times New Roman" w:cs="Times New Roman"/>
              <w:spacing w:val="-5"/>
              <w:sz w:val="24"/>
              <w:szCs w:val="24"/>
            </w:rPr>
            <w:t>36</w:t>
          </w:r>
          <w:r>
            <w:rPr>
              <w:rFonts w:ascii="Times New Roman" w:hAnsi="Times New Roman" w:eastAsia="Times New Roman" w:cs="Times New Roman"/>
              <w:spacing w:val="-5"/>
              <w:sz w:val="24"/>
              <w:szCs w:val="24"/>
            </w:rPr>
            <w:fldChar w:fldCharType="end"/>
          </w:r>
        </w:p>
        <w:p w14:paraId="3B81D3D9">
          <w:pPr>
            <w:tabs>
              <w:tab w:val="right" w:leader="dot" w:pos="8502"/>
            </w:tabs>
            <w:spacing w:before="260" w:line="184" w:lineRule="auto"/>
            <w:ind w:left="1043"/>
            <w:rPr>
              <w:rFonts w:ascii="Times New Roman" w:hAnsi="Times New Roman" w:eastAsia="Times New Roman" w:cs="Times New Roman"/>
              <w:sz w:val="24"/>
              <w:szCs w:val="24"/>
            </w:rPr>
          </w:pPr>
          <w:r>
            <w:fldChar w:fldCharType="begin"/>
          </w:r>
          <w:r>
            <w:instrText xml:space="preserve"> HYPERLINK \l "bookmark21" </w:instrText>
          </w:r>
          <w:r>
            <w:fldChar w:fldCharType="separate"/>
          </w:r>
          <w:r>
            <w:rPr>
              <w:rFonts w:ascii="Times New Roman" w:hAnsi="Times New Roman" w:eastAsia="Times New Roman" w:cs="Times New Roman"/>
              <w:spacing w:val="-1"/>
              <w:sz w:val="24"/>
              <w:szCs w:val="24"/>
            </w:rPr>
            <w:t>4.3</w:t>
          </w:r>
          <w:r>
            <w:rPr>
              <w:rFonts w:ascii="宋体" w:hAnsi="宋体" w:eastAsia="宋体" w:cs="宋体"/>
              <w:spacing w:val="-1"/>
              <w:sz w:val="24"/>
              <w:szCs w:val="24"/>
            </w:rPr>
            <w:t>水环境状况调查分析</w:t>
          </w:r>
          <w:r>
            <w:rPr>
              <w:rFonts w:ascii="宋体" w:hAnsi="宋体" w:eastAsia="宋体" w:cs="宋体"/>
              <w:sz w:val="24"/>
              <w:szCs w:val="24"/>
            </w:rPr>
            <w:tab/>
          </w:r>
          <w:r>
            <w:rPr>
              <w:rFonts w:ascii="Times New Roman" w:hAnsi="Times New Roman" w:eastAsia="Times New Roman" w:cs="Times New Roman"/>
              <w:spacing w:val="-5"/>
              <w:sz w:val="24"/>
              <w:szCs w:val="24"/>
            </w:rPr>
            <w:t>36</w:t>
          </w:r>
          <w:r>
            <w:rPr>
              <w:rFonts w:ascii="Times New Roman" w:hAnsi="Times New Roman" w:eastAsia="Times New Roman" w:cs="Times New Roman"/>
              <w:spacing w:val="-5"/>
              <w:sz w:val="24"/>
              <w:szCs w:val="24"/>
            </w:rPr>
            <w:fldChar w:fldCharType="end"/>
          </w:r>
        </w:p>
        <w:p w14:paraId="4FA7820F">
          <w:pPr>
            <w:tabs>
              <w:tab w:val="right" w:leader="dot" w:pos="8502"/>
            </w:tabs>
            <w:spacing w:before="263" w:line="184" w:lineRule="auto"/>
            <w:ind w:left="1043"/>
            <w:rPr>
              <w:rFonts w:ascii="Times New Roman" w:hAnsi="Times New Roman" w:eastAsia="Times New Roman" w:cs="Times New Roman"/>
              <w:sz w:val="24"/>
              <w:szCs w:val="24"/>
            </w:rPr>
          </w:pPr>
          <w:r>
            <w:fldChar w:fldCharType="begin"/>
          </w:r>
          <w:r>
            <w:instrText xml:space="preserve"> HYPERLINK \l "bookmark22" </w:instrText>
          </w:r>
          <w:r>
            <w:fldChar w:fldCharType="separate"/>
          </w:r>
          <w:r>
            <w:rPr>
              <w:rFonts w:ascii="Times New Roman" w:hAnsi="Times New Roman" w:eastAsia="Times New Roman" w:cs="Times New Roman"/>
              <w:spacing w:val="-1"/>
              <w:sz w:val="24"/>
              <w:szCs w:val="24"/>
            </w:rPr>
            <w:t>4.4</w:t>
          </w:r>
          <w:r>
            <w:rPr>
              <w:rFonts w:ascii="宋体" w:hAnsi="宋体" w:eastAsia="宋体" w:cs="宋体"/>
              <w:spacing w:val="-1"/>
              <w:sz w:val="24"/>
              <w:szCs w:val="24"/>
            </w:rPr>
            <w:t>水生态调查分析</w:t>
          </w:r>
          <w:r>
            <w:rPr>
              <w:rFonts w:ascii="宋体" w:hAnsi="宋体" w:eastAsia="宋体" w:cs="宋体"/>
              <w:sz w:val="24"/>
              <w:szCs w:val="24"/>
            </w:rPr>
            <w:tab/>
          </w:r>
          <w:r>
            <w:rPr>
              <w:rFonts w:ascii="Times New Roman" w:hAnsi="Times New Roman" w:eastAsia="Times New Roman" w:cs="Times New Roman"/>
              <w:spacing w:val="-6"/>
              <w:sz w:val="24"/>
              <w:szCs w:val="24"/>
            </w:rPr>
            <w:t>54</w:t>
          </w:r>
          <w:r>
            <w:rPr>
              <w:rFonts w:ascii="Times New Roman" w:hAnsi="Times New Roman" w:eastAsia="Times New Roman" w:cs="Times New Roman"/>
              <w:spacing w:val="-6"/>
              <w:sz w:val="24"/>
              <w:szCs w:val="24"/>
            </w:rPr>
            <w:fldChar w:fldCharType="end"/>
          </w:r>
        </w:p>
        <w:p w14:paraId="5F5A177D">
          <w:pPr>
            <w:tabs>
              <w:tab w:val="right" w:leader="dot" w:pos="8502"/>
            </w:tabs>
            <w:spacing w:before="260" w:line="184" w:lineRule="auto"/>
            <w:ind w:left="1043"/>
            <w:rPr>
              <w:rFonts w:ascii="Times New Roman" w:hAnsi="Times New Roman" w:eastAsia="Times New Roman" w:cs="Times New Roman"/>
              <w:sz w:val="24"/>
              <w:szCs w:val="24"/>
            </w:rPr>
          </w:pPr>
          <w:r>
            <w:fldChar w:fldCharType="begin"/>
          </w:r>
          <w:r>
            <w:instrText xml:space="preserve"> HYPERLINK \l "bookmark23" </w:instrText>
          </w:r>
          <w:r>
            <w:fldChar w:fldCharType="separate"/>
          </w:r>
          <w:r>
            <w:rPr>
              <w:rFonts w:ascii="Times New Roman" w:hAnsi="Times New Roman" w:eastAsia="Times New Roman" w:cs="Times New Roman"/>
              <w:spacing w:val="-1"/>
              <w:sz w:val="24"/>
              <w:szCs w:val="24"/>
            </w:rPr>
            <w:t>4.4</w:t>
          </w:r>
          <w:r>
            <w:rPr>
              <w:rFonts w:ascii="宋体" w:hAnsi="宋体" w:eastAsia="宋体" w:cs="宋体"/>
              <w:spacing w:val="-1"/>
              <w:sz w:val="24"/>
              <w:szCs w:val="24"/>
            </w:rPr>
            <w:t>生态环境分区管控要求调查分析</w:t>
          </w:r>
          <w:r>
            <w:rPr>
              <w:rFonts w:ascii="宋体" w:hAnsi="宋体" w:eastAsia="宋体" w:cs="宋体"/>
              <w:sz w:val="24"/>
              <w:szCs w:val="24"/>
            </w:rPr>
            <w:tab/>
          </w:r>
          <w:r>
            <w:rPr>
              <w:rFonts w:ascii="Times New Roman" w:hAnsi="Times New Roman" w:eastAsia="Times New Roman" w:cs="Times New Roman"/>
              <w:spacing w:val="-6"/>
              <w:sz w:val="24"/>
              <w:szCs w:val="24"/>
            </w:rPr>
            <w:t>54</w:t>
          </w:r>
          <w:r>
            <w:rPr>
              <w:rFonts w:ascii="Times New Roman" w:hAnsi="Times New Roman" w:eastAsia="Times New Roman" w:cs="Times New Roman"/>
              <w:spacing w:val="-6"/>
              <w:sz w:val="24"/>
              <w:szCs w:val="24"/>
            </w:rPr>
            <w:fldChar w:fldCharType="end"/>
          </w:r>
        </w:p>
        <w:p w14:paraId="7C8CDDC7">
          <w:pPr>
            <w:tabs>
              <w:tab w:val="right" w:leader="dot" w:pos="8502"/>
            </w:tabs>
            <w:spacing w:before="260" w:line="184" w:lineRule="auto"/>
            <w:ind w:left="488"/>
            <w:rPr>
              <w:rFonts w:ascii="Times New Roman" w:hAnsi="Times New Roman" w:eastAsia="Times New Roman" w:cs="Times New Roman"/>
              <w:sz w:val="24"/>
              <w:szCs w:val="24"/>
            </w:rPr>
          </w:pPr>
          <w:r>
            <w:fldChar w:fldCharType="begin"/>
          </w:r>
          <w:r>
            <w:instrText xml:space="preserve"> HYPERLINK \l "bookmark24" </w:instrText>
          </w:r>
          <w:r>
            <w:fldChar w:fldCharType="separate"/>
          </w:r>
          <w:r>
            <w:rPr>
              <w:rFonts w:ascii="Times New Roman" w:hAnsi="Times New Roman" w:eastAsia="Times New Roman" w:cs="Times New Roman"/>
              <w:b/>
              <w:bCs/>
              <w:spacing w:val="-3"/>
              <w:sz w:val="24"/>
              <w:szCs w:val="24"/>
            </w:rPr>
            <w:t>5</w:t>
          </w:r>
          <w:r>
            <w:rPr>
              <w:rFonts w:ascii="宋体" w:hAnsi="宋体" w:eastAsia="宋体" w:cs="宋体"/>
              <w:b/>
              <w:bCs/>
              <w:spacing w:val="-3"/>
              <w:sz w:val="24"/>
              <w:szCs w:val="24"/>
            </w:rPr>
            <w:t>入河排污口设置方案设计</w:t>
          </w:r>
          <w:r>
            <w:rPr>
              <w:rFonts w:ascii="宋体" w:hAnsi="宋体" w:eastAsia="宋体" w:cs="宋体"/>
              <w:sz w:val="24"/>
              <w:szCs w:val="24"/>
            </w:rPr>
            <w:tab/>
          </w:r>
          <w:r>
            <w:rPr>
              <w:rFonts w:ascii="Times New Roman" w:hAnsi="Times New Roman" w:eastAsia="Times New Roman" w:cs="Times New Roman"/>
              <w:b/>
              <w:bCs/>
              <w:spacing w:val="2"/>
              <w:sz w:val="24"/>
              <w:szCs w:val="24"/>
            </w:rPr>
            <w:t>62</w:t>
          </w:r>
          <w:r>
            <w:rPr>
              <w:rFonts w:ascii="Times New Roman" w:hAnsi="Times New Roman" w:eastAsia="Times New Roman" w:cs="Times New Roman"/>
              <w:b/>
              <w:bCs/>
              <w:spacing w:val="2"/>
              <w:sz w:val="24"/>
              <w:szCs w:val="24"/>
            </w:rPr>
            <w:fldChar w:fldCharType="end"/>
          </w:r>
        </w:p>
        <w:p w14:paraId="7022B44B">
          <w:pPr>
            <w:tabs>
              <w:tab w:val="right" w:leader="dot" w:pos="8502"/>
            </w:tabs>
            <w:spacing w:before="262" w:line="184" w:lineRule="auto"/>
            <w:ind w:left="1051"/>
            <w:rPr>
              <w:rFonts w:ascii="Times New Roman" w:hAnsi="Times New Roman" w:eastAsia="Times New Roman" w:cs="Times New Roman"/>
              <w:sz w:val="24"/>
              <w:szCs w:val="24"/>
            </w:rPr>
          </w:pPr>
          <w:r>
            <w:fldChar w:fldCharType="begin"/>
          </w:r>
          <w:r>
            <w:instrText xml:space="preserve"> HYPERLINK \l "bookmark25" </w:instrText>
          </w:r>
          <w:r>
            <w:fldChar w:fldCharType="separate"/>
          </w:r>
          <w:r>
            <w:rPr>
              <w:rFonts w:ascii="Times New Roman" w:hAnsi="Times New Roman" w:eastAsia="Times New Roman" w:cs="Times New Roman"/>
              <w:spacing w:val="-1"/>
              <w:sz w:val="24"/>
              <w:szCs w:val="24"/>
            </w:rPr>
            <w:t>5.1</w:t>
          </w:r>
          <w:r>
            <w:rPr>
              <w:rFonts w:ascii="宋体" w:hAnsi="宋体" w:eastAsia="宋体" w:cs="宋体"/>
              <w:spacing w:val="-1"/>
              <w:sz w:val="24"/>
              <w:szCs w:val="24"/>
            </w:rPr>
            <w:t>入河排污口设置基本情况</w:t>
          </w:r>
          <w:r>
            <w:rPr>
              <w:rFonts w:ascii="宋体" w:hAnsi="宋体" w:eastAsia="宋体" w:cs="宋体"/>
              <w:sz w:val="24"/>
              <w:szCs w:val="24"/>
            </w:rPr>
            <w:tab/>
          </w:r>
          <w:r>
            <w:rPr>
              <w:rFonts w:ascii="Times New Roman" w:hAnsi="Times New Roman" w:eastAsia="Times New Roman" w:cs="Times New Roman"/>
              <w:spacing w:val="-6"/>
              <w:sz w:val="24"/>
              <w:szCs w:val="24"/>
            </w:rPr>
            <w:t>62</w:t>
          </w:r>
          <w:r>
            <w:rPr>
              <w:rFonts w:ascii="Times New Roman" w:hAnsi="Times New Roman" w:eastAsia="Times New Roman" w:cs="Times New Roman"/>
              <w:spacing w:val="-6"/>
              <w:sz w:val="24"/>
              <w:szCs w:val="24"/>
            </w:rPr>
            <w:fldChar w:fldCharType="end"/>
          </w:r>
        </w:p>
        <w:p w14:paraId="45E897E1">
          <w:pPr>
            <w:tabs>
              <w:tab w:val="right" w:leader="dot" w:pos="8502"/>
            </w:tabs>
            <w:spacing w:before="259" w:line="220" w:lineRule="auto"/>
            <w:ind w:left="1051"/>
            <w:rPr>
              <w:rFonts w:ascii="Times New Roman" w:hAnsi="Times New Roman" w:eastAsia="Times New Roman" w:cs="Times New Roman"/>
              <w:sz w:val="24"/>
              <w:szCs w:val="24"/>
            </w:rPr>
          </w:pPr>
          <w:r>
            <w:fldChar w:fldCharType="begin"/>
          </w:r>
          <w:r>
            <w:instrText xml:space="preserve"> HYPERLINK \l "bookmark26" </w:instrText>
          </w:r>
          <w:r>
            <w:fldChar w:fldCharType="separate"/>
          </w:r>
          <w:r>
            <w:rPr>
              <w:rFonts w:ascii="Times New Roman" w:hAnsi="Times New Roman" w:eastAsia="Times New Roman" w:cs="Times New Roman"/>
              <w:spacing w:val="-1"/>
              <w:sz w:val="24"/>
              <w:szCs w:val="24"/>
            </w:rPr>
            <w:t>5.2</w:t>
          </w:r>
          <w:r>
            <w:rPr>
              <w:rFonts w:ascii="宋体" w:hAnsi="宋体" w:eastAsia="宋体" w:cs="宋体"/>
              <w:spacing w:val="-1"/>
              <w:sz w:val="24"/>
              <w:szCs w:val="24"/>
            </w:rPr>
            <w:t>入河排污口排污情况</w:t>
          </w:r>
          <w:r>
            <w:rPr>
              <w:rFonts w:ascii="宋体" w:hAnsi="宋体" w:eastAsia="宋体" w:cs="宋体"/>
              <w:sz w:val="24"/>
              <w:szCs w:val="24"/>
            </w:rPr>
            <w:tab/>
          </w:r>
          <w:r>
            <w:rPr>
              <w:rFonts w:ascii="Times New Roman" w:hAnsi="Times New Roman" w:eastAsia="Times New Roman" w:cs="Times New Roman"/>
              <w:spacing w:val="-6"/>
              <w:sz w:val="24"/>
              <w:szCs w:val="24"/>
            </w:rPr>
            <w:t>66</w:t>
          </w:r>
          <w:r>
            <w:rPr>
              <w:rFonts w:ascii="Times New Roman" w:hAnsi="Times New Roman" w:eastAsia="Times New Roman" w:cs="Times New Roman"/>
              <w:spacing w:val="-6"/>
              <w:sz w:val="24"/>
              <w:szCs w:val="24"/>
            </w:rPr>
            <w:fldChar w:fldCharType="end"/>
          </w:r>
        </w:p>
      </w:sdtContent>
    </w:sdt>
    <w:p w14:paraId="3E204224">
      <w:pPr>
        <w:spacing w:line="220" w:lineRule="auto"/>
        <w:rPr>
          <w:rFonts w:ascii="Times New Roman" w:hAnsi="Times New Roman" w:eastAsia="Times New Roman" w:cs="Times New Roman"/>
          <w:sz w:val="24"/>
          <w:szCs w:val="24"/>
        </w:rPr>
        <w:sectPr>
          <w:headerReference r:id="rId5" w:type="default"/>
          <w:pgSz w:w="11906" w:h="16839"/>
          <w:pgMar w:top="1132" w:right="1696" w:bottom="0" w:left="1701" w:header="829" w:footer="0" w:gutter="0"/>
          <w:cols w:space="720" w:num="1"/>
        </w:sectPr>
      </w:pPr>
    </w:p>
    <w:p w14:paraId="48E4D566">
      <w:pPr>
        <w:pStyle w:val="2"/>
        <w:spacing w:line="398" w:lineRule="auto"/>
      </w:pPr>
    </w:p>
    <w:sdt>
      <w:sdtPr>
        <w:rPr>
          <w:rFonts w:ascii="Times New Roman" w:hAnsi="Times New Roman" w:eastAsia="Times New Roman" w:cs="Times New Roman"/>
          <w:sz w:val="24"/>
          <w:szCs w:val="24"/>
        </w:rPr>
        <w:id w:val="147474356"/>
        <w:docPartObj>
          <w:docPartGallery w:val="Table of Contents"/>
          <w:docPartUnique/>
        </w:docPartObj>
      </w:sdtPr>
      <w:sdtEndPr>
        <w:rPr>
          <w:rFonts w:ascii="Times New Roman" w:hAnsi="Times New Roman" w:eastAsia="Times New Roman" w:cs="Times New Roman"/>
          <w:sz w:val="24"/>
          <w:szCs w:val="24"/>
        </w:rPr>
      </w:sdtEndPr>
      <w:sdtContent>
        <w:p w14:paraId="4E86ABE4">
          <w:pPr>
            <w:tabs>
              <w:tab w:val="right" w:leader="dot" w:pos="8502"/>
            </w:tabs>
            <w:spacing w:before="78" w:line="184" w:lineRule="auto"/>
            <w:ind w:left="1051"/>
            <w:rPr>
              <w:rFonts w:ascii="Times New Roman" w:hAnsi="Times New Roman" w:eastAsia="Times New Roman" w:cs="Times New Roman"/>
              <w:sz w:val="24"/>
              <w:szCs w:val="24"/>
            </w:rPr>
          </w:pPr>
          <w:r>
            <w:fldChar w:fldCharType="begin"/>
          </w:r>
          <w:r>
            <w:instrText xml:space="preserve"> HYPERLINK \l "bookmark27" </w:instrText>
          </w:r>
          <w:r>
            <w:fldChar w:fldCharType="separate"/>
          </w:r>
          <w:r>
            <w:rPr>
              <w:rFonts w:ascii="Times New Roman" w:hAnsi="Times New Roman" w:eastAsia="Times New Roman" w:cs="Times New Roman"/>
              <w:spacing w:val="-1"/>
              <w:sz w:val="24"/>
              <w:szCs w:val="24"/>
            </w:rPr>
            <w:t>5.3</w:t>
          </w:r>
          <w:r>
            <w:rPr>
              <w:rFonts w:ascii="宋体" w:hAnsi="宋体" w:eastAsia="宋体" w:cs="宋体"/>
              <w:spacing w:val="-1"/>
              <w:sz w:val="24"/>
              <w:szCs w:val="24"/>
            </w:rPr>
            <w:t>废污水所含主要污染物种类及其排放浓度、总量</w:t>
          </w:r>
          <w:r>
            <w:rPr>
              <w:rFonts w:ascii="宋体" w:hAnsi="宋体" w:eastAsia="宋体" w:cs="宋体"/>
              <w:sz w:val="24"/>
              <w:szCs w:val="24"/>
            </w:rPr>
            <w:tab/>
          </w:r>
          <w:r>
            <w:rPr>
              <w:rFonts w:ascii="Times New Roman" w:hAnsi="Times New Roman" w:eastAsia="Times New Roman" w:cs="Times New Roman"/>
              <w:spacing w:val="-6"/>
              <w:sz w:val="24"/>
              <w:szCs w:val="24"/>
            </w:rPr>
            <w:t>66</w:t>
          </w:r>
          <w:r>
            <w:rPr>
              <w:rFonts w:ascii="Times New Roman" w:hAnsi="Times New Roman" w:eastAsia="Times New Roman" w:cs="Times New Roman"/>
              <w:spacing w:val="-6"/>
              <w:sz w:val="24"/>
              <w:szCs w:val="24"/>
            </w:rPr>
            <w:fldChar w:fldCharType="end"/>
          </w:r>
        </w:p>
        <w:p w14:paraId="40503401">
          <w:pPr>
            <w:tabs>
              <w:tab w:val="right" w:leader="dot" w:pos="8502"/>
            </w:tabs>
            <w:spacing w:before="259" w:line="184" w:lineRule="auto"/>
            <w:ind w:left="489"/>
            <w:rPr>
              <w:rFonts w:ascii="Times New Roman" w:hAnsi="Times New Roman" w:eastAsia="Times New Roman" w:cs="Times New Roman"/>
              <w:sz w:val="24"/>
              <w:szCs w:val="24"/>
            </w:rPr>
          </w:pPr>
          <w:r>
            <w:fldChar w:fldCharType="begin"/>
          </w:r>
          <w:r>
            <w:instrText xml:space="preserve"> HYPERLINK \l "bookmark28" </w:instrText>
          </w:r>
          <w:r>
            <w:fldChar w:fldCharType="separate"/>
          </w:r>
          <w:r>
            <w:rPr>
              <w:rFonts w:ascii="Times New Roman" w:hAnsi="Times New Roman" w:eastAsia="Times New Roman" w:cs="Times New Roman"/>
              <w:b/>
              <w:bCs/>
              <w:spacing w:val="-3"/>
              <w:sz w:val="24"/>
              <w:szCs w:val="24"/>
            </w:rPr>
            <w:t>6</w:t>
          </w:r>
          <w:r>
            <w:rPr>
              <w:rFonts w:ascii="宋体" w:hAnsi="宋体" w:eastAsia="宋体" w:cs="宋体"/>
              <w:b/>
              <w:bCs/>
              <w:spacing w:val="-3"/>
              <w:sz w:val="24"/>
              <w:szCs w:val="24"/>
            </w:rPr>
            <w:t>入河排污口设置水环境影响分析</w:t>
          </w:r>
          <w:r>
            <w:rPr>
              <w:rFonts w:ascii="宋体" w:hAnsi="宋体" w:eastAsia="宋体" w:cs="宋体"/>
              <w:sz w:val="24"/>
              <w:szCs w:val="24"/>
            </w:rPr>
            <w:tab/>
          </w:r>
          <w:r>
            <w:rPr>
              <w:rFonts w:ascii="Times New Roman" w:hAnsi="Times New Roman" w:eastAsia="Times New Roman" w:cs="Times New Roman"/>
              <w:b/>
              <w:bCs/>
              <w:sz w:val="24"/>
              <w:szCs w:val="24"/>
            </w:rPr>
            <w:t>68</w:t>
          </w:r>
          <w:r>
            <w:rPr>
              <w:rFonts w:ascii="Times New Roman" w:hAnsi="Times New Roman" w:eastAsia="Times New Roman" w:cs="Times New Roman"/>
              <w:b/>
              <w:bCs/>
              <w:sz w:val="24"/>
              <w:szCs w:val="24"/>
            </w:rPr>
            <w:fldChar w:fldCharType="end"/>
          </w:r>
        </w:p>
        <w:p w14:paraId="293C7BCD">
          <w:pPr>
            <w:tabs>
              <w:tab w:val="right" w:leader="dot" w:pos="8502"/>
            </w:tabs>
            <w:spacing w:before="262" w:line="184" w:lineRule="auto"/>
            <w:ind w:left="1050"/>
            <w:rPr>
              <w:rFonts w:ascii="Times New Roman" w:hAnsi="Times New Roman" w:eastAsia="Times New Roman" w:cs="Times New Roman"/>
              <w:sz w:val="24"/>
              <w:szCs w:val="24"/>
            </w:rPr>
          </w:pPr>
          <w:r>
            <w:fldChar w:fldCharType="begin"/>
          </w:r>
          <w:r>
            <w:instrText xml:space="preserve"> HYPERLINK \l "bookmark29" </w:instrText>
          </w:r>
          <w:r>
            <w:fldChar w:fldCharType="separate"/>
          </w:r>
          <w:r>
            <w:rPr>
              <w:rFonts w:ascii="Times New Roman" w:hAnsi="Times New Roman" w:eastAsia="Times New Roman" w:cs="Times New Roman"/>
              <w:spacing w:val="-1"/>
              <w:sz w:val="24"/>
              <w:szCs w:val="24"/>
            </w:rPr>
            <w:t>6.1</w:t>
          </w:r>
          <w:r>
            <w:rPr>
              <w:rFonts w:ascii="宋体" w:hAnsi="宋体" w:eastAsia="宋体" w:cs="宋体"/>
              <w:spacing w:val="-1"/>
              <w:sz w:val="24"/>
              <w:szCs w:val="24"/>
            </w:rPr>
            <w:t>水功能区（水域）对入河排污口设置基本要求</w:t>
          </w:r>
          <w:r>
            <w:rPr>
              <w:rFonts w:ascii="宋体" w:hAnsi="宋体" w:eastAsia="宋体" w:cs="宋体"/>
              <w:sz w:val="24"/>
              <w:szCs w:val="24"/>
            </w:rPr>
            <w:tab/>
          </w:r>
          <w:r>
            <w:rPr>
              <w:rFonts w:ascii="Times New Roman" w:hAnsi="Times New Roman" w:eastAsia="Times New Roman" w:cs="Times New Roman"/>
              <w:spacing w:val="-6"/>
              <w:sz w:val="24"/>
              <w:szCs w:val="24"/>
            </w:rPr>
            <w:t>68</w:t>
          </w:r>
          <w:r>
            <w:rPr>
              <w:rFonts w:ascii="Times New Roman" w:hAnsi="Times New Roman" w:eastAsia="Times New Roman" w:cs="Times New Roman"/>
              <w:spacing w:val="-6"/>
              <w:sz w:val="24"/>
              <w:szCs w:val="24"/>
            </w:rPr>
            <w:fldChar w:fldCharType="end"/>
          </w:r>
        </w:p>
        <w:p w14:paraId="442FCC24">
          <w:pPr>
            <w:tabs>
              <w:tab w:val="right" w:leader="dot" w:pos="8502"/>
            </w:tabs>
            <w:spacing w:before="260" w:line="184" w:lineRule="auto"/>
            <w:ind w:left="1050"/>
            <w:rPr>
              <w:rFonts w:ascii="Times New Roman" w:hAnsi="Times New Roman" w:eastAsia="Times New Roman" w:cs="Times New Roman"/>
              <w:sz w:val="24"/>
              <w:szCs w:val="24"/>
            </w:rPr>
          </w:pPr>
          <w:r>
            <w:fldChar w:fldCharType="begin"/>
          </w:r>
          <w:r>
            <w:instrText xml:space="preserve"> HYPERLINK \l "bookmark30" </w:instrText>
          </w:r>
          <w:r>
            <w:fldChar w:fldCharType="separate"/>
          </w:r>
          <w:r>
            <w:rPr>
              <w:rFonts w:ascii="Times New Roman" w:hAnsi="Times New Roman" w:eastAsia="Times New Roman" w:cs="Times New Roman"/>
              <w:spacing w:val="-1"/>
              <w:sz w:val="24"/>
              <w:szCs w:val="24"/>
            </w:rPr>
            <w:t>6.2</w:t>
          </w:r>
          <w:r>
            <w:rPr>
              <w:rFonts w:ascii="宋体" w:hAnsi="宋体" w:eastAsia="宋体" w:cs="宋体"/>
              <w:spacing w:val="-1"/>
              <w:sz w:val="24"/>
              <w:szCs w:val="24"/>
            </w:rPr>
            <w:t>水功能区（水域）纳污能力、限制排污总量</w:t>
          </w:r>
          <w:r>
            <w:rPr>
              <w:rFonts w:ascii="宋体" w:hAnsi="宋体" w:eastAsia="宋体" w:cs="宋体"/>
              <w:sz w:val="24"/>
              <w:szCs w:val="24"/>
            </w:rPr>
            <w:tab/>
          </w:r>
          <w:r>
            <w:rPr>
              <w:rFonts w:ascii="Times New Roman" w:hAnsi="Times New Roman" w:eastAsia="Times New Roman" w:cs="Times New Roman"/>
              <w:spacing w:val="-6"/>
              <w:sz w:val="24"/>
              <w:szCs w:val="24"/>
            </w:rPr>
            <w:t>69</w:t>
          </w:r>
          <w:r>
            <w:rPr>
              <w:rFonts w:ascii="Times New Roman" w:hAnsi="Times New Roman" w:eastAsia="Times New Roman" w:cs="Times New Roman"/>
              <w:spacing w:val="-6"/>
              <w:sz w:val="24"/>
              <w:szCs w:val="24"/>
            </w:rPr>
            <w:fldChar w:fldCharType="end"/>
          </w:r>
        </w:p>
        <w:p w14:paraId="2B0381B6">
          <w:pPr>
            <w:tabs>
              <w:tab w:val="right" w:leader="dot" w:pos="8502"/>
            </w:tabs>
            <w:spacing w:before="260" w:line="184" w:lineRule="auto"/>
            <w:ind w:left="1050"/>
            <w:rPr>
              <w:rFonts w:ascii="Times New Roman" w:hAnsi="Times New Roman" w:eastAsia="Times New Roman" w:cs="Times New Roman"/>
              <w:sz w:val="24"/>
              <w:szCs w:val="24"/>
            </w:rPr>
          </w:pPr>
          <w:r>
            <w:fldChar w:fldCharType="begin"/>
          </w:r>
          <w:r>
            <w:instrText xml:space="preserve"> HYPERLINK \l "bookmark31" </w:instrText>
          </w:r>
          <w:r>
            <w:fldChar w:fldCharType="separate"/>
          </w:r>
          <w:r>
            <w:rPr>
              <w:rFonts w:ascii="Times New Roman" w:hAnsi="Times New Roman" w:eastAsia="Times New Roman" w:cs="Times New Roman"/>
              <w:spacing w:val="-1"/>
              <w:sz w:val="24"/>
              <w:szCs w:val="24"/>
            </w:rPr>
            <w:t>6.3</w:t>
          </w:r>
          <w:r>
            <w:rPr>
              <w:rFonts w:ascii="宋体" w:hAnsi="宋体" w:eastAsia="宋体" w:cs="宋体"/>
              <w:spacing w:val="-1"/>
              <w:sz w:val="24"/>
              <w:szCs w:val="24"/>
            </w:rPr>
            <w:t>入河排污口影响范围</w:t>
          </w:r>
          <w:r>
            <w:rPr>
              <w:rFonts w:ascii="宋体" w:hAnsi="宋体" w:eastAsia="宋体" w:cs="宋体"/>
              <w:sz w:val="24"/>
              <w:szCs w:val="24"/>
            </w:rPr>
            <w:tab/>
          </w:r>
          <w:r>
            <w:rPr>
              <w:rFonts w:ascii="Times New Roman" w:hAnsi="Times New Roman" w:eastAsia="Times New Roman" w:cs="Times New Roman"/>
              <w:spacing w:val="-5"/>
              <w:sz w:val="24"/>
              <w:szCs w:val="24"/>
            </w:rPr>
            <w:t>72</w:t>
          </w:r>
          <w:r>
            <w:rPr>
              <w:rFonts w:ascii="Times New Roman" w:hAnsi="Times New Roman" w:eastAsia="Times New Roman" w:cs="Times New Roman"/>
              <w:spacing w:val="-5"/>
              <w:sz w:val="24"/>
              <w:szCs w:val="24"/>
            </w:rPr>
            <w:fldChar w:fldCharType="end"/>
          </w:r>
        </w:p>
        <w:p w14:paraId="17E7B70D">
          <w:pPr>
            <w:tabs>
              <w:tab w:val="right" w:leader="dot" w:pos="8502"/>
            </w:tabs>
            <w:spacing w:before="262" w:line="184" w:lineRule="auto"/>
            <w:ind w:left="488"/>
            <w:rPr>
              <w:rFonts w:ascii="Times New Roman" w:hAnsi="Times New Roman" w:eastAsia="Times New Roman" w:cs="Times New Roman"/>
              <w:sz w:val="24"/>
              <w:szCs w:val="24"/>
            </w:rPr>
          </w:pPr>
          <w:r>
            <w:fldChar w:fldCharType="begin"/>
          </w:r>
          <w:r>
            <w:instrText xml:space="preserve"> HYPERLINK \l "bookmark32" </w:instrText>
          </w:r>
          <w:r>
            <w:fldChar w:fldCharType="separate"/>
          </w:r>
          <w:r>
            <w:rPr>
              <w:rFonts w:ascii="Times New Roman" w:hAnsi="Times New Roman" w:eastAsia="Times New Roman" w:cs="Times New Roman"/>
              <w:b/>
              <w:bCs/>
              <w:spacing w:val="-3"/>
              <w:sz w:val="24"/>
              <w:szCs w:val="24"/>
            </w:rPr>
            <w:t>7</w:t>
          </w:r>
          <w:r>
            <w:rPr>
              <w:rFonts w:ascii="宋体" w:hAnsi="宋体" w:eastAsia="宋体" w:cs="宋体"/>
              <w:b/>
              <w:bCs/>
              <w:spacing w:val="-3"/>
              <w:sz w:val="24"/>
              <w:szCs w:val="24"/>
            </w:rPr>
            <w:t>入河排污口设置水生态影响分析</w:t>
          </w:r>
          <w:r>
            <w:rPr>
              <w:rFonts w:ascii="宋体" w:hAnsi="宋体" w:eastAsia="宋体" w:cs="宋体"/>
              <w:sz w:val="24"/>
              <w:szCs w:val="24"/>
            </w:rPr>
            <w:tab/>
          </w:r>
          <w:r>
            <w:rPr>
              <w:rFonts w:ascii="Times New Roman" w:hAnsi="Times New Roman" w:eastAsia="Times New Roman" w:cs="Times New Roman"/>
              <w:b/>
              <w:bCs/>
              <w:sz w:val="24"/>
              <w:szCs w:val="24"/>
            </w:rPr>
            <w:t>84</w:t>
          </w:r>
          <w:r>
            <w:rPr>
              <w:rFonts w:ascii="Times New Roman" w:hAnsi="Times New Roman" w:eastAsia="Times New Roman" w:cs="Times New Roman"/>
              <w:b/>
              <w:bCs/>
              <w:sz w:val="24"/>
              <w:szCs w:val="24"/>
            </w:rPr>
            <w:fldChar w:fldCharType="end"/>
          </w:r>
        </w:p>
        <w:p w14:paraId="4F3C882F">
          <w:pPr>
            <w:tabs>
              <w:tab w:val="right" w:leader="dot" w:pos="8502"/>
            </w:tabs>
            <w:spacing w:before="260" w:line="184" w:lineRule="auto"/>
            <w:ind w:left="1048"/>
            <w:rPr>
              <w:rFonts w:ascii="Times New Roman" w:hAnsi="Times New Roman" w:eastAsia="Times New Roman" w:cs="Times New Roman"/>
              <w:sz w:val="24"/>
              <w:szCs w:val="24"/>
            </w:rPr>
          </w:pPr>
          <w:r>
            <w:fldChar w:fldCharType="begin"/>
          </w:r>
          <w:r>
            <w:instrText xml:space="preserve"> HYPERLINK \l "bookmark33" </w:instrText>
          </w:r>
          <w:r>
            <w:fldChar w:fldCharType="separate"/>
          </w:r>
          <w:r>
            <w:rPr>
              <w:rFonts w:ascii="Times New Roman" w:hAnsi="Times New Roman" w:eastAsia="Times New Roman" w:cs="Times New Roman"/>
              <w:spacing w:val="-1"/>
              <w:sz w:val="24"/>
              <w:szCs w:val="24"/>
            </w:rPr>
            <w:t>7.1</w:t>
          </w:r>
          <w:r>
            <w:rPr>
              <w:rFonts w:ascii="宋体" w:hAnsi="宋体" w:eastAsia="宋体" w:cs="宋体"/>
              <w:spacing w:val="-1"/>
              <w:sz w:val="24"/>
              <w:szCs w:val="24"/>
            </w:rPr>
            <w:t>对鱼类等水生生物的影响</w:t>
          </w:r>
          <w:r>
            <w:rPr>
              <w:rFonts w:ascii="宋体" w:hAnsi="宋体" w:eastAsia="宋体" w:cs="宋体"/>
              <w:sz w:val="24"/>
              <w:szCs w:val="24"/>
            </w:rPr>
            <w:tab/>
          </w:r>
          <w:r>
            <w:rPr>
              <w:rFonts w:ascii="Times New Roman" w:hAnsi="Times New Roman" w:eastAsia="Times New Roman" w:cs="Times New Roman"/>
              <w:spacing w:val="-8"/>
              <w:sz w:val="24"/>
              <w:szCs w:val="24"/>
            </w:rPr>
            <w:t>84</w:t>
          </w:r>
          <w:r>
            <w:rPr>
              <w:rFonts w:ascii="Times New Roman" w:hAnsi="Times New Roman" w:eastAsia="Times New Roman" w:cs="Times New Roman"/>
              <w:spacing w:val="-8"/>
              <w:sz w:val="24"/>
              <w:szCs w:val="24"/>
            </w:rPr>
            <w:fldChar w:fldCharType="end"/>
          </w:r>
        </w:p>
        <w:p w14:paraId="16440A1D">
          <w:pPr>
            <w:tabs>
              <w:tab w:val="right" w:leader="dot" w:pos="8502"/>
            </w:tabs>
            <w:spacing w:before="260" w:line="184" w:lineRule="auto"/>
            <w:ind w:left="1048"/>
            <w:rPr>
              <w:rFonts w:ascii="Times New Roman" w:hAnsi="Times New Roman" w:eastAsia="Times New Roman" w:cs="Times New Roman"/>
              <w:sz w:val="24"/>
              <w:szCs w:val="24"/>
            </w:rPr>
          </w:pPr>
          <w:r>
            <w:fldChar w:fldCharType="begin"/>
          </w:r>
          <w:r>
            <w:instrText xml:space="preserve"> HYPERLINK \l "bookmark34" </w:instrText>
          </w:r>
          <w:r>
            <w:fldChar w:fldCharType="separate"/>
          </w:r>
          <w:r>
            <w:rPr>
              <w:rFonts w:ascii="Times New Roman" w:hAnsi="Times New Roman" w:eastAsia="Times New Roman" w:cs="Times New Roman"/>
              <w:spacing w:val="-1"/>
              <w:sz w:val="24"/>
              <w:szCs w:val="24"/>
            </w:rPr>
            <w:t>7.2</w:t>
          </w:r>
          <w:r>
            <w:rPr>
              <w:rFonts w:ascii="宋体" w:hAnsi="宋体" w:eastAsia="宋体" w:cs="宋体"/>
              <w:spacing w:val="-1"/>
              <w:sz w:val="24"/>
              <w:szCs w:val="24"/>
            </w:rPr>
            <w:t>对水生生物多样性的影响</w:t>
          </w:r>
          <w:r>
            <w:rPr>
              <w:rFonts w:ascii="宋体" w:hAnsi="宋体" w:eastAsia="宋体" w:cs="宋体"/>
              <w:sz w:val="24"/>
              <w:szCs w:val="24"/>
            </w:rPr>
            <w:tab/>
          </w:r>
          <w:r>
            <w:rPr>
              <w:rFonts w:ascii="Times New Roman" w:hAnsi="Times New Roman" w:eastAsia="Times New Roman" w:cs="Times New Roman"/>
              <w:spacing w:val="-8"/>
              <w:sz w:val="24"/>
              <w:szCs w:val="24"/>
            </w:rPr>
            <w:t>87</w:t>
          </w:r>
          <w:r>
            <w:rPr>
              <w:rFonts w:ascii="Times New Roman" w:hAnsi="Times New Roman" w:eastAsia="Times New Roman" w:cs="Times New Roman"/>
              <w:spacing w:val="-8"/>
              <w:sz w:val="24"/>
              <w:szCs w:val="24"/>
            </w:rPr>
            <w:fldChar w:fldCharType="end"/>
          </w:r>
        </w:p>
        <w:p w14:paraId="7E5E1346">
          <w:pPr>
            <w:tabs>
              <w:tab w:val="right" w:leader="dot" w:pos="8502"/>
            </w:tabs>
            <w:spacing w:before="263" w:line="184" w:lineRule="auto"/>
            <w:ind w:left="1048"/>
            <w:rPr>
              <w:rFonts w:ascii="Times New Roman" w:hAnsi="Times New Roman" w:eastAsia="Times New Roman" w:cs="Times New Roman"/>
              <w:sz w:val="24"/>
              <w:szCs w:val="24"/>
            </w:rPr>
          </w:pPr>
          <w:r>
            <w:fldChar w:fldCharType="begin"/>
          </w:r>
          <w:r>
            <w:instrText xml:space="preserve"> HYPERLINK \l "bookmark35" </w:instrText>
          </w:r>
          <w:r>
            <w:fldChar w:fldCharType="separate"/>
          </w:r>
          <w:r>
            <w:rPr>
              <w:rFonts w:ascii="Times New Roman" w:hAnsi="Times New Roman" w:eastAsia="Times New Roman" w:cs="Times New Roman"/>
              <w:spacing w:val="-1"/>
              <w:sz w:val="24"/>
              <w:szCs w:val="24"/>
            </w:rPr>
            <w:t>7.3</w:t>
          </w:r>
          <w:r>
            <w:rPr>
              <w:rFonts w:ascii="宋体" w:hAnsi="宋体" w:eastAsia="宋体" w:cs="宋体"/>
              <w:spacing w:val="-1"/>
              <w:sz w:val="24"/>
              <w:szCs w:val="24"/>
            </w:rPr>
            <w:t>对赧水结构和功能的影响</w:t>
          </w:r>
          <w:r>
            <w:rPr>
              <w:rFonts w:ascii="宋体" w:hAnsi="宋体" w:eastAsia="宋体" w:cs="宋体"/>
              <w:sz w:val="24"/>
              <w:szCs w:val="24"/>
            </w:rPr>
            <w:tab/>
          </w:r>
          <w:r>
            <w:rPr>
              <w:rFonts w:ascii="Times New Roman" w:hAnsi="Times New Roman" w:eastAsia="Times New Roman" w:cs="Times New Roman"/>
              <w:spacing w:val="-8"/>
              <w:sz w:val="24"/>
              <w:szCs w:val="24"/>
            </w:rPr>
            <w:t>87</w:t>
          </w:r>
          <w:r>
            <w:rPr>
              <w:rFonts w:ascii="Times New Roman" w:hAnsi="Times New Roman" w:eastAsia="Times New Roman" w:cs="Times New Roman"/>
              <w:spacing w:val="-8"/>
              <w:sz w:val="24"/>
              <w:szCs w:val="24"/>
            </w:rPr>
            <w:fldChar w:fldCharType="end"/>
          </w:r>
        </w:p>
        <w:p w14:paraId="3C826A8A">
          <w:pPr>
            <w:tabs>
              <w:tab w:val="right" w:leader="dot" w:pos="8502"/>
            </w:tabs>
            <w:spacing w:before="260" w:line="184" w:lineRule="auto"/>
            <w:ind w:left="488"/>
            <w:rPr>
              <w:rFonts w:ascii="Times New Roman" w:hAnsi="Times New Roman" w:eastAsia="Times New Roman" w:cs="Times New Roman"/>
              <w:sz w:val="24"/>
              <w:szCs w:val="24"/>
            </w:rPr>
          </w:pPr>
          <w:r>
            <w:fldChar w:fldCharType="begin"/>
          </w:r>
          <w:r>
            <w:instrText xml:space="preserve"> HYPERLINK \l "bookmark36" </w:instrText>
          </w:r>
          <w:r>
            <w:fldChar w:fldCharType="separate"/>
          </w:r>
          <w:r>
            <w:rPr>
              <w:rFonts w:ascii="Times New Roman" w:hAnsi="Times New Roman" w:eastAsia="Times New Roman" w:cs="Times New Roman"/>
              <w:b/>
              <w:bCs/>
              <w:spacing w:val="-2"/>
              <w:sz w:val="24"/>
              <w:szCs w:val="24"/>
            </w:rPr>
            <w:t>8</w:t>
          </w:r>
          <w:r>
            <w:rPr>
              <w:rFonts w:ascii="宋体" w:hAnsi="宋体" w:eastAsia="宋体" w:cs="宋体"/>
              <w:b/>
              <w:bCs/>
              <w:spacing w:val="-2"/>
              <w:sz w:val="24"/>
              <w:szCs w:val="24"/>
            </w:rPr>
            <w:t>入河排污口设置水环境风险影响分析</w:t>
          </w:r>
          <w:r>
            <w:rPr>
              <w:rFonts w:ascii="宋体" w:hAnsi="宋体" w:eastAsia="宋体" w:cs="宋体"/>
              <w:b/>
              <w:bCs/>
              <w:sz w:val="24"/>
              <w:szCs w:val="24"/>
            </w:rPr>
            <w:tab/>
          </w:r>
          <w:r>
            <w:rPr>
              <w:rFonts w:ascii="Times New Roman" w:hAnsi="Times New Roman" w:eastAsia="Times New Roman" w:cs="Times New Roman"/>
              <w:b/>
              <w:bCs/>
              <w:spacing w:val="-5"/>
              <w:sz w:val="24"/>
              <w:szCs w:val="24"/>
            </w:rPr>
            <w:t>88</w:t>
          </w:r>
          <w:r>
            <w:rPr>
              <w:rFonts w:ascii="Times New Roman" w:hAnsi="Times New Roman" w:eastAsia="Times New Roman" w:cs="Times New Roman"/>
              <w:b/>
              <w:bCs/>
              <w:spacing w:val="-5"/>
              <w:sz w:val="24"/>
              <w:szCs w:val="24"/>
            </w:rPr>
            <w:fldChar w:fldCharType="end"/>
          </w:r>
        </w:p>
        <w:p w14:paraId="479F3959">
          <w:pPr>
            <w:tabs>
              <w:tab w:val="right" w:leader="dot" w:pos="8502"/>
            </w:tabs>
            <w:spacing w:before="260" w:line="184" w:lineRule="auto"/>
            <w:ind w:left="1054"/>
            <w:rPr>
              <w:rFonts w:ascii="Times New Roman" w:hAnsi="Times New Roman" w:eastAsia="Times New Roman" w:cs="Times New Roman"/>
              <w:sz w:val="24"/>
              <w:szCs w:val="24"/>
            </w:rPr>
          </w:pPr>
          <w:r>
            <w:fldChar w:fldCharType="begin"/>
          </w:r>
          <w:r>
            <w:instrText xml:space="preserve"> HYPERLINK \l "bookmark37" </w:instrText>
          </w:r>
          <w:r>
            <w:fldChar w:fldCharType="separate"/>
          </w:r>
          <w:r>
            <w:rPr>
              <w:rFonts w:ascii="Times New Roman" w:hAnsi="Times New Roman" w:eastAsia="Times New Roman" w:cs="Times New Roman"/>
              <w:spacing w:val="-2"/>
              <w:sz w:val="24"/>
              <w:szCs w:val="24"/>
            </w:rPr>
            <w:t>8.1.</w:t>
          </w:r>
          <w:r>
            <w:rPr>
              <w:rFonts w:ascii="宋体" w:hAnsi="宋体" w:eastAsia="宋体" w:cs="宋体"/>
              <w:spacing w:val="-2"/>
              <w:sz w:val="24"/>
              <w:szCs w:val="24"/>
            </w:rPr>
            <w:t>水环境风险分析</w:t>
          </w:r>
          <w:r>
            <w:rPr>
              <w:rFonts w:ascii="宋体" w:hAnsi="宋体" w:eastAsia="宋体" w:cs="宋体"/>
              <w:sz w:val="24"/>
              <w:szCs w:val="24"/>
            </w:rPr>
            <w:tab/>
          </w:r>
          <w:r>
            <w:rPr>
              <w:rFonts w:ascii="Times New Roman" w:hAnsi="Times New Roman" w:eastAsia="Times New Roman" w:cs="Times New Roman"/>
              <w:spacing w:val="-8"/>
              <w:sz w:val="24"/>
              <w:szCs w:val="24"/>
            </w:rPr>
            <w:t>88</w:t>
          </w:r>
          <w:r>
            <w:rPr>
              <w:rFonts w:ascii="Times New Roman" w:hAnsi="Times New Roman" w:eastAsia="Times New Roman" w:cs="Times New Roman"/>
              <w:spacing w:val="-8"/>
              <w:sz w:val="24"/>
              <w:szCs w:val="24"/>
            </w:rPr>
            <w:fldChar w:fldCharType="end"/>
          </w:r>
        </w:p>
        <w:p w14:paraId="6152A476">
          <w:pPr>
            <w:tabs>
              <w:tab w:val="right" w:leader="dot" w:pos="8502"/>
            </w:tabs>
            <w:spacing w:before="262" w:line="184" w:lineRule="auto"/>
            <w:ind w:left="1054"/>
            <w:rPr>
              <w:rFonts w:ascii="Times New Roman" w:hAnsi="Times New Roman" w:eastAsia="Times New Roman" w:cs="Times New Roman"/>
              <w:sz w:val="24"/>
              <w:szCs w:val="24"/>
            </w:rPr>
          </w:pPr>
          <w:r>
            <w:fldChar w:fldCharType="begin"/>
          </w:r>
          <w:r>
            <w:instrText xml:space="preserve"> HYPERLINK \l "bookmark38" </w:instrText>
          </w:r>
          <w:r>
            <w:fldChar w:fldCharType="separate"/>
          </w:r>
          <w:r>
            <w:rPr>
              <w:rFonts w:ascii="Times New Roman" w:hAnsi="Times New Roman" w:eastAsia="Times New Roman" w:cs="Times New Roman"/>
              <w:spacing w:val="-2"/>
              <w:sz w:val="24"/>
              <w:szCs w:val="24"/>
            </w:rPr>
            <w:t>8.2.</w:t>
          </w:r>
          <w:r>
            <w:rPr>
              <w:rFonts w:ascii="宋体" w:hAnsi="宋体" w:eastAsia="宋体" w:cs="宋体"/>
              <w:spacing w:val="-2"/>
              <w:sz w:val="24"/>
              <w:szCs w:val="24"/>
            </w:rPr>
            <w:t>风险防范措施</w:t>
          </w:r>
          <w:r>
            <w:rPr>
              <w:rFonts w:ascii="宋体" w:hAnsi="宋体" w:eastAsia="宋体" w:cs="宋体"/>
              <w:sz w:val="24"/>
              <w:szCs w:val="24"/>
            </w:rPr>
            <w:tab/>
          </w:r>
          <w:r>
            <w:rPr>
              <w:rFonts w:ascii="Times New Roman" w:hAnsi="Times New Roman" w:eastAsia="Times New Roman" w:cs="Times New Roman"/>
              <w:spacing w:val="-8"/>
              <w:sz w:val="24"/>
              <w:szCs w:val="24"/>
            </w:rPr>
            <w:t>88</w:t>
          </w:r>
          <w:r>
            <w:rPr>
              <w:rFonts w:ascii="Times New Roman" w:hAnsi="Times New Roman" w:eastAsia="Times New Roman" w:cs="Times New Roman"/>
              <w:spacing w:val="-8"/>
              <w:sz w:val="24"/>
              <w:szCs w:val="24"/>
            </w:rPr>
            <w:fldChar w:fldCharType="end"/>
          </w:r>
        </w:p>
        <w:p w14:paraId="2833E22C">
          <w:pPr>
            <w:tabs>
              <w:tab w:val="right" w:leader="dot" w:pos="8502"/>
            </w:tabs>
            <w:spacing w:before="260" w:line="184" w:lineRule="auto"/>
            <w:ind w:left="1054"/>
            <w:rPr>
              <w:rFonts w:ascii="Times New Roman" w:hAnsi="Times New Roman" w:eastAsia="Times New Roman" w:cs="Times New Roman"/>
              <w:sz w:val="24"/>
              <w:szCs w:val="24"/>
            </w:rPr>
          </w:pPr>
          <w:r>
            <w:fldChar w:fldCharType="begin"/>
          </w:r>
          <w:r>
            <w:instrText xml:space="preserve"> HYPERLINK \l "bookmark39" </w:instrText>
          </w:r>
          <w:r>
            <w:fldChar w:fldCharType="separate"/>
          </w:r>
          <w:r>
            <w:rPr>
              <w:rFonts w:ascii="Times New Roman" w:hAnsi="Times New Roman" w:eastAsia="Times New Roman" w:cs="Times New Roman"/>
              <w:spacing w:val="-1"/>
              <w:sz w:val="24"/>
              <w:szCs w:val="24"/>
            </w:rPr>
            <w:t>8.3.</w:t>
          </w:r>
          <w:r>
            <w:rPr>
              <w:rFonts w:ascii="宋体" w:hAnsi="宋体" w:eastAsia="宋体" w:cs="宋体"/>
              <w:spacing w:val="-1"/>
              <w:sz w:val="24"/>
              <w:szCs w:val="24"/>
            </w:rPr>
            <w:t>污水处理厂突发环境事件应急措施</w:t>
          </w:r>
          <w:r>
            <w:rPr>
              <w:rFonts w:ascii="宋体" w:hAnsi="宋体" w:eastAsia="宋体" w:cs="宋体"/>
              <w:sz w:val="24"/>
              <w:szCs w:val="24"/>
            </w:rPr>
            <w:tab/>
          </w:r>
          <w:r>
            <w:rPr>
              <w:rFonts w:ascii="Times New Roman" w:hAnsi="Times New Roman" w:eastAsia="Times New Roman" w:cs="Times New Roman"/>
              <w:spacing w:val="-5"/>
              <w:sz w:val="24"/>
              <w:szCs w:val="24"/>
            </w:rPr>
            <w:t>90</w:t>
          </w:r>
          <w:r>
            <w:rPr>
              <w:rFonts w:ascii="Times New Roman" w:hAnsi="Times New Roman" w:eastAsia="Times New Roman" w:cs="Times New Roman"/>
              <w:spacing w:val="-5"/>
              <w:sz w:val="24"/>
              <w:szCs w:val="24"/>
            </w:rPr>
            <w:fldChar w:fldCharType="end"/>
          </w:r>
        </w:p>
        <w:p w14:paraId="7C52A8D3">
          <w:pPr>
            <w:tabs>
              <w:tab w:val="right" w:leader="dot" w:pos="8502"/>
            </w:tabs>
            <w:spacing w:before="260" w:line="184" w:lineRule="auto"/>
            <w:ind w:left="1054"/>
            <w:rPr>
              <w:rFonts w:ascii="Times New Roman" w:hAnsi="Times New Roman" w:eastAsia="Times New Roman" w:cs="Times New Roman"/>
              <w:sz w:val="24"/>
              <w:szCs w:val="24"/>
            </w:rPr>
          </w:pPr>
          <w:r>
            <w:fldChar w:fldCharType="begin"/>
          </w:r>
          <w:r>
            <w:instrText xml:space="preserve"> HYPERLINK \l "bookmark40" </w:instrText>
          </w:r>
          <w:r>
            <w:fldChar w:fldCharType="separate"/>
          </w:r>
          <w:r>
            <w:rPr>
              <w:rFonts w:ascii="Times New Roman" w:hAnsi="Times New Roman" w:eastAsia="Times New Roman" w:cs="Times New Roman"/>
              <w:spacing w:val="-1"/>
              <w:sz w:val="24"/>
              <w:szCs w:val="24"/>
            </w:rPr>
            <w:t>8.4.</w:t>
          </w:r>
          <w:r>
            <w:rPr>
              <w:rFonts w:ascii="宋体" w:hAnsi="宋体" w:eastAsia="宋体" w:cs="宋体"/>
              <w:spacing w:val="-1"/>
              <w:sz w:val="24"/>
              <w:szCs w:val="24"/>
            </w:rPr>
            <w:t>水污染事故应急处理管理措施</w:t>
          </w:r>
          <w:r>
            <w:rPr>
              <w:rFonts w:ascii="宋体" w:hAnsi="宋体" w:eastAsia="宋体" w:cs="宋体"/>
              <w:sz w:val="24"/>
              <w:szCs w:val="24"/>
            </w:rPr>
            <w:tab/>
          </w:r>
          <w:r>
            <w:rPr>
              <w:rFonts w:ascii="Times New Roman" w:hAnsi="Times New Roman" w:eastAsia="Times New Roman" w:cs="Times New Roman"/>
              <w:spacing w:val="-5"/>
              <w:sz w:val="24"/>
              <w:szCs w:val="24"/>
            </w:rPr>
            <w:t>91</w:t>
          </w:r>
          <w:r>
            <w:rPr>
              <w:rFonts w:ascii="Times New Roman" w:hAnsi="Times New Roman" w:eastAsia="Times New Roman" w:cs="Times New Roman"/>
              <w:spacing w:val="-5"/>
              <w:sz w:val="24"/>
              <w:szCs w:val="24"/>
            </w:rPr>
            <w:fldChar w:fldCharType="end"/>
          </w:r>
        </w:p>
        <w:p w14:paraId="33A7D034">
          <w:pPr>
            <w:tabs>
              <w:tab w:val="right" w:leader="dot" w:pos="8502"/>
            </w:tabs>
            <w:spacing w:before="262" w:line="184" w:lineRule="auto"/>
            <w:ind w:left="488"/>
            <w:rPr>
              <w:rFonts w:ascii="Times New Roman" w:hAnsi="Times New Roman" w:eastAsia="Times New Roman" w:cs="Times New Roman"/>
              <w:sz w:val="24"/>
              <w:szCs w:val="24"/>
            </w:rPr>
          </w:pPr>
          <w:r>
            <w:fldChar w:fldCharType="begin"/>
          </w:r>
          <w:r>
            <w:instrText xml:space="preserve"> HYPERLINK \l "bookmark41" </w:instrText>
          </w:r>
          <w:r>
            <w:fldChar w:fldCharType="separate"/>
          </w:r>
          <w:r>
            <w:rPr>
              <w:rFonts w:ascii="Times New Roman" w:hAnsi="Times New Roman" w:eastAsia="Times New Roman" w:cs="Times New Roman"/>
              <w:b/>
              <w:bCs/>
              <w:spacing w:val="-3"/>
              <w:sz w:val="24"/>
              <w:szCs w:val="24"/>
            </w:rPr>
            <w:t>9</w:t>
          </w:r>
          <w:r>
            <w:rPr>
              <w:rFonts w:ascii="宋体" w:hAnsi="宋体" w:eastAsia="宋体" w:cs="宋体"/>
              <w:b/>
              <w:bCs/>
              <w:spacing w:val="-3"/>
              <w:sz w:val="24"/>
              <w:szCs w:val="24"/>
            </w:rPr>
            <w:t>入河排污口设置合理性分析</w:t>
          </w:r>
          <w:r>
            <w:rPr>
              <w:rFonts w:ascii="宋体" w:hAnsi="宋体" w:eastAsia="宋体" w:cs="宋体"/>
              <w:sz w:val="24"/>
              <w:szCs w:val="24"/>
            </w:rPr>
            <w:tab/>
          </w:r>
          <w:r>
            <w:rPr>
              <w:rFonts w:ascii="Times New Roman" w:hAnsi="Times New Roman" w:eastAsia="Times New Roman" w:cs="Times New Roman"/>
              <w:b/>
              <w:bCs/>
              <w:spacing w:val="1"/>
              <w:sz w:val="24"/>
              <w:szCs w:val="24"/>
            </w:rPr>
            <w:t>93</w:t>
          </w:r>
          <w:r>
            <w:rPr>
              <w:rFonts w:ascii="Times New Roman" w:hAnsi="Times New Roman" w:eastAsia="Times New Roman" w:cs="Times New Roman"/>
              <w:b/>
              <w:bCs/>
              <w:spacing w:val="1"/>
              <w:sz w:val="24"/>
              <w:szCs w:val="24"/>
            </w:rPr>
            <w:fldChar w:fldCharType="end"/>
          </w:r>
        </w:p>
        <w:p w14:paraId="1F3171B7">
          <w:pPr>
            <w:tabs>
              <w:tab w:val="right" w:leader="dot" w:pos="8502"/>
            </w:tabs>
            <w:spacing w:before="260" w:line="184" w:lineRule="auto"/>
            <w:ind w:left="1049"/>
            <w:rPr>
              <w:rFonts w:ascii="Times New Roman" w:hAnsi="Times New Roman" w:eastAsia="Times New Roman" w:cs="Times New Roman"/>
              <w:sz w:val="24"/>
              <w:szCs w:val="24"/>
            </w:rPr>
          </w:pPr>
          <w:r>
            <w:fldChar w:fldCharType="begin"/>
          </w:r>
          <w:r>
            <w:instrText xml:space="preserve"> HYPERLINK \l "bookmark42" </w:instrText>
          </w:r>
          <w:r>
            <w:fldChar w:fldCharType="separate"/>
          </w:r>
          <w:r>
            <w:rPr>
              <w:rFonts w:ascii="Times New Roman" w:hAnsi="Times New Roman" w:eastAsia="Times New Roman" w:cs="Times New Roman"/>
              <w:spacing w:val="-1"/>
              <w:sz w:val="24"/>
              <w:szCs w:val="24"/>
            </w:rPr>
            <w:t>9.1</w:t>
          </w:r>
          <w:r>
            <w:rPr>
              <w:rFonts w:ascii="宋体" w:hAnsi="宋体" w:eastAsia="宋体" w:cs="宋体"/>
              <w:spacing w:val="-1"/>
              <w:sz w:val="24"/>
              <w:szCs w:val="24"/>
            </w:rPr>
            <w:t>位置与排放方式分析</w:t>
          </w:r>
          <w:r>
            <w:rPr>
              <w:rFonts w:ascii="宋体" w:hAnsi="宋体" w:eastAsia="宋体" w:cs="宋体"/>
              <w:sz w:val="24"/>
              <w:szCs w:val="24"/>
            </w:rPr>
            <w:tab/>
          </w:r>
          <w:r>
            <w:rPr>
              <w:rFonts w:ascii="Times New Roman" w:hAnsi="Times New Roman" w:eastAsia="Times New Roman" w:cs="Times New Roman"/>
              <w:spacing w:val="-5"/>
              <w:sz w:val="24"/>
              <w:szCs w:val="24"/>
            </w:rPr>
            <w:t>93</w:t>
          </w:r>
          <w:r>
            <w:rPr>
              <w:rFonts w:ascii="Times New Roman" w:hAnsi="Times New Roman" w:eastAsia="Times New Roman" w:cs="Times New Roman"/>
              <w:spacing w:val="-5"/>
              <w:sz w:val="24"/>
              <w:szCs w:val="24"/>
            </w:rPr>
            <w:fldChar w:fldCharType="end"/>
          </w:r>
        </w:p>
        <w:p w14:paraId="4799E3AD">
          <w:pPr>
            <w:tabs>
              <w:tab w:val="right" w:leader="dot" w:pos="8502"/>
            </w:tabs>
            <w:spacing w:before="260" w:line="184" w:lineRule="auto"/>
            <w:ind w:left="1049"/>
            <w:rPr>
              <w:rFonts w:ascii="Times New Roman" w:hAnsi="Times New Roman" w:eastAsia="Times New Roman" w:cs="Times New Roman"/>
              <w:sz w:val="24"/>
              <w:szCs w:val="24"/>
            </w:rPr>
          </w:pPr>
          <w:r>
            <w:fldChar w:fldCharType="begin"/>
          </w:r>
          <w:r>
            <w:instrText xml:space="preserve"> HYPERLINK \l "bookmark43" </w:instrText>
          </w:r>
          <w:r>
            <w:fldChar w:fldCharType="separate"/>
          </w:r>
          <w:r>
            <w:rPr>
              <w:rFonts w:ascii="Times New Roman" w:hAnsi="Times New Roman" w:eastAsia="Times New Roman" w:cs="Times New Roman"/>
              <w:spacing w:val="-1"/>
              <w:sz w:val="24"/>
              <w:szCs w:val="24"/>
            </w:rPr>
            <w:t>9.2</w:t>
          </w:r>
          <w:r>
            <w:rPr>
              <w:rFonts w:ascii="宋体" w:hAnsi="宋体" w:eastAsia="宋体" w:cs="宋体"/>
              <w:spacing w:val="-1"/>
              <w:sz w:val="24"/>
              <w:szCs w:val="24"/>
            </w:rPr>
            <w:t>法律法规政策的符合性</w:t>
          </w:r>
          <w:r>
            <w:rPr>
              <w:rFonts w:ascii="宋体" w:hAnsi="宋体" w:eastAsia="宋体" w:cs="宋体"/>
              <w:sz w:val="24"/>
              <w:szCs w:val="24"/>
            </w:rPr>
            <w:tab/>
          </w:r>
          <w:r>
            <w:rPr>
              <w:rFonts w:ascii="Times New Roman" w:hAnsi="Times New Roman" w:eastAsia="Times New Roman" w:cs="Times New Roman"/>
              <w:spacing w:val="-5"/>
              <w:sz w:val="24"/>
              <w:szCs w:val="24"/>
            </w:rPr>
            <w:t>93</w:t>
          </w:r>
          <w:r>
            <w:rPr>
              <w:rFonts w:ascii="Times New Roman" w:hAnsi="Times New Roman" w:eastAsia="Times New Roman" w:cs="Times New Roman"/>
              <w:spacing w:val="-5"/>
              <w:sz w:val="24"/>
              <w:szCs w:val="24"/>
            </w:rPr>
            <w:fldChar w:fldCharType="end"/>
          </w:r>
        </w:p>
        <w:p w14:paraId="31BACADF">
          <w:pPr>
            <w:tabs>
              <w:tab w:val="right" w:leader="dot" w:pos="8502"/>
            </w:tabs>
            <w:spacing w:before="263" w:line="184" w:lineRule="auto"/>
            <w:ind w:left="1049"/>
            <w:rPr>
              <w:rFonts w:ascii="Times New Roman" w:hAnsi="Times New Roman" w:eastAsia="Times New Roman" w:cs="Times New Roman"/>
              <w:sz w:val="24"/>
              <w:szCs w:val="24"/>
            </w:rPr>
          </w:pPr>
          <w:r>
            <w:fldChar w:fldCharType="begin"/>
          </w:r>
          <w:r>
            <w:instrText xml:space="preserve"> HYPERLINK \l "bookmark44" </w:instrText>
          </w:r>
          <w:r>
            <w:fldChar w:fldCharType="separate"/>
          </w:r>
          <w:r>
            <w:rPr>
              <w:rFonts w:ascii="Times New Roman" w:hAnsi="Times New Roman" w:eastAsia="Times New Roman" w:cs="Times New Roman"/>
              <w:spacing w:val="-1"/>
              <w:sz w:val="24"/>
              <w:szCs w:val="24"/>
            </w:rPr>
            <w:t>9.3</w:t>
          </w:r>
          <w:r>
            <w:rPr>
              <w:rFonts w:ascii="宋体" w:hAnsi="宋体" w:eastAsia="宋体" w:cs="宋体"/>
              <w:spacing w:val="-1"/>
              <w:sz w:val="24"/>
              <w:szCs w:val="24"/>
            </w:rPr>
            <w:t>水生态环境保护目标的符合性</w:t>
          </w:r>
          <w:r>
            <w:rPr>
              <w:rFonts w:ascii="宋体" w:hAnsi="宋体" w:eastAsia="宋体" w:cs="宋体"/>
              <w:sz w:val="24"/>
              <w:szCs w:val="24"/>
            </w:rPr>
            <w:tab/>
          </w:r>
          <w:r>
            <w:rPr>
              <w:rFonts w:ascii="Times New Roman" w:hAnsi="Times New Roman" w:eastAsia="Times New Roman" w:cs="Times New Roman"/>
              <w:spacing w:val="-5"/>
              <w:sz w:val="24"/>
              <w:szCs w:val="24"/>
            </w:rPr>
            <w:t>98</w:t>
          </w:r>
          <w:r>
            <w:rPr>
              <w:rFonts w:ascii="Times New Roman" w:hAnsi="Times New Roman" w:eastAsia="Times New Roman" w:cs="Times New Roman"/>
              <w:spacing w:val="-5"/>
              <w:sz w:val="24"/>
              <w:szCs w:val="24"/>
            </w:rPr>
            <w:fldChar w:fldCharType="end"/>
          </w:r>
        </w:p>
        <w:p w14:paraId="5BF24373">
          <w:pPr>
            <w:tabs>
              <w:tab w:val="right" w:leader="dot" w:pos="8502"/>
            </w:tabs>
            <w:spacing w:before="260" w:line="184" w:lineRule="auto"/>
            <w:ind w:left="1049"/>
            <w:rPr>
              <w:rFonts w:ascii="Times New Roman" w:hAnsi="Times New Roman" w:eastAsia="Times New Roman" w:cs="Times New Roman"/>
              <w:sz w:val="24"/>
              <w:szCs w:val="24"/>
            </w:rPr>
          </w:pPr>
          <w:r>
            <w:fldChar w:fldCharType="begin"/>
          </w:r>
          <w:r>
            <w:instrText xml:space="preserve"> HYPERLINK \l "bookmark45" </w:instrText>
          </w:r>
          <w:r>
            <w:fldChar w:fldCharType="separate"/>
          </w:r>
          <w:r>
            <w:rPr>
              <w:rFonts w:ascii="Times New Roman" w:hAnsi="Times New Roman" w:eastAsia="Times New Roman" w:cs="Times New Roman"/>
              <w:spacing w:val="-1"/>
              <w:sz w:val="24"/>
              <w:szCs w:val="24"/>
            </w:rPr>
            <w:t>9.4</w:t>
          </w:r>
          <w:r>
            <w:rPr>
              <w:rFonts w:ascii="宋体" w:hAnsi="宋体" w:eastAsia="宋体" w:cs="宋体"/>
              <w:spacing w:val="-1"/>
              <w:sz w:val="24"/>
              <w:szCs w:val="24"/>
            </w:rPr>
            <w:t>应采取的水生态环境保护措施及实施效果分析</w:t>
          </w:r>
          <w:r>
            <w:rPr>
              <w:rFonts w:ascii="宋体" w:hAnsi="宋体" w:eastAsia="宋体" w:cs="宋体"/>
              <w:sz w:val="24"/>
              <w:szCs w:val="24"/>
            </w:rPr>
            <w:tab/>
          </w:r>
          <w:r>
            <w:rPr>
              <w:rFonts w:ascii="Times New Roman" w:hAnsi="Times New Roman" w:eastAsia="Times New Roman" w:cs="Times New Roman"/>
              <w:spacing w:val="-10"/>
              <w:sz w:val="24"/>
              <w:szCs w:val="24"/>
            </w:rPr>
            <w:t>103</w:t>
          </w:r>
          <w:r>
            <w:rPr>
              <w:rFonts w:ascii="Times New Roman" w:hAnsi="Times New Roman" w:eastAsia="Times New Roman" w:cs="Times New Roman"/>
              <w:spacing w:val="-10"/>
              <w:sz w:val="24"/>
              <w:szCs w:val="24"/>
            </w:rPr>
            <w:fldChar w:fldCharType="end"/>
          </w:r>
        </w:p>
        <w:p w14:paraId="366EF0E9">
          <w:pPr>
            <w:tabs>
              <w:tab w:val="right" w:leader="dot" w:pos="8502"/>
            </w:tabs>
            <w:spacing w:before="260" w:line="184" w:lineRule="auto"/>
            <w:ind w:left="496"/>
            <w:rPr>
              <w:rFonts w:ascii="Times New Roman" w:hAnsi="Times New Roman" w:eastAsia="Times New Roman" w:cs="Times New Roman"/>
              <w:sz w:val="24"/>
              <w:szCs w:val="24"/>
            </w:rPr>
          </w:pPr>
          <w:r>
            <w:fldChar w:fldCharType="begin"/>
          </w:r>
          <w:r>
            <w:instrText xml:space="preserve"> HYPERLINK \l "bookmark46" </w:instrText>
          </w:r>
          <w:r>
            <w:fldChar w:fldCharType="separate"/>
          </w:r>
          <w:r>
            <w:rPr>
              <w:rFonts w:ascii="Times New Roman" w:hAnsi="Times New Roman" w:eastAsia="Times New Roman" w:cs="Times New Roman"/>
              <w:b/>
              <w:bCs/>
              <w:spacing w:val="-6"/>
              <w:sz w:val="24"/>
              <w:szCs w:val="24"/>
            </w:rPr>
            <w:t>10</w:t>
          </w:r>
          <w:r>
            <w:rPr>
              <w:rFonts w:ascii="宋体" w:hAnsi="宋体" w:eastAsia="宋体" w:cs="宋体"/>
              <w:b/>
              <w:bCs/>
              <w:spacing w:val="-6"/>
              <w:sz w:val="24"/>
              <w:szCs w:val="24"/>
            </w:rPr>
            <w:t>结论与建议</w:t>
          </w:r>
          <w:r>
            <w:rPr>
              <w:rFonts w:ascii="宋体" w:hAnsi="宋体" w:eastAsia="宋体" w:cs="宋体"/>
              <w:b/>
              <w:bCs/>
              <w:sz w:val="24"/>
              <w:szCs w:val="24"/>
            </w:rPr>
            <w:tab/>
          </w:r>
          <w:r>
            <w:rPr>
              <w:rFonts w:ascii="Times New Roman" w:hAnsi="Times New Roman" w:eastAsia="Times New Roman" w:cs="Times New Roman"/>
              <w:b/>
              <w:bCs/>
              <w:spacing w:val="3"/>
              <w:sz w:val="24"/>
              <w:szCs w:val="24"/>
            </w:rPr>
            <w:t>109</w:t>
          </w:r>
          <w:r>
            <w:rPr>
              <w:rFonts w:ascii="Times New Roman" w:hAnsi="Times New Roman" w:eastAsia="Times New Roman" w:cs="Times New Roman"/>
              <w:b/>
              <w:bCs/>
              <w:spacing w:val="3"/>
              <w:sz w:val="24"/>
              <w:szCs w:val="24"/>
            </w:rPr>
            <w:fldChar w:fldCharType="end"/>
          </w:r>
        </w:p>
        <w:p w14:paraId="0C3AF1CB">
          <w:pPr>
            <w:tabs>
              <w:tab w:val="right" w:leader="dot" w:pos="8502"/>
            </w:tabs>
            <w:spacing w:before="262" w:line="184" w:lineRule="auto"/>
            <w:ind w:left="1067"/>
            <w:rPr>
              <w:rFonts w:ascii="Times New Roman" w:hAnsi="Times New Roman" w:eastAsia="Times New Roman" w:cs="Times New Roman"/>
              <w:sz w:val="24"/>
              <w:szCs w:val="24"/>
            </w:rPr>
          </w:pPr>
          <w:r>
            <w:fldChar w:fldCharType="begin"/>
          </w:r>
          <w:r>
            <w:instrText xml:space="preserve"> HYPERLINK \l "bookmark47" </w:instrText>
          </w:r>
          <w:r>
            <w:fldChar w:fldCharType="separate"/>
          </w:r>
          <w:r>
            <w:rPr>
              <w:rFonts w:ascii="Times New Roman" w:hAnsi="Times New Roman" w:eastAsia="Times New Roman" w:cs="Times New Roman"/>
              <w:spacing w:val="-8"/>
              <w:sz w:val="24"/>
              <w:szCs w:val="24"/>
            </w:rPr>
            <w:t>10.1</w:t>
          </w:r>
          <w:r>
            <w:rPr>
              <w:rFonts w:ascii="宋体" w:hAnsi="宋体" w:eastAsia="宋体" w:cs="宋体"/>
              <w:spacing w:val="-8"/>
              <w:sz w:val="24"/>
              <w:szCs w:val="24"/>
            </w:rPr>
            <w:t>结论</w:t>
          </w:r>
          <w:r>
            <w:rPr>
              <w:rFonts w:ascii="宋体" w:hAnsi="宋体" w:eastAsia="宋体" w:cs="宋体"/>
              <w:sz w:val="24"/>
              <w:szCs w:val="24"/>
            </w:rPr>
            <w:tab/>
          </w:r>
          <w:r>
            <w:rPr>
              <w:rFonts w:ascii="Times New Roman" w:hAnsi="Times New Roman" w:eastAsia="Times New Roman" w:cs="Times New Roman"/>
              <w:spacing w:val="-10"/>
              <w:sz w:val="24"/>
              <w:szCs w:val="24"/>
            </w:rPr>
            <w:t>109</w:t>
          </w:r>
          <w:r>
            <w:rPr>
              <w:rFonts w:ascii="Times New Roman" w:hAnsi="Times New Roman" w:eastAsia="Times New Roman" w:cs="Times New Roman"/>
              <w:spacing w:val="-10"/>
              <w:sz w:val="24"/>
              <w:szCs w:val="24"/>
            </w:rPr>
            <w:fldChar w:fldCharType="end"/>
          </w:r>
        </w:p>
        <w:p w14:paraId="0141ECC1">
          <w:pPr>
            <w:tabs>
              <w:tab w:val="right" w:leader="dot" w:pos="8505"/>
            </w:tabs>
            <w:spacing w:before="260" w:line="184" w:lineRule="auto"/>
            <w:ind w:left="1067"/>
            <w:rPr>
              <w:rFonts w:ascii="Times New Roman" w:hAnsi="Times New Roman" w:eastAsia="Times New Roman" w:cs="Times New Roman"/>
              <w:sz w:val="24"/>
              <w:szCs w:val="24"/>
            </w:rPr>
          </w:pPr>
          <w:r>
            <w:fldChar w:fldCharType="begin"/>
          </w:r>
          <w:r>
            <w:instrText xml:space="preserve"> HYPERLINK \l "bookmark48" </w:instrText>
          </w:r>
          <w:r>
            <w:fldChar w:fldCharType="separate"/>
          </w:r>
          <w:r>
            <w:rPr>
              <w:rFonts w:ascii="Times New Roman" w:hAnsi="Times New Roman" w:eastAsia="Times New Roman" w:cs="Times New Roman"/>
              <w:spacing w:val="-7"/>
              <w:sz w:val="24"/>
              <w:szCs w:val="24"/>
            </w:rPr>
            <w:t>10.2</w:t>
          </w:r>
          <w:r>
            <w:rPr>
              <w:rFonts w:ascii="宋体" w:hAnsi="宋体" w:eastAsia="宋体" w:cs="宋体"/>
              <w:spacing w:val="-7"/>
              <w:sz w:val="24"/>
              <w:szCs w:val="24"/>
            </w:rPr>
            <w:t>建议</w:t>
          </w:r>
          <w:r>
            <w:rPr>
              <w:rFonts w:ascii="宋体" w:hAnsi="宋体" w:eastAsia="宋体" w:cs="宋体"/>
              <w:sz w:val="24"/>
              <w:szCs w:val="24"/>
            </w:rPr>
            <w:tab/>
          </w:r>
          <w:r>
            <w:rPr>
              <w:rFonts w:ascii="Times New Roman" w:hAnsi="Times New Roman" w:eastAsia="Times New Roman" w:cs="Times New Roman"/>
              <w:spacing w:val="-2"/>
              <w:sz w:val="24"/>
              <w:szCs w:val="24"/>
            </w:rPr>
            <w:t>110</w:t>
          </w:r>
          <w:r>
            <w:rPr>
              <w:rFonts w:ascii="Times New Roman" w:hAnsi="Times New Roman" w:eastAsia="Times New Roman" w:cs="Times New Roman"/>
              <w:spacing w:val="-2"/>
              <w:sz w:val="24"/>
              <w:szCs w:val="24"/>
            </w:rPr>
            <w:fldChar w:fldCharType="end"/>
          </w:r>
        </w:p>
        <w:p w14:paraId="123861E4">
          <w:pPr>
            <w:tabs>
              <w:tab w:val="right" w:leader="dot" w:pos="8502"/>
            </w:tabs>
            <w:spacing w:before="259" w:line="219" w:lineRule="auto"/>
            <w:ind w:left="496"/>
            <w:rPr>
              <w:rFonts w:ascii="Times New Roman" w:hAnsi="Times New Roman" w:eastAsia="Times New Roman" w:cs="Times New Roman"/>
              <w:sz w:val="24"/>
              <w:szCs w:val="24"/>
            </w:rPr>
          </w:pPr>
          <w:r>
            <w:fldChar w:fldCharType="begin"/>
          </w:r>
          <w:r>
            <w:instrText xml:space="preserve"> HYPERLINK \l "bookmark49" </w:instrText>
          </w:r>
          <w:r>
            <w:fldChar w:fldCharType="separate"/>
          </w:r>
          <w:r>
            <w:rPr>
              <w:rFonts w:ascii="Times New Roman" w:hAnsi="Times New Roman" w:eastAsia="Times New Roman" w:cs="Times New Roman"/>
              <w:b/>
              <w:bCs/>
              <w:spacing w:val="-11"/>
              <w:sz w:val="24"/>
              <w:szCs w:val="24"/>
            </w:rPr>
            <w:t>11</w:t>
          </w:r>
          <w:r>
            <w:rPr>
              <w:rFonts w:ascii="宋体" w:hAnsi="宋体" w:eastAsia="宋体" w:cs="宋体"/>
              <w:b/>
              <w:bCs/>
              <w:spacing w:val="-11"/>
              <w:sz w:val="24"/>
              <w:szCs w:val="24"/>
            </w:rPr>
            <w:t>附件附图</w:t>
          </w:r>
          <w:r>
            <w:rPr>
              <w:rFonts w:ascii="宋体" w:hAnsi="宋体" w:eastAsia="宋体" w:cs="宋体"/>
              <w:sz w:val="24"/>
              <w:szCs w:val="24"/>
            </w:rPr>
            <w:tab/>
          </w:r>
          <w:r>
            <w:rPr>
              <w:rFonts w:ascii="Times New Roman" w:hAnsi="Times New Roman" w:eastAsia="Times New Roman" w:cs="Times New Roman"/>
              <w:b/>
              <w:bCs/>
              <w:spacing w:val="-10"/>
              <w:sz w:val="24"/>
              <w:szCs w:val="24"/>
            </w:rPr>
            <w:t>112</w:t>
          </w:r>
          <w:r>
            <w:rPr>
              <w:rFonts w:ascii="Times New Roman" w:hAnsi="Times New Roman" w:eastAsia="Times New Roman" w:cs="Times New Roman"/>
              <w:b/>
              <w:bCs/>
              <w:spacing w:val="-10"/>
              <w:sz w:val="24"/>
              <w:szCs w:val="24"/>
            </w:rPr>
            <w:fldChar w:fldCharType="end"/>
          </w:r>
        </w:p>
      </w:sdtContent>
    </w:sdt>
    <w:p w14:paraId="35524E87">
      <w:pPr>
        <w:pStyle w:val="2"/>
        <w:spacing w:line="322" w:lineRule="auto"/>
      </w:pPr>
    </w:p>
    <w:p w14:paraId="1409C85C">
      <w:pPr>
        <w:pStyle w:val="2"/>
        <w:spacing w:line="322" w:lineRule="auto"/>
      </w:pPr>
    </w:p>
    <w:p w14:paraId="3B2A3997">
      <w:pPr>
        <w:spacing w:before="92" w:line="219" w:lineRule="auto"/>
        <w:ind w:left="33"/>
        <w:rPr>
          <w:rFonts w:ascii="宋体" w:hAnsi="宋体" w:eastAsia="宋体" w:cs="宋体"/>
          <w:sz w:val="28"/>
          <w:szCs w:val="28"/>
        </w:rPr>
      </w:pPr>
      <w:r>
        <w:rPr>
          <w:rFonts w:ascii="宋体" w:hAnsi="宋体" w:eastAsia="宋体" w:cs="宋体"/>
          <w:b/>
          <w:bCs/>
          <w:spacing w:val="-19"/>
          <w:sz w:val="28"/>
          <w:szCs w:val="28"/>
        </w:rPr>
        <w:t>附件</w:t>
      </w:r>
    </w:p>
    <w:p w14:paraId="522BD675">
      <w:pPr>
        <w:spacing w:before="259" w:line="219" w:lineRule="auto"/>
        <w:ind w:left="508"/>
        <w:rPr>
          <w:rFonts w:ascii="宋体" w:hAnsi="宋体" w:eastAsia="宋体" w:cs="宋体"/>
          <w:sz w:val="24"/>
          <w:szCs w:val="24"/>
        </w:rPr>
      </w:pPr>
      <w:r>
        <w:rPr>
          <w:rFonts w:ascii="宋体" w:hAnsi="宋体" w:eastAsia="宋体" w:cs="宋体"/>
          <w:spacing w:val="-9"/>
          <w:sz w:val="24"/>
          <w:szCs w:val="24"/>
        </w:rPr>
        <w:t>附件</w:t>
      </w:r>
      <w:r>
        <w:rPr>
          <w:rFonts w:ascii="Times New Roman" w:hAnsi="Times New Roman" w:eastAsia="Times New Roman" w:cs="Times New Roman"/>
          <w:spacing w:val="-9"/>
          <w:sz w:val="24"/>
          <w:szCs w:val="24"/>
        </w:rPr>
        <w:t>1</w:t>
      </w:r>
      <w:r>
        <w:rPr>
          <w:rFonts w:ascii="宋体" w:hAnsi="宋体" w:eastAsia="宋体" w:cs="宋体"/>
          <w:spacing w:val="-9"/>
          <w:sz w:val="24"/>
          <w:szCs w:val="24"/>
        </w:rPr>
        <w:t>项目委托书</w:t>
      </w:r>
    </w:p>
    <w:p w14:paraId="0297C5A8">
      <w:pPr>
        <w:spacing w:before="286" w:line="219" w:lineRule="auto"/>
        <w:ind w:left="508"/>
        <w:rPr>
          <w:rFonts w:ascii="宋体" w:hAnsi="宋体" w:eastAsia="宋体" w:cs="宋体"/>
          <w:sz w:val="24"/>
          <w:szCs w:val="24"/>
        </w:rPr>
      </w:pPr>
      <w:r>
        <w:rPr>
          <w:rFonts w:ascii="宋体" w:hAnsi="宋体" w:eastAsia="宋体" w:cs="宋体"/>
          <w:spacing w:val="5"/>
          <w:sz w:val="24"/>
          <w:szCs w:val="24"/>
        </w:rPr>
        <w:t>附件</w:t>
      </w:r>
      <w:r>
        <w:rPr>
          <w:rFonts w:ascii="Times New Roman" w:hAnsi="Times New Roman" w:eastAsia="Times New Roman" w:cs="Times New Roman"/>
          <w:spacing w:val="5"/>
          <w:sz w:val="24"/>
          <w:szCs w:val="24"/>
        </w:rPr>
        <w:t>2</w:t>
      </w:r>
      <w:r>
        <w:rPr>
          <w:rFonts w:ascii="宋体" w:hAnsi="宋体" w:eastAsia="宋体" w:cs="宋体"/>
          <w:spacing w:val="5"/>
          <w:sz w:val="24"/>
          <w:szCs w:val="24"/>
        </w:rPr>
        <w:t>隆回县发展和改革局关于隆回工业园污水处理厂进行提标扩容改造</w:t>
      </w:r>
    </w:p>
    <w:p w14:paraId="469A33F1">
      <w:pPr>
        <w:spacing w:line="219" w:lineRule="auto"/>
        <w:rPr>
          <w:rFonts w:ascii="宋体" w:hAnsi="宋体" w:eastAsia="宋体" w:cs="宋体"/>
          <w:sz w:val="24"/>
          <w:szCs w:val="24"/>
        </w:rPr>
        <w:sectPr>
          <w:headerReference r:id="rId6" w:type="default"/>
          <w:pgSz w:w="11906" w:h="16839"/>
          <w:pgMar w:top="1132" w:right="1698" w:bottom="0" w:left="1701" w:header="829" w:footer="0" w:gutter="0"/>
          <w:cols w:space="720" w:num="1"/>
        </w:sectPr>
      </w:pPr>
    </w:p>
    <w:p w14:paraId="09EBA469">
      <w:pPr>
        <w:pStyle w:val="2"/>
        <w:spacing w:line="369" w:lineRule="auto"/>
      </w:pPr>
    </w:p>
    <w:p w14:paraId="6CA2C1B6">
      <w:pPr>
        <w:spacing w:before="78" w:line="212" w:lineRule="auto"/>
        <w:ind w:left="10"/>
        <w:rPr>
          <w:rFonts w:ascii="宋体" w:hAnsi="宋体" w:eastAsia="宋体" w:cs="宋体"/>
          <w:sz w:val="24"/>
          <w:szCs w:val="24"/>
        </w:rPr>
      </w:pPr>
      <w:r>
        <w:rPr>
          <w:rFonts w:ascii="Times New Roman" w:hAnsi="Times New Roman" w:eastAsia="Times New Roman" w:cs="Times New Roman"/>
          <w:spacing w:val="-1"/>
          <w:sz w:val="24"/>
          <w:szCs w:val="24"/>
        </w:rPr>
        <w:t>(</w:t>
      </w:r>
      <w:r>
        <w:rPr>
          <w:rFonts w:ascii="宋体" w:hAnsi="宋体" w:eastAsia="宋体" w:cs="宋体"/>
          <w:spacing w:val="-1"/>
          <w:sz w:val="24"/>
          <w:szCs w:val="24"/>
        </w:rPr>
        <w:t>二期</w:t>
      </w:r>
      <w:r>
        <w:rPr>
          <w:rFonts w:ascii="Times New Roman" w:hAnsi="Times New Roman" w:eastAsia="Times New Roman" w:cs="Times New Roman"/>
          <w:spacing w:val="-1"/>
          <w:sz w:val="24"/>
          <w:szCs w:val="24"/>
        </w:rPr>
        <w:t>)</w:t>
      </w:r>
      <w:r>
        <w:rPr>
          <w:rFonts w:ascii="宋体" w:hAnsi="宋体" w:eastAsia="宋体" w:cs="宋体"/>
          <w:spacing w:val="-1"/>
          <w:sz w:val="24"/>
          <w:szCs w:val="24"/>
        </w:rPr>
        <w:t>工程可行性研究报告的批复（隆发改项字</w:t>
      </w:r>
      <w:r>
        <w:rPr>
          <w:rFonts w:ascii="Times New Roman" w:hAnsi="Times New Roman" w:eastAsia="Times New Roman" w:cs="Times New Roman"/>
          <w:spacing w:val="-1"/>
          <w:sz w:val="24"/>
          <w:szCs w:val="24"/>
        </w:rPr>
        <w:t>[2024]17</w:t>
      </w:r>
      <w:r>
        <w:rPr>
          <w:rFonts w:ascii="宋体" w:hAnsi="宋体" w:eastAsia="宋体" w:cs="宋体"/>
          <w:spacing w:val="-1"/>
          <w:sz w:val="24"/>
          <w:szCs w:val="24"/>
        </w:rPr>
        <w:t>号）</w:t>
      </w:r>
    </w:p>
    <w:p w14:paraId="62F12A55">
      <w:pPr>
        <w:spacing w:before="296" w:line="440" w:lineRule="auto"/>
        <w:ind w:left="8" w:right="103" w:firstLine="499"/>
        <w:rPr>
          <w:rFonts w:ascii="宋体" w:hAnsi="宋体" w:eastAsia="宋体" w:cs="宋体"/>
          <w:sz w:val="24"/>
          <w:szCs w:val="24"/>
        </w:rPr>
      </w:pPr>
      <w:r>
        <w:rPr>
          <w:rFonts w:ascii="宋体" w:hAnsi="宋体" w:eastAsia="宋体" w:cs="宋体"/>
          <w:spacing w:val="-2"/>
          <w:sz w:val="24"/>
          <w:szCs w:val="24"/>
        </w:rPr>
        <w:t>附件</w:t>
      </w:r>
      <w:r>
        <w:rPr>
          <w:rFonts w:ascii="Times New Roman" w:hAnsi="Times New Roman" w:eastAsia="Times New Roman" w:cs="Times New Roman"/>
          <w:spacing w:val="-2"/>
          <w:sz w:val="24"/>
          <w:szCs w:val="24"/>
        </w:rPr>
        <w:t>3</w:t>
      </w:r>
      <w:r>
        <w:rPr>
          <w:rFonts w:ascii="宋体" w:hAnsi="宋体" w:eastAsia="宋体" w:cs="宋体"/>
          <w:spacing w:val="-2"/>
          <w:sz w:val="24"/>
          <w:szCs w:val="24"/>
        </w:rPr>
        <w:t>隆回县住房和城乡建设局关于隆回工业园污水处理厂进行提标扩容改</w:t>
      </w:r>
      <w:r>
        <w:rPr>
          <w:rFonts w:ascii="宋体" w:hAnsi="宋体" w:eastAsia="宋体" w:cs="宋体"/>
          <w:spacing w:val="-1"/>
          <w:sz w:val="24"/>
          <w:szCs w:val="24"/>
        </w:rPr>
        <w:t>造</w:t>
      </w:r>
      <w:r>
        <w:rPr>
          <w:rFonts w:ascii="Times New Roman" w:hAnsi="Times New Roman" w:eastAsia="Times New Roman" w:cs="Times New Roman"/>
          <w:spacing w:val="-1"/>
          <w:sz w:val="24"/>
          <w:szCs w:val="24"/>
        </w:rPr>
        <w:t>(</w:t>
      </w:r>
      <w:r>
        <w:rPr>
          <w:rFonts w:ascii="宋体" w:hAnsi="宋体" w:eastAsia="宋体" w:cs="宋体"/>
          <w:spacing w:val="-1"/>
          <w:sz w:val="24"/>
          <w:szCs w:val="24"/>
        </w:rPr>
        <w:t>二期</w:t>
      </w:r>
      <w:r>
        <w:rPr>
          <w:rFonts w:ascii="Times New Roman" w:hAnsi="Times New Roman" w:eastAsia="Times New Roman" w:cs="Times New Roman"/>
          <w:spacing w:val="-1"/>
          <w:sz w:val="24"/>
          <w:szCs w:val="24"/>
        </w:rPr>
        <w:t>)</w:t>
      </w:r>
      <w:r>
        <w:rPr>
          <w:rFonts w:ascii="宋体" w:hAnsi="宋体" w:eastAsia="宋体" w:cs="宋体"/>
          <w:spacing w:val="-1"/>
          <w:sz w:val="24"/>
          <w:szCs w:val="24"/>
        </w:rPr>
        <w:t>工程初步设计的批复（隆建初设审函</w:t>
      </w:r>
      <w:r>
        <w:rPr>
          <w:rFonts w:ascii="Times New Roman" w:hAnsi="Times New Roman" w:eastAsia="Times New Roman" w:cs="Times New Roman"/>
          <w:spacing w:val="-1"/>
          <w:sz w:val="24"/>
          <w:szCs w:val="24"/>
        </w:rPr>
        <w:t>(2025)06</w:t>
      </w:r>
      <w:r>
        <w:rPr>
          <w:rFonts w:ascii="宋体" w:hAnsi="宋体" w:eastAsia="宋体" w:cs="宋体"/>
          <w:spacing w:val="-1"/>
          <w:sz w:val="24"/>
          <w:szCs w:val="24"/>
        </w:rPr>
        <w:t>号）</w:t>
      </w:r>
    </w:p>
    <w:p w14:paraId="61EE2CBE">
      <w:pPr>
        <w:spacing w:line="218" w:lineRule="auto"/>
        <w:ind w:left="508"/>
        <w:rPr>
          <w:rFonts w:ascii="宋体" w:hAnsi="宋体" w:eastAsia="宋体" w:cs="宋体"/>
          <w:sz w:val="24"/>
          <w:szCs w:val="24"/>
        </w:rPr>
      </w:pPr>
      <w:r>
        <w:rPr>
          <w:rFonts w:ascii="宋体" w:hAnsi="宋体" w:eastAsia="宋体" w:cs="宋体"/>
          <w:spacing w:val="-2"/>
          <w:sz w:val="24"/>
          <w:szCs w:val="24"/>
        </w:rPr>
        <w:t>附件</w:t>
      </w:r>
      <w:r>
        <w:rPr>
          <w:rFonts w:ascii="Times New Roman" w:hAnsi="Times New Roman" w:eastAsia="Times New Roman" w:cs="Times New Roman"/>
          <w:spacing w:val="-2"/>
          <w:sz w:val="24"/>
          <w:szCs w:val="24"/>
        </w:rPr>
        <w:t>4</w:t>
      </w:r>
      <w:r>
        <w:rPr>
          <w:rFonts w:ascii="宋体" w:hAnsi="宋体" w:eastAsia="宋体" w:cs="宋体"/>
          <w:spacing w:val="-2"/>
          <w:sz w:val="24"/>
          <w:szCs w:val="24"/>
        </w:rPr>
        <w:t>隆回县工业污水处理厂（一期）入河排污口设</w:t>
      </w:r>
      <w:r>
        <w:rPr>
          <w:rFonts w:ascii="宋体" w:hAnsi="宋体" w:eastAsia="宋体" w:cs="宋体"/>
          <w:spacing w:val="-3"/>
          <w:sz w:val="24"/>
          <w:szCs w:val="24"/>
        </w:rPr>
        <w:t>置的批复</w:t>
      </w:r>
    </w:p>
    <w:p w14:paraId="7B17EAD8">
      <w:pPr>
        <w:spacing w:before="286" w:line="219" w:lineRule="auto"/>
        <w:ind w:left="508"/>
        <w:rPr>
          <w:rFonts w:ascii="宋体" w:hAnsi="宋体" w:eastAsia="宋体" w:cs="宋体"/>
          <w:sz w:val="24"/>
          <w:szCs w:val="24"/>
        </w:rPr>
      </w:pPr>
      <w:r>
        <w:rPr>
          <w:rFonts w:ascii="宋体" w:hAnsi="宋体" w:eastAsia="宋体" w:cs="宋体"/>
          <w:spacing w:val="-3"/>
          <w:sz w:val="24"/>
          <w:szCs w:val="24"/>
        </w:rPr>
        <w:t>附件</w:t>
      </w:r>
      <w:r>
        <w:rPr>
          <w:rFonts w:ascii="Times New Roman" w:hAnsi="Times New Roman" w:eastAsia="Times New Roman" w:cs="Times New Roman"/>
          <w:spacing w:val="-3"/>
          <w:sz w:val="24"/>
          <w:szCs w:val="24"/>
        </w:rPr>
        <w:t>5</w:t>
      </w:r>
      <w:r>
        <w:rPr>
          <w:rFonts w:ascii="宋体" w:hAnsi="宋体" w:eastAsia="宋体" w:cs="宋体"/>
          <w:spacing w:val="-3"/>
          <w:sz w:val="24"/>
          <w:szCs w:val="24"/>
        </w:rPr>
        <w:t>隆回县工业污水处理厂（一期）工程环评批复</w:t>
      </w:r>
    </w:p>
    <w:p w14:paraId="2BAC3C3B">
      <w:pPr>
        <w:spacing w:before="286" w:line="219" w:lineRule="auto"/>
        <w:ind w:left="508"/>
        <w:rPr>
          <w:rFonts w:ascii="宋体" w:hAnsi="宋体" w:eastAsia="宋体" w:cs="宋体"/>
          <w:sz w:val="24"/>
          <w:szCs w:val="24"/>
        </w:rPr>
      </w:pPr>
      <w:r>
        <w:rPr>
          <w:rFonts w:ascii="宋体" w:hAnsi="宋体" w:eastAsia="宋体" w:cs="宋体"/>
          <w:spacing w:val="-2"/>
          <w:sz w:val="24"/>
          <w:szCs w:val="24"/>
        </w:rPr>
        <w:t>附件</w:t>
      </w:r>
      <w:r>
        <w:rPr>
          <w:rFonts w:ascii="Times New Roman" w:hAnsi="Times New Roman" w:eastAsia="Times New Roman" w:cs="Times New Roman"/>
          <w:spacing w:val="-2"/>
          <w:sz w:val="24"/>
          <w:szCs w:val="24"/>
        </w:rPr>
        <w:t>6</w:t>
      </w:r>
      <w:r>
        <w:rPr>
          <w:rFonts w:ascii="宋体" w:hAnsi="宋体" w:eastAsia="宋体" w:cs="宋体"/>
          <w:spacing w:val="-2"/>
          <w:sz w:val="24"/>
          <w:szCs w:val="24"/>
        </w:rPr>
        <w:t>隆回县工业污水处理厂（一期）工程环保设施</w:t>
      </w:r>
      <w:r>
        <w:rPr>
          <w:rFonts w:ascii="宋体" w:hAnsi="宋体" w:eastAsia="宋体" w:cs="宋体"/>
          <w:spacing w:val="-3"/>
          <w:sz w:val="24"/>
          <w:szCs w:val="24"/>
        </w:rPr>
        <w:t>验收备案回执</w:t>
      </w:r>
    </w:p>
    <w:p w14:paraId="3F9889AC">
      <w:pPr>
        <w:spacing w:before="288" w:line="439" w:lineRule="auto"/>
        <w:ind w:left="508" w:right="343"/>
        <w:rPr>
          <w:rFonts w:ascii="宋体" w:hAnsi="宋体" w:eastAsia="宋体" w:cs="宋体"/>
          <w:sz w:val="24"/>
          <w:szCs w:val="24"/>
        </w:rPr>
      </w:pPr>
      <w:r>
        <w:rPr>
          <w:rFonts w:ascii="宋体" w:hAnsi="宋体" w:eastAsia="宋体" w:cs="宋体"/>
          <w:spacing w:val="-2"/>
          <w:sz w:val="24"/>
          <w:szCs w:val="24"/>
        </w:rPr>
        <w:t>附件</w:t>
      </w:r>
      <w:r>
        <w:rPr>
          <w:rFonts w:ascii="Times New Roman" w:hAnsi="Times New Roman" w:eastAsia="Times New Roman" w:cs="Times New Roman"/>
          <w:spacing w:val="-2"/>
          <w:sz w:val="24"/>
          <w:szCs w:val="24"/>
        </w:rPr>
        <w:t>7</w:t>
      </w:r>
      <w:r>
        <w:rPr>
          <w:rFonts w:ascii="宋体" w:hAnsi="宋体" w:eastAsia="宋体" w:cs="宋体"/>
          <w:spacing w:val="-2"/>
          <w:sz w:val="24"/>
          <w:szCs w:val="24"/>
        </w:rPr>
        <w:t>隆回县工业污水处理厂（一期）工程突发环境事件应急预案备案表</w:t>
      </w:r>
      <w:r>
        <w:rPr>
          <w:rFonts w:ascii="宋体" w:hAnsi="宋体" w:eastAsia="宋体" w:cs="宋体"/>
          <w:spacing w:val="-3"/>
          <w:sz w:val="24"/>
          <w:szCs w:val="24"/>
        </w:rPr>
        <w:t>附件</w:t>
      </w:r>
      <w:r>
        <w:rPr>
          <w:rFonts w:ascii="Times New Roman" w:hAnsi="Times New Roman" w:eastAsia="Times New Roman" w:cs="Times New Roman"/>
          <w:spacing w:val="-3"/>
          <w:sz w:val="24"/>
          <w:szCs w:val="24"/>
        </w:rPr>
        <w:t>8</w:t>
      </w:r>
      <w:r>
        <w:rPr>
          <w:rFonts w:ascii="宋体" w:hAnsi="宋体" w:eastAsia="宋体" w:cs="宋体"/>
          <w:spacing w:val="-3"/>
          <w:sz w:val="24"/>
          <w:szCs w:val="24"/>
        </w:rPr>
        <w:t>隆回县工业污水处理厂（一期）工程排污许可证</w:t>
      </w:r>
    </w:p>
    <w:p w14:paraId="307D18DB">
      <w:pPr>
        <w:spacing w:before="2" w:line="217" w:lineRule="auto"/>
        <w:ind w:left="508"/>
        <w:rPr>
          <w:rFonts w:ascii="宋体" w:hAnsi="宋体" w:eastAsia="宋体" w:cs="宋体"/>
          <w:sz w:val="24"/>
          <w:szCs w:val="24"/>
        </w:rPr>
      </w:pPr>
      <w:r>
        <w:rPr>
          <w:rFonts w:ascii="宋体" w:hAnsi="宋体" w:eastAsia="宋体" w:cs="宋体"/>
          <w:spacing w:val="-1"/>
          <w:sz w:val="24"/>
          <w:szCs w:val="24"/>
        </w:rPr>
        <w:t>附件</w:t>
      </w:r>
      <w:r>
        <w:rPr>
          <w:rFonts w:ascii="Times New Roman" w:hAnsi="Times New Roman" w:eastAsia="Times New Roman" w:cs="Times New Roman"/>
          <w:spacing w:val="-1"/>
          <w:sz w:val="24"/>
          <w:szCs w:val="24"/>
        </w:rPr>
        <w:t>9</w:t>
      </w:r>
      <w:r>
        <w:rPr>
          <w:rFonts w:ascii="宋体" w:hAnsi="宋体" w:eastAsia="宋体" w:cs="宋体"/>
          <w:spacing w:val="-1"/>
          <w:sz w:val="24"/>
          <w:szCs w:val="24"/>
        </w:rPr>
        <w:t>湖南省环境保护厅关于隆回工业集中区扩区规划环境影响</w:t>
      </w:r>
      <w:r>
        <w:rPr>
          <w:rFonts w:ascii="宋体" w:hAnsi="宋体" w:eastAsia="宋体" w:cs="宋体"/>
          <w:spacing w:val="-2"/>
          <w:sz w:val="24"/>
          <w:szCs w:val="24"/>
        </w:rPr>
        <w:t>报告书的审</w:t>
      </w:r>
    </w:p>
    <w:p w14:paraId="7391E1A3">
      <w:pPr>
        <w:spacing w:before="286" w:line="435" w:lineRule="auto"/>
        <w:ind w:left="507" w:right="5185" w:hanging="495"/>
        <w:rPr>
          <w:rFonts w:ascii="宋体" w:hAnsi="宋体" w:eastAsia="宋体" w:cs="宋体"/>
          <w:sz w:val="24"/>
          <w:szCs w:val="24"/>
        </w:rPr>
      </w:pPr>
      <w:r>
        <w:rPr>
          <w:rFonts w:ascii="宋体" w:hAnsi="宋体" w:eastAsia="宋体" w:cs="宋体"/>
          <w:spacing w:val="-2"/>
          <w:sz w:val="24"/>
          <w:szCs w:val="24"/>
        </w:rPr>
        <w:t>查意见（湘环评函</w:t>
      </w:r>
      <w:r>
        <w:rPr>
          <w:rFonts w:ascii="Times New Roman" w:hAnsi="Times New Roman" w:eastAsia="Times New Roman" w:cs="Times New Roman"/>
          <w:spacing w:val="-2"/>
          <w:sz w:val="24"/>
          <w:szCs w:val="24"/>
        </w:rPr>
        <w:t>[2018]14</w:t>
      </w:r>
      <w:r>
        <w:rPr>
          <w:rFonts w:ascii="宋体" w:hAnsi="宋体" w:eastAsia="宋体" w:cs="宋体"/>
          <w:spacing w:val="-2"/>
          <w:sz w:val="24"/>
          <w:szCs w:val="24"/>
        </w:rPr>
        <w:t>号）</w:t>
      </w:r>
      <w:r>
        <w:rPr>
          <w:rFonts w:ascii="宋体" w:hAnsi="宋体" w:eastAsia="宋体" w:cs="宋体"/>
          <w:spacing w:val="-5"/>
          <w:sz w:val="24"/>
          <w:szCs w:val="24"/>
        </w:rPr>
        <w:t>附件</w:t>
      </w:r>
      <w:r>
        <w:rPr>
          <w:rFonts w:ascii="Times New Roman" w:hAnsi="Times New Roman" w:eastAsia="Times New Roman" w:cs="Times New Roman"/>
          <w:spacing w:val="-5"/>
          <w:sz w:val="24"/>
          <w:szCs w:val="24"/>
        </w:rPr>
        <w:t>10</w:t>
      </w:r>
      <w:r>
        <w:rPr>
          <w:rFonts w:ascii="宋体" w:hAnsi="宋体" w:eastAsia="宋体" w:cs="宋体"/>
          <w:spacing w:val="-5"/>
          <w:sz w:val="24"/>
          <w:szCs w:val="24"/>
        </w:rPr>
        <w:t>第三者调查意见表</w:t>
      </w:r>
      <w:r>
        <w:rPr>
          <w:rFonts w:ascii="宋体" w:hAnsi="宋体" w:eastAsia="宋体" w:cs="宋体"/>
          <w:spacing w:val="-8"/>
          <w:sz w:val="24"/>
          <w:szCs w:val="24"/>
        </w:rPr>
        <w:t>附件</w:t>
      </w:r>
      <w:r>
        <w:rPr>
          <w:rFonts w:ascii="Times New Roman" w:hAnsi="Times New Roman" w:eastAsia="Times New Roman" w:cs="Times New Roman"/>
          <w:spacing w:val="-8"/>
          <w:sz w:val="24"/>
          <w:szCs w:val="24"/>
        </w:rPr>
        <w:t>11</w:t>
      </w:r>
      <w:r>
        <w:rPr>
          <w:rFonts w:ascii="宋体" w:hAnsi="宋体" w:eastAsia="宋体" w:cs="宋体"/>
          <w:spacing w:val="-8"/>
          <w:sz w:val="24"/>
          <w:szCs w:val="24"/>
        </w:rPr>
        <w:t>检测报告</w:t>
      </w:r>
    </w:p>
    <w:p w14:paraId="2759C6BE">
      <w:pPr>
        <w:spacing w:before="1" w:line="219" w:lineRule="auto"/>
        <w:ind w:left="33"/>
        <w:rPr>
          <w:rFonts w:ascii="宋体" w:hAnsi="宋体" w:eastAsia="宋体" w:cs="宋体"/>
          <w:sz w:val="28"/>
          <w:szCs w:val="28"/>
        </w:rPr>
      </w:pPr>
      <w:r>
        <w:rPr>
          <w:rFonts w:ascii="宋体" w:hAnsi="宋体" w:eastAsia="宋体" w:cs="宋体"/>
          <w:b/>
          <w:bCs/>
          <w:spacing w:val="-19"/>
          <w:sz w:val="28"/>
          <w:szCs w:val="28"/>
        </w:rPr>
        <w:t>附图</w:t>
      </w:r>
    </w:p>
    <w:p w14:paraId="46444E6A">
      <w:pPr>
        <w:spacing w:before="259" w:line="219" w:lineRule="auto"/>
        <w:ind w:left="508"/>
        <w:rPr>
          <w:rFonts w:ascii="宋体" w:hAnsi="宋体" w:eastAsia="宋体" w:cs="宋体"/>
          <w:sz w:val="24"/>
          <w:szCs w:val="24"/>
        </w:rPr>
      </w:pPr>
      <w:r>
        <w:rPr>
          <w:rFonts w:ascii="宋体" w:hAnsi="宋体" w:eastAsia="宋体" w:cs="宋体"/>
          <w:spacing w:val="-6"/>
          <w:sz w:val="24"/>
          <w:szCs w:val="24"/>
        </w:rPr>
        <w:t>附图</w:t>
      </w:r>
      <w:r>
        <w:rPr>
          <w:rFonts w:ascii="Times New Roman" w:hAnsi="Times New Roman" w:eastAsia="Times New Roman" w:cs="Times New Roman"/>
          <w:spacing w:val="-6"/>
          <w:sz w:val="24"/>
          <w:szCs w:val="24"/>
        </w:rPr>
        <w:t>1</w:t>
      </w:r>
      <w:r>
        <w:rPr>
          <w:rFonts w:ascii="宋体" w:hAnsi="宋体" w:eastAsia="宋体" w:cs="宋体"/>
          <w:spacing w:val="-6"/>
          <w:sz w:val="24"/>
          <w:szCs w:val="24"/>
        </w:rPr>
        <w:t>地理位置关系图</w:t>
      </w:r>
    </w:p>
    <w:p w14:paraId="33003EAA">
      <w:pPr>
        <w:spacing w:before="286" w:line="219" w:lineRule="auto"/>
        <w:ind w:left="508"/>
        <w:rPr>
          <w:rFonts w:ascii="宋体" w:hAnsi="宋体" w:eastAsia="宋体" w:cs="宋体"/>
          <w:sz w:val="24"/>
          <w:szCs w:val="24"/>
        </w:rPr>
      </w:pPr>
      <w:r>
        <w:rPr>
          <w:rFonts w:ascii="宋体" w:hAnsi="宋体" w:eastAsia="宋体" w:cs="宋体"/>
          <w:spacing w:val="-8"/>
          <w:sz w:val="24"/>
          <w:szCs w:val="24"/>
        </w:rPr>
        <w:t>附图</w:t>
      </w:r>
      <w:r>
        <w:rPr>
          <w:rFonts w:ascii="Times New Roman" w:hAnsi="Times New Roman" w:eastAsia="Times New Roman" w:cs="Times New Roman"/>
          <w:spacing w:val="-8"/>
          <w:sz w:val="24"/>
          <w:szCs w:val="24"/>
        </w:rPr>
        <w:t>2</w:t>
      </w:r>
      <w:r>
        <w:rPr>
          <w:rFonts w:ascii="宋体" w:hAnsi="宋体" w:eastAsia="宋体" w:cs="宋体"/>
          <w:spacing w:val="-8"/>
          <w:sz w:val="24"/>
          <w:szCs w:val="24"/>
        </w:rPr>
        <w:t>区域水系图</w:t>
      </w:r>
    </w:p>
    <w:p w14:paraId="7F8B29DB">
      <w:pPr>
        <w:spacing w:before="287" w:line="219" w:lineRule="auto"/>
        <w:ind w:left="508"/>
        <w:rPr>
          <w:rFonts w:ascii="宋体" w:hAnsi="宋体" w:eastAsia="宋体" w:cs="宋体"/>
          <w:sz w:val="24"/>
          <w:szCs w:val="24"/>
        </w:rPr>
      </w:pPr>
      <w:r>
        <w:rPr>
          <w:rFonts w:ascii="宋体" w:hAnsi="宋体" w:eastAsia="宋体" w:cs="宋体"/>
          <w:spacing w:val="-4"/>
          <w:sz w:val="24"/>
          <w:szCs w:val="24"/>
        </w:rPr>
        <w:t>附图</w:t>
      </w:r>
      <w:r>
        <w:rPr>
          <w:rFonts w:ascii="Times New Roman" w:hAnsi="Times New Roman" w:eastAsia="Times New Roman" w:cs="Times New Roman"/>
          <w:spacing w:val="-4"/>
          <w:sz w:val="24"/>
          <w:szCs w:val="24"/>
        </w:rPr>
        <w:t>3</w:t>
      </w:r>
      <w:r>
        <w:rPr>
          <w:rFonts w:ascii="宋体" w:hAnsi="宋体" w:eastAsia="宋体" w:cs="宋体"/>
          <w:spacing w:val="-4"/>
          <w:sz w:val="24"/>
          <w:szCs w:val="24"/>
        </w:rPr>
        <w:t>水功能区划图</w:t>
      </w:r>
    </w:p>
    <w:p w14:paraId="09F773F2">
      <w:pPr>
        <w:spacing w:before="286" w:line="219" w:lineRule="auto"/>
        <w:ind w:left="508"/>
        <w:rPr>
          <w:rFonts w:ascii="宋体" w:hAnsi="宋体" w:eastAsia="宋体" w:cs="宋体"/>
          <w:sz w:val="24"/>
          <w:szCs w:val="24"/>
        </w:rPr>
      </w:pPr>
      <w:r>
        <w:rPr>
          <w:rFonts w:ascii="宋体" w:hAnsi="宋体" w:eastAsia="宋体" w:cs="宋体"/>
          <w:spacing w:val="-2"/>
          <w:sz w:val="24"/>
          <w:szCs w:val="24"/>
        </w:rPr>
        <w:t>附图</w:t>
      </w:r>
      <w:r>
        <w:rPr>
          <w:rFonts w:ascii="Times New Roman" w:hAnsi="Times New Roman" w:eastAsia="Times New Roman" w:cs="Times New Roman"/>
          <w:spacing w:val="-2"/>
          <w:sz w:val="24"/>
          <w:szCs w:val="24"/>
        </w:rPr>
        <w:t>4</w:t>
      </w:r>
      <w:r>
        <w:rPr>
          <w:rFonts w:ascii="宋体" w:hAnsi="宋体" w:eastAsia="宋体" w:cs="宋体"/>
          <w:spacing w:val="-2"/>
          <w:sz w:val="24"/>
          <w:szCs w:val="24"/>
        </w:rPr>
        <w:t>论证范围及论证区域取排水口分布图</w:t>
      </w:r>
    </w:p>
    <w:p w14:paraId="76D3C288">
      <w:pPr>
        <w:spacing w:before="287" w:line="219" w:lineRule="auto"/>
        <w:ind w:left="508"/>
        <w:rPr>
          <w:rFonts w:ascii="宋体" w:hAnsi="宋体" w:eastAsia="宋体" w:cs="宋体"/>
          <w:sz w:val="24"/>
          <w:szCs w:val="24"/>
        </w:rPr>
      </w:pPr>
      <w:r>
        <w:rPr>
          <w:rFonts w:ascii="宋体" w:hAnsi="宋体" w:eastAsia="宋体" w:cs="宋体"/>
          <w:spacing w:val="1"/>
          <w:sz w:val="24"/>
          <w:szCs w:val="24"/>
        </w:rPr>
        <w:t>附图</w:t>
      </w:r>
      <w:r>
        <w:rPr>
          <w:rFonts w:ascii="Times New Roman" w:hAnsi="Times New Roman" w:eastAsia="Times New Roman" w:cs="Times New Roman"/>
          <w:spacing w:val="1"/>
          <w:sz w:val="24"/>
          <w:szCs w:val="24"/>
        </w:rPr>
        <w:t>5</w:t>
      </w:r>
      <w:r>
        <w:rPr>
          <w:rFonts w:ascii="宋体" w:hAnsi="宋体" w:eastAsia="宋体" w:cs="宋体"/>
          <w:spacing w:val="1"/>
          <w:sz w:val="24"/>
          <w:szCs w:val="24"/>
        </w:rPr>
        <w:t>污水厂排污路径及园区污水管网平面布置图</w:t>
      </w:r>
    </w:p>
    <w:p w14:paraId="2C99126F">
      <w:pPr>
        <w:spacing w:before="289" w:line="219" w:lineRule="auto"/>
        <w:ind w:left="508"/>
        <w:rPr>
          <w:rFonts w:ascii="宋体" w:hAnsi="宋体" w:eastAsia="宋体" w:cs="宋体"/>
          <w:sz w:val="24"/>
          <w:szCs w:val="24"/>
        </w:rPr>
      </w:pPr>
      <w:r>
        <w:rPr>
          <w:rFonts w:ascii="宋体" w:hAnsi="宋体" w:eastAsia="宋体" w:cs="宋体"/>
          <w:spacing w:val="2"/>
          <w:sz w:val="24"/>
          <w:szCs w:val="24"/>
        </w:rPr>
        <w:t>附图</w:t>
      </w:r>
      <w:r>
        <w:rPr>
          <w:rFonts w:ascii="Times New Roman" w:hAnsi="Times New Roman" w:eastAsia="Times New Roman" w:cs="Times New Roman"/>
          <w:spacing w:val="2"/>
          <w:sz w:val="24"/>
          <w:szCs w:val="24"/>
        </w:rPr>
        <w:t>6</w:t>
      </w:r>
      <w:r>
        <w:rPr>
          <w:rFonts w:ascii="宋体" w:hAnsi="宋体" w:eastAsia="宋体" w:cs="宋体"/>
          <w:spacing w:val="2"/>
          <w:sz w:val="24"/>
          <w:szCs w:val="24"/>
        </w:rPr>
        <w:t>现有企业分布图</w:t>
      </w:r>
    </w:p>
    <w:p w14:paraId="2F864958">
      <w:pPr>
        <w:spacing w:before="286" w:line="219" w:lineRule="auto"/>
        <w:ind w:left="508"/>
        <w:rPr>
          <w:rFonts w:ascii="宋体" w:hAnsi="宋体" w:eastAsia="宋体" w:cs="宋体"/>
          <w:sz w:val="24"/>
          <w:szCs w:val="24"/>
        </w:rPr>
      </w:pPr>
      <w:r>
        <w:rPr>
          <w:rFonts w:ascii="宋体" w:hAnsi="宋体" w:eastAsia="宋体" w:cs="宋体"/>
          <w:spacing w:val="2"/>
          <w:sz w:val="24"/>
          <w:szCs w:val="24"/>
        </w:rPr>
        <w:t>附图</w:t>
      </w:r>
      <w:r>
        <w:rPr>
          <w:rFonts w:ascii="Times New Roman" w:hAnsi="Times New Roman" w:eastAsia="Times New Roman" w:cs="Times New Roman"/>
          <w:spacing w:val="2"/>
          <w:sz w:val="24"/>
          <w:szCs w:val="24"/>
        </w:rPr>
        <w:t>7</w:t>
      </w:r>
      <w:r>
        <w:rPr>
          <w:rFonts w:ascii="宋体" w:hAnsi="宋体" w:eastAsia="宋体" w:cs="宋体"/>
          <w:spacing w:val="2"/>
          <w:sz w:val="24"/>
          <w:szCs w:val="24"/>
        </w:rPr>
        <w:t>污水厂纳污范围图</w:t>
      </w:r>
    </w:p>
    <w:p w14:paraId="77A94CC1">
      <w:pPr>
        <w:spacing w:before="286" w:line="219" w:lineRule="auto"/>
        <w:ind w:left="508"/>
        <w:rPr>
          <w:rFonts w:ascii="宋体" w:hAnsi="宋体" w:eastAsia="宋体" w:cs="宋体"/>
          <w:sz w:val="24"/>
          <w:szCs w:val="24"/>
        </w:rPr>
      </w:pPr>
      <w:r>
        <w:rPr>
          <w:rFonts w:ascii="宋体" w:hAnsi="宋体" w:eastAsia="宋体" w:cs="宋体"/>
          <w:spacing w:val="-4"/>
          <w:sz w:val="24"/>
          <w:szCs w:val="24"/>
        </w:rPr>
        <w:t>附图</w:t>
      </w:r>
      <w:r>
        <w:rPr>
          <w:rFonts w:ascii="Times New Roman" w:hAnsi="Times New Roman" w:eastAsia="Times New Roman" w:cs="Times New Roman"/>
          <w:spacing w:val="-4"/>
          <w:sz w:val="24"/>
          <w:szCs w:val="24"/>
        </w:rPr>
        <w:t>8</w:t>
      </w:r>
      <w:r>
        <w:rPr>
          <w:rFonts w:ascii="宋体" w:hAnsi="宋体" w:eastAsia="宋体" w:cs="宋体"/>
          <w:spacing w:val="-4"/>
          <w:sz w:val="24"/>
          <w:szCs w:val="24"/>
        </w:rPr>
        <w:t>隆回高新产业技术开发区规划图</w:t>
      </w:r>
    </w:p>
    <w:p w14:paraId="12D13089">
      <w:pPr>
        <w:spacing w:before="287" w:line="219" w:lineRule="auto"/>
        <w:ind w:left="508"/>
        <w:rPr>
          <w:rFonts w:ascii="宋体" w:hAnsi="宋体" w:eastAsia="宋体" w:cs="宋体"/>
          <w:sz w:val="24"/>
          <w:szCs w:val="24"/>
        </w:rPr>
      </w:pPr>
      <w:r>
        <w:rPr>
          <w:rFonts w:ascii="宋体" w:hAnsi="宋体" w:eastAsia="宋体" w:cs="宋体"/>
          <w:spacing w:val="-4"/>
          <w:sz w:val="24"/>
          <w:szCs w:val="24"/>
        </w:rPr>
        <w:t>附图</w:t>
      </w:r>
      <w:r>
        <w:rPr>
          <w:rFonts w:ascii="Times New Roman" w:hAnsi="Times New Roman" w:eastAsia="Times New Roman" w:cs="Times New Roman"/>
          <w:spacing w:val="-4"/>
          <w:sz w:val="24"/>
          <w:szCs w:val="24"/>
        </w:rPr>
        <w:t>9</w:t>
      </w:r>
      <w:r>
        <w:rPr>
          <w:rFonts w:ascii="宋体" w:hAnsi="宋体" w:eastAsia="宋体" w:cs="宋体"/>
          <w:spacing w:val="-4"/>
          <w:sz w:val="24"/>
          <w:szCs w:val="24"/>
        </w:rPr>
        <w:t>隆回县工业污水处理厂现状平面布置图</w:t>
      </w:r>
    </w:p>
    <w:p w14:paraId="59C1B142">
      <w:pPr>
        <w:spacing w:before="287" w:line="219" w:lineRule="auto"/>
        <w:ind w:left="508"/>
        <w:rPr>
          <w:rFonts w:ascii="宋体" w:hAnsi="宋体" w:eastAsia="宋体" w:cs="宋体"/>
          <w:sz w:val="24"/>
          <w:szCs w:val="24"/>
        </w:rPr>
      </w:pPr>
      <w:r>
        <w:rPr>
          <w:rFonts w:ascii="宋体" w:hAnsi="宋体" w:eastAsia="宋体" w:cs="宋体"/>
          <w:spacing w:val="-4"/>
          <w:sz w:val="24"/>
          <w:szCs w:val="24"/>
        </w:rPr>
        <w:t>附图</w:t>
      </w:r>
      <w:r>
        <w:rPr>
          <w:rFonts w:ascii="Times New Roman" w:hAnsi="Times New Roman" w:eastAsia="Times New Roman" w:cs="Times New Roman"/>
          <w:spacing w:val="-4"/>
          <w:sz w:val="24"/>
          <w:szCs w:val="24"/>
        </w:rPr>
        <w:t>10</w:t>
      </w:r>
      <w:r>
        <w:rPr>
          <w:rFonts w:ascii="宋体" w:hAnsi="宋体" w:eastAsia="宋体" w:cs="宋体"/>
          <w:spacing w:val="-4"/>
          <w:sz w:val="24"/>
          <w:szCs w:val="24"/>
        </w:rPr>
        <w:t>隆回县工业污水处理厂扩建后平面布置图</w:t>
      </w:r>
    </w:p>
    <w:p w14:paraId="36AAA17B">
      <w:pPr>
        <w:spacing w:before="286" w:line="219" w:lineRule="auto"/>
        <w:ind w:left="508"/>
        <w:rPr>
          <w:rFonts w:ascii="宋体" w:hAnsi="宋体" w:eastAsia="宋体" w:cs="宋体"/>
          <w:sz w:val="24"/>
          <w:szCs w:val="24"/>
        </w:rPr>
      </w:pPr>
      <w:r>
        <w:rPr>
          <w:rFonts w:ascii="宋体" w:hAnsi="宋体" w:eastAsia="宋体" w:cs="宋体"/>
          <w:spacing w:val="-7"/>
          <w:sz w:val="24"/>
          <w:szCs w:val="24"/>
        </w:rPr>
        <w:t>附图</w:t>
      </w:r>
      <w:r>
        <w:rPr>
          <w:rFonts w:ascii="Times New Roman" w:hAnsi="Times New Roman" w:eastAsia="Times New Roman" w:cs="Times New Roman"/>
          <w:spacing w:val="-7"/>
          <w:sz w:val="24"/>
          <w:szCs w:val="24"/>
        </w:rPr>
        <w:t>11</w:t>
      </w:r>
      <w:r>
        <w:rPr>
          <w:rFonts w:ascii="宋体" w:hAnsi="宋体" w:eastAsia="宋体" w:cs="宋体"/>
          <w:spacing w:val="-7"/>
          <w:sz w:val="24"/>
          <w:szCs w:val="24"/>
        </w:rPr>
        <w:t>监测布点图</w:t>
      </w:r>
    </w:p>
    <w:p w14:paraId="01A4F329">
      <w:pPr>
        <w:spacing w:line="219" w:lineRule="auto"/>
        <w:rPr>
          <w:rFonts w:ascii="宋体" w:hAnsi="宋体" w:eastAsia="宋体" w:cs="宋体"/>
          <w:sz w:val="24"/>
          <w:szCs w:val="24"/>
        </w:rPr>
        <w:sectPr>
          <w:pgSz w:w="11906" w:h="16839"/>
          <w:pgMar w:top="1132" w:right="1700" w:bottom="0" w:left="1701" w:header="829" w:footer="0" w:gutter="0"/>
          <w:cols w:space="720" w:num="1"/>
        </w:sectPr>
      </w:pPr>
    </w:p>
    <w:p w14:paraId="54371E9F">
      <w:pPr>
        <w:pStyle w:val="2"/>
        <w:spacing w:line="256" w:lineRule="auto"/>
      </w:pPr>
    </w:p>
    <w:p w14:paraId="1780147E">
      <w:pPr>
        <w:pStyle w:val="2"/>
        <w:spacing w:line="257" w:lineRule="auto"/>
      </w:pPr>
    </w:p>
    <w:p w14:paraId="71153A6F">
      <w:pPr>
        <w:spacing w:before="101" w:line="223" w:lineRule="auto"/>
        <w:ind w:left="2082"/>
        <w:outlineLvl w:val="0"/>
        <w:rPr>
          <w:rFonts w:ascii="宋体" w:hAnsi="宋体" w:eastAsia="宋体" w:cs="宋体"/>
          <w:sz w:val="31"/>
          <w:szCs w:val="31"/>
        </w:rPr>
      </w:pPr>
      <w:bookmarkStart w:id="0" w:name="bookmark1"/>
      <w:bookmarkEnd w:id="0"/>
      <w:r>
        <w:rPr>
          <w:rFonts w:ascii="宋体" w:hAnsi="宋体" w:eastAsia="宋体" w:cs="宋体"/>
          <w:b/>
          <w:bCs/>
          <w:spacing w:val="7"/>
          <w:sz w:val="31"/>
          <w:szCs w:val="31"/>
        </w:rPr>
        <w:t>入河排污口设置论证报告基本情况表</w:t>
      </w:r>
    </w:p>
    <w:p w14:paraId="65E8ED0C">
      <w:pPr>
        <w:spacing w:before="34"/>
      </w:pPr>
    </w:p>
    <w:tbl>
      <w:tblPr>
        <w:tblStyle w:val="5"/>
        <w:tblW w:w="872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9"/>
        <w:gridCol w:w="1054"/>
        <w:gridCol w:w="448"/>
        <w:gridCol w:w="1101"/>
        <w:gridCol w:w="87"/>
        <w:gridCol w:w="311"/>
        <w:gridCol w:w="650"/>
        <w:gridCol w:w="1720"/>
        <w:gridCol w:w="649"/>
        <w:gridCol w:w="1784"/>
      </w:tblGrid>
      <w:tr w14:paraId="6CD30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7" w:hRule="atLeast"/>
        </w:trPr>
        <w:tc>
          <w:tcPr>
            <w:tcW w:w="919" w:type="dxa"/>
            <w:vMerge w:val="restart"/>
            <w:tcBorders>
              <w:top w:val="single" w:color="000000" w:sz="10" w:space="0"/>
              <w:left w:val="single" w:color="000000" w:sz="10" w:space="0"/>
              <w:bottom w:val="nil"/>
            </w:tcBorders>
            <w:vAlign w:val="top"/>
          </w:tcPr>
          <w:p w14:paraId="5B984D83">
            <w:pPr>
              <w:spacing w:line="245" w:lineRule="auto"/>
              <w:rPr>
                <w:rFonts w:ascii="Arial"/>
                <w:sz w:val="21"/>
              </w:rPr>
            </w:pPr>
          </w:p>
          <w:p w14:paraId="5800AD25">
            <w:pPr>
              <w:spacing w:line="245" w:lineRule="auto"/>
              <w:rPr>
                <w:rFonts w:ascii="Arial"/>
                <w:sz w:val="21"/>
              </w:rPr>
            </w:pPr>
          </w:p>
          <w:p w14:paraId="342964FA">
            <w:pPr>
              <w:spacing w:line="246" w:lineRule="auto"/>
              <w:rPr>
                <w:rFonts w:ascii="Arial"/>
                <w:sz w:val="21"/>
              </w:rPr>
            </w:pPr>
          </w:p>
          <w:p w14:paraId="00DD2B01">
            <w:pPr>
              <w:spacing w:line="246" w:lineRule="auto"/>
              <w:rPr>
                <w:rFonts w:ascii="Arial"/>
                <w:sz w:val="21"/>
              </w:rPr>
            </w:pPr>
          </w:p>
          <w:p w14:paraId="6BBC7E43">
            <w:pPr>
              <w:spacing w:line="246" w:lineRule="auto"/>
              <w:rPr>
                <w:rFonts w:ascii="Arial"/>
                <w:sz w:val="21"/>
              </w:rPr>
            </w:pPr>
          </w:p>
          <w:p w14:paraId="60EE76F8">
            <w:pPr>
              <w:spacing w:line="246" w:lineRule="auto"/>
              <w:rPr>
                <w:rFonts w:ascii="Arial"/>
                <w:sz w:val="21"/>
              </w:rPr>
            </w:pPr>
          </w:p>
          <w:p w14:paraId="2FB3DCD6">
            <w:pPr>
              <w:spacing w:line="246" w:lineRule="auto"/>
              <w:rPr>
                <w:rFonts w:ascii="Arial"/>
                <w:sz w:val="21"/>
              </w:rPr>
            </w:pPr>
          </w:p>
          <w:p w14:paraId="10892C1B">
            <w:pPr>
              <w:spacing w:line="246" w:lineRule="auto"/>
              <w:rPr>
                <w:rFonts w:ascii="Arial"/>
                <w:sz w:val="21"/>
              </w:rPr>
            </w:pPr>
          </w:p>
          <w:p w14:paraId="441C6729">
            <w:pPr>
              <w:spacing w:line="246" w:lineRule="auto"/>
              <w:rPr>
                <w:rFonts w:ascii="Arial"/>
                <w:sz w:val="21"/>
              </w:rPr>
            </w:pPr>
          </w:p>
          <w:p w14:paraId="43E1A539">
            <w:pPr>
              <w:pStyle w:val="6"/>
              <w:spacing w:before="65" w:line="227" w:lineRule="auto"/>
              <w:ind w:left="240"/>
            </w:pPr>
            <w:r>
              <w:rPr>
                <w:spacing w:val="4"/>
              </w:rPr>
              <w:t>基本</w:t>
            </w:r>
          </w:p>
          <w:p w14:paraId="528C5B7F">
            <w:pPr>
              <w:pStyle w:val="6"/>
              <w:spacing w:before="28" w:line="228" w:lineRule="auto"/>
              <w:ind w:left="241"/>
            </w:pPr>
            <w:r>
              <w:rPr>
                <w:spacing w:val="4"/>
              </w:rPr>
              <w:t>情况</w:t>
            </w:r>
          </w:p>
        </w:tc>
        <w:tc>
          <w:tcPr>
            <w:tcW w:w="1502" w:type="dxa"/>
            <w:gridSpan w:val="2"/>
            <w:tcBorders>
              <w:top w:val="single" w:color="000000" w:sz="10" w:space="0"/>
            </w:tcBorders>
            <w:vAlign w:val="top"/>
          </w:tcPr>
          <w:p w14:paraId="019BC8EB">
            <w:pPr>
              <w:spacing w:line="376" w:lineRule="auto"/>
              <w:rPr>
                <w:rFonts w:ascii="Arial"/>
                <w:sz w:val="21"/>
              </w:rPr>
            </w:pPr>
          </w:p>
          <w:p w14:paraId="6011E97A">
            <w:pPr>
              <w:pStyle w:val="6"/>
              <w:spacing w:before="65" w:line="228" w:lineRule="auto"/>
              <w:ind w:left="330"/>
            </w:pPr>
            <w:r>
              <w:rPr>
                <w:spacing w:val="6"/>
              </w:rPr>
              <w:t>项目名称</w:t>
            </w:r>
          </w:p>
        </w:tc>
        <w:tc>
          <w:tcPr>
            <w:tcW w:w="2149" w:type="dxa"/>
            <w:gridSpan w:val="4"/>
            <w:tcBorders>
              <w:top w:val="single" w:color="000000" w:sz="10" w:space="0"/>
            </w:tcBorders>
            <w:vAlign w:val="top"/>
          </w:tcPr>
          <w:p w14:paraId="415655EB">
            <w:pPr>
              <w:pStyle w:val="6"/>
              <w:spacing w:before="35" w:line="228" w:lineRule="auto"/>
              <w:ind w:left="146"/>
            </w:pPr>
            <w:r>
              <w:rPr>
                <w:spacing w:val="7"/>
              </w:rPr>
              <w:t>隆回县工业污水处理</w:t>
            </w:r>
          </w:p>
          <w:p w14:paraId="49BA1903">
            <w:pPr>
              <w:pStyle w:val="6"/>
              <w:spacing w:before="26" w:line="228" w:lineRule="auto"/>
              <w:ind w:left="136"/>
            </w:pPr>
            <w:r>
              <w:rPr>
                <w:spacing w:val="8"/>
              </w:rPr>
              <w:t>厂进行提标扩容改造</w:t>
            </w:r>
          </w:p>
          <w:p w14:paraId="2CE3B4B4">
            <w:pPr>
              <w:pStyle w:val="6"/>
              <w:spacing w:before="24" w:line="228" w:lineRule="auto"/>
              <w:ind w:left="143"/>
            </w:pPr>
            <w:r>
              <w:rPr>
                <w:spacing w:val="7"/>
              </w:rPr>
              <w:t>（二期）工程入河排</w:t>
            </w:r>
          </w:p>
          <w:p w14:paraId="78F26DD6">
            <w:pPr>
              <w:pStyle w:val="6"/>
              <w:spacing w:before="26" w:line="215" w:lineRule="auto"/>
              <w:ind w:left="869"/>
            </w:pPr>
            <w:r>
              <w:rPr>
                <w:spacing w:val="3"/>
              </w:rPr>
              <w:t>污口</w:t>
            </w:r>
          </w:p>
        </w:tc>
        <w:tc>
          <w:tcPr>
            <w:tcW w:w="1720" w:type="dxa"/>
            <w:tcBorders>
              <w:top w:val="single" w:color="000000" w:sz="10" w:space="0"/>
            </w:tcBorders>
            <w:vAlign w:val="top"/>
          </w:tcPr>
          <w:p w14:paraId="696F3556">
            <w:pPr>
              <w:spacing w:line="376" w:lineRule="auto"/>
              <w:rPr>
                <w:rFonts w:ascii="Arial"/>
                <w:sz w:val="21"/>
              </w:rPr>
            </w:pPr>
          </w:p>
          <w:p w14:paraId="79563E95">
            <w:pPr>
              <w:pStyle w:val="6"/>
              <w:spacing w:before="65" w:line="228" w:lineRule="auto"/>
              <w:ind w:left="452"/>
            </w:pPr>
            <w:r>
              <w:rPr>
                <w:spacing w:val="6"/>
              </w:rPr>
              <w:t>项目位置</w:t>
            </w:r>
          </w:p>
        </w:tc>
        <w:tc>
          <w:tcPr>
            <w:tcW w:w="2433" w:type="dxa"/>
            <w:gridSpan w:val="2"/>
            <w:tcBorders>
              <w:top w:val="single" w:color="000000" w:sz="10" w:space="0"/>
              <w:right w:val="single" w:color="000000" w:sz="10" w:space="0"/>
            </w:tcBorders>
            <w:vAlign w:val="top"/>
          </w:tcPr>
          <w:p w14:paraId="2E19B3BE">
            <w:pPr>
              <w:pStyle w:val="6"/>
              <w:spacing w:before="52" w:line="228" w:lineRule="auto"/>
              <w:ind w:left="252"/>
              <w:rPr>
                <w:rFonts w:ascii="Times New Roman" w:hAnsi="Times New Roman" w:eastAsia="Times New Roman" w:cs="Times New Roman"/>
              </w:rPr>
            </w:pPr>
            <w:r>
              <w:rPr>
                <w:spacing w:val="6"/>
              </w:rPr>
              <w:t>元木山电站下游</w:t>
            </w:r>
            <w:r>
              <w:rPr>
                <w:rFonts w:ascii="Times New Roman" w:hAnsi="Times New Roman" w:eastAsia="Times New Roman" w:cs="Times New Roman"/>
                <w:spacing w:val="6"/>
              </w:rPr>
              <w:t>2.8m</w:t>
            </w:r>
          </w:p>
          <w:p w14:paraId="4BE7CC3C">
            <w:pPr>
              <w:pStyle w:val="6"/>
              <w:spacing w:before="24" w:line="228" w:lineRule="auto"/>
              <w:ind w:left="703"/>
            </w:pPr>
            <w:r>
              <w:rPr>
                <w:spacing w:val="5"/>
              </w:rPr>
              <w:t>处，坐标：</w:t>
            </w:r>
          </w:p>
          <w:p w14:paraId="1E51D2A0">
            <w:pPr>
              <w:pStyle w:val="6"/>
              <w:spacing w:before="58" w:line="224" w:lineRule="auto"/>
              <w:ind w:left="424" w:right="380" w:hanging="79"/>
              <w:rPr>
                <w:rFonts w:ascii="Times New Roman" w:hAnsi="Times New Roman" w:eastAsia="Times New Roman" w:cs="Times New Roman"/>
              </w:rPr>
            </w:pPr>
            <w:r>
              <w:rPr>
                <w:rFonts w:ascii="Times New Roman" w:hAnsi="Times New Roman" w:eastAsia="Times New Roman" w:cs="Times New Roman"/>
                <w:spacing w:val="-1"/>
              </w:rPr>
              <w:t>E111°3′22.36752″</w:t>
            </w:r>
            <w:r>
              <w:rPr>
                <w:spacing w:val="-1"/>
              </w:rPr>
              <w:t>，</w:t>
            </w:r>
            <w:r>
              <w:rPr>
                <w:rFonts w:ascii="Times New Roman" w:hAnsi="Times New Roman" w:eastAsia="Times New Roman" w:cs="Times New Roman"/>
                <w:spacing w:val="3"/>
              </w:rPr>
              <w:t>N27°4′46.315056″</w:t>
            </w:r>
          </w:p>
        </w:tc>
      </w:tr>
      <w:tr w14:paraId="2BF6B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19" w:type="dxa"/>
            <w:vMerge w:val="continue"/>
            <w:tcBorders>
              <w:top w:val="nil"/>
              <w:left w:val="single" w:color="000000" w:sz="10" w:space="0"/>
              <w:bottom w:val="nil"/>
            </w:tcBorders>
            <w:vAlign w:val="top"/>
          </w:tcPr>
          <w:p w14:paraId="24677FDD">
            <w:pPr>
              <w:rPr>
                <w:rFonts w:ascii="Arial"/>
                <w:sz w:val="21"/>
              </w:rPr>
            </w:pPr>
          </w:p>
        </w:tc>
        <w:tc>
          <w:tcPr>
            <w:tcW w:w="1502" w:type="dxa"/>
            <w:gridSpan w:val="2"/>
            <w:vAlign w:val="top"/>
          </w:tcPr>
          <w:p w14:paraId="36BEE888">
            <w:pPr>
              <w:pStyle w:val="6"/>
              <w:spacing w:before="169" w:line="228" w:lineRule="auto"/>
              <w:ind w:left="330"/>
            </w:pPr>
            <w:r>
              <w:rPr>
                <w:spacing w:val="6"/>
              </w:rPr>
              <w:t>项目性质</w:t>
            </w:r>
          </w:p>
        </w:tc>
        <w:tc>
          <w:tcPr>
            <w:tcW w:w="2149" w:type="dxa"/>
            <w:gridSpan w:val="4"/>
            <w:vAlign w:val="top"/>
          </w:tcPr>
          <w:p w14:paraId="455E833C">
            <w:pPr>
              <w:pStyle w:val="6"/>
              <w:spacing w:before="169" w:line="228" w:lineRule="auto"/>
              <w:ind w:left="867"/>
            </w:pPr>
            <w:r>
              <w:rPr>
                <w:spacing w:val="4"/>
              </w:rPr>
              <w:t>扩建</w:t>
            </w:r>
          </w:p>
        </w:tc>
        <w:tc>
          <w:tcPr>
            <w:tcW w:w="1720" w:type="dxa"/>
            <w:vAlign w:val="top"/>
          </w:tcPr>
          <w:p w14:paraId="51DCF539">
            <w:pPr>
              <w:pStyle w:val="6"/>
              <w:spacing w:before="169" w:line="228" w:lineRule="auto"/>
              <w:ind w:left="449"/>
            </w:pPr>
            <w:r>
              <w:rPr>
                <w:spacing w:val="7"/>
              </w:rPr>
              <w:t>所属行业</w:t>
            </w:r>
          </w:p>
        </w:tc>
        <w:tc>
          <w:tcPr>
            <w:tcW w:w="2433" w:type="dxa"/>
            <w:gridSpan w:val="2"/>
            <w:tcBorders>
              <w:right w:val="single" w:color="000000" w:sz="10" w:space="0"/>
            </w:tcBorders>
            <w:vAlign w:val="top"/>
          </w:tcPr>
          <w:p w14:paraId="7B8812D8">
            <w:pPr>
              <w:pStyle w:val="6"/>
              <w:spacing w:before="32" w:line="228" w:lineRule="auto"/>
              <w:ind w:left="114"/>
            </w:pPr>
            <w:r>
              <w:rPr>
                <w:rFonts w:ascii="Times New Roman" w:hAnsi="Times New Roman" w:eastAsia="Times New Roman" w:cs="Times New Roman"/>
                <w:spacing w:val="4"/>
              </w:rPr>
              <w:t>D4620</w:t>
            </w:r>
            <w:r>
              <w:rPr>
                <w:spacing w:val="4"/>
              </w:rPr>
              <w:t>（污水处理及其再</w:t>
            </w:r>
          </w:p>
          <w:p w14:paraId="4E2A4278">
            <w:pPr>
              <w:pStyle w:val="6"/>
              <w:spacing w:before="26" w:line="215" w:lineRule="auto"/>
              <w:ind w:left="910"/>
            </w:pPr>
            <w:r>
              <w:rPr>
                <w:spacing w:val="6"/>
              </w:rPr>
              <w:t>生利用</w:t>
            </w:r>
          </w:p>
        </w:tc>
      </w:tr>
      <w:tr w14:paraId="19BDD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919" w:type="dxa"/>
            <w:vMerge w:val="continue"/>
            <w:tcBorders>
              <w:top w:val="nil"/>
              <w:left w:val="single" w:color="000000" w:sz="10" w:space="0"/>
              <w:bottom w:val="nil"/>
            </w:tcBorders>
            <w:vAlign w:val="top"/>
          </w:tcPr>
          <w:p w14:paraId="4C34FAC8">
            <w:pPr>
              <w:rPr>
                <w:rFonts w:ascii="Arial"/>
                <w:sz w:val="21"/>
              </w:rPr>
            </w:pPr>
          </w:p>
        </w:tc>
        <w:tc>
          <w:tcPr>
            <w:tcW w:w="1502" w:type="dxa"/>
            <w:gridSpan w:val="2"/>
            <w:vAlign w:val="top"/>
          </w:tcPr>
          <w:p w14:paraId="54AA742A">
            <w:pPr>
              <w:pStyle w:val="6"/>
              <w:spacing w:before="306" w:line="228" w:lineRule="auto"/>
              <w:ind w:left="330"/>
            </w:pPr>
            <w:r>
              <w:rPr>
                <w:spacing w:val="6"/>
              </w:rPr>
              <w:t>建设规模</w:t>
            </w:r>
          </w:p>
        </w:tc>
        <w:tc>
          <w:tcPr>
            <w:tcW w:w="2149" w:type="dxa"/>
            <w:gridSpan w:val="4"/>
            <w:vAlign w:val="top"/>
          </w:tcPr>
          <w:p w14:paraId="05F4DA6F">
            <w:pPr>
              <w:pStyle w:val="6"/>
              <w:spacing w:before="35" w:line="228" w:lineRule="auto"/>
              <w:ind w:left="109"/>
            </w:pPr>
            <w:r>
              <w:rPr>
                <w:spacing w:val="8"/>
              </w:rPr>
              <w:t>扩建工程处理规模为</w:t>
            </w:r>
          </w:p>
          <w:p w14:paraId="13462F18">
            <w:pPr>
              <w:pStyle w:val="6"/>
              <w:spacing w:before="24" w:line="228" w:lineRule="auto"/>
              <w:ind w:left="125"/>
            </w:pPr>
            <w:r>
              <w:rPr>
                <w:rFonts w:ascii="Times New Roman" w:hAnsi="Times New Roman" w:eastAsia="Times New Roman" w:cs="Times New Roman"/>
                <w:spacing w:val="-3"/>
              </w:rPr>
              <w:t>1.5</w:t>
            </w:r>
            <w:r>
              <w:rPr>
                <w:spacing w:val="-3"/>
              </w:rPr>
              <w:t>万</w:t>
            </w:r>
            <w:r>
              <w:rPr>
                <w:rFonts w:ascii="Times New Roman" w:hAnsi="Times New Roman" w:eastAsia="Times New Roman" w:cs="Times New Roman"/>
                <w:spacing w:val="-3"/>
              </w:rPr>
              <w:t>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
              </w:rPr>
              <w:t>/d</w:t>
            </w:r>
            <w:r>
              <w:rPr>
                <w:spacing w:val="-3"/>
              </w:rPr>
              <w:t>，扩建后处</w:t>
            </w:r>
          </w:p>
          <w:p w14:paraId="261E8F8E">
            <w:pPr>
              <w:pStyle w:val="6"/>
              <w:spacing w:before="24" w:line="214" w:lineRule="auto"/>
              <w:ind w:left="227"/>
              <w:rPr>
                <w:rFonts w:ascii="Times New Roman" w:hAnsi="Times New Roman" w:eastAsia="Times New Roman" w:cs="Times New Roman"/>
              </w:rPr>
            </w:pPr>
            <w:r>
              <w:rPr>
                <w:spacing w:val="3"/>
              </w:rPr>
              <w:t>理规模为</w:t>
            </w:r>
            <w:r>
              <w:rPr>
                <w:rFonts w:ascii="Times New Roman" w:hAnsi="Times New Roman" w:eastAsia="Times New Roman" w:cs="Times New Roman"/>
                <w:spacing w:val="3"/>
              </w:rPr>
              <w:t>3</w:t>
            </w:r>
            <w:r>
              <w:rPr>
                <w:spacing w:val="3"/>
              </w:rPr>
              <w:t>万</w:t>
            </w:r>
            <w:r>
              <w:rPr>
                <w:rFonts w:ascii="Times New Roman" w:hAnsi="Times New Roman" w:eastAsia="Times New Roman" w:cs="Times New Roman"/>
                <w:spacing w:val="3"/>
              </w:rPr>
              <w:t>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
              </w:rPr>
              <w:t>/d</w:t>
            </w:r>
          </w:p>
        </w:tc>
        <w:tc>
          <w:tcPr>
            <w:tcW w:w="1720" w:type="dxa"/>
            <w:vAlign w:val="top"/>
          </w:tcPr>
          <w:p w14:paraId="241D1537">
            <w:pPr>
              <w:rPr>
                <w:rFonts w:ascii="Arial"/>
                <w:sz w:val="21"/>
              </w:rPr>
            </w:pPr>
          </w:p>
          <w:p w14:paraId="68DC7685">
            <w:pPr>
              <w:pStyle w:val="6"/>
              <w:spacing w:before="65" w:line="228" w:lineRule="auto"/>
              <w:ind w:left="452"/>
            </w:pPr>
            <w:r>
              <w:rPr>
                <w:spacing w:val="6"/>
              </w:rPr>
              <w:t>项目单位</w:t>
            </w:r>
          </w:p>
        </w:tc>
        <w:tc>
          <w:tcPr>
            <w:tcW w:w="2433" w:type="dxa"/>
            <w:gridSpan w:val="2"/>
            <w:tcBorders>
              <w:right w:val="single" w:color="000000" w:sz="10" w:space="0"/>
            </w:tcBorders>
            <w:vAlign w:val="top"/>
          </w:tcPr>
          <w:p w14:paraId="2A21B759">
            <w:pPr>
              <w:pStyle w:val="6"/>
              <w:spacing w:before="170" w:line="254" w:lineRule="auto"/>
              <w:ind w:left="596" w:right="154" w:hanging="409"/>
            </w:pPr>
            <w:r>
              <w:rPr>
                <w:spacing w:val="7"/>
              </w:rPr>
              <w:t>隆回县工业园开发建设投资有限公司</w:t>
            </w:r>
          </w:p>
        </w:tc>
      </w:tr>
      <w:tr w14:paraId="3C18A8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19" w:type="dxa"/>
            <w:vMerge w:val="continue"/>
            <w:tcBorders>
              <w:top w:val="nil"/>
              <w:left w:val="single" w:color="000000" w:sz="10" w:space="0"/>
              <w:bottom w:val="nil"/>
            </w:tcBorders>
            <w:vAlign w:val="top"/>
          </w:tcPr>
          <w:p w14:paraId="36A54076">
            <w:pPr>
              <w:rPr>
                <w:rFonts w:ascii="Arial"/>
                <w:sz w:val="21"/>
              </w:rPr>
            </w:pPr>
          </w:p>
        </w:tc>
        <w:tc>
          <w:tcPr>
            <w:tcW w:w="1502" w:type="dxa"/>
            <w:gridSpan w:val="2"/>
            <w:vAlign w:val="top"/>
          </w:tcPr>
          <w:p w14:paraId="3E2754BC">
            <w:pPr>
              <w:pStyle w:val="6"/>
              <w:spacing w:before="36" w:line="228" w:lineRule="auto"/>
              <w:ind w:left="121"/>
            </w:pPr>
            <w:r>
              <w:rPr>
                <w:spacing w:val="7"/>
              </w:rPr>
              <w:t>建设项目的审</w:t>
            </w:r>
          </w:p>
          <w:p w14:paraId="283C42C9">
            <w:pPr>
              <w:pStyle w:val="6"/>
              <w:spacing w:before="23" w:line="214" w:lineRule="auto"/>
              <w:ind w:left="432"/>
            </w:pPr>
            <w:r>
              <w:rPr>
                <w:spacing w:val="7"/>
              </w:rPr>
              <w:t>批机关</w:t>
            </w:r>
          </w:p>
        </w:tc>
        <w:tc>
          <w:tcPr>
            <w:tcW w:w="2149" w:type="dxa"/>
            <w:gridSpan w:val="4"/>
            <w:vAlign w:val="top"/>
          </w:tcPr>
          <w:p w14:paraId="792CC976">
            <w:pPr>
              <w:pStyle w:val="6"/>
              <w:spacing w:before="170" w:line="228" w:lineRule="auto"/>
              <w:ind w:left="146"/>
            </w:pPr>
            <w:r>
              <w:rPr>
                <w:spacing w:val="7"/>
              </w:rPr>
              <w:t>隆回县发展和改革局</w:t>
            </w:r>
          </w:p>
        </w:tc>
        <w:tc>
          <w:tcPr>
            <w:tcW w:w="1720" w:type="dxa"/>
            <w:vAlign w:val="top"/>
          </w:tcPr>
          <w:p w14:paraId="4F93F406">
            <w:pPr>
              <w:pStyle w:val="6"/>
              <w:spacing w:before="36" w:line="232" w:lineRule="auto"/>
              <w:ind w:left="459" w:right="330" w:hanging="117"/>
            </w:pPr>
            <w:r>
              <w:rPr>
                <w:spacing w:val="8"/>
              </w:rPr>
              <w:t>入河排污口</w:t>
            </w:r>
            <w:r>
              <w:rPr>
                <w:spacing w:val="4"/>
              </w:rPr>
              <w:t>审核机关</w:t>
            </w:r>
          </w:p>
        </w:tc>
        <w:tc>
          <w:tcPr>
            <w:tcW w:w="2433" w:type="dxa"/>
            <w:gridSpan w:val="2"/>
            <w:tcBorders>
              <w:right w:val="single" w:color="000000" w:sz="10" w:space="0"/>
            </w:tcBorders>
            <w:vAlign w:val="top"/>
          </w:tcPr>
          <w:p w14:paraId="3D3ABA30">
            <w:pPr>
              <w:pStyle w:val="6"/>
              <w:spacing w:before="170" w:line="228" w:lineRule="auto"/>
              <w:ind w:left="384"/>
            </w:pPr>
            <w:r>
              <w:rPr>
                <w:spacing w:val="8"/>
              </w:rPr>
              <w:t>湖南省生态环境厅</w:t>
            </w:r>
          </w:p>
        </w:tc>
      </w:tr>
      <w:tr w14:paraId="69E09C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919" w:type="dxa"/>
            <w:vMerge w:val="continue"/>
            <w:tcBorders>
              <w:top w:val="nil"/>
              <w:left w:val="single" w:color="000000" w:sz="10" w:space="0"/>
              <w:bottom w:val="nil"/>
            </w:tcBorders>
            <w:vAlign w:val="top"/>
          </w:tcPr>
          <w:p w14:paraId="7862B103">
            <w:pPr>
              <w:rPr>
                <w:rFonts w:ascii="Arial"/>
                <w:sz w:val="21"/>
              </w:rPr>
            </w:pPr>
          </w:p>
        </w:tc>
        <w:tc>
          <w:tcPr>
            <w:tcW w:w="1502" w:type="dxa"/>
            <w:gridSpan w:val="2"/>
            <w:vAlign w:val="top"/>
          </w:tcPr>
          <w:p w14:paraId="56B46573">
            <w:pPr>
              <w:pStyle w:val="6"/>
              <w:spacing w:before="36" w:line="226" w:lineRule="auto"/>
              <w:ind w:left="117"/>
            </w:pPr>
            <w:r>
              <w:rPr>
                <w:spacing w:val="8"/>
              </w:rPr>
              <w:t>报告编制合同</w:t>
            </w:r>
          </w:p>
          <w:p w14:paraId="3D0E14B3">
            <w:pPr>
              <w:pStyle w:val="6"/>
              <w:spacing w:before="25" w:line="213" w:lineRule="auto"/>
              <w:ind w:left="326"/>
            </w:pPr>
            <w:r>
              <w:rPr>
                <w:spacing w:val="7"/>
              </w:rPr>
              <w:t>委托单位</w:t>
            </w:r>
          </w:p>
        </w:tc>
        <w:tc>
          <w:tcPr>
            <w:tcW w:w="2149" w:type="dxa"/>
            <w:gridSpan w:val="4"/>
            <w:vAlign w:val="top"/>
          </w:tcPr>
          <w:p w14:paraId="09FF9FA6">
            <w:pPr>
              <w:pStyle w:val="6"/>
              <w:spacing w:before="37" w:line="231" w:lineRule="auto"/>
              <w:ind w:left="344" w:right="129" w:hanging="198"/>
            </w:pPr>
            <w:r>
              <w:rPr>
                <w:spacing w:val="7"/>
              </w:rPr>
              <w:t>隆回县工业园开发建</w:t>
            </w:r>
            <w:r>
              <w:rPr>
                <w:spacing w:val="8"/>
              </w:rPr>
              <w:t>设投资有限公司</w:t>
            </w:r>
          </w:p>
        </w:tc>
        <w:tc>
          <w:tcPr>
            <w:tcW w:w="1720" w:type="dxa"/>
            <w:vAlign w:val="top"/>
          </w:tcPr>
          <w:p w14:paraId="34A9FC4C">
            <w:pPr>
              <w:pStyle w:val="6"/>
              <w:spacing w:before="171" w:line="226" w:lineRule="auto"/>
              <w:ind w:left="236"/>
            </w:pPr>
            <w:r>
              <w:rPr>
                <w:spacing w:val="8"/>
              </w:rPr>
              <w:t>报告编制单位</w:t>
            </w:r>
          </w:p>
        </w:tc>
        <w:tc>
          <w:tcPr>
            <w:tcW w:w="2433" w:type="dxa"/>
            <w:gridSpan w:val="2"/>
            <w:tcBorders>
              <w:right w:val="single" w:color="000000" w:sz="10" w:space="0"/>
            </w:tcBorders>
            <w:vAlign w:val="top"/>
          </w:tcPr>
          <w:p w14:paraId="2FAEF195">
            <w:pPr>
              <w:pStyle w:val="6"/>
              <w:spacing w:before="36" w:line="227" w:lineRule="auto"/>
              <w:ind w:left="173"/>
            </w:pPr>
            <w:r>
              <w:rPr>
                <w:spacing w:val="9"/>
              </w:rPr>
              <w:t>湖南三晟环保科技有限</w:t>
            </w:r>
          </w:p>
          <w:p w14:paraId="6FB63FBC">
            <w:pPr>
              <w:pStyle w:val="6"/>
              <w:spacing w:before="24" w:line="213" w:lineRule="auto"/>
              <w:ind w:left="1020"/>
            </w:pPr>
            <w:r>
              <w:rPr>
                <w:spacing w:val="1"/>
              </w:rPr>
              <w:t>公司</w:t>
            </w:r>
          </w:p>
        </w:tc>
      </w:tr>
      <w:tr w14:paraId="2D8A3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19" w:type="dxa"/>
            <w:vMerge w:val="continue"/>
            <w:tcBorders>
              <w:top w:val="nil"/>
              <w:left w:val="single" w:color="000000" w:sz="10" w:space="0"/>
              <w:bottom w:val="nil"/>
            </w:tcBorders>
            <w:vAlign w:val="top"/>
          </w:tcPr>
          <w:p w14:paraId="4E156FAD">
            <w:pPr>
              <w:rPr>
                <w:rFonts w:ascii="Arial"/>
                <w:sz w:val="21"/>
              </w:rPr>
            </w:pPr>
          </w:p>
        </w:tc>
        <w:tc>
          <w:tcPr>
            <w:tcW w:w="1502" w:type="dxa"/>
            <w:gridSpan w:val="2"/>
            <w:vAlign w:val="top"/>
          </w:tcPr>
          <w:p w14:paraId="58C0A0EB">
            <w:pPr>
              <w:pStyle w:val="6"/>
              <w:spacing w:before="85" w:line="228" w:lineRule="auto"/>
              <w:ind w:left="120"/>
            </w:pPr>
            <w:r>
              <w:rPr>
                <w:spacing w:val="7"/>
              </w:rPr>
              <w:t>论证工作等级</w:t>
            </w:r>
          </w:p>
        </w:tc>
        <w:tc>
          <w:tcPr>
            <w:tcW w:w="2149" w:type="dxa"/>
            <w:gridSpan w:val="4"/>
            <w:vAlign w:val="top"/>
          </w:tcPr>
          <w:p w14:paraId="56737B52">
            <w:pPr>
              <w:pStyle w:val="6"/>
              <w:spacing w:before="85" w:line="230" w:lineRule="auto"/>
              <w:ind w:left="871"/>
            </w:pPr>
            <w:r>
              <w:rPr>
                <w:spacing w:val="3"/>
              </w:rPr>
              <w:t>一级</w:t>
            </w:r>
          </w:p>
        </w:tc>
        <w:tc>
          <w:tcPr>
            <w:tcW w:w="1720" w:type="dxa"/>
            <w:vAlign w:val="top"/>
          </w:tcPr>
          <w:p w14:paraId="03F25AEC">
            <w:pPr>
              <w:pStyle w:val="6"/>
              <w:spacing w:before="86" w:line="228" w:lineRule="auto"/>
              <w:ind w:left="451"/>
            </w:pPr>
            <w:r>
              <w:rPr>
                <w:spacing w:val="6"/>
              </w:rPr>
              <w:t>工作范围</w:t>
            </w:r>
          </w:p>
        </w:tc>
        <w:tc>
          <w:tcPr>
            <w:tcW w:w="2433" w:type="dxa"/>
            <w:gridSpan w:val="2"/>
            <w:tcBorders>
              <w:right w:val="single" w:color="000000" w:sz="10" w:space="0"/>
            </w:tcBorders>
            <w:vAlign w:val="top"/>
          </w:tcPr>
          <w:p w14:paraId="409A4090">
            <w:pPr>
              <w:pStyle w:val="6"/>
              <w:spacing w:before="85" w:line="228" w:lineRule="auto"/>
              <w:ind w:left="603"/>
            </w:pPr>
            <w:r>
              <w:rPr>
                <w:spacing w:val="5"/>
              </w:rPr>
              <w:t>资江（赧水）</w:t>
            </w:r>
          </w:p>
        </w:tc>
      </w:tr>
      <w:tr w14:paraId="094B9A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919" w:type="dxa"/>
            <w:vMerge w:val="continue"/>
            <w:tcBorders>
              <w:top w:val="nil"/>
              <w:left w:val="single" w:color="000000" w:sz="10" w:space="0"/>
            </w:tcBorders>
            <w:vAlign w:val="top"/>
          </w:tcPr>
          <w:p w14:paraId="2B9FFA96">
            <w:pPr>
              <w:rPr>
                <w:rFonts w:ascii="Arial"/>
                <w:sz w:val="21"/>
              </w:rPr>
            </w:pPr>
          </w:p>
        </w:tc>
        <w:tc>
          <w:tcPr>
            <w:tcW w:w="1502" w:type="dxa"/>
            <w:gridSpan w:val="2"/>
            <w:vAlign w:val="top"/>
          </w:tcPr>
          <w:p w14:paraId="372BC0D0">
            <w:pPr>
              <w:spacing w:line="380" w:lineRule="auto"/>
              <w:rPr>
                <w:rFonts w:ascii="Arial"/>
                <w:sz w:val="21"/>
              </w:rPr>
            </w:pPr>
          </w:p>
          <w:p w14:paraId="1D1A8F00">
            <w:pPr>
              <w:pStyle w:val="6"/>
              <w:spacing w:before="65" w:line="228" w:lineRule="auto"/>
              <w:ind w:left="329"/>
            </w:pPr>
            <w:r>
              <w:rPr>
                <w:spacing w:val="6"/>
              </w:rPr>
              <w:t>论证范围</w:t>
            </w:r>
          </w:p>
        </w:tc>
        <w:tc>
          <w:tcPr>
            <w:tcW w:w="2149" w:type="dxa"/>
            <w:gridSpan w:val="4"/>
            <w:vAlign w:val="top"/>
          </w:tcPr>
          <w:p w14:paraId="2EE11983">
            <w:pPr>
              <w:pStyle w:val="6"/>
              <w:spacing w:before="38" w:line="241" w:lineRule="auto"/>
              <w:ind w:left="110" w:right="106" w:firstLine="24"/>
              <w:jc w:val="both"/>
              <w:rPr>
                <w:rFonts w:ascii="Times New Roman" w:hAnsi="Times New Roman" w:eastAsia="Times New Roman" w:cs="Times New Roman"/>
              </w:rPr>
            </w:pPr>
            <w:r>
              <w:rPr>
                <w:spacing w:val="8"/>
              </w:rPr>
              <w:t>赧水隆回县元木山水</w:t>
            </w:r>
            <w:r>
              <w:rPr>
                <w:spacing w:val="11"/>
              </w:rPr>
              <w:t>电站至排污口下游邵阳县渡头村断面（出</w:t>
            </w:r>
            <w:r>
              <w:rPr>
                <w:spacing w:val="6"/>
              </w:rPr>
              <w:t>境断面</w:t>
            </w:r>
            <w:r>
              <w:rPr>
                <w:spacing w:val="-47"/>
                <w:w w:val="89"/>
              </w:rPr>
              <w:t>），</w:t>
            </w:r>
            <w:r>
              <w:rPr>
                <w:spacing w:val="6"/>
              </w:rPr>
              <w:t>河道长</w:t>
            </w:r>
            <w:r>
              <w:rPr>
                <w:rFonts w:ascii="Times New Roman" w:hAnsi="Times New Roman" w:eastAsia="Times New Roman" w:cs="Times New Roman"/>
                <w:spacing w:val="6"/>
              </w:rPr>
              <w:t>9</w:t>
            </w:r>
            <w:r>
              <w:rPr>
                <w:rFonts w:ascii="Times New Roman" w:hAnsi="Times New Roman" w:eastAsia="Times New Roman" w:cs="Times New Roman"/>
              </w:rPr>
              <w:t>km</w:t>
            </w:r>
          </w:p>
        </w:tc>
        <w:tc>
          <w:tcPr>
            <w:tcW w:w="1720" w:type="dxa"/>
            <w:vAlign w:val="top"/>
          </w:tcPr>
          <w:p w14:paraId="4EA48727">
            <w:pPr>
              <w:spacing w:line="243" w:lineRule="auto"/>
              <w:rPr>
                <w:rFonts w:ascii="Arial"/>
                <w:sz w:val="21"/>
              </w:rPr>
            </w:pPr>
          </w:p>
          <w:p w14:paraId="70FAF007">
            <w:pPr>
              <w:pStyle w:val="6"/>
              <w:spacing w:before="65" w:line="228" w:lineRule="auto"/>
              <w:ind w:left="346"/>
            </w:pPr>
            <w:r>
              <w:rPr>
                <w:spacing w:val="7"/>
              </w:rPr>
              <w:t>水平年（现</w:t>
            </w:r>
          </w:p>
          <w:p w14:paraId="647F9A10">
            <w:pPr>
              <w:pStyle w:val="6"/>
              <w:spacing w:before="26" w:line="228" w:lineRule="auto"/>
              <w:ind w:left="343"/>
            </w:pPr>
            <w:r>
              <w:rPr>
                <w:spacing w:val="5"/>
              </w:rPr>
              <w:t>状</w:t>
            </w:r>
            <w:r>
              <w:rPr>
                <w:rFonts w:ascii="Times New Roman" w:hAnsi="Times New Roman" w:eastAsia="Times New Roman" w:cs="Times New Roman"/>
                <w:spacing w:val="5"/>
              </w:rPr>
              <w:t>—</w:t>
            </w:r>
            <w:r>
              <w:rPr>
                <w:spacing w:val="5"/>
              </w:rPr>
              <w:t>规划）</w:t>
            </w:r>
          </w:p>
        </w:tc>
        <w:tc>
          <w:tcPr>
            <w:tcW w:w="2433" w:type="dxa"/>
            <w:gridSpan w:val="2"/>
            <w:tcBorders>
              <w:right w:val="single" w:color="000000" w:sz="10" w:space="0"/>
            </w:tcBorders>
            <w:vAlign w:val="top"/>
          </w:tcPr>
          <w:p w14:paraId="09F745EC">
            <w:pPr>
              <w:spacing w:line="422" w:lineRule="auto"/>
              <w:rPr>
                <w:rFonts w:ascii="Arial"/>
                <w:sz w:val="21"/>
              </w:rPr>
            </w:pPr>
          </w:p>
          <w:p w14:paraId="7695AD6F">
            <w:pPr>
              <w:spacing w:before="58" w:line="195" w:lineRule="auto"/>
              <w:ind w:left="74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2024~2027</w:t>
            </w:r>
          </w:p>
        </w:tc>
      </w:tr>
      <w:tr w14:paraId="34C924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19" w:type="dxa"/>
            <w:vMerge w:val="restart"/>
            <w:tcBorders>
              <w:left w:val="single" w:color="000000" w:sz="10" w:space="0"/>
              <w:bottom w:val="nil"/>
            </w:tcBorders>
            <w:vAlign w:val="top"/>
          </w:tcPr>
          <w:p w14:paraId="7EF4FDE2">
            <w:pPr>
              <w:spacing w:line="267" w:lineRule="auto"/>
              <w:rPr>
                <w:rFonts w:ascii="Arial"/>
                <w:sz w:val="21"/>
              </w:rPr>
            </w:pPr>
          </w:p>
          <w:p w14:paraId="1D0EE5E2">
            <w:pPr>
              <w:spacing w:line="267" w:lineRule="auto"/>
              <w:rPr>
                <w:rFonts w:ascii="Arial"/>
                <w:sz w:val="21"/>
              </w:rPr>
            </w:pPr>
          </w:p>
          <w:p w14:paraId="6B89E51D">
            <w:pPr>
              <w:spacing w:line="267" w:lineRule="auto"/>
              <w:rPr>
                <w:rFonts w:ascii="Arial"/>
                <w:sz w:val="21"/>
              </w:rPr>
            </w:pPr>
          </w:p>
          <w:p w14:paraId="62F48AE6">
            <w:pPr>
              <w:pStyle w:val="6"/>
              <w:spacing w:before="65" w:line="228" w:lineRule="auto"/>
              <w:ind w:left="137"/>
            </w:pPr>
            <w:r>
              <w:rPr>
                <w:spacing w:val="6"/>
              </w:rPr>
              <w:t>分析范</w:t>
            </w:r>
          </w:p>
          <w:p w14:paraId="32595D7B">
            <w:pPr>
              <w:pStyle w:val="6"/>
              <w:spacing w:before="25" w:line="228" w:lineRule="auto"/>
              <w:ind w:left="153"/>
            </w:pPr>
            <w:r>
              <w:t>围内控</w:t>
            </w:r>
          </w:p>
          <w:p w14:paraId="6789FD94">
            <w:pPr>
              <w:pStyle w:val="6"/>
              <w:spacing w:before="25" w:line="254" w:lineRule="auto"/>
              <w:ind w:left="240" w:right="148" w:hanging="105"/>
            </w:pPr>
            <w:r>
              <w:rPr>
                <w:spacing w:val="6"/>
              </w:rPr>
              <w:t>制指标</w:t>
            </w:r>
            <w:r>
              <w:rPr>
                <w:spacing w:val="4"/>
              </w:rPr>
              <w:t>情况</w:t>
            </w:r>
          </w:p>
        </w:tc>
        <w:tc>
          <w:tcPr>
            <w:tcW w:w="1502" w:type="dxa"/>
            <w:gridSpan w:val="2"/>
            <w:vAlign w:val="top"/>
          </w:tcPr>
          <w:p w14:paraId="56A08134">
            <w:pPr>
              <w:pStyle w:val="6"/>
              <w:spacing w:before="39" w:line="228" w:lineRule="auto"/>
              <w:ind w:left="121"/>
            </w:pPr>
            <w:r>
              <w:rPr>
                <w:spacing w:val="7"/>
              </w:rPr>
              <w:t>取用水总量控</w:t>
            </w:r>
          </w:p>
          <w:p w14:paraId="5FD7A96C">
            <w:pPr>
              <w:pStyle w:val="6"/>
              <w:spacing w:before="24" w:line="210" w:lineRule="auto"/>
              <w:ind w:left="433"/>
            </w:pPr>
            <w:r>
              <w:rPr>
                <w:spacing w:val="6"/>
              </w:rPr>
              <w:t>制指标</w:t>
            </w:r>
          </w:p>
        </w:tc>
        <w:tc>
          <w:tcPr>
            <w:tcW w:w="2149" w:type="dxa"/>
            <w:gridSpan w:val="4"/>
            <w:vAlign w:val="top"/>
          </w:tcPr>
          <w:p w14:paraId="2ACD02D1">
            <w:pPr>
              <w:spacing w:before="209" w:line="199" w:lineRule="auto"/>
              <w:ind w:left="10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20" w:type="dxa"/>
            <w:vAlign w:val="top"/>
          </w:tcPr>
          <w:p w14:paraId="38F4A143">
            <w:pPr>
              <w:pStyle w:val="6"/>
              <w:spacing w:before="39" w:line="228" w:lineRule="auto"/>
              <w:ind w:left="348"/>
            </w:pPr>
            <w:r>
              <w:rPr>
                <w:spacing w:val="7"/>
              </w:rPr>
              <w:t>实际取用水</w:t>
            </w:r>
          </w:p>
          <w:p w14:paraId="58EEDCDC">
            <w:pPr>
              <w:pStyle w:val="6"/>
              <w:spacing w:before="24" w:line="210" w:lineRule="auto"/>
              <w:ind w:left="763"/>
            </w:pPr>
            <w:r>
              <w:t>量</w:t>
            </w:r>
          </w:p>
        </w:tc>
        <w:tc>
          <w:tcPr>
            <w:tcW w:w="2433" w:type="dxa"/>
            <w:gridSpan w:val="2"/>
            <w:tcBorders>
              <w:right w:val="single" w:color="000000" w:sz="10" w:space="0"/>
            </w:tcBorders>
            <w:vAlign w:val="top"/>
          </w:tcPr>
          <w:p w14:paraId="0F4FB3A3">
            <w:pPr>
              <w:spacing w:before="209" w:line="199" w:lineRule="auto"/>
              <w:ind w:left="11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1DCD6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919" w:type="dxa"/>
            <w:vMerge w:val="continue"/>
            <w:tcBorders>
              <w:top w:val="nil"/>
              <w:left w:val="single" w:color="000000" w:sz="10" w:space="0"/>
              <w:bottom w:val="nil"/>
            </w:tcBorders>
            <w:vAlign w:val="top"/>
          </w:tcPr>
          <w:p w14:paraId="088F3DA7">
            <w:pPr>
              <w:rPr>
                <w:rFonts w:ascii="Arial"/>
                <w:sz w:val="21"/>
              </w:rPr>
            </w:pPr>
          </w:p>
        </w:tc>
        <w:tc>
          <w:tcPr>
            <w:tcW w:w="1502" w:type="dxa"/>
            <w:gridSpan w:val="2"/>
            <w:vAlign w:val="top"/>
          </w:tcPr>
          <w:p w14:paraId="0E2C4779">
            <w:pPr>
              <w:pStyle w:val="6"/>
              <w:spacing w:before="40" w:line="228" w:lineRule="auto"/>
              <w:ind w:left="120"/>
            </w:pPr>
            <w:r>
              <w:rPr>
                <w:spacing w:val="7"/>
              </w:rPr>
              <w:t>用水效率控制</w:t>
            </w:r>
          </w:p>
          <w:p w14:paraId="1FC10F3D">
            <w:pPr>
              <w:pStyle w:val="6"/>
              <w:spacing w:before="26" w:line="207" w:lineRule="auto"/>
              <w:ind w:left="541"/>
            </w:pPr>
            <w:r>
              <w:rPr>
                <w:spacing w:val="3"/>
              </w:rPr>
              <w:t>指标</w:t>
            </w:r>
          </w:p>
        </w:tc>
        <w:tc>
          <w:tcPr>
            <w:tcW w:w="2149" w:type="dxa"/>
            <w:gridSpan w:val="4"/>
            <w:vAlign w:val="top"/>
          </w:tcPr>
          <w:p w14:paraId="5BC57559">
            <w:pPr>
              <w:spacing w:before="209" w:line="199" w:lineRule="auto"/>
              <w:ind w:left="10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20" w:type="dxa"/>
            <w:vAlign w:val="top"/>
          </w:tcPr>
          <w:p w14:paraId="526ABB9A">
            <w:pPr>
              <w:pStyle w:val="6"/>
              <w:spacing w:before="39" w:line="230" w:lineRule="auto"/>
              <w:ind w:left="763" w:right="121" w:hanging="626"/>
            </w:pPr>
            <w:r>
              <w:rPr>
                <w:spacing w:val="7"/>
              </w:rPr>
              <w:t>实际用水效率指</w:t>
            </w:r>
            <w:r>
              <w:t>标</w:t>
            </w:r>
          </w:p>
        </w:tc>
        <w:tc>
          <w:tcPr>
            <w:tcW w:w="2433" w:type="dxa"/>
            <w:gridSpan w:val="2"/>
            <w:tcBorders>
              <w:right w:val="single" w:color="000000" w:sz="10" w:space="0"/>
            </w:tcBorders>
            <w:vAlign w:val="top"/>
          </w:tcPr>
          <w:p w14:paraId="5CCD7306">
            <w:pPr>
              <w:spacing w:before="209" w:line="199" w:lineRule="auto"/>
              <w:ind w:left="11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32C1A5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919" w:type="dxa"/>
            <w:vMerge w:val="continue"/>
            <w:tcBorders>
              <w:top w:val="nil"/>
              <w:left w:val="single" w:color="000000" w:sz="10" w:space="0"/>
              <w:bottom w:val="nil"/>
            </w:tcBorders>
            <w:vAlign w:val="top"/>
          </w:tcPr>
          <w:p w14:paraId="0429DA92">
            <w:pPr>
              <w:rPr>
                <w:rFonts w:ascii="Arial"/>
                <w:sz w:val="21"/>
              </w:rPr>
            </w:pPr>
          </w:p>
        </w:tc>
        <w:tc>
          <w:tcPr>
            <w:tcW w:w="1502" w:type="dxa"/>
            <w:gridSpan w:val="2"/>
            <w:vAlign w:val="top"/>
          </w:tcPr>
          <w:p w14:paraId="608E3F11">
            <w:pPr>
              <w:pStyle w:val="6"/>
              <w:spacing w:before="44" w:line="228" w:lineRule="auto"/>
              <w:ind w:left="120"/>
            </w:pPr>
            <w:r>
              <w:rPr>
                <w:spacing w:val="7"/>
              </w:rPr>
              <w:t>纳污水域水功</w:t>
            </w:r>
          </w:p>
          <w:p w14:paraId="2E223DD6">
            <w:pPr>
              <w:pStyle w:val="6"/>
              <w:spacing w:before="24" w:line="228" w:lineRule="auto"/>
              <w:ind w:left="126"/>
            </w:pPr>
            <w:r>
              <w:rPr>
                <w:spacing w:val="6"/>
              </w:rPr>
              <w:t>能区限制纳污</w:t>
            </w:r>
          </w:p>
          <w:p w14:paraId="6D1538EF">
            <w:pPr>
              <w:pStyle w:val="6"/>
              <w:spacing w:before="23" w:line="206" w:lineRule="auto"/>
              <w:ind w:left="333"/>
            </w:pPr>
            <w:r>
              <w:rPr>
                <w:spacing w:val="5"/>
              </w:rPr>
              <w:t>总量指标</w:t>
            </w:r>
          </w:p>
        </w:tc>
        <w:tc>
          <w:tcPr>
            <w:tcW w:w="2149" w:type="dxa"/>
            <w:gridSpan w:val="4"/>
            <w:vAlign w:val="top"/>
          </w:tcPr>
          <w:p w14:paraId="36FE2C18">
            <w:pPr>
              <w:spacing w:line="288" w:lineRule="auto"/>
              <w:rPr>
                <w:rFonts w:ascii="Arial"/>
                <w:sz w:val="21"/>
              </w:rPr>
            </w:pPr>
          </w:p>
          <w:p w14:paraId="14B74EB2">
            <w:pPr>
              <w:spacing w:before="57" w:line="199" w:lineRule="auto"/>
              <w:ind w:left="10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20" w:type="dxa"/>
            <w:vAlign w:val="top"/>
          </w:tcPr>
          <w:p w14:paraId="7C600E4E">
            <w:pPr>
              <w:pStyle w:val="6"/>
              <w:spacing w:before="179" w:line="254" w:lineRule="auto"/>
              <w:ind w:left="147" w:right="121" w:hanging="13"/>
            </w:pPr>
            <w:r>
              <w:rPr>
                <w:spacing w:val="8"/>
              </w:rPr>
              <w:t>纳污水域水功能</w:t>
            </w:r>
            <w:r>
              <w:rPr>
                <w:spacing w:val="6"/>
              </w:rPr>
              <w:t>区实际排污总量</w:t>
            </w:r>
          </w:p>
        </w:tc>
        <w:tc>
          <w:tcPr>
            <w:tcW w:w="2433" w:type="dxa"/>
            <w:gridSpan w:val="2"/>
            <w:tcBorders>
              <w:right w:val="single" w:color="000000" w:sz="10" w:space="0"/>
            </w:tcBorders>
            <w:vAlign w:val="top"/>
          </w:tcPr>
          <w:p w14:paraId="5CCB78D5">
            <w:pPr>
              <w:spacing w:line="288" w:lineRule="auto"/>
              <w:rPr>
                <w:rFonts w:ascii="Arial"/>
                <w:sz w:val="21"/>
              </w:rPr>
            </w:pPr>
          </w:p>
          <w:p w14:paraId="4CC19055">
            <w:pPr>
              <w:spacing w:before="57" w:line="199" w:lineRule="auto"/>
              <w:ind w:left="11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7BFE5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919" w:type="dxa"/>
            <w:vMerge w:val="continue"/>
            <w:tcBorders>
              <w:top w:val="nil"/>
              <w:left w:val="single" w:color="000000" w:sz="10" w:space="0"/>
            </w:tcBorders>
            <w:vAlign w:val="top"/>
          </w:tcPr>
          <w:p w14:paraId="4C849248">
            <w:pPr>
              <w:rPr>
                <w:rFonts w:ascii="Arial"/>
                <w:sz w:val="21"/>
              </w:rPr>
            </w:pPr>
          </w:p>
        </w:tc>
        <w:tc>
          <w:tcPr>
            <w:tcW w:w="1502" w:type="dxa"/>
            <w:gridSpan w:val="2"/>
            <w:vAlign w:val="top"/>
          </w:tcPr>
          <w:p w14:paraId="1C6E9E2D">
            <w:pPr>
              <w:pStyle w:val="6"/>
              <w:spacing w:before="44" w:line="228" w:lineRule="auto"/>
              <w:ind w:left="120"/>
            </w:pPr>
            <w:r>
              <w:rPr>
                <w:spacing w:val="7"/>
              </w:rPr>
              <w:t>纳污水域水功</w:t>
            </w:r>
          </w:p>
          <w:p w14:paraId="6A3EE89E">
            <w:pPr>
              <w:pStyle w:val="6"/>
              <w:spacing w:before="24" w:line="228" w:lineRule="auto"/>
              <w:ind w:left="126"/>
            </w:pPr>
            <w:r>
              <w:rPr>
                <w:spacing w:val="6"/>
              </w:rPr>
              <w:t>能区水质达标</w:t>
            </w:r>
          </w:p>
          <w:p w14:paraId="652D164D">
            <w:pPr>
              <w:pStyle w:val="6"/>
              <w:spacing w:before="27" w:line="204" w:lineRule="auto"/>
              <w:ind w:left="434"/>
            </w:pPr>
            <w:r>
              <w:rPr>
                <w:spacing w:val="6"/>
              </w:rPr>
              <w:t>率指标</w:t>
            </w:r>
          </w:p>
        </w:tc>
        <w:tc>
          <w:tcPr>
            <w:tcW w:w="2149" w:type="dxa"/>
            <w:gridSpan w:val="4"/>
            <w:vAlign w:val="top"/>
          </w:tcPr>
          <w:p w14:paraId="733B2447">
            <w:pPr>
              <w:spacing w:line="249" w:lineRule="auto"/>
              <w:rPr>
                <w:rFonts w:ascii="Arial"/>
                <w:sz w:val="21"/>
              </w:rPr>
            </w:pPr>
          </w:p>
          <w:p w14:paraId="366F5143">
            <w:pPr>
              <w:pStyle w:val="6"/>
              <w:spacing w:before="65" w:line="265" w:lineRule="exact"/>
              <w:ind w:left="831"/>
            </w:pPr>
            <w:r>
              <w:rPr>
                <w:rFonts w:ascii="Times New Roman" w:hAnsi="Times New Roman" w:eastAsia="Times New Roman" w:cs="Times New Roman"/>
                <w:spacing w:val="17"/>
                <w:position w:val="1"/>
              </w:rPr>
              <w:t>100</w:t>
            </w:r>
            <w:r>
              <w:rPr>
                <w:spacing w:val="17"/>
                <w:position w:val="1"/>
              </w:rPr>
              <w:t>%</w:t>
            </w:r>
          </w:p>
        </w:tc>
        <w:tc>
          <w:tcPr>
            <w:tcW w:w="1720" w:type="dxa"/>
            <w:vAlign w:val="top"/>
          </w:tcPr>
          <w:p w14:paraId="49D97216">
            <w:pPr>
              <w:pStyle w:val="6"/>
              <w:spacing w:before="181" w:line="252" w:lineRule="auto"/>
              <w:ind w:left="253" w:right="121" w:hanging="119"/>
            </w:pPr>
            <w:r>
              <w:rPr>
                <w:spacing w:val="8"/>
              </w:rPr>
              <w:t>纳污水域水功能</w:t>
            </w:r>
            <w:r>
              <w:rPr>
                <w:spacing w:val="5"/>
              </w:rPr>
              <w:t>区水质达标率</w:t>
            </w:r>
          </w:p>
        </w:tc>
        <w:tc>
          <w:tcPr>
            <w:tcW w:w="2433" w:type="dxa"/>
            <w:gridSpan w:val="2"/>
            <w:tcBorders>
              <w:right w:val="single" w:color="000000" w:sz="10" w:space="0"/>
            </w:tcBorders>
            <w:vAlign w:val="top"/>
          </w:tcPr>
          <w:p w14:paraId="598A6393">
            <w:pPr>
              <w:spacing w:line="292" w:lineRule="auto"/>
              <w:rPr>
                <w:rFonts w:ascii="Arial"/>
                <w:sz w:val="21"/>
              </w:rPr>
            </w:pPr>
          </w:p>
          <w:p w14:paraId="1C03C386">
            <w:pPr>
              <w:spacing w:before="58" w:line="195" w:lineRule="auto"/>
              <w:ind w:left="9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w:t>
            </w:r>
          </w:p>
        </w:tc>
      </w:tr>
      <w:tr w14:paraId="547BD9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19" w:type="dxa"/>
            <w:vMerge w:val="restart"/>
            <w:tcBorders>
              <w:left w:val="single" w:color="000000" w:sz="10" w:space="0"/>
              <w:bottom w:val="nil"/>
            </w:tcBorders>
            <w:vAlign w:val="top"/>
          </w:tcPr>
          <w:p w14:paraId="37B24794">
            <w:pPr>
              <w:spacing w:line="298" w:lineRule="auto"/>
              <w:rPr>
                <w:rFonts w:ascii="Arial"/>
                <w:sz w:val="21"/>
              </w:rPr>
            </w:pPr>
          </w:p>
          <w:p w14:paraId="26DB9F0C">
            <w:pPr>
              <w:spacing w:line="299" w:lineRule="auto"/>
              <w:rPr>
                <w:rFonts w:ascii="Arial"/>
                <w:sz w:val="21"/>
              </w:rPr>
            </w:pPr>
          </w:p>
          <w:p w14:paraId="37C567DD">
            <w:pPr>
              <w:pStyle w:val="6"/>
              <w:spacing w:before="65" w:line="230" w:lineRule="auto"/>
              <w:ind w:left="105"/>
            </w:pPr>
            <w:r>
              <w:rPr>
                <w:spacing w:val="27"/>
              </w:rPr>
              <w:t>入河排</w:t>
            </w:r>
          </w:p>
          <w:p w14:paraId="042A1758">
            <w:pPr>
              <w:pStyle w:val="6"/>
              <w:spacing w:before="63" w:line="229" w:lineRule="auto"/>
              <w:ind w:left="107"/>
            </w:pPr>
            <w:r>
              <w:rPr>
                <w:spacing w:val="27"/>
              </w:rPr>
              <w:t>污口设</w:t>
            </w:r>
          </w:p>
          <w:p w14:paraId="76414116">
            <w:pPr>
              <w:pStyle w:val="6"/>
              <w:spacing w:before="63" w:line="228" w:lineRule="auto"/>
              <w:ind w:left="104"/>
            </w:pPr>
            <w:r>
              <w:rPr>
                <w:spacing w:val="27"/>
              </w:rPr>
              <w:t>置申请</w:t>
            </w:r>
          </w:p>
          <w:p w14:paraId="0F3815D4">
            <w:pPr>
              <w:pStyle w:val="6"/>
              <w:spacing w:before="64" w:line="290" w:lineRule="auto"/>
              <w:ind w:left="107" w:right="117"/>
            </w:pPr>
            <w:r>
              <w:rPr>
                <w:spacing w:val="26"/>
              </w:rPr>
              <w:t>单位概</w:t>
            </w:r>
            <w:r>
              <w:t>况</w:t>
            </w:r>
          </w:p>
        </w:tc>
        <w:tc>
          <w:tcPr>
            <w:tcW w:w="1054" w:type="dxa"/>
            <w:vAlign w:val="top"/>
          </w:tcPr>
          <w:p w14:paraId="75871B04">
            <w:pPr>
              <w:pStyle w:val="6"/>
              <w:spacing w:before="181" w:line="230" w:lineRule="auto"/>
              <w:ind w:left="106"/>
            </w:pPr>
            <w:r>
              <w:rPr>
                <w:spacing w:val="3"/>
              </w:rPr>
              <w:t>名称</w:t>
            </w:r>
          </w:p>
        </w:tc>
        <w:tc>
          <w:tcPr>
            <w:tcW w:w="1947" w:type="dxa"/>
            <w:gridSpan w:val="4"/>
            <w:vAlign w:val="top"/>
          </w:tcPr>
          <w:p w14:paraId="28AE7E92">
            <w:pPr>
              <w:pStyle w:val="6"/>
              <w:spacing w:before="47" w:line="227" w:lineRule="auto"/>
              <w:ind w:left="108" w:right="166" w:firstLine="10"/>
            </w:pPr>
            <w:r>
              <w:rPr>
                <w:spacing w:val="7"/>
              </w:rPr>
              <w:t>隆回县工业园开发</w:t>
            </w:r>
            <w:r>
              <w:rPr>
                <w:spacing w:val="8"/>
              </w:rPr>
              <w:t>建设投资有限公司</w:t>
            </w:r>
          </w:p>
        </w:tc>
        <w:tc>
          <w:tcPr>
            <w:tcW w:w="2370" w:type="dxa"/>
            <w:gridSpan w:val="2"/>
            <w:vAlign w:val="top"/>
          </w:tcPr>
          <w:p w14:paraId="6CDDD037">
            <w:pPr>
              <w:pStyle w:val="6"/>
              <w:spacing w:before="181" w:line="228" w:lineRule="auto"/>
              <w:ind w:left="113"/>
            </w:pPr>
            <w:r>
              <w:rPr>
                <w:spacing w:val="7"/>
              </w:rPr>
              <w:t>法人代表</w:t>
            </w:r>
          </w:p>
        </w:tc>
        <w:tc>
          <w:tcPr>
            <w:tcW w:w="2433" w:type="dxa"/>
            <w:gridSpan w:val="2"/>
            <w:tcBorders>
              <w:right w:val="single" w:color="000000" w:sz="10" w:space="0"/>
            </w:tcBorders>
            <w:vAlign w:val="top"/>
          </w:tcPr>
          <w:p w14:paraId="745289EF">
            <w:pPr>
              <w:pStyle w:val="6"/>
              <w:spacing w:before="181" w:line="228" w:lineRule="auto"/>
              <w:ind w:left="118"/>
            </w:pPr>
            <w:r>
              <w:rPr>
                <w:spacing w:val="5"/>
              </w:rPr>
              <w:t>刘洋</w:t>
            </w:r>
          </w:p>
        </w:tc>
      </w:tr>
      <w:tr w14:paraId="036EC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19" w:type="dxa"/>
            <w:vMerge w:val="continue"/>
            <w:tcBorders>
              <w:top w:val="nil"/>
              <w:left w:val="single" w:color="000000" w:sz="10" w:space="0"/>
              <w:bottom w:val="nil"/>
            </w:tcBorders>
            <w:vAlign w:val="top"/>
          </w:tcPr>
          <w:p w14:paraId="645DAB71">
            <w:pPr>
              <w:rPr>
                <w:rFonts w:ascii="Arial"/>
                <w:sz w:val="21"/>
              </w:rPr>
            </w:pPr>
          </w:p>
        </w:tc>
        <w:tc>
          <w:tcPr>
            <w:tcW w:w="1054" w:type="dxa"/>
            <w:vAlign w:val="top"/>
          </w:tcPr>
          <w:p w14:paraId="3AE6A81E">
            <w:pPr>
              <w:pStyle w:val="6"/>
              <w:spacing w:before="220" w:line="228" w:lineRule="auto"/>
              <w:ind w:left="107"/>
            </w:pPr>
            <w:r>
              <w:rPr>
                <w:spacing w:val="6"/>
              </w:rPr>
              <w:t>隶属关系</w:t>
            </w:r>
          </w:p>
        </w:tc>
        <w:tc>
          <w:tcPr>
            <w:tcW w:w="1947" w:type="dxa"/>
            <w:gridSpan w:val="4"/>
            <w:vAlign w:val="top"/>
          </w:tcPr>
          <w:p w14:paraId="5D741C80">
            <w:pPr>
              <w:spacing w:before="254" w:line="199" w:lineRule="auto"/>
              <w:ind w:left="9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370" w:type="dxa"/>
            <w:gridSpan w:val="2"/>
            <w:vAlign w:val="top"/>
          </w:tcPr>
          <w:p w14:paraId="0FCD4E2A">
            <w:pPr>
              <w:pStyle w:val="6"/>
              <w:spacing w:before="222" w:line="228" w:lineRule="auto"/>
              <w:ind w:left="116"/>
            </w:pPr>
            <w:r>
              <w:rPr>
                <w:spacing w:val="6"/>
              </w:rPr>
              <w:t>行业类别</w:t>
            </w:r>
          </w:p>
        </w:tc>
        <w:tc>
          <w:tcPr>
            <w:tcW w:w="2433" w:type="dxa"/>
            <w:gridSpan w:val="2"/>
            <w:tcBorders>
              <w:right w:val="single" w:color="000000" w:sz="10" w:space="0"/>
            </w:tcBorders>
            <w:vAlign w:val="top"/>
          </w:tcPr>
          <w:p w14:paraId="51A4B41F">
            <w:pPr>
              <w:pStyle w:val="6"/>
              <w:spacing w:before="67" w:line="254" w:lineRule="auto"/>
              <w:ind w:left="120" w:right="96" w:hanging="6"/>
            </w:pPr>
            <w:r>
              <w:rPr>
                <w:rFonts w:ascii="Times New Roman" w:hAnsi="Times New Roman" w:eastAsia="Times New Roman" w:cs="Times New Roman"/>
                <w:spacing w:val="4"/>
              </w:rPr>
              <w:t>D4620</w:t>
            </w:r>
            <w:r>
              <w:rPr>
                <w:spacing w:val="4"/>
              </w:rPr>
              <w:t>（污水处理及其再生利用）</w:t>
            </w:r>
          </w:p>
        </w:tc>
      </w:tr>
      <w:tr w14:paraId="2DB34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19" w:type="dxa"/>
            <w:vMerge w:val="continue"/>
            <w:tcBorders>
              <w:top w:val="nil"/>
              <w:left w:val="single" w:color="000000" w:sz="10" w:space="0"/>
              <w:bottom w:val="nil"/>
            </w:tcBorders>
            <w:vAlign w:val="top"/>
          </w:tcPr>
          <w:p w14:paraId="6790808F">
            <w:pPr>
              <w:rPr>
                <w:rFonts w:ascii="Arial"/>
                <w:sz w:val="21"/>
              </w:rPr>
            </w:pPr>
          </w:p>
        </w:tc>
        <w:tc>
          <w:tcPr>
            <w:tcW w:w="1054" w:type="dxa"/>
            <w:vAlign w:val="top"/>
          </w:tcPr>
          <w:p w14:paraId="1AE486AF">
            <w:pPr>
              <w:pStyle w:val="6"/>
              <w:spacing w:before="95" w:line="228" w:lineRule="auto"/>
              <w:ind w:left="107"/>
            </w:pPr>
            <w:r>
              <w:rPr>
                <w:spacing w:val="6"/>
              </w:rPr>
              <w:t>企业规模</w:t>
            </w:r>
          </w:p>
        </w:tc>
        <w:tc>
          <w:tcPr>
            <w:tcW w:w="1947" w:type="dxa"/>
            <w:gridSpan w:val="4"/>
            <w:vAlign w:val="top"/>
          </w:tcPr>
          <w:p w14:paraId="64F920B0">
            <w:pPr>
              <w:spacing w:before="128" w:line="199" w:lineRule="auto"/>
              <w:ind w:left="9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370" w:type="dxa"/>
            <w:gridSpan w:val="2"/>
            <w:vAlign w:val="top"/>
          </w:tcPr>
          <w:p w14:paraId="45D38B62">
            <w:pPr>
              <w:pStyle w:val="6"/>
              <w:spacing w:before="95" w:line="228" w:lineRule="auto"/>
              <w:ind w:left="113"/>
            </w:pPr>
            <w:r>
              <w:rPr>
                <w:spacing w:val="7"/>
              </w:rPr>
              <w:t>职工总数</w:t>
            </w:r>
          </w:p>
        </w:tc>
        <w:tc>
          <w:tcPr>
            <w:tcW w:w="2433" w:type="dxa"/>
            <w:gridSpan w:val="2"/>
            <w:tcBorders>
              <w:right w:val="single" w:color="000000" w:sz="10" w:space="0"/>
            </w:tcBorders>
            <w:vAlign w:val="top"/>
          </w:tcPr>
          <w:p w14:paraId="49021D88">
            <w:pPr>
              <w:spacing w:before="128" w:line="199" w:lineRule="auto"/>
              <w:ind w:left="11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5F19A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919" w:type="dxa"/>
            <w:vMerge w:val="continue"/>
            <w:tcBorders>
              <w:top w:val="nil"/>
              <w:left w:val="single" w:color="000000" w:sz="10" w:space="0"/>
              <w:bottom w:val="nil"/>
            </w:tcBorders>
            <w:vAlign w:val="top"/>
          </w:tcPr>
          <w:p w14:paraId="5BDB7892">
            <w:pPr>
              <w:rPr>
                <w:rFonts w:ascii="Arial"/>
                <w:sz w:val="21"/>
              </w:rPr>
            </w:pPr>
          </w:p>
        </w:tc>
        <w:tc>
          <w:tcPr>
            <w:tcW w:w="1054" w:type="dxa"/>
            <w:vAlign w:val="top"/>
          </w:tcPr>
          <w:p w14:paraId="2299B44C">
            <w:pPr>
              <w:spacing w:line="253" w:lineRule="auto"/>
              <w:rPr>
                <w:rFonts w:ascii="Arial"/>
                <w:sz w:val="21"/>
              </w:rPr>
            </w:pPr>
          </w:p>
          <w:p w14:paraId="647DF5A2">
            <w:pPr>
              <w:pStyle w:val="6"/>
              <w:spacing w:before="65" w:line="237" w:lineRule="auto"/>
              <w:ind w:left="104"/>
            </w:pPr>
            <w:r>
              <w:rPr>
                <w:spacing w:val="4"/>
              </w:rPr>
              <w:t>地址</w:t>
            </w:r>
          </w:p>
        </w:tc>
        <w:tc>
          <w:tcPr>
            <w:tcW w:w="1947" w:type="dxa"/>
            <w:gridSpan w:val="4"/>
            <w:vAlign w:val="top"/>
          </w:tcPr>
          <w:p w14:paraId="17DFCEEC">
            <w:pPr>
              <w:pStyle w:val="6"/>
              <w:spacing w:before="49" w:line="234" w:lineRule="auto"/>
              <w:ind w:left="107" w:right="166" w:firstLine="12"/>
              <w:jc w:val="both"/>
            </w:pPr>
            <w:r>
              <w:rPr>
                <w:spacing w:val="7"/>
              </w:rPr>
              <w:t>隆回县桃花坪街道</w:t>
            </w:r>
            <w:r>
              <w:rPr>
                <w:spacing w:val="8"/>
              </w:rPr>
              <w:t>江湾社区恒祥国际</w:t>
            </w:r>
            <w:r>
              <w:rPr>
                <w:spacing w:val="4"/>
              </w:rPr>
              <w:t>六楼</w:t>
            </w:r>
          </w:p>
        </w:tc>
        <w:tc>
          <w:tcPr>
            <w:tcW w:w="2370" w:type="dxa"/>
            <w:gridSpan w:val="2"/>
            <w:vAlign w:val="top"/>
          </w:tcPr>
          <w:p w14:paraId="438A10AD">
            <w:pPr>
              <w:spacing w:line="253" w:lineRule="auto"/>
              <w:rPr>
                <w:rFonts w:ascii="Arial"/>
                <w:sz w:val="21"/>
              </w:rPr>
            </w:pPr>
          </w:p>
          <w:p w14:paraId="1BC192C3">
            <w:pPr>
              <w:pStyle w:val="6"/>
              <w:spacing w:before="65" w:line="228" w:lineRule="auto"/>
              <w:ind w:left="128"/>
            </w:pPr>
            <w:r>
              <w:rPr>
                <w:spacing w:val="-3"/>
              </w:rPr>
              <w:t>邮编</w:t>
            </w:r>
          </w:p>
        </w:tc>
        <w:tc>
          <w:tcPr>
            <w:tcW w:w="2433" w:type="dxa"/>
            <w:gridSpan w:val="2"/>
            <w:tcBorders>
              <w:right w:val="single" w:color="000000" w:sz="10" w:space="0"/>
            </w:tcBorders>
            <w:vAlign w:val="top"/>
          </w:tcPr>
          <w:p w14:paraId="642D2D4C">
            <w:pPr>
              <w:spacing w:line="297" w:lineRule="auto"/>
              <w:rPr>
                <w:rFonts w:ascii="Arial"/>
                <w:sz w:val="21"/>
              </w:rPr>
            </w:pPr>
          </w:p>
          <w:p w14:paraId="5FFC7C65">
            <w:pPr>
              <w:spacing w:before="57" w:line="195"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422299</w:t>
            </w:r>
          </w:p>
        </w:tc>
      </w:tr>
      <w:tr w14:paraId="5BCFF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19" w:type="dxa"/>
            <w:vMerge w:val="continue"/>
            <w:tcBorders>
              <w:top w:val="nil"/>
              <w:left w:val="single" w:color="000000" w:sz="10" w:space="0"/>
            </w:tcBorders>
            <w:vAlign w:val="top"/>
          </w:tcPr>
          <w:p w14:paraId="0B783A16">
            <w:pPr>
              <w:rPr>
                <w:rFonts w:ascii="Arial"/>
                <w:sz w:val="21"/>
              </w:rPr>
            </w:pPr>
          </w:p>
        </w:tc>
        <w:tc>
          <w:tcPr>
            <w:tcW w:w="1054" w:type="dxa"/>
            <w:vAlign w:val="top"/>
          </w:tcPr>
          <w:p w14:paraId="2F4272F1">
            <w:pPr>
              <w:pStyle w:val="6"/>
              <w:spacing w:before="100" w:line="230" w:lineRule="auto"/>
              <w:ind w:left="105"/>
            </w:pPr>
            <w:r>
              <w:rPr>
                <w:spacing w:val="6"/>
              </w:rPr>
              <w:t>联系人</w:t>
            </w:r>
          </w:p>
        </w:tc>
        <w:tc>
          <w:tcPr>
            <w:tcW w:w="1549" w:type="dxa"/>
            <w:gridSpan w:val="2"/>
            <w:vAlign w:val="top"/>
          </w:tcPr>
          <w:p w14:paraId="508B5BAC">
            <w:pPr>
              <w:pStyle w:val="6"/>
              <w:spacing w:before="99" w:line="228" w:lineRule="auto"/>
              <w:ind w:left="105"/>
            </w:pPr>
            <w:r>
              <w:rPr>
                <w:spacing w:val="5"/>
              </w:rPr>
              <w:t>黄蛟</w:t>
            </w:r>
          </w:p>
        </w:tc>
        <w:tc>
          <w:tcPr>
            <w:tcW w:w="1048" w:type="dxa"/>
            <w:gridSpan w:val="3"/>
            <w:vAlign w:val="top"/>
          </w:tcPr>
          <w:p w14:paraId="5EF3E3B6">
            <w:pPr>
              <w:pStyle w:val="6"/>
              <w:spacing w:before="100" w:line="230" w:lineRule="auto"/>
              <w:ind w:left="137"/>
            </w:pPr>
            <w:r>
              <w:rPr>
                <w:spacing w:val="-8"/>
              </w:rPr>
              <w:t>电话</w:t>
            </w:r>
          </w:p>
        </w:tc>
        <w:tc>
          <w:tcPr>
            <w:tcW w:w="1720" w:type="dxa"/>
            <w:vAlign w:val="top"/>
          </w:tcPr>
          <w:p w14:paraId="2BFAA031">
            <w:pPr>
              <w:spacing w:before="136" w:line="195"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17378135129</w:t>
            </w:r>
          </w:p>
        </w:tc>
        <w:tc>
          <w:tcPr>
            <w:tcW w:w="649" w:type="dxa"/>
            <w:vAlign w:val="top"/>
          </w:tcPr>
          <w:p w14:paraId="31F1A812">
            <w:pPr>
              <w:pStyle w:val="6"/>
              <w:spacing w:before="100" w:line="228" w:lineRule="auto"/>
              <w:ind w:left="134"/>
            </w:pPr>
            <w:r>
              <w:rPr>
                <w:spacing w:val="-3"/>
              </w:rPr>
              <w:t>邮箱</w:t>
            </w:r>
          </w:p>
        </w:tc>
        <w:tc>
          <w:tcPr>
            <w:tcW w:w="1784" w:type="dxa"/>
            <w:tcBorders>
              <w:right w:val="single" w:color="000000" w:sz="10" w:space="0"/>
            </w:tcBorders>
            <w:vAlign w:val="top"/>
          </w:tcPr>
          <w:p w14:paraId="19A039D0">
            <w:pPr>
              <w:spacing w:before="132" w:line="199" w:lineRule="auto"/>
              <w:ind w:left="8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7AB75B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19" w:type="dxa"/>
            <w:vMerge w:val="restart"/>
            <w:tcBorders>
              <w:left w:val="single" w:color="000000" w:sz="10" w:space="0"/>
              <w:bottom w:val="nil"/>
            </w:tcBorders>
            <w:vAlign w:val="top"/>
          </w:tcPr>
          <w:p w14:paraId="25AF6E95">
            <w:pPr>
              <w:spacing w:line="254" w:lineRule="auto"/>
              <w:rPr>
                <w:rFonts w:ascii="Arial"/>
                <w:sz w:val="21"/>
              </w:rPr>
            </w:pPr>
          </w:p>
          <w:p w14:paraId="61FBF3B8">
            <w:pPr>
              <w:pStyle w:val="6"/>
              <w:spacing w:before="65" w:line="292" w:lineRule="auto"/>
              <w:ind w:left="122" w:right="117" w:hanging="15"/>
            </w:pPr>
            <w:r>
              <w:rPr>
                <w:spacing w:val="26"/>
              </w:rPr>
              <w:t>主要产</w:t>
            </w:r>
            <w:r>
              <w:t>品</w:t>
            </w:r>
          </w:p>
        </w:tc>
        <w:tc>
          <w:tcPr>
            <w:tcW w:w="1502" w:type="dxa"/>
            <w:gridSpan w:val="2"/>
            <w:vAlign w:val="top"/>
          </w:tcPr>
          <w:p w14:paraId="3FE0F204">
            <w:pPr>
              <w:pStyle w:val="6"/>
              <w:spacing w:before="101" w:line="230" w:lineRule="auto"/>
              <w:ind w:left="541"/>
            </w:pPr>
            <w:r>
              <w:rPr>
                <w:spacing w:val="3"/>
              </w:rPr>
              <w:t>名称</w:t>
            </w:r>
          </w:p>
        </w:tc>
        <w:tc>
          <w:tcPr>
            <w:tcW w:w="6302" w:type="dxa"/>
            <w:gridSpan w:val="7"/>
            <w:tcBorders>
              <w:right w:val="single" w:color="000000" w:sz="10" w:space="0"/>
            </w:tcBorders>
            <w:vAlign w:val="top"/>
          </w:tcPr>
          <w:p w14:paraId="38BAAA0F">
            <w:pPr>
              <w:pStyle w:val="6"/>
              <w:spacing w:before="101" w:line="228" w:lineRule="auto"/>
              <w:ind w:left="2943"/>
            </w:pPr>
            <w:r>
              <w:rPr>
                <w:spacing w:val="4"/>
              </w:rPr>
              <w:t>尾水</w:t>
            </w:r>
          </w:p>
        </w:tc>
      </w:tr>
      <w:tr w14:paraId="4A6ED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19" w:type="dxa"/>
            <w:vMerge w:val="continue"/>
            <w:tcBorders>
              <w:top w:val="nil"/>
              <w:left w:val="single" w:color="000000" w:sz="10" w:space="0"/>
              <w:bottom w:val="nil"/>
            </w:tcBorders>
            <w:vAlign w:val="top"/>
          </w:tcPr>
          <w:p w14:paraId="732C6029">
            <w:pPr>
              <w:rPr>
                <w:rFonts w:ascii="Arial"/>
                <w:sz w:val="21"/>
              </w:rPr>
            </w:pPr>
          </w:p>
        </w:tc>
        <w:tc>
          <w:tcPr>
            <w:tcW w:w="1502" w:type="dxa"/>
            <w:gridSpan w:val="2"/>
            <w:vAlign w:val="top"/>
          </w:tcPr>
          <w:p w14:paraId="573DDAFA">
            <w:pPr>
              <w:pStyle w:val="6"/>
              <w:spacing w:before="100" w:line="228" w:lineRule="auto"/>
              <w:ind w:left="540"/>
            </w:pPr>
            <w:r>
              <w:rPr>
                <w:spacing w:val="3"/>
              </w:rPr>
              <w:t>单位</w:t>
            </w:r>
          </w:p>
        </w:tc>
        <w:tc>
          <w:tcPr>
            <w:tcW w:w="6302" w:type="dxa"/>
            <w:gridSpan w:val="7"/>
            <w:tcBorders>
              <w:right w:val="single" w:color="000000" w:sz="10" w:space="0"/>
            </w:tcBorders>
            <w:vAlign w:val="top"/>
          </w:tcPr>
          <w:p w14:paraId="19ABF30A">
            <w:pPr>
              <w:pStyle w:val="6"/>
              <w:spacing w:before="100" w:line="228" w:lineRule="auto"/>
              <w:ind w:left="2828"/>
              <w:rPr>
                <w:rFonts w:ascii="Times New Roman" w:hAnsi="Times New Roman" w:eastAsia="Times New Roman" w:cs="Times New Roman"/>
              </w:rPr>
            </w:pPr>
            <w:r>
              <w:rPr>
                <w:spacing w:val="2"/>
              </w:rPr>
              <w:t>万</w:t>
            </w:r>
            <w:r>
              <w:rPr>
                <w:rFonts w:ascii="Times New Roman" w:hAnsi="Times New Roman" w:eastAsia="Times New Roman" w:cs="Times New Roman"/>
                <w:spacing w:val="2"/>
              </w:rPr>
              <w:t>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rPr>
              <w:t>/d</w:t>
            </w:r>
          </w:p>
        </w:tc>
      </w:tr>
      <w:tr w14:paraId="03A365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19" w:type="dxa"/>
            <w:vMerge w:val="continue"/>
            <w:tcBorders>
              <w:top w:val="nil"/>
              <w:left w:val="single" w:color="000000" w:sz="10" w:space="0"/>
            </w:tcBorders>
            <w:vAlign w:val="top"/>
          </w:tcPr>
          <w:p w14:paraId="260E701B">
            <w:pPr>
              <w:rPr>
                <w:rFonts w:ascii="Arial"/>
                <w:sz w:val="21"/>
              </w:rPr>
            </w:pPr>
          </w:p>
        </w:tc>
        <w:tc>
          <w:tcPr>
            <w:tcW w:w="1502" w:type="dxa"/>
            <w:gridSpan w:val="2"/>
            <w:vAlign w:val="top"/>
          </w:tcPr>
          <w:p w14:paraId="27744CA2">
            <w:pPr>
              <w:pStyle w:val="6"/>
              <w:spacing w:before="101" w:line="228" w:lineRule="auto"/>
              <w:ind w:left="540"/>
            </w:pPr>
            <w:r>
              <w:rPr>
                <w:spacing w:val="3"/>
              </w:rPr>
              <w:t>数量</w:t>
            </w:r>
          </w:p>
        </w:tc>
        <w:tc>
          <w:tcPr>
            <w:tcW w:w="6302" w:type="dxa"/>
            <w:gridSpan w:val="7"/>
            <w:tcBorders>
              <w:right w:val="single" w:color="000000" w:sz="10" w:space="0"/>
            </w:tcBorders>
            <w:vAlign w:val="top"/>
          </w:tcPr>
          <w:p w14:paraId="577C854F">
            <w:pPr>
              <w:pStyle w:val="6"/>
              <w:spacing w:before="101" w:line="228" w:lineRule="auto"/>
              <w:ind w:left="318"/>
              <w:rPr>
                <w:rFonts w:ascii="Times New Roman" w:hAnsi="Times New Roman" w:eastAsia="Times New Roman" w:cs="Times New Roman"/>
              </w:rPr>
            </w:pPr>
            <w:r>
              <w:rPr>
                <w:spacing w:val="5"/>
              </w:rPr>
              <w:t>扩建工程处理规模为</w:t>
            </w:r>
            <w:r>
              <w:rPr>
                <w:rFonts w:ascii="Times New Roman" w:hAnsi="Times New Roman" w:eastAsia="Times New Roman" w:cs="Times New Roman"/>
                <w:spacing w:val="5"/>
              </w:rPr>
              <w:t>1.5</w:t>
            </w:r>
            <w:r>
              <w:rPr>
                <w:spacing w:val="5"/>
              </w:rPr>
              <w:t>万</w:t>
            </w:r>
            <w:r>
              <w:rPr>
                <w:rFonts w:ascii="Times New Roman" w:hAnsi="Times New Roman" w:eastAsia="Times New Roman" w:cs="Times New Roman"/>
                <w:spacing w:val="5"/>
              </w:rPr>
              <w:t>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5"/>
              </w:rPr>
              <w:t>/d</w:t>
            </w:r>
            <w:r>
              <w:rPr>
                <w:spacing w:val="5"/>
              </w:rPr>
              <w:t>，扩建后处理规</w:t>
            </w:r>
            <w:r>
              <w:rPr>
                <w:spacing w:val="4"/>
              </w:rPr>
              <w:t>模为</w:t>
            </w:r>
            <w:r>
              <w:rPr>
                <w:rFonts w:ascii="Times New Roman" w:hAnsi="Times New Roman" w:eastAsia="Times New Roman" w:cs="Times New Roman"/>
                <w:spacing w:val="4"/>
              </w:rPr>
              <w:t>3</w:t>
            </w:r>
            <w:r>
              <w:rPr>
                <w:spacing w:val="4"/>
              </w:rPr>
              <w:t>万</w:t>
            </w:r>
            <w:r>
              <w:rPr>
                <w:rFonts w:ascii="Times New Roman" w:hAnsi="Times New Roman" w:eastAsia="Times New Roman" w:cs="Times New Roman"/>
                <w:spacing w:val="4"/>
              </w:rPr>
              <w:t>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rPr>
              <w:t>/d</w:t>
            </w:r>
          </w:p>
        </w:tc>
      </w:tr>
      <w:tr w14:paraId="6E9BB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19" w:type="dxa"/>
            <w:tcBorders>
              <w:left w:val="single" w:color="000000" w:sz="10" w:space="0"/>
            </w:tcBorders>
            <w:vAlign w:val="top"/>
          </w:tcPr>
          <w:p w14:paraId="3DE6329A">
            <w:pPr>
              <w:pStyle w:val="6"/>
              <w:spacing w:before="75" w:line="228" w:lineRule="auto"/>
              <w:ind w:left="107"/>
            </w:pPr>
            <w:r>
              <w:rPr>
                <w:spacing w:val="26"/>
              </w:rPr>
              <w:t>主要产</w:t>
            </w:r>
          </w:p>
          <w:p w14:paraId="4712E1A2">
            <w:pPr>
              <w:pStyle w:val="6"/>
              <w:spacing w:before="65" w:line="212" w:lineRule="auto"/>
              <w:ind w:left="107"/>
            </w:pPr>
            <w:r>
              <w:rPr>
                <w:spacing w:val="6"/>
              </w:rPr>
              <w:t>污环节</w:t>
            </w:r>
          </w:p>
        </w:tc>
        <w:tc>
          <w:tcPr>
            <w:tcW w:w="7804" w:type="dxa"/>
            <w:gridSpan w:val="9"/>
            <w:tcBorders>
              <w:right w:val="single" w:color="000000" w:sz="10" w:space="0"/>
            </w:tcBorders>
            <w:vAlign w:val="top"/>
          </w:tcPr>
          <w:p w14:paraId="06791FF1">
            <w:pPr>
              <w:pStyle w:val="6"/>
              <w:spacing w:before="76" w:line="250" w:lineRule="auto"/>
              <w:ind w:left="106" w:right="135" w:hanging="1"/>
            </w:pPr>
            <w:r>
              <w:rPr>
                <w:spacing w:val="10"/>
              </w:rPr>
              <w:t>本项目为污水处理工程，项目本身不产生废污水，废</w:t>
            </w:r>
            <w:r>
              <w:rPr>
                <w:spacing w:val="9"/>
              </w:rPr>
              <w:t>污水的产生主要为隆回高新区</w:t>
            </w:r>
            <w:r>
              <w:rPr>
                <w:spacing w:val="7"/>
              </w:rPr>
              <w:t>工业废水和生活污水。</w:t>
            </w:r>
          </w:p>
        </w:tc>
      </w:tr>
      <w:tr w14:paraId="5BDED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919" w:type="dxa"/>
            <w:tcBorders>
              <w:left w:val="single" w:color="000000" w:sz="10" w:space="0"/>
              <w:bottom w:val="single" w:color="000000" w:sz="10" w:space="0"/>
            </w:tcBorders>
            <w:vAlign w:val="top"/>
          </w:tcPr>
          <w:p w14:paraId="7928B506">
            <w:pPr>
              <w:pStyle w:val="6"/>
              <w:spacing w:before="102" w:line="228" w:lineRule="auto"/>
              <w:ind w:left="108"/>
            </w:pPr>
            <w:r>
              <w:rPr>
                <w:spacing w:val="26"/>
              </w:rPr>
              <w:t>取水情</w:t>
            </w:r>
          </w:p>
        </w:tc>
        <w:tc>
          <w:tcPr>
            <w:tcW w:w="2690" w:type="dxa"/>
            <w:gridSpan w:val="4"/>
            <w:tcBorders>
              <w:bottom w:val="single" w:color="000000" w:sz="10" w:space="0"/>
            </w:tcBorders>
            <w:vAlign w:val="top"/>
          </w:tcPr>
          <w:p w14:paraId="02A7E390">
            <w:pPr>
              <w:pStyle w:val="6"/>
              <w:spacing w:before="102" w:line="228" w:lineRule="auto"/>
              <w:ind w:left="106"/>
            </w:pPr>
            <w:r>
              <w:rPr>
                <w:spacing w:val="3"/>
              </w:rPr>
              <w:t>水源</w:t>
            </w:r>
          </w:p>
        </w:tc>
        <w:tc>
          <w:tcPr>
            <w:tcW w:w="5114" w:type="dxa"/>
            <w:gridSpan w:val="5"/>
            <w:tcBorders>
              <w:bottom w:val="single" w:color="000000" w:sz="10" w:space="0"/>
              <w:right w:val="single" w:color="000000" w:sz="10" w:space="0"/>
            </w:tcBorders>
            <w:vAlign w:val="top"/>
          </w:tcPr>
          <w:p w14:paraId="00AD05F2">
            <w:pPr>
              <w:spacing w:before="137" w:line="199" w:lineRule="auto"/>
              <w:ind w:left="25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46AAA797">
      <w:pPr>
        <w:pStyle w:val="2"/>
      </w:pPr>
    </w:p>
    <w:p w14:paraId="7C8A18DC">
      <w:pPr>
        <w:sectPr>
          <w:headerReference r:id="rId7" w:type="default"/>
          <w:pgSz w:w="11906" w:h="16839"/>
          <w:pgMar w:top="1132" w:right="1578" w:bottom="0" w:left="1578" w:header="829" w:footer="0" w:gutter="0"/>
          <w:cols w:space="720" w:num="1"/>
        </w:sectPr>
      </w:pPr>
    </w:p>
    <w:p w14:paraId="74C4745B">
      <w:pPr>
        <w:spacing w:before="42"/>
      </w:pPr>
    </w:p>
    <w:tbl>
      <w:tblPr>
        <w:tblStyle w:val="5"/>
        <w:tblW w:w="872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9"/>
        <w:gridCol w:w="1503"/>
        <w:gridCol w:w="1187"/>
        <w:gridCol w:w="1611"/>
        <w:gridCol w:w="1848"/>
        <w:gridCol w:w="1655"/>
      </w:tblGrid>
      <w:tr w14:paraId="453C07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919" w:type="dxa"/>
            <w:vMerge w:val="restart"/>
            <w:tcBorders>
              <w:top w:val="single" w:color="000000" w:sz="10" w:space="0"/>
              <w:left w:val="single" w:color="000000" w:sz="10" w:space="0"/>
              <w:bottom w:val="nil"/>
            </w:tcBorders>
            <w:vAlign w:val="top"/>
          </w:tcPr>
          <w:p w14:paraId="7B099448">
            <w:pPr>
              <w:pStyle w:val="6"/>
              <w:spacing w:before="35" w:line="228" w:lineRule="auto"/>
              <w:ind w:left="107"/>
            </w:pPr>
            <w:r>
              <w:t>况</w:t>
            </w:r>
          </w:p>
        </w:tc>
        <w:tc>
          <w:tcPr>
            <w:tcW w:w="2690" w:type="dxa"/>
            <w:gridSpan w:val="2"/>
            <w:tcBorders>
              <w:top w:val="single" w:color="000000" w:sz="10" w:space="0"/>
            </w:tcBorders>
            <w:vAlign w:val="top"/>
          </w:tcPr>
          <w:p w14:paraId="371B4DB6">
            <w:pPr>
              <w:pStyle w:val="6"/>
              <w:spacing w:before="63" w:line="228" w:lineRule="auto"/>
              <w:ind w:left="106"/>
            </w:pPr>
            <w:r>
              <w:rPr>
                <w:spacing w:val="8"/>
              </w:rPr>
              <w:t>取水许可证编号</w:t>
            </w:r>
          </w:p>
        </w:tc>
        <w:tc>
          <w:tcPr>
            <w:tcW w:w="5114" w:type="dxa"/>
            <w:gridSpan w:val="3"/>
            <w:tcBorders>
              <w:top w:val="single" w:color="000000" w:sz="10" w:space="0"/>
              <w:right w:val="single" w:color="000000" w:sz="10" w:space="0"/>
            </w:tcBorders>
            <w:vAlign w:val="top"/>
          </w:tcPr>
          <w:p w14:paraId="2DF8179D">
            <w:pPr>
              <w:spacing w:before="96" w:line="199" w:lineRule="auto"/>
              <w:ind w:left="25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70235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19" w:type="dxa"/>
            <w:vMerge w:val="continue"/>
            <w:tcBorders>
              <w:top w:val="nil"/>
              <w:left w:val="single" w:color="000000" w:sz="10" w:space="0"/>
              <w:bottom w:val="nil"/>
            </w:tcBorders>
            <w:vAlign w:val="top"/>
          </w:tcPr>
          <w:p w14:paraId="19727716">
            <w:pPr>
              <w:rPr>
                <w:rFonts w:ascii="Arial"/>
                <w:sz w:val="21"/>
              </w:rPr>
            </w:pPr>
          </w:p>
        </w:tc>
        <w:tc>
          <w:tcPr>
            <w:tcW w:w="2690" w:type="dxa"/>
            <w:gridSpan w:val="2"/>
            <w:vAlign w:val="top"/>
          </w:tcPr>
          <w:p w14:paraId="1A46D678">
            <w:pPr>
              <w:pStyle w:val="6"/>
              <w:spacing w:before="80" w:line="227" w:lineRule="auto"/>
              <w:ind w:left="115"/>
            </w:pPr>
            <w:r>
              <w:rPr>
                <w:spacing w:val="4"/>
              </w:rPr>
              <w:t>审批机关</w:t>
            </w:r>
          </w:p>
        </w:tc>
        <w:tc>
          <w:tcPr>
            <w:tcW w:w="5114" w:type="dxa"/>
            <w:gridSpan w:val="3"/>
            <w:tcBorders>
              <w:right w:val="single" w:color="000000" w:sz="10" w:space="0"/>
            </w:tcBorders>
            <w:vAlign w:val="top"/>
          </w:tcPr>
          <w:p w14:paraId="558A7A50">
            <w:pPr>
              <w:spacing w:before="112" w:line="199" w:lineRule="auto"/>
              <w:ind w:left="25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00842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19" w:type="dxa"/>
            <w:vMerge w:val="continue"/>
            <w:tcBorders>
              <w:top w:val="nil"/>
              <w:left w:val="single" w:color="000000" w:sz="10" w:space="0"/>
              <w:bottom w:val="nil"/>
            </w:tcBorders>
            <w:vAlign w:val="top"/>
          </w:tcPr>
          <w:p w14:paraId="0E595A43">
            <w:pPr>
              <w:rPr>
                <w:rFonts w:ascii="Arial"/>
                <w:sz w:val="21"/>
              </w:rPr>
            </w:pPr>
          </w:p>
        </w:tc>
        <w:tc>
          <w:tcPr>
            <w:tcW w:w="2690" w:type="dxa"/>
            <w:gridSpan w:val="2"/>
            <w:vAlign w:val="top"/>
          </w:tcPr>
          <w:p w14:paraId="417BED46">
            <w:pPr>
              <w:pStyle w:val="6"/>
              <w:spacing w:before="81" w:line="228" w:lineRule="auto"/>
              <w:ind w:left="106"/>
            </w:pPr>
            <w:r>
              <w:rPr>
                <w:spacing w:val="6"/>
              </w:rPr>
              <w:t>取水方式</w:t>
            </w:r>
          </w:p>
        </w:tc>
        <w:tc>
          <w:tcPr>
            <w:tcW w:w="5114" w:type="dxa"/>
            <w:gridSpan w:val="3"/>
            <w:tcBorders>
              <w:right w:val="single" w:color="000000" w:sz="10" w:space="0"/>
            </w:tcBorders>
            <w:vAlign w:val="top"/>
          </w:tcPr>
          <w:p w14:paraId="708E2625">
            <w:pPr>
              <w:spacing w:before="113" w:line="199" w:lineRule="auto"/>
              <w:ind w:left="25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4FD2E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19" w:type="dxa"/>
            <w:vMerge w:val="continue"/>
            <w:tcBorders>
              <w:top w:val="nil"/>
              <w:left w:val="single" w:color="000000" w:sz="10" w:space="0"/>
              <w:bottom w:val="nil"/>
            </w:tcBorders>
            <w:vAlign w:val="top"/>
          </w:tcPr>
          <w:p w14:paraId="599C87F0">
            <w:pPr>
              <w:rPr>
                <w:rFonts w:ascii="Arial"/>
                <w:sz w:val="21"/>
              </w:rPr>
            </w:pPr>
          </w:p>
        </w:tc>
        <w:tc>
          <w:tcPr>
            <w:tcW w:w="2690" w:type="dxa"/>
            <w:gridSpan w:val="2"/>
            <w:vAlign w:val="top"/>
          </w:tcPr>
          <w:p w14:paraId="630679A3">
            <w:pPr>
              <w:pStyle w:val="6"/>
              <w:spacing w:before="82" w:line="229" w:lineRule="auto"/>
              <w:ind w:left="106"/>
            </w:pPr>
            <w:r>
              <w:rPr>
                <w:spacing w:val="3"/>
              </w:rPr>
              <w:t>用途</w:t>
            </w:r>
          </w:p>
        </w:tc>
        <w:tc>
          <w:tcPr>
            <w:tcW w:w="5114" w:type="dxa"/>
            <w:gridSpan w:val="3"/>
            <w:tcBorders>
              <w:right w:val="single" w:color="000000" w:sz="10" w:space="0"/>
            </w:tcBorders>
            <w:vAlign w:val="top"/>
          </w:tcPr>
          <w:p w14:paraId="2B89B4D8">
            <w:pPr>
              <w:spacing w:before="114" w:line="199" w:lineRule="auto"/>
              <w:ind w:left="25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491F5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19" w:type="dxa"/>
            <w:vMerge w:val="continue"/>
            <w:tcBorders>
              <w:top w:val="nil"/>
              <w:left w:val="single" w:color="000000" w:sz="10" w:space="0"/>
              <w:bottom w:val="nil"/>
            </w:tcBorders>
            <w:vAlign w:val="top"/>
          </w:tcPr>
          <w:p w14:paraId="53C022B6">
            <w:pPr>
              <w:rPr>
                <w:rFonts w:ascii="Arial"/>
                <w:sz w:val="21"/>
              </w:rPr>
            </w:pPr>
          </w:p>
        </w:tc>
        <w:tc>
          <w:tcPr>
            <w:tcW w:w="2690" w:type="dxa"/>
            <w:gridSpan w:val="2"/>
            <w:vAlign w:val="top"/>
          </w:tcPr>
          <w:p w14:paraId="6804AAAD">
            <w:pPr>
              <w:pStyle w:val="6"/>
              <w:spacing w:before="83" w:line="228" w:lineRule="auto"/>
              <w:ind w:left="105"/>
            </w:pPr>
            <w:r>
              <w:rPr>
                <w:spacing w:val="7"/>
              </w:rPr>
              <w:t>年审批取水量（万</w:t>
            </w:r>
            <w:r>
              <w:rPr>
                <w:rFonts w:ascii="Times New Roman" w:hAnsi="Times New Roman" w:eastAsia="Times New Roman" w:cs="Times New Roman"/>
                <w:spacing w:val="7"/>
              </w:rPr>
              <w:t>m</w:t>
            </w:r>
            <w:r>
              <w:rPr>
                <w:rFonts w:ascii="Times New Roman" w:hAnsi="Times New Roman" w:eastAsia="Times New Roman" w:cs="Times New Roman"/>
                <w:spacing w:val="7"/>
                <w:position w:val="6"/>
                <w:sz w:val="13"/>
                <w:szCs w:val="13"/>
              </w:rPr>
              <w:t>3</w:t>
            </w:r>
            <w:r>
              <w:rPr>
                <w:spacing w:val="7"/>
              </w:rPr>
              <w:t>）</w:t>
            </w:r>
          </w:p>
        </w:tc>
        <w:tc>
          <w:tcPr>
            <w:tcW w:w="5114" w:type="dxa"/>
            <w:gridSpan w:val="3"/>
            <w:tcBorders>
              <w:right w:val="single" w:color="000000" w:sz="10" w:space="0"/>
            </w:tcBorders>
            <w:vAlign w:val="top"/>
          </w:tcPr>
          <w:p w14:paraId="1D7A0C66">
            <w:pPr>
              <w:spacing w:before="116" w:line="199" w:lineRule="auto"/>
              <w:ind w:left="25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048577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919" w:type="dxa"/>
            <w:vMerge w:val="continue"/>
            <w:tcBorders>
              <w:top w:val="nil"/>
              <w:left w:val="single" w:color="000000" w:sz="10" w:space="0"/>
            </w:tcBorders>
            <w:vAlign w:val="top"/>
          </w:tcPr>
          <w:p w14:paraId="67400A85">
            <w:pPr>
              <w:rPr>
                <w:rFonts w:ascii="Arial"/>
                <w:sz w:val="21"/>
              </w:rPr>
            </w:pPr>
          </w:p>
        </w:tc>
        <w:tc>
          <w:tcPr>
            <w:tcW w:w="2690" w:type="dxa"/>
            <w:gridSpan w:val="2"/>
            <w:vAlign w:val="top"/>
          </w:tcPr>
          <w:p w14:paraId="63AA4D6B">
            <w:pPr>
              <w:pStyle w:val="6"/>
              <w:spacing w:before="84" w:line="228" w:lineRule="auto"/>
              <w:ind w:left="105"/>
            </w:pPr>
            <w:r>
              <w:rPr>
                <w:spacing w:val="7"/>
              </w:rPr>
              <w:t>年实际取水量（万</w:t>
            </w:r>
            <w:r>
              <w:rPr>
                <w:rFonts w:ascii="Times New Roman" w:hAnsi="Times New Roman" w:eastAsia="Times New Roman" w:cs="Times New Roman"/>
                <w:spacing w:val="7"/>
              </w:rPr>
              <w:t>m</w:t>
            </w:r>
            <w:r>
              <w:rPr>
                <w:rFonts w:ascii="Times New Roman" w:hAnsi="Times New Roman" w:eastAsia="Times New Roman" w:cs="Times New Roman"/>
                <w:spacing w:val="7"/>
                <w:position w:val="6"/>
                <w:sz w:val="13"/>
                <w:szCs w:val="13"/>
              </w:rPr>
              <w:t>3</w:t>
            </w:r>
            <w:r>
              <w:rPr>
                <w:spacing w:val="7"/>
              </w:rPr>
              <w:t>）</w:t>
            </w:r>
          </w:p>
        </w:tc>
        <w:tc>
          <w:tcPr>
            <w:tcW w:w="5114" w:type="dxa"/>
            <w:gridSpan w:val="3"/>
            <w:tcBorders>
              <w:right w:val="single" w:color="000000" w:sz="10" w:space="0"/>
            </w:tcBorders>
            <w:vAlign w:val="top"/>
          </w:tcPr>
          <w:p w14:paraId="26DCC9ED">
            <w:pPr>
              <w:spacing w:before="117" w:line="199" w:lineRule="auto"/>
              <w:ind w:left="25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0AA68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19" w:type="dxa"/>
            <w:vMerge w:val="restart"/>
            <w:tcBorders>
              <w:left w:val="single" w:color="000000" w:sz="10" w:space="0"/>
              <w:bottom w:val="nil"/>
            </w:tcBorders>
            <w:vAlign w:val="top"/>
          </w:tcPr>
          <w:p w14:paraId="651FDC40">
            <w:pPr>
              <w:rPr>
                <w:rFonts w:ascii="Arial"/>
                <w:sz w:val="21"/>
              </w:rPr>
            </w:pPr>
          </w:p>
          <w:p w14:paraId="353225BC">
            <w:pPr>
              <w:rPr>
                <w:rFonts w:ascii="Arial"/>
                <w:sz w:val="21"/>
              </w:rPr>
            </w:pPr>
          </w:p>
          <w:p w14:paraId="59858CC2">
            <w:pPr>
              <w:rPr>
                <w:rFonts w:ascii="Arial"/>
                <w:sz w:val="21"/>
              </w:rPr>
            </w:pPr>
          </w:p>
          <w:p w14:paraId="69D87894">
            <w:pPr>
              <w:rPr>
                <w:rFonts w:ascii="Arial"/>
                <w:sz w:val="21"/>
              </w:rPr>
            </w:pPr>
          </w:p>
          <w:p w14:paraId="7E981CEB">
            <w:pPr>
              <w:rPr>
                <w:rFonts w:ascii="Arial"/>
                <w:sz w:val="21"/>
              </w:rPr>
            </w:pPr>
          </w:p>
          <w:p w14:paraId="3D5DFA3D">
            <w:pPr>
              <w:rPr>
                <w:rFonts w:ascii="Arial"/>
                <w:sz w:val="21"/>
              </w:rPr>
            </w:pPr>
          </w:p>
          <w:p w14:paraId="16CC8A96">
            <w:pPr>
              <w:rPr>
                <w:rFonts w:ascii="Arial"/>
                <w:sz w:val="21"/>
              </w:rPr>
            </w:pPr>
          </w:p>
          <w:p w14:paraId="63D4FC74">
            <w:pPr>
              <w:rPr>
                <w:rFonts w:ascii="Arial"/>
                <w:sz w:val="21"/>
              </w:rPr>
            </w:pPr>
          </w:p>
          <w:p w14:paraId="00A90ED2">
            <w:pPr>
              <w:rPr>
                <w:rFonts w:ascii="Arial"/>
                <w:sz w:val="21"/>
              </w:rPr>
            </w:pPr>
          </w:p>
          <w:p w14:paraId="30A05057">
            <w:pPr>
              <w:rPr>
                <w:rFonts w:ascii="Arial"/>
                <w:sz w:val="21"/>
              </w:rPr>
            </w:pPr>
          </w:p>
          <w:p w14:paraId="553B5E8D">
            <w:pPr>
              <w:rPr>
                <w:rFonts w:ascii="Arial"/>
                <w:sz w:val="21"/>
              </w:rPr>
            </w:pPr>
          </w:p>
          <w:p w14:paraId="503DAFD2">
            <w:pPr>
              <w:rPr>
                <w:rFonts w:ascii="Arial"/>
                <w:sz w:val="21"/>
              </w:rPr>
            </w:pPr>
          </w:p>
          <w:p w14:paraId="58074643">
            <w:pPr>
              <w:rPr>
                <w:rFonts w:ascii="Arial"/>
                <w:sz w:val="21"/>
              </w:rPr>
            </w:pPr>
          </w:p>
          <w:p w14:paraId="6BF7AB28">
            <w:pPr>
              <w:rPr>
                <w:rFonts w:ascii="Arial"/>
                <w:sz w:val="21"/>
              </w:rPr>
            </w:pPr>
          </w:p>
          <w:p w14:paraId="75F9C928">
            <w:pPr>
              <w:rPr>
                <w:rFonts w:ascii="Arial"/>
                <w:sz w:val="21"/>
              </w:rPr>
            </w:pPr>
          </w:p>
          <w:p w14:paraId="08BCF87F">
            <w:pPr>
              <w:rPr>
                <w:rFonts w:ascii="Arial"/>
                <w:sz w:val="21"/>
              </w:rPr>
            </w:pPr>
          </w:p>
          <w:p w14:paraId="61B1416C">
            <w:pPr>
              <w:spacing w:line="241" w:lineRule="auto"/>
              <w:rPr>
                <w:rFonts w:ascii="Arial"/>
                <w:sz w:val="21"/>
              </w:rPr>
            </w:pPr>
          </w:p>
          <w:p w14:paraId="2E325748">
            <w:pPr>
              <w:spacing w:line="241" w:lineRule="auto"/>
              <w:rPr>
                <w:rFonts w:ascii="Arial"/>
                <w:sz w:val="21"/>
              </w:rPr>
            </w:pPr>
          </w:p>
          <w:p w14:paraId="6A22CBB3">
            <w:pPr>
              <w:spacing w:line="241" w:lineRule="auto"/>
              <w:rPr>
                <w:rFonts w:ascii="Arial"/>
                <w:sz w:val="21"/>
              </w:rPr>
            </w:pPr>
          </w:p>
          <w:p w14:paraId="130049BC">
            <w:pPr>
              <w:spacing w:line="241" w:lineRule="auto"/>
              <w:rPr>
                <w:rFonts w:ascii="Arial"/>
                <w:sz w:val="21"/>
              </w:rPr>
            </w:pPr>
          </w:p>
          <w:p w14:paraId="2B4A7B61">
            <w:pPr>
              <w:spacing w:line="241" w:lineRule="auto"/>
              <w:rPr>
                <w:rFonts w:ascii="Arial"/>
                <w:sz w:val="21"/>
              </w:rPr>
            </w:pPr>
          </w:p>
          <w:p w14:paraId="0C3FFF34">
            <w:pPr>
              <w:pStyle w:val="6"/>
              <w:spacing w:before="65" w:line="230" w:lineRule="auto"/>
              <w:ind w:left="106"/>
            </w:pPr>
            <w:r>
              <w:rPr>
                <w:spacing w:val="37"/>
              </w:rPr>
              <w:t>排污口</w:t>
            </w:r>
          </w:p>
          <w:p w14:paraId="3D5152BA">
            <w:pPr>
              <w:pStyle w:val="6"/>
              <w:spacing w:before="62" w:line="290" w:lineRule="auto"/>
              <w:ind w:left="107" w:right="117" w:hanging="1"/>
            </w:pPr>
            <w:r>
              <w:rPr>
                <w:spacing w:val="26"/>
              </w:rPr>
              <w:t>基本情</w:t>
            </w:r>
            <w:r>
              <w:t>况</w:t>
            </w:r>
          </w:p>
        </w:tc>
        <w:tc>
          <w:tcPr>
            <w:tcW w:w="2690" w:type="dxa"/>
            <w:gridSpan w:val="2"/>
            <w:vAlign w:val="top"/>
          </w:tcPr>
          <w:p w14:paraId="5EB42893">
            <w:pPr>
              <w:pStyle w:val="6"/>
              <w:spacing w:before="212" w:line="230" w:lineRule="auto"/>
              <w:ind w:left="104"/>
            </w:pPr>
            <w:r>
              <w:rPr>
                <w:spacing w:val="8"/>
              </w:rPr>
              <w:t>排污口名称</w:t>
            </w:r>
          </w:p>
        </w:tc>
        <w:tc>
          <w:tcPr>
            <w:tcW w:w="5114" w:type="dxa"/>
            <w:gridSpan w:val="3"/>
            <w:tcBorders>
              <w:right w:val="single" w:color="000000" w:sz="10" w:space="0"/>
            </w:tcBorders>
            <w:vAlign w:val="top"/>
          </w:tcPr>
          <w:p w14:paraId="5D61D865">
            <w:pPr>
              <w:pStyle w:val="6"/>
              <w:spacing w:before="56" w:line="259" w:lineRule="auto"/>
              <w:ind w:left="111" w:right="166" w:firstLine="14"/>
            </w:pPr>
            <w:r>
              <w:rPr>
                <w:spacing w:val="9"/>
              </w:rPr>
              <w:t>隆回工业污水处理厂进行提标扩容改造（二期）工程</w:t>
            </w:r>
            <w:r>
              <w:rPr>
                <w:spacing w:val="8"/>
              </w:rPr>
              <w:t>入河排污口</w:t>
            </w:r>
          </w:p>
        </w:tc>
      </w:tr>
      <w:tr w14:paraId="6AA2E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19" w:type="dxa"/>
            <w:vMerge w:val="continue"/>
            <w:tcBorders>
              <w:top w:val="nil"/>
              <w:left w:val="single" w:color="000000" w:sz="10" w:space="0"/>
              <w:bottom w:val="nil"/>
            </w:tcBorders>
            <w:vAlign w:val="top"/>
          </w:tcPr>
          <w:p w14:paraId="58266429">
            <w:pPr>
              <w:rPr>
                <w:rFonts w:ascii="Arial"/>
                <w:sz w:val="21"/>
              </w:rPr>
            </w:pPr>
          </w:p>
        </w:tc>
        <w:tc>
          <w:tcPr>
            <w:tcW w:w="2690" w:type="dxa"/>
            <w:gridSpan w:val="2"/>
            <w:vAlign w:val="top"/>
          </w:tcPr>
          <w:p w14:paraId="1D30EF2B">
            <w:pPr>
              <w:pStyle w:val="6"/>
              <w:spacing w:before="86" w:line="228" w:lineRule="auto"/>
              <w:ind w:left="104"/>
            </w:pPr>
            <w:r>
              <w:rPr>
                <w:spacing w:val="8"/>
              </w:rPr>
              <w:t>排污口行政地址</w:t>
            </w:r>
          </w:p>
        </w:tc>
        <w:tc>
          <w:tcPr>
            <w:tcW w:w="5114" w:type="dxa"/>
            <w:gridSpan w:val="3"/>
            <w:tcBorders>
              <w:right w:val="single" w:color="000000" w:sz="10" w:space="0"/>
            </w:tcBorders>
            <w:vAlign w:val="top"/>
          </w:tcPr>
          <w:p w14:paraId="5F54C053">
            <w:pPr>
              <w:pStyle w:val="6"/>
              <w:spacing w:before="85" w:line="228" w:lineRule="auto"/>
              <w:ind w:left="125"/>
            </w:pPr>
            <w:r>
              <w:rPr>
                <w:spacing w:val="7"/>
              </w:rPr>
              <w:t>隆回县北山镇元木山电站下游</w:t>
            </w:r>
            <w:r>
              <w:rPr>
                <w:rFonts w:ascii="Times New Roman" w:hAnsi="Times New Roman" w:eastAsia="Times New Roman" w:cs="Times New Roman"/>
                <w:spacing w:val="7"/>
              </w:rPr>
              <w:t>2.8m</w:t>
            </w:r>
            <w:r>
              <w:rPr>
                <w:spacing w:val="7"/>
              </w:rPr>
              <w:t>处</w:t>
            </w:r>
          </w:p>
        </w:tc>
      </w:tr>
      <w:tr w14:paraId="673573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919" w:type="dxa"/>
            <w:vMerge w:val="continue"/>
            <w:tcBorders>
              <w:top w:val="nil"/>
              <w:left w:val="single" w:color="000000" w:sz="10" w:space="0"/>
              <w:bottom w:val="nil"/>
            </w:tcBorders>
            <w:vAlign w:val="top"/>
          </w:tcPr>
          <w:p w14:paraId="40B04453">
            <w:pPr>
              <w:rPr>
                <w:rFonts w:ascii="Arial"/>
                <w:sz w:val="21"/>
              </w:rPr>
            </w:pPr>
          </w:p>
        </w:tc>
        <w:tc>
          <w:tcPr>
            <w:tcW w:w="2690" w:type="dxa"/>
            <w:gridSpan w:val="2"/>
            <w:vAlign w:val="top"/>
          </w:tcPr>
          <w:p w14:paraId="76C259F8">
            <w:pPr>
              <w:spacing w:line="458" w:lineRule="auto"/>
              <w:rPr>
                <w:rFonts w:ascii="Arial"/>
                <w:sz w:val="21"/>
              </w:rPr>
            </w:pPr>
          </w:p>
          <w:p w14:paraId="34C8CABA">
            <w:pPr>
              <w:pStyle w:val="6"/>
              <w:spacing w:before="65" w:line="228" w:lineRule="auto"/>
              <w:ind w:left="104"/>
            </w:pPr>
            <w:r>
              <w:rPr>
                <w:spacing w:val="8"/>
              </w:rPr>
              <w:t>所在水功能区概况</w:t>
            </w:r>
          </w:p>
        </w:tc>
        <w:tc>
          <w:tcPr>
            <w:tcW w:w="5114" w:type="dxa"/>
            <w:gridSpan w:val="3"/>
            <w:tcBorders>
              <w:right w:val="single" w:color="000000" w:sz="10" w:space="0"/>
            </w:tcBorders>
            <w:vAlign w:val="top"/>
          </w:tcPr>
          <w:p w14:paraId="7A060BB5">
            <w:pPr>
              <w:pStyle w:val="6"/>
              <w:spacing w:before="57" w:line="273" w:lineRule="auto"/>
              <w:ind w:left="111" w:right="96"/>
              <w:jc w:val="both"/>
            </w:pPr>
            <w:r>
              <w:rPr>
                <w:spacing w:val="9"/>
              </w:rPr>
              <w:t>根据《邵阳市水功能区划》，属于资水（赧水）隆回</w:t>
            </w:r>
            <w:r>
              <w:rPr>
                <w:rFonts w:ascii="Times New Roman" w:hAnsi="Times New Roman" w:eastAsia="Times New Roman" w:cs="Times New Roman"/>
                <w:spacing w:val="9"/>
              </w:rPr>
              <w:t>-</w:t>
            </w:r>
            <w:r>
              <w:rPr>
                <w:spacing w:val="8"/>
              </w:rPr>
              <w:t>邵阳保留区，水质目标为</w:t>
            </w:r>
            <w:r>
              <w:rPr>
                <w:rFonts w:ascii="Times New Roman" w:hAnsi="Times New Roman" w:eastAsia="Times New Roman" w:cs="Times New Roman"/>
              </w:rPr>
              <w:t>III</w:t>
            </w:r>
            <w:r>
              <w:rPr>
                <w:spacing w:val="8"/>
              </w:rPr>
              <w:t>类，但论证范围内隆</w:t>
            </w:r>
            <w:r>
              <w:rPr>
                <w:spacing w:val="7"/>
              </w:rPr>
              <w:t>回县</w:t>
            </w:r>
            <w:r>
              <w:rPr>
                <w:spacing w:val="9"/>
              </w:rPr>
              <w:t>元木山断面、邵阳县渡头村断面考核目标为年度平均</w:t>
            </w:r>
            <w:r>
              <w:rPr>
                <w:spacing w:val="3"/>
              </w:rPr>
              <w:t>达到</w:t>
            </w:r>
            <w:r>
              <w:rPr>
                <w:rFonts w:ascii="Times New Roman" w:hAnsi="Times New Roman" w:eastAsia="Times New Roman" w:cs="Times New Roman"/>
              </w:rPr>
              <w:t>II</w:t>
            </w:r>
            <w:r>
              <w:rPr>
                <w:spacing w:val="3"/>
              </w:rPr>
              <w:t>类。</w:t>
            </w:r>
          </w:p>
        </w:tc>
      </w:tr>
      <w:tr w14:paraId="65276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919" w:type="dxa"/>
            <w:vMerge w:val="continue"/>
            <w:tcBorders>
              <w:top w:val="nil"/>
              <w:left w:val="single" w:color="000000" w:sz="10" w:space="0"/>
              <w:bottom w:val="nil"/>
            </w:tcBorders>
            <w:vAlign w:val="top"/>
          </w:tcPr>
          <w:p w14:paraId="3838814B">
            <w:pPr>
              <w:rPr>
                <w:rFonts w:ascii="Arial"/>
                <w:sz w:val="21"/>
              </w:rPr>
            </w:pPr>
          </w:p>
        </w:tc>
        <w:tc>
          <w:tcPr>
            <w:tcW w:w="2690" w:type="dxa"/>
            <w:gridSpan w:val="2"/>
            <w:vAlign w:val="top"/>
          </w:tcPr>
          <w:p w14:paraId="5F629388">
            <w:pPr>
              <w:pStyle w:val="6"/>
              <w:spacing w:before="89" w:line="228" w:lineRule="auto"/>
              <w:ind w:left="104"/>
            </w:pPr>
            <w:r>
              <w:rPr>
                <w:spacing w:val="8"/>
              </w:rPr>
              <w:t>排污口经纬度</w:t>
            </w:r>
          </w:p>
        </w:tc>
        <w:tc>
          <w:tcPr>
            <w:tcW w:w="5114" w:type="dxa"/>
            <w:gridSpan w:val="3"/>
            <w:tcBorders>
              <w:right w:val="single" w:color="000000" w:sz="10" w:space="0"/>
            </w:tcBorders>
            <w:vAlign w:val="top"/>
          </w:tcPr>
          <w:p w14:paraId="343F7F57">
            <w:pPr>
              <w:pStyle w:val="6"/>
              <w:spacing w:before="125" w:line="186" w:lineRule="auto"/>
              <w:ind w:left="108"/>
              <w:rPr>
                <w:rFonts w:ascii="Times New Roman" w:hAnsi="Times New Roman" w:eastAsia="Times New Roman" w:cs="Times New Roman"/>
              </w:rPr>
            </w:pPr>
            <w:r>
              <w:rPr>
                <w:rFonts w:ascii="Times New Roman" w:hAnsi="Times New Roman" w:eastAsia="Times New Roman" w:cs="Times New Roman"/>
                <w:spacing w:val="3"/>
              </w:rPr>
              <w:t>E111°3′22.36752″</w:t>
            </w:r>
            <w:r>
              <w:rPr>
                <w:spacing w:val="3"/>
              </w:rPr>
              <w:t>，</w:t>
            </w:r>
            <w:r>
              <w:rPr>
                <w:rFonts w:ascii="Times New Roman" w:hAnsi="Times New Roman" w:eastAsia="Times New Roman" w:cs="Times New Roman"/>
                <w:spacing w:val="3"/>
              </w:rPr>
              <w:t>N27°4′46.315056″</w:t>
            </w:r>
          </w:p>
        </w:tc>
      </w:tr>
      <w:tr w14:paraId="788A6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19" w:type="dxa"/>
            <w:vMerge w:val="continue"/>
            <w:tcBorders>
              <w:top w:val="nil"/>
              <w:left w:val="single" w:color="000000" w:sz="10" w:space="0"/>
              <w:bottom w:val="nil"/>
            </w:tcBorders>
            <w:vAlign w:val="top"/>
          </w:tcPr>
          <w:p w14:paraId="7CF52233">
            <w:pPr>
              <w:rPr>
                <w:rFonts w:ascii="Arial"/>
                <w:sz w:val="21"/>
              </w:rPr>
            </w:pPr>
          </w:p>
        </w:tc>
        <w:tc>
          <w:tcPr>
            <w:tcW w:w="2690" w:type="dxa"/>
            <w:gridSpan w:val="2"/>
            <w:vAlign w:val="top"/>
          </w:tcPr>
          <w:p w14:paraId="73A0B50B">
            <w:pPr>
              <w:pStyle w:val="6"/>
              <w:spacing w:before="88" w:line="228" w:lineRule="auto"/>
              <w:ind w:left="104"/>
            </w:pPr>
            <w:r>
              <w:rPr>
                <w:spacing w:val="8"/>
              </w:rPr>
              <w:t>排污口类型</w:t>
            </w:r>
          </w:p>
        </w:tc>
        <w:tc>
          <w:tcPr>
            <w:tcW w:w="5114" w:type="dxa"/>
            <w:gridSpan w:val="3"/>
            <w:tcBorders>
              <w:right w:val="single" w:color="000000" w:sz="10" w:space="0"/>
            </w:tcBorders>
            <w:vAlign w:val="top"/>
          </w:tcPr>
          <w:p w14:paraId="601D53DF">
            <w:pPr>
              <w:pStyle w:val="6"/>
              <w:spacing w:before="88" w:line="228" w:lineRule="auto"/>
              <w:ind w:left="114"/>
            </w:pPr>
            <w:r>
              <w:rPr>
                <w:spacing w:val="8"/>
              </w:rPr>
              <w:t>工业废水入河排污口</w:t>
            </w:r>
          </w:p>
        </w:tc>
      </w:tr>
      <w:tr w14:paraId="42E5B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19" w:type="dxa"/>
            <w:vMerge w:val="continue"/>
            <w:tcBorders>
              <w:top w:val="nil"/>
              <w:left w:val="single" w:color="000000" w:sz="10" w:space="0"/>
              <w:bottom w:val="nil"/>
            </w:tcBorders>
            <w:vAlign w:val="top"/>
          </w:tcPr>
          <w:p w14:paraId="5772FBEE">
            <w:pPr>
              <w:rPr>
                <w:rFonts w:ascii="Arial"/>
                <w:sz w:val="21"/>
              </w:rPr>
            </w:pPr>
          </w:p>
        </w:tc>
        <w:tc>
          <w:tcPr>
            <w:tcW w:w="2690" w:type="dxa"/>
            <w:gridSpan w:val="2"/>
            <w:vAlign w:val="top"/>
          </w:tcPr>
          <w:p w14:paraId="780C0694">
            <w:pPr>
              <w:pStyle w:val="6"/>
              <w:spacing w:before="89" w:line="228" w:lineRule="auto"/>
              <w:ind w:left="106"/>
            </w:pPr>
            <w:r>
              <w:rPr>
                <w:spacing w:val="7"/>
              </w:rPr>
              <w:t>污水年排放量（</w:t>
            </w:r>
            <w:r>
              <w:rPr>
                <w:rFonts w:ascii="Times New Roman" w:hAnsi="Times New Roman" w:eastAsia="Times New Roman" w:cs="Times New Roman"/>
                <w:spacing w:val="7"/>
              </w:rPr>
              <w:t>m</w:t>
            </w:r>
            <w:r>
              <w:rPr>
                <w:rFonts w:ascii="Times New Roman" w:hAnsi="Times New Roman" w:eastAsia="Times New Roman" w:cs="Times New Roman"/>
                <w:spacing w:val="7"/>
                <w:position w:val="6"/>
                <w:sz w:val="13"/>
                <w:szCs w:val="13"/>
              </w:rPr>
              <w:t>3</w:t>
            </w:r>
            <w:r>
              <w:rPr>
                <w:spacing w:val="7"/>
              </w:rPr>
              <w:t>）</w:t>
            </w:r>
          </w:p>
        </w:tc>
        <w:tc>
          <w:tcPr>
            <w:tcW w:w="5114" w:type="dxa"/>
            <w:gridSpan w:val="3"/>
            <w:tcBorders>
              <w:right w:val="single" w:color="000000" w:sz="10" w:space="0"/>
            </w:tcBorders>
            <w:vAlign w:val="top"/>
          </w:tcPr>
          <w:p w14:paraId="626FD939">
            <w:pPr>
              <w:pStyle w:val="6"/>
              <w:spacing w:before="89" w:line="228" w:lineRule="auto"/>
              <w:ind w:left="111"/>
            </w:pPr>
            <w:r>
              <w:rPr>
                <w:spacing w:val="6"/>
              </w:rPr>
              <w:t>扩建工程年排水量</w:t>
            </w:r>
            <w:r>
              <w:rPr>
                <w:rFonts w:ascii="Times New Roman" w:hAnsi="Times New Roman" w:eastAsia="Times New Roman" w:cs="Times New Roman"/>
                <w:spacing w:val="6"/>
              </w:rPr>
              <w:t>547.5</w:t>
            </w:r>
            <w:r>
              <w:rPr>
                <w:spacing w:val="6"/>
              </w:rPr>
              <w:t>万；扩建后年排水量</w:t>
            </w:r>
            <w:r>
              <w:rPr>
                <w:rFonts w:ascii="Times New Roman" w:hAnsi="Times New Roman" w:eastAsia="Times New Roman" w:cs="Times New Roman"/>
                <w:spacing w:val="6"/>
              </w:rPr>
              <w:t>1095</w:t>
            </w:r>
            <w:r>
              <w:rPr>
                <w:spacing w:val="6"/>
              </w:rPr>
              <w:t>万</w:t>
            </w:r>
          </w:p>
        </w:tc>
      </w:tr>
      <w:tr w14:paraId="34332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19" w:type="dxa"/>
            <w:vMerge w:val="continue"/>
            <w:tcBorders>
              <w:top w:val="nil"/>
              <w:left w:val="single" w:color="000000" w:sz="10" w:space="0"/>
              <w:bottom w:val="nil"/>
            </w:tcBorders>
            <w:vAlign w:val="top"/>
          </w:tcPr>
          <w:p w14:paraId="78463C09">
            <w:pPr>
              <w:rPr>
                <w:rFonts w:ascii="Arial"/>
                <w:sz w:val="21"/>
              </w:rPr>
            </w:pPr>
          </w:p>
        </w:tc>
        <w:tc>
          <w:tcPr>
            <w:tcW w:w="1503" w:type="dxa"/>
            <w:vMerge w:val="restart"/>
            <w:tcBorders>
              <w:bottom w:val="nil"/>
            </w:tcBorders>
            <w:vAlign w:val="top"/>
          </w:tcPr>
          <w:p w14:paraId="1C0C65A6">
            <w:pPr>
              <w:spacing w:line="253" w:lineRule="auto"/>
              <w:rPr>
                <w:rFonts w:ascii="Arial"/>
                <w:sz w:val="21"/>
              </w:rPr>
            </w:pPr>
          </w:p>
          <w:p w14:paraId="7E09C651">
            <w:pPr>
              <w:spacing w:line="253" w:lineRule="auto"/>
              <w:rPr>
                <w:rFonts w:ascii="Arial"/>
                <w:sz w:val="21"/>
              </w:rPr>
            </w:pPr>
          </w:p>
          <w:p w14:paraId="4086CDC6">
            <w:pPr>
              <w:spacing w:line="253" w:lineRule="auto"/>
              <w:rPr>
                <w:rFonts w:ascii="Arial"/>
                <w:sz w:val="21"/>
              </w:rPr>
            </w:pPr>
          </w:p>
          <w:p w14:paraId="72E0EFE0">
            <w:pPr>
              <w:spacing w:line="253" w:lineRule="auto"/>
              <w:rPr>
                <w:rFonts w:ascii="Arial"/>
                <w:sz w:val="21"/>
              </w:rPr>
            </w:pPr>
          </w:p>
          <w:p w14:paraId="027D72A4">
            <w:pPr>
              <w:spacing w:line="253" w:lineRule="auto"/>
              <w:rPr>
                <w:rFonts w:ascii="Arial"/>
                <w:sz w:val="21"/>
              </w:rPr>
            </w:pPr>
          </w:p>
          <w:p w14:paraId="56893B43">
            <w:pPr>
              <w:spacing w:line="253" w:lineRule="auto"/>
              <w:rPr>
                <w:rFonts w:ascii="Arial"/>
                <w:sz w:val="21"/>
              </w:rPr>
            </w:pPr>
          </w:p>
          <w:p w14:paraId="43753893">
            <w:pPr>
              <w:spacing w:line="254" w:lineRule="auto"/>
              <w:rPr>
                <w:rFonts w:ascii="Arial"/>
                <w:sz w:val="21"/>
              </w:rPr>
            </w:pPr>
          </w:p>
          <w:p w14:paraId="128DCE67">
            <w:pPr>
              <w:spacing w:line="254" w:lineRule="auto"/>
              <w:rPr>
                <w:rFonts w:ascii="Arial"/>
                <w:sz w:val="21"/>
              </w:rPr>
            </w:pPr>
          </w:p>
          <w:p w14:paraId="488BB117">
            <w:pPr>
              <w:spacing w:line="254" w:lineRule="auto"/>
              <w:rPr>
                <w:rFonts w:ascii="Arial"/>
                <w:sz w:val="21"/>
              </w:rPr>
            </w:pPr>
          </w:p>
          <w:p w14:paraId="01DEE8B1">
            <w:pPr>
              <w:spacing w:line="254" w:lineRule="auto"/>
              <w:rPr>
                <w:rFonts w:ascii="Arial"/>
                <w:sz w:val="21"/>
              </w:rPr>
            </w:pPr>
          </w:p>
          <w:p w14:paraId="4F12814A">
            <w:pPr>
              <w:spacing w:line="254" w:lineRule="auto"/>
              <w:rPr>
                <w:rFonts w:ascii="Arial"/>
                <w:sz w:val="21"/>
              </w:rPr>
            </w:pPr>
          </w:p>
          <w:p w14:paraId="7631B5D6">
            <w:pPr>
              <w:pStyle w:val="6"/>
              <w:spacing w:before="65" w:line="228" w:lineRule="auto"/>
              <w:ind w:left="106"/>
            </w:pPr>
            <w:r>
              <w:rPr>
                <w:spacing w:val="7"/>
              </w:rPr>
              <w:t>主要污染物</w:t>
            </w:r>
          </w:p>
        </w:tc>
        <w:tc>
          <w:tcPr>
            <w:tcW w:w="6301" w:type="dxa"/>
            <w:gridSpan w:val="4"/>
            <w:tcBorders>
              <w:right w:val="single" w:color="000000" w:sz="10" w:space="0"/>
            </w:tcBorders>
            <w:vAlign w:val="top"/>
          </w:tcPr>
          <w:p w14:paraId="1BF699CB">
            <w:pPr>
              <w:pStyle w:val="6"/>
              <w:spacing w:before="91" w:line="228" w:lineRule="auto"/>
              <w:ind w:left="2731"/>
            </w:pPr>
            <w:r>
              <w:rPr>
                <w:spacing w:val="7"/>
              </w:rPr>
              <w:t>扩建工程</w:t>
            </w:r>
          </w:p>
        </w:tc>
      </w:tr>
      <w:tr w14:paraId="0AB19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19" w:type="dxa"/>
            <w:vMerge w:val="continue"/>
            <w:tcBorders>
              <w:top w:val="nil"/>
              <w:left w:val="single" w:color="000000" w:sz="10" w:space="0"/>
              <w:bottom w:val="nil"/>
            </w:tcBorders>
            <w:vAlign w:val="top"/>
          </w:tcPr>
          <w:p w14:paraId="39282DC8">
            <w:pPr>
              <w:rPr>
                <w:rFonts w:ascii="Arial"/>
                <w:sz w:val="21"/>
              </w:rPr>
            </w:pPr>
          </w:p>
        </w:tc>
        <w:tc>
          <w:tcPr>
            <w:tcW w:w="1503" w:type="dxa"/>
            <w:vMerge w:val="continue"/>
            <w:tcBorders>
              <w:top w:val="nil"/>
              <w:bottom w:val="nil"/>
            </w:tcBorders>
            <w:vAlign w:val="top"/>
          </w:tcPr>
          <w:p w14:paraId="4009DC53">
            <w:pPr>
              <w:rPr>
                <w:rFonts w:ascii="Arial"/>
                <w:sz w:val="21"/>
              </w:rPr>
            </w:pPr>
          </w:p>
        </w:tc>
        <w:tc>
          <w:tcPr>
            <w:tcW w:w="1187" w:type="dxa"/>
            <w:vAlign w:val="top"/>
          </w:tcPr>
          <w:p w14:paraId="7B32D00D">
            <w:pPr>
              <w:pStyle w:val="6"/>
              <w:spacing w:before="220" w:line="228" w:lineRule="auto"/>
              <w:ind w:left="111"/>
            </w:pPr>
            <w:r>
              <w:rPr>
                <w:spacing w:val="3"/>
              </w:rPr>
              <w:t>项目</w:t>
            </w:r>
          </w:p>
        </w:tc>
        <w:tc>
          <w:tcPr>
            <w:tcW w:w="1611" w:type="dxa"/>
            <w:vAlign w:val="top"/>
          </w:tcPr>
          <w:p w14:paraId="42915245">
            <w:pPr>
              <w:pStyle w:val="6"/>
              <w:spacing w:before="63" w:line="256" w:lineRule="auto"/>
              <w:ind w:left="111" w:right="244" w:firstLine="36"/>
            </w:pPr>
            <w:r>
              <w:rPr>
                <w:spacing w:val="2"/>
              </w:rPr>
              <w:t>日最高排放浓</w:t>
            </w:r>
            <w:r>
              <w:rPr>
                <w:spacing w:val="6"/>
              </w:rPr>
              <w:t>度（</w:t>
            </w:r>
            <w:r>
              <w:rPr>
                <w:rFonts w:ascii="Times New Roman" w:hAnsi="Times New Roman" w:eastAsia="Times New Roman" w:cs="Times New Roman"/>
              </w:rPr>
              <w:t>mg</w:t>
            </w:r>
            <w:r>
              <w:rPr>
                <w:rFonts w:ascii="Times New Roman" w:hAnsi="Times New Roman" w:eastAsia="Times New Roman" w:cs="Times New Roman"/>
                <w:spacing w:val="6"/>
              </w:rPr>
              <w:t>/L</w:t>
            </w:r>
            <w:r>
              <w:rPr>
                <w:spacing w:val="6"/>
              </w:rPr>
              <w:t>）</w:t>
            </w:r>
          </w:p>
        </w:tc>
        <w:tc>
          <w:tcPr>
            <w:tcW w:w="1848" w:type="dxa"/>
            <w:vAlign w:val="top"/>
          </w:tcPr>
          <w:p w14:paraId="0FA0E890">
            <w:pPr>
              <w:pStyle w:val="6"/>
              <w:spacing w:before="63" w:line="256" w:lineRule="auto"/>
              <w:ind w:left="126" w:right="266" w:hanging="5"/>
            </w:pPr>
            <w:r>
              <w:rPr>
                <w:spacing w:val="7"/>
              </w:rPr>
              <w:t>月平均排放浓度</w:t>
            </w:r>
            <w:r>
              <w:rPr>
                <w:spacing w:val="2"/>
              </w:rPr>
              <w:t>（</w:t>
            </w:r>
            <w:r>
              <w:rPr>
                <w:rFonts w:ascii="Times New Roman" w:hAnsi="Times New Roman" w:eastAsia="Times New Roman" w:cs="Times New Roman"/>
              </w:rPr>
              <w:t>mg</w:t>
            </w:r>
            <w:r>
              <w:rPr>
                <w:rFonts w:ascii="Times New Roman" w:hAnsi="Times New Roman" w:eastAsia="Times New Roman" w:cs="Times New Roman"/>
                <w:spacing w:val="2"/>
              </w:rPr>
              <w:t>/L</w:t>
            </w:r>
            <w:r>
              <w:rPr>
                <w:spacing w:val="2"/>
              </w:rPr>
              <w:t>）</w:t>
            </w:r>
          </w:p>
        </w:tc>
        <w:tc>
          <w:tcPr>
            <w:tcW w:w="1655" w:type="dxa"/>
            <w:tcBorders>
              <w:right w:val="single" w:color="000000" w:sz="10" w:space="0"/>
            </w:tcBorders>
            <w:vAlign w:val="top"/>
          </w:tcPr>
          <w:p w14:paraId="2643A289">
            <w:pPr>
              <w:pStyle w:val="6"/>
              <w:spacing w:before="63" w:line="256" w:lineRule="auto"/>
              <w:ind w:left="130" w:right="269" w:hanging="7"/>
            </w:pPr>
            <w:r>
              <w:rPr>
                <w:spacing w:val="7"/>
              </w:rPr>
              <w:t>最大年排放量</w:t>
            </w:r>
            <w:r>
              <w:t>（</w:t>
            </w:r>
            <w:r>
              <w:rPr>
                <w:rFonts w:ascii="Times New Roman" w:hAnsi="Times New Roman" w:eastAsia="Times New Roman" w:cs="Times New Roman"/>
              </w:rPr>
              <w:t>t/a</w:t>
            </w:r>
            <w:r>
              <w:t>）</w:t>
            </w:r>
          </w:p>
        </w:tc>
      </w:tr>
      <w:tr w14:paraId="29CD5C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19" w:type="dxa"/>
            <w:vMerge w:val="continue"/>
            <w:tcBorders>
              <w:top w:val="nil"/>
              <w:left w:val="single" w:color="000000" w:sz="10" w:space="0"/>
              <w:bottom w:val="nil"/>
            </w:tcBorders>
            <w:vAlign w:val="top"/>
          </w:tcPr>
          <w:p w14:paraId="48B64B8F">
            <w:pPr>
              <w:rPr>
                <w:rFonts w:ascii="Arial"/>
                <w:sz w:val="21"/>
              </w:rPr>
            </w:pPr>
          </w:p>
        </w:tc>
        <w:tc>
          <w:tcPr>
            <w:tcW w:w="1503" w:type="dxa"/>
            <w:vMerge w:val="continue"/>
            <w:tcBorders>
              <w:top w:val="nil"/>
              <w:bottom w:val="nil"/>
            </w:tcBorders>
            <w:vAlign w:val="top"/>
          </w:tcPr>
          <w:p w14:paraId="2543845E">
            <w:pPr>
              <w:rPr>
                <w:rFonts w:ascii="Arial"/>
                <w:sz w:val="21"/>
              </w:rPr>
            </w:pPr>
          </w:p>
        </w:tc>
        <w:tc>
          <w:tcPr>
            <w:tcW w:w="1187" w:type="dxa"/>
            <w:vAlign w:val="top"/>
          </w:tcPr>
          <w:p w14:paraId="54F20322">
            <w:pPr>
              <w:spacing w:before="129"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611" w:type="dxa"/>
            <w:vAlign w:val="top"/>
          </w:tcPr>
          <w:p w14:paraId="461D8283">
            <w:pPr>
              <w:spacing w:before="129" w:line="195" w:lineRule="auto"/>
              <w:ind w:left="70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848" w:type="dxa"/>
            <w:vAlign w:val="top"/>
          </w:tcPr>
          <w:p w14:paraId="126B247C">
            <w:pPr>
              <w:spacing w:before="125" w:line="199" w:lineRule="auto"/>
              <w:ind w:left="8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55" w:type="dxa"/>
            <w:tcBorders>
              <w:right w:val="single" w:color="000000" w:sz="10" w:space="0"/>
            </w:tcBorders>
            <w:vAlign w:val="top"/>
          </w:tcPr>
          <w:p w14:paraId="2845E58B">
            <w:pPr>
              <w:spacing w:before="129"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273.75</w:t>
            </w:r>
          </w:p>
        </w:tc>
      </w:tr>
      <w:tr w14:paraId="18F278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19" w:type="dxa"/>
            <w:vMerge w:val="continue"/>
            <w:tcBorders>
              <w:top w:val="nil"/>
              <w:left w:val="single" w:color="000000" w:sz="10" w:space="0"/>
              <w:bottom w:val="nil"/>
            </w:tcBorders>
            <w:vAlign w:val="top"/>
          </w:tcPr>
          <w:p w14:paraId="4FE1F260">
            <w:pPr>
              <w:rPr>
                <w:rFonts w:ascii="Arial"/>
                <w:sz w:val="21"/>
              </w:rPr>
            </w:pPr>
          </w:p>
        </w:tc>
        <w:tc>
          <w:tcPr>
            <w:tcW w:w="1503" w:type="dxa"/>
            <w:vMerge w:val="continue"/>
            <w:tcBorders>
              <w:top w:val="nil"/>
              <w:bottom w:val="nil"/>
            </w:tcBorders>
            <w:vAlign w:val="top"/>
          </w:tcPr>
          <w:p w14:paraId="7C9C36C0">
            <w:pPr>
              <w:rPr>
                <w:rFonts w:ascii="Arial"/>
                <w:sz w:val="21"/>
              </w:rPr>
            </w:pPr>
          </w:p>
        </w:tc>
        <w:tc>
          <w:tcPr>
            <w:tcW w:w="1187" w:type="dxa"/>
            <w:vAlign w:val="top"/>
          </w:tcPr>
          <w:p w14:paraId="28829E12">
            <w:pPr>
              <w:spacing w:before="130" w:line="202" w:lineRule="auto"/>
              <w:ind w:left="334"/>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1611" w:type="dxa"/>
            <w:vAlign w:val="top"/>
          </w:tcPr>
          <w:p w14:paraId="79B97BA6">
            <w:pPr>
              <w:spacing w:before="130" w:line="195" w:lineRule="auto"/>
              <w:ind w:left="72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848" w:type="dxa"/>
            <w:vAlign w:val="top"/>
          </w:tcPr>
          <w:p w14:paraId="3328B6D7">
            <w:pPr>
              <w:spacing w:before="126" w:line="199" w:lineRule="auto"/>
              <w:ind w:left="8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55" w:type="dxa"/>
            <w:tcBorders>
              <w:right w:val="single" w:color="000000" w:sz="10" w:space="0"/>
            </w:tcBorders>
            <w:vAlign w:val="top"/>
          </w:tcPr>
          <w:p w14:paraId="57BE6675">
            <w:pPr>
              <w:spacing w:before="130"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54.75</w:t>
            </w:r>
          </w:p>
        </w:tc>
      </w:tr>
      <w:tr w14:paraId="37B03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19" w:type="dxa"/>
            <w:vMerge w:val="continue"/>
            <w:tcBorders>
              <w:top w:val="nil"/>
              <w:left w:val="single" w:color="000000" w:sz="10" w:space="0"/>
              <w:bottom w:val="nil"/>
            </w:tcBorders>
            <w:vAlign w:val="top"/>
          </w:tcPr>
          <w:p w14:paraId="1CC9E36B">
            <w:pPr>
              <w:rPr>
                <w:rFonts w:ascii="Arial"/>
                <w:sz w:val="21"/>
              </w:rPr>
            </w:pPr>
          </w:p>
        </w:tc>
        <w:tc>
          <w:tcPr>
            <w:tcW w:w="1503" w:type="dxa"/>
            <w:vMerge w:val="continue"/>
            <w:tcBorders>
              <w:top w:val="nil"/>
              <w:bottom w:val="nil"/>
            </w:tcBorders>
            <w:vAlign w:val="top"/>
          </w:tcPr>
          <w:p w14:paraId="17E73BA4">
            <w:pPr>
              <w:rPr>
                <w:rFonts w:ascii="Arial"/>
                <w:sz w:val="21"/>
              </w:rPr>
            </w:pPr>
          </w:p>
        </w:tc>
        <w:tc>
          <w:tcPr>
            <w:tcW w:w="1187" w:type="dxa"/>
            <w:vAlign w:val="top"/>
          </w:tcPr>
          <w:p w14:paraId="5B430D38">
            <w:pPr>
              <w:spacing w:before="131" w:line="195" w:lineRule="auto"/>
              <w:ind w:left="4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611" w:type="dxa"/>
            <w:vAlign w:val="top"/>
          </w:tcPr>
          <w:p w14:paraId="77E1BED6">
            <w:pPr>
              <w:spacing w:before="131" w:line="195" w:lineRule="auto"/>
              <w:ind w:left="72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848" w:type="dxa"/>
            <w:vAlign w:val="top"/>
          </w:tcPr>
          <w:p w14:paraId="6C72344F">
            <w:pPr>
              <w:spacing w:before="127" w:line="199" w:lineRule="auto"/>
              <w:ind w:left="8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55" w:type="dxa"/>
            <w:tcBorders>
              <w:right w:val="single" w:color="000000" w:sz="10" w:space="0"/>
            </w:tcBorders>
            <w:vAlign w:val="top"/>
          </w:tcPr>
          <w:p w14:paraId="7E52B8B7">
            <w:pPr>
              <w:spacing w:before="131"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54.75</w:t>
            </w:r>
          </w:p>
        </w:tc>
      </w:tr>
      <w:tr w14:paraId="6A53C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19" w:type="dxa"/>
            <w:vMerge w:val="continue"/>
            <w:tcBorders>
              <w:top w:val="nil"/>
              <w:left w:val="single" w:color="000000" w:sz="10" w:space="0"/>
              <w:bottom w:val="nil"/>
            </w:tcBorders>
            <w:vAlign w:val="top"/>
          </w:tcPr>
          <w:p w14:paraId="21733049">
            <w:pPr>
              <w:rPr>
                <w:rFonts w:ascii="Arial"/>
                <w:sz w:val="21"/>
              </w:rPr>
            </w:pPr>
          </w:p>
        </w:tc>
        <w:tc>
          <w:tcPr>
            <w:tcW w:w="1503" w:type="dxa"/>
            <w:vMerge w:val="continue"/>
            <w:tcBorders>
              <w:top w:val="nil"/>
              <w:bottom w:val="nil"/>
            </w:tcBorders>
            <w:vAlign w:val="top"/>
          </w:tcPr>
          <w:p w14:paraId="1FA14045">
            <w:pPr>
              <w:rPr>
                <w:rFonts w:ascii="Arial"/>
                <w:sz w:val="21"/>
              </w:rPr>
            </w:pPr>
          </w:p>
        </w:tc>
        <w:tc>
          <w:tcPr>
            <w:tcW w:w="1187" w:type="dxa"/>
            <w:vAlign w:val="top"/>
          </w:tcPr>
          <w:p w14:paraId="7D28A0FB">
            <w:pPr>
              <w:spacing w:before="139" w:line="205" w:lineRule="auto"/>
              <w:ind w:left="302"/>
              <w:rPr>
                <w:rFonts w:ascii="Times New Roman" w:hAnsi="Times New Roman" w:eastAsia="Times New Roman" w:cs="Times New Roman"/>
                <w:sz w:val="19"/>
                <w:szCs w:val="19"/>
              </w:rPr>
            </w:pPr>
            <w:r>
              <w:rPr>
                <w:rFonts w:ascii="Times New Roman" w:hAnsi="Times New Roman" w:eastAsia="Times New Roman" w:cs="Times New Roman"/>
                <w:sz w:val="19"/>
                <w:szCs w:val="19"/>
              </w:rPr>
              <w:t>NH</w:t>
            </w:r>
            <w:r>
              <w:rPr>
                <w:rFonts w:ascii="Times New Roman" w:hAnsi="Times New Roman" w:eastAsia="Times New Roman" w:cs="Times New Roman"/>
                <w:spacing w:val="9"/>
                <w:sz w:val="12"/>
                <w:szCs w:val="12"/>
              </w:rPr>
              <w:t>3</w:t>
            </w:r>
            <w:r>
              <w:rPr>
                <w:rFonts w:ascii="Times New Roman" w:hAnsi="Times New Roman" w:eastAsia="Times New Roman" w:cs="Times New Roman"/>
                <w:spacing w:val="9"/>
                <w:sz w:val="19"/>
                <w:szCs w:val="19"/>
              </w:rPr>
              <w:t>-N</w:t>
            </w:r>
          </w:p>
        </w:tc>
        <w:tc>
          <w:tcPr>
            <w:tcW w:w="1611" w:type="dxa"/>
            <w:vAlign w:val="top"/>
          </w:tcPr>
          <w:p w14:paraId="5CD35C25">
            <w:pPr>
              <w:spacing w:before="135" w:line="192" w:lineRule="auto"/>
              <w:ind w:left="75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848" w:type="dxa"/>
            <w:vAlign w:val="top"/>
          </w:tcPr>
          <w:p w14:paraId="343D7B94">
            <w:pPr>
              <w:spacing w:before="128" w:line="199" w:lineRule="auto"/>
              <w:ind w:left="8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55" w:type="dxa"/>
            <w:tcBorders>
              <w:right w:val="single" w:color="000000" w:sz="10" w:space="0"/>
            </w:tcBorders>
            <w:vAlign w:val="top"/>
          </w:tcPr>
          <w:p w14:paraId="163F8833">
            <w:pPr>
              <w:spacing w:before="132"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27.375</w:t>
            </w:r>
          </w:p>
        </w:tc>
      </w:tr>
      <w:tr w14:paraId="663D92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19" w:type="dxa"/>
            <w:vMerge w:val="continue"/>
            <w:tcBorders>
              <w:top w:val="nil"/>
              <w:left w:val="single" w:color="000000" w:sz="10" w:space="0"/>
              <w:bottom w:val="nil"/>
            </w:tcBorders>
            <w:vAlign w:val="top"/>
          </w:tcPr>
          <w:p w14:paraId="6EB89C0A">
            <w:pPr>
              <w:rPr>
                <w:rFonts w:ascii="Arial"/>
                <w:sz w:val="21"/>
              </w:rPr>
            </w:pPr>
          </w:p>
        </w:tc>
        <w:tc>
          <w:tcPr>
            <w:tcW w:w="1503" w:type="dxa"/>
            <w:vMerge w:val="continue"/>
            <w:tcBorders>
              <w:top w:val="nil"/>
              <w:bottom w:val="nil"/>
            </w:tcBorders>
            <w:vAlign w:val="top"/>
          </w:tcPr>
          <w:p w14:paraId="7C7A0BBE">
            <w:pPr>
              <w:rPr>
                <w:rFonts w:ascii="Arial"/>
                <w:sz w:val="21"/>
              </w:rPr>
            </w:pPr>
          </w:p>
        </w:tc>
        <w:tc>
          <w:tcPr>
            <w:tcW w:w="1187" w:type="dxa"/>
            <w:vAlign w:val="top"/>
          </w:tcPr>
          <w:p w14:paraId="3149974A">
            <w:pPr>
              <w:spacing w:before="136" w:line="192"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TN</w:t>
            </w:r>
          </w:p>
        </w:tc>
        <w:tc>
          <w:tcPr>
            <w:tcW w:w="1611" w:type="dxa"/>
            <w:vAlign w:val="top"/>
          </w:tcPr>
          <w:p w14:paraId="7D3A6385">
            <w:pPr>
              <w:spacing w:before="133" w:line="195" w:lineRule="auto"/>
              <w:ind w:left="72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848" w:type="dxa"/>
            <w:vAlign w:val="top"/>
          </w:tcPr>
          <w:p w14:paraId="4BAAD740">
            <w:pPr>
              <w:spacing w:before="130" w:line="199" w:lineRule="auto"/>
              <w:ind w:left="8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55" w:type="dxa"/>
            <w:tcBorders>
              <w:right w:val="single" w:color="000000" w:sz="10" w:space="0"/>
            </w:tcBorders>
            <w:vAlign w:val="top"/>
          </w:tcPr>
          <w:p w14:paraId="18229F1B">
            <w:pPr>
              <w:spacing w:before="133" w:line="195" w:lineRule="auto"/>
              <w:ind w:left="5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82.125</w:t>
            </w:r>
          </w:p>
        </w:tc>
      </w:tr>
      <w:tr w14:paraId="65A081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19" w:type="dxa"/>
            <w:vMerge w:val="continue"/>
            <w:tcBorders>
              <w:top w:val="nil"/>
              <w:left w:val="single" w:color="000000" w:sz="10" w:space="0"/>
              <w:bottom w:val="nil"/>
            </w:tcBorders>
            <w:vAlign w:val="top"/>
          </w:tcPr>
          <w:p w14:paraId="383227D3">
            <w:pPr>
              <w:rPr>
                <w:rFonts w:ascii="Arial"/>
                <w:sz w:val="21"/>
              </w:rPr>
            </w:pPr>
          </w:p>
        </w:tc>
        <w:tc>
          <w:tcPr>
            <w:tcW w:w="1503" w:type="dxa"/>
            <w:vMerge w:val="continue"/>
            <w:tcBorders>
              <w:top w:val="nil"/>
              <w:bottom w:val="nil"/>
            </w:tcBorders>
            <w:vAlign w:val="top"/>
          </w:tcPr>
          <w:p w14:paraId="7620285F">
            <w:pPr>
              <w:rPr>
                <w:rFonts w:ascii="Arial"/>
                <w:sz w:val="21"/>
              </w:rPr>
            </w:pPr>
          </w:p>
        </w:tc>
        <w:tc>
          <w:tcPr>
            <w:tcW w:w="1187" w:type="dxa"/>
            <w:vAlign w:val="top"/>
          </w:tcPr>
          <w:p w14:paraId="1F376223">
            <w:pPr>
              <w:spacing w:before="138" w:line="192"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TP</w:t>
            </w:r>
          </w:p>
        </w:tc>
        <w:tc>
          <w:tcPr>
            <w:tcW w:w="1611" w:type="dxa"/>
            <w:vAlign w:val="top"/>
          </w:tcPr>
          <w:p w14:paraId="5C077447">
            <w:pPr>
              <w:spacing w:before="135" w:line="195" w:lineRule="auto"/>
              <w:ind w:left="6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848" w:type="dxa"/>
            <w:vAlign w:val="top"/>
          </w:tcPr>
          <w:p w14:paraId="5B98E0C6">
            <w:pPr>
              <w:spacing w:before="131" w:line="199" w:lineRule="auto"/>
              <w:ind w:left="8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55" w:type="dxa"/>
            <w:tcBorders>
              <w:right w:val="single" w:color="000000" w:sz="10" w:space="0"/>
            </w:tcBorders>
            <w:vAlign w:val="top"/>
          </w:tcPr>
          <w:p w14:paraId="3D252475">
            <w:pPr>
              <w:spacing w:before="135"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2.7375</w:t>
            </w:r>
          </w:p>
        </w:tc>
      </w:tr>
      <w:tr w14:paraId="112194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919" w:type="dxa"/>
            <w:vMerge w:val="continue"/>
            <w:tcBorders>
              <w:top w:val="nil"/>
              <w:left w:val="single" w:color="000000" w:sz="10" w:space="0"/>
              <w:bottom w:val="nil"/>
            </w:tcBorders>
            <w:vAlign w:val="top"/>
          </w:tcPr>
          <w:p w14:paraId="4AC22DFE">
            <w:pPr>
              <w:rPr>
                <w:rFonts w:ascii="Arial"/>
                <w:sz w:val="21"/>
              </w:rPr>
            </w:pPr>
          </w:p>
        </w:tc>
        <w:tc>
          <w:tcPr>
            <w:tcW w:w="1503" w:type="dxa"/>
            <w:vMerge w:val="continue"/>
            <w:tcBorders>
              <w:top w:val="nil"/>
              <w:bottom w:val="nil"/>
            </w:tcBorders>
            <w:vAlign w:val="top"/>
          </w:tcPr>
          <w:p w14:paraId="5D7866F6">
            <w:pPr>
              <w:rPr>
                <w:rFonts w:ascii="Arial"/>
                <w:sz w:val="21"/>
              </w:rPr>
            </w:pPr>
          </w:p>
        </w:tc>
        <w:tc>
          <w:tcPr>
            <w:tcW w:w="6301" w:type="dxa"/>
            <w:gridSpan w:val="4"/>
            <w:tcBorders>
              <w:right w:val="single" w:color="000000" w:sz="10" w:space="0"/>
            </w:tcBorders>
            <w:vAlign w:val="top"/>
          </w:tcPr>
          <w:p w14:paraId="64984B6C">
            <w:pPr>
              <w:pStyle w:val="6"/>
              <w:spacing w:before="98" w:line="228" w:lineRule="auto"/>
              <w:ind w:left="2837"/>
            </w:pPr>
            <w:r>
              <w:rPr>
                <w:spacing w:val="6"/>
              </w:rPr>
              <w:t>扩建后</w:t>
            </w:r>
          </w:p>
        </w:tc>
      </w:tr>
      <w:tr w14:paraId="0FE4B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19" w:type="dxa"/>
            <w:vMerge w:val="continue"/>
            <w:tcBorders>
              <w:top w:val="nil"/>
              <w:left w:val="single" w:color="000000" w:sz="10" w:space="0"/>
              <w:bottom w:val="nil"/>
            </w:tcBorders>
            <w:vAlign w:val="top"/>
          </w:tcPr>
          <w:p w14:paraId="4C0C9BC1">
            <w:pPr>
              <w:rPr>
                <w:rFonts w:ascii="Arial"/>
                <w:sz w:val="21"/>
              </w:rPr>
            </w:pPr>
          </w:p>
        </w:tc>
        <w:tc>
          <w:tcPr>
            <w:tcW w:w="1503" w:type="dxa"/>
            <w:vMerge w:val="continue"/>
            <w:tcBorders>
              <w:top w:val="nil"/>
              <w:bottom w:val="nil"/>
            </w:tcBorders>
            <w:vAlign w:val="top"/>
          </w:tcPr>
          <w:p w14:paraId="079C90A9">
            <w:pPr>
              <w:rPr>
                <w:rFonts w:ascii="Arial"/>
                <w:sz w:val="21"/>
              </w:rPr>
            </w:pPr>
          </w:p>
        </w:tc>
        <w:tc>
          <w:tcPr>
            <w:tcW w:w="1187" w:type="dxa"/>
            <w:vAlign w:val="top"/>
          </w:tcPr>
          <w:p w14:paraId="2D0126DA">
            <w:pPr>
              <w:spacing w:before="134"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611" w:type="dxa"/>
            <w:vAlign w:val="top"/>
          </w:tcPr>
          <w:p w14:paraId="6A472367">
            <w:pPr>
              <w:spacing w:before="134" w:line="195" w:lineRule="auto"/>
              <w:ind w:left="70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848" w:type="dxa"/>
            <w:vAlign w:val="top"/>
          </w:tcPr>
          <w:p w14:paraId="78AF5973">
            <w:pPr>
              <w:spacing w:before="130" w:line="199" w:lineRule="auto"/>
              <w:ind w:left="8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55" w:type="dxa"/>
            <w:tcBorders>
              <w:right w:val="single" w:color="000000" w:sz="10" w:space="0"/>
            </w:tcBorders>
            <w:vAlign w:val="top"/>
          </w:tcPr>
          <w:p w14:paraId="67DD1F90">
            <w:pPr>
              <w:spacing w:before="134"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547.5</w:t>
            </w:r>
          </w:p>
        </w:tc>
      </w:tr>
      <w:tr w14:paraId="248C2F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19" w:type="dxa"/>
            <w:vMerge w:val="continue"/>
            <w:tcBorders>
              <w:top w:val="nil"/>
              <w:left w:val="single" w:color="000000" w:sz="10" w:space="0"/>
              <w:bottom w:val="nil"/>
            </w:tcBorders>
            <w:vAlign w:val="top"/>
          </w:tcPr>
          <w:p w14:paraId="489350BC">
            <w:pPr>
              <w:rPr>
                <w:rFonts w:ascii="Arial"/>
                <w:sz w:val="21"/>
              </w:rPr>
            </w:pPr>
          </w:p>
        </w:tc>
        <w:tc>
          <w:tcPr>
            <w:tcW w:w="1503" w:type="dxa"/>
            <w:vMerge w:val="continue"/>
            <w:tcBorders>
              <w:top w:val="nil"/>
              <w:bottom w:val="nil"/>
            </w:tcBorders>
            <w:vAlign w:val="top"/>
          </w:tcPr>
          <w:p w14:paraId="1A7723CF">
            <w:pPr>
              <w:rPr>
                <w:rFonts w:ascii="Arial"/>
                <w:sz w:val="21"/>
              </w:rPr>
            </w:pPr>
          </w:p>
        </w:tc>
        <w:tc>
          <w:tcPr>
            <w:tcW w:w="1187" w:type="dxa"/>
            <w:vAlign w:val="top"/>
          </w:tcPr>
          <w:p w14:paraId="0F63188C">
            <w:pPr>
              <w:spacing w:before="135" w:line="202" w:lineRule="auto"/>
              <w:ind w:left="334"/>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1611" w:type="dxa"/>
            <w:vAlign w:val="top"/>
          </w:tcPr>
          <w:p w14:paraId="7360E6BD">
            <w:pPr>
              <w:spacing w:before="135" w:line="195" w:lineRule="auto"/>
              <w:ind w:left="72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848" w:type="dxa"/>
            <w:vAlign w:val="top"/>
          </w:tcPr>
          <w:p w14:paraId="6A5E34F7">
            <w:pPr>
              <w:spacing w:before="131" w:line="199" w:lineRule="auto"/>
              <w:ind w:left="8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55" w:type="dxa"/>
            <w:tcBorders>
              <w:right w:val="single" w:color="000000" w:sz="10" w:space="0"/>
            </w:tcBorders>
            <w:vAlign w:val="top"/>
          </w:tcPr>
          <w:p w14:paraId="7E68D042">
            <w:pPr>
              <w:spacing w:before="135" w:line="195" w:lineRule="auto"/>
              <w:ind w:left="61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109.5</w:t>
            </w:r>
          </w:p>
        </w:tc>
      </w:tr>
      <w:tr w14:paraId="3A312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19" w:type="dxa"/>
            <w:vMerge w:val="continue"/>
            <w:tcBorders>
              <w:top w:val="nil"/>
              <w:left w:val="single" w:color="000000" w:sz="10" w:space="0"/>
              <w:bottom w:val="nil"/>
            </w:tcBorders>
            <w:vAlign w:val="top"/>
          </w:tcPr>
          <w:p w14:paraId="4345F2C7">
            <w:pPr>
              <w:rPr>
                <w:rFonts w:ascii="Arial"/>
                <w:sz w:val="21"/>
              </w:rPr>
            </w:pPr>
          </w:p>
        </w:tc>
        <w:tc>
          <w:tcPr>
            <w:tcW w:w="1503" w:type="dxa"/>
            <w:vMerge w:val="continue"/>
            <w:tcBorders>
              <w:top w:val="nil"/>
              <w:bottom w:val="nil"/>
            </w:tcBorders>
            <w:vAlign w:val="top"/>
          </w:tcPr>
          <w:p w14:paraId="64386E24">
            <w:pPr>
              <w:rPr>
                <w:rFonts w:ascii="Arial"/>
                <w:sz w:val="21"/>
              </w:rPr>
            </w:pPr>
          </w:p>
        </w:tc>
        <w:tc>
          <w:tcPr>
            <w:tcW w:w="1187" w:type="dxa"/>
            <w:vAlign w:val="top"/>
          </w:tcPr>
          <w:p w14:paraId="1124BACC">
            <w:pPr>
              <w:spacing w:before="136" w:line="195" w:lineRule="auto"/>
              <w:ind w:left="4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611" w:type="dxa"/>
            <w:vAlign w:val="top"/>
          </w:tcPr>
          <w:p w14:paraId="1DC2F13C">
            <w:pPr>
              <w:spacing w:before="136" w:line="195" w:lineRule="auto"/>
              <w:ind w:left="72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848" w:type="dxa"/>
            <w:vAlign w:val="top"/>
          </w:tcPr>
          <w:p w14:paraId="06D731D5">
            <w:pPr>
              <w:spacing w:before="132" w:line="199" w:lineRule="auto"/>
              <w:ind w:left="8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55" w:type="dxa"/>
            <w:tcBorders>
              <w:right w:val="single" w:color="000000" w:sz="10" w:space="0"/>
            </w:tcBorders>
            <w:vAlign w:val="top"/>
          </w:tcPr>
          <w:p w14:paraId="25C60089">
            <w:pPr>
              <w:spacing w:before="136" w:line="195" w:lineRule="auto"/>
              <w:ind w:left="61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109.5</w:t>
            </w:r>
          </w:p>
        </w:tc>
      </w:tr>
      <w:tr w14:paraId="4CF5EA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919" w:type="dxa"/>
            <w:vMerge w:val="continue"/>
            <w:tcBorders>
              <w:top w:val="nil"/>
              <w:left w:val="single" w:color="000000" w:sz="10" w:space="0"/>
              <w:bottom w:val="nil"/>
            </w:tcBorders>
            <w:vAlign w:val="top"/>
          </w:tcPr>
          <w:p w14:paraId="4F860404">
            <w:pPr>
              <w:rPr>
                <w:rFonts w:ascii="Arial"/>
                <w:sz w:val="21"/>
              </w:rPr>
            </w:pPr>
          </w:p>
        </w:tc>
        <w:tc>
          <w:tcPr>
            <w:tcW w:w="1503" w:type="dxa"/>
            <w:vMerge w:val="continue"/>
            <w:tcBorders>
              <w:top w:val="nil"/>
              <w:bottom w:val="nil"/>
            </w:tcBorders>
            <w:vAlign w:val="top"/>
          </w:tcPr>
          <w:p w14:paraId="68676510">
            <w:pPr>
              <w:rPr>
                <w:rFonts w:ascii="Arial"/>
                <w:sz w:val="21"/>
              </w:rPr>
            </w:pPr>
          </w:p>
        </w:tc>
        <w:tc>
          <w:tcPr>
            <w:tcW w:w="1187" w:type="dxa"/>
            <w:vAlign w:val="top"/>
          </w:tcPr>
          <w:p w14:paraId="03B2C9CD">
            <w:pPr>
              <w:spacing w:before="145" w:line="207" w:lineRule="auto"/>
              <w:ind w:left="302"/>
              <w:rPr>
                <w:rFonts w:ascii="Times New Roman" w:hAnsi="Times New Roman" w:eastAsia="Times New Roman" w:cs="Times New Roman"/>
                <w:sz w:val="19"/>
                <w:szCs w:val="19"/>
              </w:rPr>
            </w:pPr>
            <w:r>
              <w:rPr>
                <w:rFonts w:ascii="Times New Roman" w:hAnsi="Times New Roman" w:eastAsia="Times New Roman" w:cs="Times New Roman"/>
                <w:sz w:val="19"/>
                <w:szCs w:val="19"/>
              </w:rPr>
              <w:t>NH</w:t>
            </w:r>
            <w:r>
              <w:rPr>
                <w:rFonts w:ascii="Times New Roman" w:hAnsi="Times New Roman" w:eastAsia="Times New Roman" w:cs="Times New Roman"/>
                <w:spacing w:val="9"/>
                <w:sz w:val="12"/>
                <w:szCs w:val="12"/>
              </w:rPr>
              <w:t>3</w:t>
            </w:r>
            <w:r>
              <w:rPr>
                <w:rFonts w:ascii="Times New Roman" w:hAnsi="Times New Roman" w:eastAsia="Times New Roman" w:cs="Times New Roman"/>
                <w:spacing w:val="9"/>
                <w:sz w:val="19"/>
                <w:szCs w:val="19"/>
              </w:rPr>
              <w:t>-N</w:t>
            </w:r>
          </w:p>
        </w:tc>
        <w:tc>
          <w:tcPr>
            <w:tcW w:w="1611" w:type="dxa"/>
            <w:vAlign w:val="top"/>
          </w:tcPr>
          <w:p w14:paraId="78DC3C52">
            <w:pPr>
              <w:spacing w:before="140" w:line="192" w:lineRule="auto"/>
              <w:ind w:left="75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848" w:type="dxa"/>
            <w:vAlign w:val="top"/>
          </w:tcPr>
          <w:p w14:paraId="76C5DCB2">
            <w:pPr>
              <w:spacing w:before="133" w:line="199" w:lineRule="auto"/>
              <w:ind w:left="8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55" w:type="dxa"/>
            <w:tcBorders>
              <w:right w:val="single" w:color="000000" w:sz="10" w:space="0"/>
            </w:tcBorders>
            <w:vAlign w:val="top"/>
          </w:tcPr>
          <w:p w14:paraId="4FD51C91">
            <w:pPr>
              <w:spacing w:before="137"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54.75</w:t>
            </w:r>
          </w:p>
        </w:tc>
      </w:tr>
      <w:tr w14:paraId="69971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19" w:type="dxa"/>
            <w:vMerge w:val="continue"/>
            <w:tcBorders>
              <w:top w:val="nil"/>
              <w:left w:val="single" w:color="000000" w:sz="10" w:space="0"/>
              <w:bottom w:val="nil"/>
            </w:tcBorders>
            <w:vAlign w:val="top"/>
          </w:tcPr>
          <w:p w14:paraId="6D29C098">
            <w:pPr>
              <w:rPr>
                <w:rFonts w:ascii="Arial"/>
                <w:sz w:val="21"/>
              </w:rPr>
            </w:pPr>
          </w:p>
        </w:tc>
        <w:tc>
          <w:tcPr>
            <w:tcW w:w="1503" w:type="dxa"/>
            <w:vMerge w:val="continue"/>
            <w:tcBorders>
              <w:top w:val="nil"/>
              <w:bottom w:val="nil"/>
            </w:tcBorders>
            <w:vAlign w:val="top"/>
          </w:tcPr>
          <w:p w14:paraId="0DBE610B">
            <w:pPr>
              <w:rPr>
                <w:rFonts w:ascii="Arial"/>
                <w:sz w:val="21"/>
              </w:rPr>
            </w:pPr>
          </w:p>
        </w:tc>
        <w:tc>
          <w:tcPr>
            <w:tcW w:w="1187" w:type="dxa"/>
            <w:vAlign w:val="top"/>
          </w:tcPr>
          <w:p w14:paraId="560B74A3">
            <w:pPr>
              <w:spacing w:before="140" w:line="192"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TN</w:t>
            </w:r>
          </w:p>
        </w:tc>
        <w:tc>
          <w:tcPr>
            <w:tcW w:w="1611" w:type="dxa"/>
            <w:vAlign w:val="top"/>
          </w:tcPr>
          <w:p w14:paraId="55EC52E6">
            <w:pPr>
              <w:spacing w:before="137" w:line="195" w:lineRule="auto"/>
              <w:ind w:left="72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848" w:type="dxa"/>
            <w:vAlign w:val="top"/>
          </w:tcPr>
          <w:p w14:paraId="517F3142">
            <w:pPr>
              <w:spacing w:before="134" w:line="199" w:lineRule="auto"/>
              <w:ind w:left="8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55" w:type="dxa"/>
            <w:tcBorders>
              <w:right w:val="single" w:color="000000" w:sz="10" w:space="0"/>
            </w:tcBorders>
            <w:vAlign w:val="top"/>
          </w:tcPr>
          <w:p w14:paraId="076EF80E">
            <w:pPr>
              <w:spacing w:before="137" w:line="195" w:lineRule="auto"/>
              <w:ind w:left="564"/>
              <w:rPr>
                <w:rFonts w:ascii="Times New Roman" w:hAnsi="Times New Roman" w:eastAsia="Times New Roman" w:cs="Times New Roman"/>
                <w:sz w:val="20"/>
                <w:szCs w:val="20"/>
              </w:rPr>
            </w:pPr>
            <w:r>
              <w:rPr>
                <w:rFonts w:ascii="Times New Roman" w:hAnsi="Times New Roman" w:eastAsia="Times New Roman" w:cs="Times New Roman"/>
                <w:sz w:val="20"/>
                <w:szCs w:val="20"/>
              </w:rPr>
              <w:t>164.25</w:t>
            </w:r>
          </w:p>
        </w:tc>
      </w:tr>
      <w:tr w14:paraId="08B40F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919" w:type="dxa"/>
            <w:vMerge w:val="continue"/>
            <w:tcBorders>
              <w:top w:val="nil"/>
              <w:left w:val="single" w:color="000000" w:sz="10" w:space="0"/>
              <w:bottom w:val="nil"/>
            </w:tcBorders>
            <w:vAlign w:val="top"/>
          </w:tcPr>
          <w:p w14:paraId="65785203">
            <w:pPr>
              <w:rPr>
                <w:rFonts w:ascii="Arial"/>
                <w:sz w:val="21"/>
              </w:rPr>
            </w:pPr>
          </w:p>
        </w:tc>
        <w:tc>
          <w:tcPr>
            <w:tcW w:w="1503" w:type="dxa"/>
            <w:vMerge w:val="continue"/>
            <w:tcBorders>
              <w:top w:val="nil"/>
            </w:tcBorders>
            <w:vAlign w:val="top"/>
          </w:tcPr>
          <w:p w14:paraId="2D7425FA">
            <w:pPr>
              <w:rPr>
                <w:rFonts w:ascii="Arial"/>
                <w:sz w:val="21"/>
              </w:rPr>
            </w:pPr>
          </w:p>
        </w:tc>
        <w:tc>
          <w:tcPr>
            <w:tcW w:w="1187" w:type="dxa"/>
            <w:vAlign w:val="top"/>
          </w:tcPr>
          <w:p w14:paraId="0D43FDE3">
            <w:pPr>
              <w:spacing w:before="142" w:line="192"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TP</w:t>
            </w:r>
          </w:p>
        </w:tc>
        <w:tc>
          <w:tcPr>
            <w:tcW w:w="1611" w:type="dxa"/>
            <w:vAlign w:val="top"/>
          </w:tcPr>
          <w:p w14:paraId="45B0C5AB">
            <w:pPr>
              <w:spacing w:before="139" w:line="195" w:lineRule="auto"/>
              <w:ind w:left="6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848" w:type="dxa"/>
            <w:vAlign w:val="top"/>
          </w:tcPr>
          <w:p w14:paraId="7203D72E">
            <w:pPr>
              <w:spacing w:before="135" w:line="199" w:lineRule="auto"/>
              <w:ind w:left="8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55" w:type="dxa"/>
            <w:tcBorders>
              <w:right w:val="single" w:color="000000" w:sz="10" w:space="0"/>
            </w:tcBorders>
            <w:vAlign w:val="top"/>
          </w:tcPr>
          <w:p w14:paraId="2AB71A19">
            <w:pPr>
              <w:spacing w:before="139"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5.475</w:t>
            </w:r>
          </w:p>
        </w:tc>
      </w:tr>
      <w:tr w14:paraId="7FFE3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19" w:type="dxa"/>
            <w:vMerge w:val="continue"/>
            <w:tcBorders>
              <w:top w:val="nil"/>
              <w:left w:val="single" w:color="000000" w:sz="10" w:space="0"/>
              <w:bottom w:val="nil"/>
            </w:tcBorders>
            <w:vAlign w:val="top"/>
          </w:tcPr>
          <w:p w14:paraId="2BA41FD1">
            <w:pPr>
              <w:rPr>
                <w:rFonts w:ascii="Arial"/>
                <w:sz w:val="21"/>
              </w:rPr>
            </w:pPr>
          </w:p>
        </w:tc>
        <w:tc>
          <w:tcPr>
            <w:tcW w:w="1503" w:type="dxa"/>
            <w:vAlign w:val="top"/>
          </w:tcPr>
          <w:p w14:paraId="0E63664B">
            <w:pPr>
              <w:pStyle w:val="6"/>
              <w:spacing w:before="74" w:line="251" w:lineRule="auto"/>
              <w:ind w:left="104" w:right="144"/>
            </w:pPr>
            <w:r>
              <w:rPr>
                <w:spacing w:val="8"/>
              </w:rPr>
              <w:t>计量设施安装</w:t>
            </w:r>
            <w:r>
              <w:rPr>
                <w:spacing w:val="4"/>
              </w:rPr>
              <w:t>状况</w:t>
            </w:r>
          </w:p>
        </w:tc>
        <w:tc>
          <w:tcPr>
            <w:tcW w:w="6301" w:type="dxa"/>
            <w:gridSpan w:val="4"/>
            <w:tcBorders>
              <w:right w:val="single" w:color="000000" w:sz="10" w:space="0"/>
            </w:tcBorders>
            <w:vAlign w:val="top"/>
          </w:tcPr>
          <w:p w14:paraId="56D1FE05">
            <w:pPr>
              <w:pStyle w:val="6"/>
              <w:spacing w:before="193" w:line="281" w:lineRule="exact"/>
              <w:ind w:left="110"/>
            </w:pPr>
            <w:r>
              <w:t>污水计量设施(</w:t>
            </w:r>
            <w:r>
              <w:rPr>
                <w:rFonts w:ascii="Times New Roman" w:hAnsi="Times New Roman" w:eastAsia="Times New Roman" w:cs="Times New Roman"/>
              </w:rPr>
              <w:t>√</w:t>
            </w:r>
            <w:r>
              <w:t>)水质在线监测设施(</w:t>
            </w:r>
            <w:r>
              <w:rPr>
                <w:rFonts w:ascii="Times New Roman" w:hAnsi="Times New Roman" w:eastAsia="Times New Roman" w:cs="Times New Roman"/>
              </w:rPr>
              <w:t>√</w:t>
            </w:r>
            <w:r>
              <w:t>)</w:t>
            </w:r>
          </w:p>
        </w:tc>
      </w:tr>
      <w:tr w14:paraId="29DC5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19" w:type="dxa"/>
            <w:vMerge w:val="continue"/>
            <w:tcBorders>
              <w:top w:val="nil"/>
              <w:left w:val="single" w:color="000000" w:sz="10" w:space="0"/>
              <w:bottom w:val="nil"/>
            </w:tcBorders>
            <w:vAlign w:val="top"/>
          </w:tcPr>
          <w:p w14:paraId="07589B7F">
            <w:pPr>
              <w:rPr>
                <w:rFonts w:ascii="Arial"/>
                <w:sz w:val="21"/>
              </w:rPr>
            </w:pPr>
          </w:p>
        </w:tc>
        <w:tc>
          <w:tcPr>
            <w:tcW w:w="1503" w:type="dxa"/>
            <w:vAlign w:val="top"/>
          </w:tcPr>
          <w:p w14:paraId="201EAE2B">
            <w:pPr>
              <w:pStyle w:val="6"/>
              <w:spacing w:before="103" w:line="228" w:lineRule="auto"/>
              <w:ind w:left="106"/>
            </w:pPr>
            <w:r>
              <w:rPr>
                <w:spacing w:val="6"/>
              </w:rPr>
              <w:t>污水性质</w:t>
            </w:r>
          </w:p>
        </w:tc>
        <w:tc>
          <w:tcPr>
            <w:tcW w:w="6301" w:type="dxa"/>
            <w:gridSpan w:val="4"/>
            <w:tcBorders>
              <w:right w:val="single" w:color="000000" w:sz="10" w:space="0"/>
            </w:tcBorders>
            <w:vAlign w:val="top"/>
          </w:tcPr>
          <w:p w14:paraId="6318D4E5">
            <w:pPr>
              <w:pStyle w:val="6"/>
              <w:spacing w:before="66" w:line="281" w:lineRule="exact"/>
              <w:ind w:left="111"/>
            </w:pPr>
            <w:r>
              <w:rPr>
                <w:spacing w:val="-5"/>
              </w:rPr>
              <w:t>工业(</w:t>
            </w:r>
            <w:r>
              <w:rPr>
                <w:rFonts w:ascii="Times New Roman" w:hAnsi="Times New Roman" w:eastAsia="Times New Roman" w:cs="Times New Roman"/>
                <w:spacing w:val="-5"/>
              </w:rPr>
              <w:t>√</w:t>
            </w:r>
            <w:r>
              <w:rPr>
                <w:spacing w:val="-5"/>
              </w:rPr>
              <w:t>)生活</w:t>
            </w:r>
            <w:r>
              <w:rPr>
                <w:spacing w:val="-11"/>
              </w:rPr>
              <w:t>（）</w:t>
            </w:r>
            <w:r>
              <w:rPr>
                <w:spacing w:val="-5"/>
              </w:rPr>
              <w:t>混合</w:t>
            </w:r>
            <w:r>
              <w:rPr>
                <w:spacing w:val="-11"/>
              </w:rPr>
              <w:t>（）</w:t>
            </w:r>
            <w:r>
              <w:rPr>
                <w:spacing w:val="-5"/>
              </w:rPr>
              <w:t>其他()</w:t>
            </w:r>
          </w:p>
        </w:tc>
      </w:tr>
      <w:tr w14:paraId="40B45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919" w:type="dxa"/>
            <w:vMerge w:val="continue"/>
            <w:tcBorders>
              <w:top w:val="nil"/>
              <w:left w:val="single" w:color="000000" w:sz="10" w:space="0"/>
              <w:bottom w:val="nil"/>
            </w:tcBorders>
            <w:vAlign w:val="top"/>
          </w:tcPr>
          <w:p w14:paraId="05948D21">
            <w:pPr>
              <w:rPr>
                <w:rFonts w:ascii="Arial"/>
                <w:sz w:val="21"/>
              </w:rPr>
            </w:pPr>
          </w:p>
        </w:tc>
        <w:tc>
          <w:tcPr>
            <w:tcW w:w="1503" w:type="dxa"/>
            <w:vAlign w:val="top"/>
          </w:tcPr>
          <w:p w14:paraId="0444128F">
            <w:pPr>
              <w:pStyle w:val="6"/>
              <w:spacing w:before="104" w:line="228" w:lineRule="auto"/>
              <w:ind w:left="106"/>
            </w:pPr>
            <w:r>
              <w:rPr>
                <w:spacing w:val="7"/>
              </w:rPr>
              <w:t>污水入河方式</w:t>
            </w:r>
          </w:p>
        </w:tc>
        <w:tc>
          <w:tcPr>
            <w:tcW w:w="6301" w:type="dxa"/>
            <w:gridSpan w:val="4"/>
            <w:tcBorders>
              <w:right w:val="single" w:color="000000" w:sz="10" w:space="0"/>
            </w:tcBorders>
            <w:vAlign w:val="top"/>
          </w:tcPr>
          <w:p w14:paraId="7CAE5D88">
            <w:pPr>
              <w:pStyle w:val="6"/>
              <w:spacing w:before="67" w:line="281" w:lineRule="exact"/>
              <w:ind w:left="113"/>
            </w:pPr>
            <w:r>
              <w:rPr>
                <w:spacing w:val="-3"/>
              </w:rPr>
              <w:t>管道(</w:t>
            </w:r>
            <w:r>
              <w:rPr>
                <w:rFonts w:ascii="Times New Roman" w:hAnsi="Times New Roman" w:eastAsia="Times New Roman" w:cs="Times New Roman"/>
                <w:spacing w:val="-3"/>
              </w:rPr>
              <w:t>√</w:t>
            </w:r>
            <w:r>
              <w:rPr>
                <w:spacing w:val="-3"/>
              </w:rPr>
              <w:t>)明渠</w:t>
            </w:r>
            <w:r>
              <w:rPr>
                <w:spacing w:val="-11"/>
              </w:rPr>
              <w:t>（）</w:t>
            </w:r>
            <w:r>
              <w:rPr>
                <w:spacing w:val="-3"/>
              </w:rPr>
              <w:t>涵闸</w:t>
            </w:r>
            <w:r>
              <w:rPr>
                <w:spacing w:val="-11"/>
              </w:rPr>
              <w:t>（）</w:t>
            </w:r>
            <w:r>
              <w:rPr>
                <w:spacing w:val="-3"/>
              </w:rPr>
              <w:t>阴沟</w:t>
            </w:r>
            <w:r>
              <w:rPr>
                <w:spacing w:val="-11"/>
              </w:rPr>
              <w:t>（）</w:t>
            </w:r>
            <w:r>
              <w:rPr>
                <w:spacing w:val="-3"/>
              </w:rPr>
              <w:t>干沟</w:t>
            </w:r>
            <w:r>
              <w:rPr>
                <w:spacing w:val="-11"/>
              </w:rPr>
              <w:t>（）</w:t>
            </w:r>
            <w:r>
              <w:rPr>
                <w:spacing w:val="-3"/>
              </w:rPr>
              <w:t>其他()</w:t>
            </w:r>
          </w:p>
        </w:tc>
      </w:tr>
      <w:tr w14:paraId="2285C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919" w:type="dxa"/>
            <w:vMerge w:val="continue"/>
            <w:tcBorders>
              <w:top w:val="nil"/>
              <w:left w:val="single" w:color="000000" w:sz="10" w:space="0"/>
              <w:bottom w:val="single" w:color="000000" w:sz="10" w:space="0"/>
            </w:tcBorders>
            <w:vAlign w:val="top"/>
          </w:tcPr>
          <w:p w14:paraId="462E28E2">
            <w:pPr>
              <w:rPr>
                <w:rFonts w:ascii="Arial"/>
                <w:sz w:val="21"/>
              </w:rPr>
            </w:pPr>
          </w:p>
        </w:tc>
        <w:tc>
          <w:tcPr>
            <w:tcW w:w="1503" w:type="dxa"/>
            <w:tcBorders>
              <w:bottom w:val="single" w:color="000000" w:sz="10" w:space="0"/>
            </w:tcBorders>
            <w:vAlign w:val="top"/>
          </w:tcPr>
          <w:p w14:paraId="00272F56">
            <w:pPr>
              <w:pStyle w:val="6"/>
              <w:spacing w:before="105" w:line="228" w:lineRule="auto"/>
              <w:ind w:left="106"/>
            </w:pPr>
            <w:r>
              <w:rPr>
                <w:spacing w:val="7"/>
              </w:rPr>
              <w:t>污水排放方式</w:t>
            </w:r>
          </w:p>
        </w:tc>
        <w:tc>
          <w:tcPr>
            <w:tcW w:w="6301" w:type="dxa"/>
            <w:gridSpan w:val="4"/>
            <w:tcBorders>
              <w:bottom w:val="single" w:color="000000" w:sz="10" w:space="0"/>
              <w:right w:val="single" w:color="000000" w:sz="10" w:space="0"/>
            </w:tcBorders>
            <w:vAlign w:val="top"/>
          </w:tcPr>
          <w:p w14:paraId="28A4FC76">
            <w:pPr>
              <w:pStyle w:val="6"/>
              <w:spacing w:before="67" w:line="281" w:lineRule="exact"/>
              <w:ind w:left="109"/>
            </w:pPr>
            <w:r>
              <w:rPr>
                <w:spacing w:val="-11"/>
              </w:rPr>
              <w:t>连续(</w:t>
            </w:r>
            <w:r>
              <w:rPr>
                <w:rFonts w:ascii="Times New Roman" w:hAnsi="Times New Roman" w:eastAsia="Times New Roman" w:cs="Times New Roman"/>
                <w:spacing w:val="-11"/>
              </w:rPr>
              <w:t>√</w:t>
            </w:r>
            <w:r>
              <w:rPr>
                <w:spacing w:val="-11"/>
              </w:rPr>
              <w:t>)间歇()</w:t>
            </w:r>
          </w:p>
        </w:tc>
      </w:tr>
    </w:tbl>
    <w:p w14:paraId="78B4DA56">
      <w:pPr>
        <w:pStyle w:val="2"/>
      </w:pPr>
    </w:p>
    <w:p w14:paraId="5BC0AAEF">
      <w:pPr>
        <w:sectPr>
          <w:pgSz w:w="11906" w:h="16839"/>
          <w:pgMar w:top="1132" w:right="1578" w:bottom="0" w:left="1578" w:header="829" w:footer="0" w:gutter="0"/>
          <w:cols w:space="720" w:num="1"/>
        </w:sectPr>
      </w:pPr>
    </w:p>
    <w:p w14:paraId="27F7C0BF">
      <w:pPr>
        <w:spacing w:before="42"/>
      </w:pPr>
    </w:p>
    <w:tbl>
      <w:tblPr>
        <w:tblStyle w:val="5"/>
        <w:tblW w:w="872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9"/>
        <w:gridCol w:w="1502"/>
        <w:gridCol w:w="1499"/>
        <w:gridCol w:w="730"/>
        <w:gridCol w:w="1640"/>
        <w:gridCol w:w="2433"/>
      </w:tblGrid>
      <w:tr w14:paraId="1875E5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4" w:hRule="atLeast"/>
        </w:trPr>
        <w:tc>
          <w:tcPr>
            <w:tcW w:w="919" w:type="dxa"/>
            <w:tcBorders>
              <w:top w:val="single" w:color="000000" w:sz="10" w:space="0"/>
              <w:left w:val="single" w:color="000000" w:sz="10" w:space="0"/>
            </w:tcBorders>
            <w:vAlign w:val="top"/>
          </w:tcPr>
          <w:p w14:paraId="23BD34FD">
            <w:pPr>
              <w:spacing w:line="264" w:lineRule="auto"/>
              <w:rPr>
                <w:rFonts w:ascii="Arial"/>
                <w:sz w:val="21"/>
              </w:rPr>
            </w:pPr>
          </w:p>
          <w:p w14:paraId="17B42DA4">
            <w:pPr>
              <w:spacing w:line="264" w:lineRule="auto"/>
              <w:rPr>
                <w:rFonts w:ascii="Arial"/>
                <w:sz w:val="21"/>
              </w:rPr>
            </w:pPr>
          </w:p>
          <w:p w14:paraId="08BE328D">
            <w:pPr>
              <w:spacing w:line="264" w:lineRule="auto"/>
              <w:rPr>
                <w:rFonts w:ascii="Arial"/>
                <w:sz w:val="21"/>
              </w:rPr>
            </w:pPr>
          </w:p>
          <w:p w14:paraId="0FEF43F9">
            <w:pPr>
              <w:spacing w:line="265" w:lineRule="auto"/>
              <w:rPr>
                <w:rFonts w:ascii="Arial"/>
                <w:sz w:val="21"/>
              </w:rPr>
            </w:pPr>
          </w:p>
          <w:p w14:paraId="6CC20E69">
            <w:pPr>
              <w:spacing w:line="265" w:lineRule="auto"/>
              <w:rPr>
                <w:rFonts w:ascii="Arial"/>
                <w:sz w:val="21"/>
              </w:rPr>
            </w:pPr>
          </w:p>
          <w:p w14:paraId="53E57874">
            <w:pPr>
              <w:spacing w:line="265" w:lineRule="auto"/>
              <w:rPr>
                <w:rFonts w:ascii="Arial"/>
                <w:sz w:val="21"/>
              </w:rPr>
            </w:pPr>
          </w:p>
          <w:p w14:paraId="5AD70D3D">
            <w:pPr>
              <w:spacing w:line="265" w:lineRule="auto"/>
              <w:rPr>
                <w:rFonts w:ascii="Arial"/>
                <w:sz w:val="21"/>
              </w:rPr>
            </w:pPr>
          </w:p>
          <w:p w14:paraId="33EE644E">
            <w:pPr>
              <w:pStyle w:val="6"/>
              <w:spacing w:before="65" w:line="230" w:lineRule="auto"/>
              <w:ind w:left="106"/>
            </w:pPr>
            <w:r>
              <w:rPr>
                <w:spacing w:val="6"/>
              </w:rPr>
              <w:t>排污河</w:t>
            </w:r>
          </w:p>
          <w:p w14:paraId="5711564F">
            <w:pPr>
              <w:pStyle w:val="6"/>
              <w:spacing w:before="62" w:line="230" w:lineRule="auto"/>
              <w:ind w:left="105"/>
            </w:pPr>
            <w:r>
              <w:rPr>
                <w:spacing w:val="7"/>
              </w:rPr>
              <w:t>道、排</w:t>
            </w:r>
          </w:p>
          <w:p w14:paraId="40C23845">
            <w:pPr>
              <w:pStyle w:val="6"/>
              <w:spacing w:before="62" w:line="231" w:lineRule="auto"/>
              <w:ind w:left="107"/>
            </w:pPr>
            <w:r>
              <w:rPr>
                <w:spacing w:val="6"/>
              </w:rPr>
              <w:t>污口平</w:t>
            </w:r>
          </w:p>
          <w:p w14:paraId="23D0285A">
            <w:pPr>
              <w:pStyle w:val="6"/>
              <w:spacing w:before="62" w:line="229" w:lineRule="auto"/>
              <w:ind w:left="106"/>
            </w:pPr>
            <w:r>
              <w:rPr>
                <w:spacing w:val="6"/>
              </w:rPr>
              <w:t>面位置</w:t>
            </w:r>
          </w:p>
          <w:p w14:paraId="382D6838">
            <w:pPr>
              <w:pStyle w:val="6"/>
              <w:spacing w:before="64" w:line="229" w:lineRule="auto"/>
              <w:ind w:left="106"/>
            </w:pPr>
            <w:r>
              <w:rPr>
                <w:spacing w:val="6"/>
              </w:rPr>
              <w:t>示意图</w:t>
            </w:r>
          </w:p>
        </w:tc>
        <w:tc>
          <w:tcPr>
            <w:tcW w:w="7804" w:type="dxa"/>
            <w:gridSpan w:val="5"/>
            <w:tcBorders>
              <w:top w:val="single" w:color="000000" w:sz="10" w:space="0"/>
              <w:right w:val="single" w:color="000000" w:sz="10" w:space="0"/>
            </w:tcBorders>
            <w:vAlign w:val="top"/>
          </w:tcPr>
          <w:p w14:paraId="5BF77927">
            <w:pPr>
              <w:spacing w:before="17" w:line="5277" w:lineRule="exact"/>
              <w:ind w:firstLine="96"/>
            </w:pPr>
            <w:r>
              <w:rPr>
                <w:position w:val="-105"/>
              </w:rPr>
              <w:drawing>
                <wp:inline distT="0" distB="0" distL="0" distR="0">
                  <wp:extent cx="4824730" cy="335026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89"/>
                          <a:stretch>
                            <a:fillRect/>
                          </a:stretch>
                        </pic:blipFill>
                        <pic:spPr>
                          <a:xfrm>
                            <a:off x="0" y="0"/>
                            <a:ext cx="4824983" cy="3350768"/>
                          </a:xfrm>
                          <a:prstGeom prst="rect">
                            <a:avLst/>
                          </a:prstGeom>
                        </pic:spPr>
                      </pic:pic>
                    </a:graphicData>
                  </a:graphic>
                </wp:inline>
              </w:drawing>
            </w:r>
          </w:p>
        </w:tc>
      </w:tr>
      <w:tr w14:paraId="61E670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919" w:type="dxa"/>
            <w:vMerge w:val="restart"/>
            <w:tcBorders>
              <w:left w:val="single" w:color="000000" w:sz="10" w:space="0"/>
              <w:bottom w:val="nil"/>
            </w:tcBorders>
            <w:vAlign w:val="top"/>
          </w:tcPr>
          <w:p w14:paraId="0A27E88D">
            <w:pPr>
              <w:spacing w:line="243" w:lineRule="auto"/>
              <w:rPr>
                <w:rFonts w:ascii="Arial"/>
                <w:sz w:val="21"/>
              </w:rPr>
            </w:pPr>
          </w:p>
          <w:p w14:paraId="18B3EA73">
            <w:pPr>
              <w:spacing w:line="243" w:lineRule="auto"/>
              <w:rPr>
                <w:rFonts w:ascii="Arial"/>
                <w:sz w:val="21"/>
              </w:rPr>
            </w:pPr>
          </w:p>
          <w:p w14:paraId="1BED7D87">
            <w:pPr>
              <w:spacing w:line="243" w:lineRule="auto"/>
              <w:rPr>
                <w:rFonts w:ascii="Arial"/>
                <w:sz w:val="21"/>
              </w:rPr>
            </w:pPr>
          </w:p>
          <w:p w14:paraId="5DF957EA">
            <w:pPr>
              <w:spacing w:line="243" w:lineRule="auto"/>
              <w:rPr>
                <w:rFonts w:ascii="Arial"/>
                <w:sz w:val="21"/>
              </w:rPr>
            </w:pPr>
          </w:p>
          <w:p w14:paraId="24225CF0">
            <w:pPr>
              <w:spacing w:line="243" w:lineRule="auto"/>
              <w:rPr>
                <w:rFonts w:ascii="Arial"/>
                <w:sz w:val="21"/>
              </w:rPr>
            </w:pPr>
          </w:p>
          <w:p w14:paraId="7365084A">
            <w:pPr>
              <w:spacing w:line="243" w:lineRule="auto"/>
              <w:rPr>
                <w:rFonts w:ascii="Arial"/>
                <w:sz w:val="21"/>
              </w:rPr>
            </w:pPr>
          </w:p>
          <w:p w14:paraId="3149F3A7">
            <w:pPr>
              <w:spacing w:line="243" w:lineRule="auto"/>
              <w:rPr>
                <w:rFonts w:ascii="Arial"/>
                <w:sz w:val="21"/>
              </w:rPr>
            </w:pPr>
          </w:p>
          <w:p w14:paraId="6263468F">
            <w:pPr>
              <w:spacing w:line="243" w:lineRule="auto"/>
              <w:rPr>
                <w:rFonts w:ascii="Arial"/>
                <w:sz w:val="21"/>
              </w:rPr>
            </w:pPr>
          </w:p>
          <w:p w14:paraId="4BF358BC">
            <w:pPr>
              <w:spacing w:line="243" w:lineRule="auto"/>
              <w:rPr>
                <w:rFonts w:ascii="Arial"/>
                <w:sz w:val="21"/>
              </w:rPr>
            </w:pPr>
          </w:p>
          <w:p w14:paraId="07F6FE9B">
            <w:pPr>
              <w:spacing w:line="243" w:lineRule="auto"/>
              <w:rPr>
                <w:rFonts w:ascii="Arial"/>
                <w:sz w:val="21"/>
              </w:rPr>
            </w:pPr>
          </w:p>
          <w:p w14:paraId="5E883AA3">
            <w:pPr>
              <w:spacing w:line="243" w:lineRule="auto"/>
              <w:rPr>
                <w:rFonts w:ascii="Arial"/>
                <w:sz w:val="21"/>
              </w:rPr>
            </w:pPr>
          </w:p>
          <w:p w14:paraId="6F6C26D6">
            <w:pPr>
              <w:spacing w:line="243" w:lineRule="auto"/>
              <w:rPr>
                <w:rFonts w:ascii="Arial"/>
                <w:sz w:val="21"/>
              </w:rPr>
            </w:pPr>
          </w:p>
          <w:p w14:paraId="205ACCE0">
            <w:pPr>
              <w:spacing w:line="243" w:lineRule="auto"/>
              <w:rPr>
                <w:rFonts w:ascii="Arial"/>
                <w:sz w:val="21"/>
              </w:rPr>
            </w:pPr>
          </w:p>
          <w:p w14:paraId="79220C3A">
            <w:pPr>
              <w:spacing w:line="243" w:lineRule="auto"/>
              <w:rPr>
                <w:rFonts w:ascii="Arial"/>
                <w:sz w:val="21"/>
              </w:rPr>
            </w:pPr>
          </w:p>
          <w:p w14:paraId="42B1F9FA">
            <w:pPr>
              <w:spacing w:line="243" w:lineRule="auto"/>
              <w:rPr>
                <w:rFonts w:ascii="Arial"/>
                <w:sz w:val="21"/>
              </w:rPr>
            </w:pPr>
          </w:p>
          <w:p w14:paraId="70F46237">
            <w:pPr>
              <w:spacing w:line="243" w:lineRule="auto"/>
              <w:rPr>
                <w:rFonts w:ascii="Arial"/>
                <w:sz w:val="21"/>
              </w:rPr>
            </w:pPr>
          </w:p>
          <w:p w14:paraId="468A7B03">
            <w:pPr>
              <w:pStyle w:val="6"/>
              <w:spacing w:before="65" w:line="290" w:lineRule="auto"/>
              <w:ind w:left="106" w:right="177"/>
            </w:pPr>
            <w:r>
              <w:rPr>
                <w:spacing w:val="6"/>
              </w:rPr>
              <w:t>退水及</w:t>
            </w:r>
            <w:r>
              <w:rPr>
                <w:spacing w:val="4"/>
              </w:rPr>
              <w:t>影响</w:t>
            </w:r>
          </w:p>
        </w:tc>
        <w:tc>
          <w:tcPr>
            <w:tcW w:w="1502" w:type="dxa"/>
            <w:vAlign w:val="top"/>
          </w:tcPr>
          <w:p w14:paraId="01F9BDBA">
            <w:pPr>
              <w:pStyle w:val="6"/>
              <w:spacing w:before="61" w:line="257" w:lineRule="auto"/>
              <w:ind w:left="108" w:right="143" w:hanging="2"/>
            </w:pPr>
            <w:r>
              <w:rPr>
                <w:spacing w:val="7"/>
              </w:rPr>
              <w:t>污水是否经过</w:t>
            </w:r>
            <w:r>
              <w:rPr>
                <w:spacing w:val="2"/>
              </w:rPr>
              <w:t>处理</w:t>
            </w:r>
          </w:p>
        </w:tc>
        <w:tc>
          <w:tcPr>
            <w:tcW w:w="6302" w:type="dxa"/>
            <w:gridSpan w:val="4"/>
            <w:tcBorders>
              <w:right w:val="single" w:color="000000" w:sz="10" w:space="0"/>
            </w:tcBorders>
            <w:vAlign w:val="top"/>
          </w:tcPr>
          <w:p w14:paraId="03DC5861">
            <w:pPr>
              <w:pStyle w:val="6"/>
              <w:spacing w:before="217" w:line="231" w:lineRule="auto"/>
              <w:ind w:left="3052"/>
            </w:pPr>
            <w:r>
              <w:t>是</w:t>
            </w:r>
          </w:p>
        </w:tc>
      </w:tr>
      <w:tr w14:paraId="342396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919" w:type="dxa"/>
            <w:vMerge w:val="continue"/>
            <w:tcBorders>
              <w:top w:val="nil"/>
              <w:left w:val="single" w:color="000000" w:sz="10" w:space="0"/>
              <w:bottom w:val="nil"/>
            </w:tcBorders>
            <w:vAlign w:val="top"/>
          </w:tcPr>
          <w:p w14:paraId="3530521B">
            <w:pPr>
              <w:rPr>
                <w:rFonts w:ascii="Arial"/>
                <w:sz w:val="21"/>
              </w:rPr>
            </w:pPr>
          </w:p>
        </w:tc>
        <w:tc>
          <w:tcPr>
            <w:tcW w:w="1502" w:type="dxa"/>
            <w:vAlign w:val="top"/>
          </w:tcPr>
          <w:p w14:paraId="4B157525">
            <w:pPr>
              <w:pStyle w:val="6"/>
              <w:spacing w:before="217" w:line="291" w:lineRule="auto"/>
              <w:ind w:left="103" w:right="143" w:firstLine="2"/>
            </w:pPr>
            <w:r>
              <w:rPr>
                <w:spacing w:val="7"/>
              </w:rPr>
              <w:t>污水处理方式</w:t>
            </w:r>
            <w:r>
              <w:rPr>
                <w:spacing w:val="8"/>
              </w:rPr>
              <w:t>及处理工艺</w:t>
            </w:r>
          </w:p>
        </w:tc>
        <w:tc>
          <w:tcPr>
            <w:tcW w:w="6302" w:type="dxa"/>
            <w:gridSpan w:val="4"/>
            <w:tcBorders>
              <w:right w:val="single" w:color="000000" w:sz="10" w:space="0"/>
            </w:tcBorders>
            <w:vAlign w:val="top"/>
          </w:tcPr>
          <w:p w14:paraId="6169BF5E">
            <w:pPr>
              <w:pStyle w:val="6"/>
              <w:spacing w:before="61" w:line="267" w:lineRule="auto"/>
              <w:ind w:left="108" w:right="96" w:firstLine="3"/>
            </w:pPr>
            <w:r>
              <w:rPr>
                <w:spacing w:val="9"/>
              </w:rPr>
              <w:t>厂外污水</w:t>
            </w:r>
            <w:r>
              <w:rPr>
                <w:rFonts w:ascii="Times New Roman" w:hAnsi="Times New Roman" w:eastAsia="Times New Roman" w:cs="Times New Roman"/>
                <w:spacing w:val="9"/>
              </w:rPr>
              <w:t>→</w:t>
            </w:r>
            <w:r>
              <w:rPr>
                <w:spacing w:val="9"/>
              </w:rPr>
              <w:t>粗格栅及提升泵站</w:t>
            </w:r>
            <w:r>
              <w:rPr>
                <w:rFonts w:ascii="Times New Roman" w:hAnsi="Times New Roman" w:eastAsia="Times New Roman" w:cs="Times New Roman"/>
                <w:spacing w:val="9"/>
              </w:rPr>
              <w:t>→</w:t>
            </w:r>
            <w:r>
              <w:rPr>
                <w:spacing w:val="9"/>
              </w:rPr>
              <w:t>细格栅及旋流沉砂池</w:t>
            </w:r>
            <w:r>
              <w:rPr>
                <w:rFonts w:ascii="Times New Roman" w:hAnsi="Times New Roman" w:eastAsia="Times New Roman" w:cs="Times New Roman"/>
                <w:spacing w:val="9"/>
              </w:rPr>
              <w:t>→</w:t>
            </w:r>
            <w:r>
              <w:rPr>
                <w:spacing w:val="9"/>
              </w:rPr>
              <w:t>调节池</w:t>
            </w:r>
            <w:r>
              <w:rPr>
                <w:rFonts w:ascii="Times New Roman" w:hAnsi="Times New Roman" w:eastAsia="Times New Roman" w:cs="Times New Roman"/>
                <w:spacing w:val="9"/>
              </w:rPr>
              <w:t>→</w:t>
            </w:r>
            <w:r>
              <w:rPr>
                <w:spacing w:val="9"/>
              </w:rPr>
              <w:t>水</w:t>
            </w:r>
            <w:r>
              <w:rPr>
                <w:spacing w:val="8"/>
              </w:rPr>
              <w:t>解酸化池</w:t>
            </w:r>
            <w:r>
              <w:rPr>
                <w:rFonts w:ascii="Times New Roman" w:hAnsi="Times New Roman" w:eastAsia="Times New Roman" w:cs="Times New Roman"/>
                <w:spacing w:val="8"/>
              </w:rPr>
              <w:t>→</w:t>
            </w:r>
            <w:r>
              <w:rPr>
                <w:rFonts w:ascii="Times New Roman" w:hAnsi="Times New Roman" w:eastAsia="Times New Roman" w:cs="Times New Roman"/>
              </w:rPr>
              <w:t>AAO</w:t>
            </w:r>
            <w:r>
              <w:rPr>
                <w:spacing w:val="8"/>
              </w:rPr>
              <w:t>生化池</w:t>
            </w:r>
            <w:r>
              <w:rPr>
                <w:rFonts w:ascii="Times New Roman" w:hAnsi="Times New Roman" w:eastAsia="Times New Roman" w:cs="Times New Roman"/>
                <w:spacing w:val="8"/>
              </w:rPr>
              <w:t>→</w:t>
            </w:r>
            <w:r>
              <w:rPr>
                <w:spacing w:val="8"/>
              </w:rPr>
              <w:t>二沉池</w:t>
            </w:r>
            <w:r>
              <w:rPr>
                <w:rFonts w:ascii="Times New Roman" w:hAnsi="Times New Roman" w:eastAsia="Times New Roman" w:cs="Times New Roman"/>
                <w:spacing w:val="8"/>
              </w:rPr>
              <w:t>→V</w:t>
            </w:r>
            <w:r>
              <w:rPr>
                <w:spacing w:val="8"/>
              </w:rPr>
              <w:t>型滤池</w:t>
            </w:r>
            <w:r>
              <w:rPr>
                <w:rFonts w:ascii="Times New Roman" w:hAnsi="Times New Roman" w:eastAsia="Times New Roman" w:cs="Times New Roman"/>
                <w:spacing w:val="8"/>
              </w:rPr>
              <w:t>→</w:t>
            </w:r>
            <w:r>
              <w:rPr>
                <w:spacing w:val="8"/>
              </w:rPr>
              <w:t>紫外光消毒池</w:t>
            </w:r>
            <w:r>
              <w:rPr>
                <w:rFonts w:ascii="Times New Roman" w:hAnsi="Times New Roman" w:eastAsia="Times New Roman" w:cs="Times New Roman"/>
                <w:spacing w:val="8"/>
              </w:rPr>
              <w:t>→</w:t>
            </w:r>
            <w:r>
              <w:rPr>
                <w:spacing w:val="8"/>
              </w:rPr>
              <w:t>出</w:t>
            </w:r>
            <w:r>
              <w:t>水。</w:t>
            </w:r>
          </w:p>
        </w:tc>
      </w:tr>
      <w:tr w14:paraId="1AC37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19" w:type="dxa"/>
            <w:vMerge w:val="continue"/>
            <w:tcBorders>
              <w:top w:val="nil"/>
              <w:left w:val="single" w:color="000000" w:sz="10" w:space="0"/>
              <w:bottom w:val="nil"/>
            </w:tcBorders>
            <w:vAlign w:val="top"/>
          </w:tcPr>
          <w:p w14:paraId="5BFA12B7">
            <w:pPr>
              <w:rPr>
                <w:rFonts w:ascii="Arial"/>
                <w:sz w:val="21"/>
              </w:rPr>
            </w:pPr>
          </w:p>
        </w:tc>
        <w:tc>
          <w:tcPr>
            <w:tcW w:w="1502" w:type="dxa"/>
            <w:vMerge w:val="restart"/>
            <w:tcBorders>
              <w:bottom w:val="nil"/>
            </w:tcBorders>
            <w:vAlign w:val="top"/>
          </w:tcPr>
          <w:p w14:paraId="6C672D4C">
            <w:pPr>
              <w:spacing w:line="250" w:lineRule="auto"/>
              <w:rPr>
                <w:rFonts w:ascii="Arial"/>
                <w:sz w:val="21"/>
              </w:rPr>
            </w:pPr>
          </w:p>
          <w:p w14:paraId="4AACF306">
            <w:pPr>
              <w:spacing w:line="250" w:lineRule="auto"/>
              <w:rPr>
                <w:rFonts w:ascii="Arial"/>
                <w:sz w:val="21"/>
              </w:rPr>
            </w:pPr>
          </w:p>
          <w:p w14:paraId="3CAD0FEE">
            <w:pPr>
              <w:spacing w:line="251" w:lineRule="auto"/>
              <w:rPr>
                <w:rFonts w:ascii="Arial"/>
                <w:sz w:val="21"/>
              </w:rPr>
            </w:pPr>
          </w:p>
          <w:p w14:paraId="0D201D19">
            <w:pPr>
              <w:spacing w:line="251" w:lineRule="auto"/>
              <w:rPr>
                <w:rFonts w:ascii="Arial"/>
                <w:sz w:val="21"/>
              </w:rPr>
            </w:pPr>
          </w:p>
          <w:p w14:paraId="52D74E4C">
            <w:pPr>
              <w:pStyle w:val="6"/>
              <w:spacing w:before="65" w:line="228" w:lineRule="auto"/>
              <w:ind w:left="106"/>
            </w:pPr>
            <w:r>
              <w:rPr>
                <w:spacing w:val="7"/>
              </w:rPr>
              <w:t>污水处理站进</w:t>
            </w:r>
          </w:p>
          <w:p w14:paraId="72B47AF6">
            <w:pPr>
              <w:pStyle w:val="6"/>
              <w:spacing w:before="65" w:line="228" w:lineRule="auto"/>
              <w:ind w:left="106"/>
            </w:pPr>
            <w:r>
              <w:rPr>
                <w:spacing w:val="7"/>
              </w:rPr>
              <w:t>水及出水浓度</w:t>
            </w:r>
          </w:p>
        </w:tc>
        <w:tc>
          <w:tcPr>
            <w:tcW w:w="1499" w:type="dxa"/>
            <w:vAlign w:val="top"/>
          </w:tcPr>
          <w:p w14:paraId="5AF0C82B">
            <w:pPr>
              <w:pStyle w:val="6"/>
              <w:spacing w:before="93" w:line="228" w:lineRule="auto"/>
              <w:ind w:left="112"/>
            </w:pPr>
            <w:r>
              <w:rPr>
                <w:spacing w:val="3"/>
              </w:rPr>
              <w:t>项目</w:t>
            </w:r>
          </w:p>
        </w:tc>
        <w:tc>
          <w:tcPr>
            <w:tcW w:w="2370" w:type="dxa"/>
            <w:gridSpan w:val="2"/>
            <w:vAlign w:val="top"/>
          </w:tcPr>
          <w:p w14:paraId="58C6A59D">
            <w:pPr>
              <w:pStyle w:val="6"/>
              <w:spacing w:before="92" w:line="221" w:lineRule="auto"/>
              <w:ind w:left="116"/>
            </w:pPr>
            <w:r>
              <w:rPr>
                <w:spacing w:val="7"/>
              </w:rPr>
              <w:t>设计进水浓度（</w:t>
            </w:r>
            <w:r>
              <w:rPr>
                <w:rFonts w:ascii="Times New Roman" w:hAnsi="Times New Roman" w:eastAsia="Times New Roman" w:cs="Times New Roman"/>
              </w:rPr>
              <w:t>mg</w:t>
            </w:r>
            <w:r>
              <w:rPr>
                <w:rFonts w:ascii="Times New Roman" w:hAnsi="Times New Roman" w:eastAsia="Times New Roman" w:cs="Times New Roman"/>
                <w:spacing w:val="7"/>
              </w:rPr>
              <w:t>/L</w:t>
            </w:r>
            <w:r>
              <w:rPr>
                <w:spacing w:val="7"/>
              </w:rPr>
              <w:t>）</w:t>
            </w:r>
          </w:p>
        </w:tc>
        <w:tc>
          <w:tcPr>
            <w:tcW w:w="2433" w:type="dxa"/>
            <w:tcBorders>
              <w:right w:val="single" w:color="000000" w:sz="10" w:space="0"/>
            </w:tcBorders>
            <w:vAlign w:val="top"/>
          </w:tcPr>
          <w:p w14:paraId="271CB799">
            <w:pPr>
              <w:pStyle w:val="6"/>
              <w:spacing w:before="92" w:line="221" w:lineRule="auto"/>
              <w:ind w:left="122"/>
            </w:pPr>
            <w:r>
              <w:rPr>
                <w:spacing w:val="7"/>
              </w:rPr>
              <w:t>设计出水浓度（</w:t>
            </w:r>
            <w:r>
              <w:rPr>
                <w:rFonts w:ascii="Times New Roman" w:hAnsi="Times New Roman" w:eastAsia="Times New Roman" w:cs="Times New Roman"/>
              </w:rPr>
              <w:t>mg</w:t>
            </w:r>
            <w:r>
              <w:rPr>
                <w:rFonts w:ascii="Times New Roman" w:hAnsi="Times New Roman" w:eastAsia="Times New Roman" w:cs="Times New Roman"/>
                <w:spacing w:val="7"/>
              </w:rPr>
              <w:t>/L</w:t>
            </w:r>
            <w:r>
              <w:rPr>
                <w:spacing w:val="7"/>
              </w:rPr>
              <w:t>）</w:t>
            </w:r>
          </w:p>
        </w:tc>
      </w:tr>
      <w:tr w14:paraId="0AE703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19" w:type="dxa"/>
            <w:vMerge w:val="continue"/>
            <w:tcBorders>
              <w:top w:val="nil"/>
              <w:left w:val="single" w:color="000000" w:sz="10" w:space="0"/>
              <w:bottom w:val="nil"/>
            </w:tcBorders>
            <w:vAlign w:val="top"/>
          </w:tcPr>
          <w:p w14:paraId="68DDA986">
            <w:pPr>
              <w:rPr>
                <w:rFonts w:ascii="Arial"/>
                <w:sz w:val="21"/>
              </w:rPr>
            </w:pPr>
          </w:p>
        </w:tc>
        <w:tc>
          <w:tcPr>
            <w:tcW w:w="1502" w:type="dxa"/>
            <w:vMerge w:val="continue"/>
            <w:tcBorders>
              <w:top w:val="nil"/>
              <w:bottom w:val="nil"/>
            </w:tcBorders>
            <w:vAlign w:val="top"/>
          </w:tcPr>
          <w:p w14:paraId="6BB84CDC">
            <w:pPr>
              <w:rPr>
                <w:rFonts w:ascii="Arial"/>
                <w:sz w:val="21"/>
              </w:rPr>
            </w:pPr>
          </w:p>
        </w:tc>
        <w:tc>
          <w:tcPr>
            <w:tcW w:w="1499" w:type="dxa"/>
            <w:vAlign w:val="top"/>
          </w:tcPr>
          <w:p w14:paraId="130194C9">
            <w:pPr>
              <w:spacing w:before="129" w:line="195" w:lineRule="auto"/>
              <w:ind w:left="5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2370" w:type="dxa"/>
            <w:gridSpan w:val="2"/>
            <w:vAlign w:val="top"/>
          </w:tcPr>
          <w:p w14:paraId="3848A87C">
            <w:pPr>
              <w:spacing w:before="129" w:line="195" w:lineRule="auto"/>
              <w:ind w:left="10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450</w:t>
            </w:r>
          </w:p>
        </w:tc>
        <w:tc>
          <w:tcPr>
            <w:tcW w:w="2433" w:type="dxa"/>
            <w:tcBorders>
              <w:right w:val="single" w:color="000000" w:sz="10" w:space="0"/>
            </w:tcBorders>
            <w:vAlign w:val="top"/>
          </w:tcPr>
          <w:p w14:paraId="033CD678">
            <w:pPr>
              <w:spacing w:before="129" w:line="195" w:lineRule="auto"/>
              <w:ind w:left="1121"/>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r>
      <w:tr w14:paraId="7F825D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19" w:type="dxa"/>
            <w:vMerge w:val="continue"/>
            <w:tcBorders>
              <w:top w:val="nil"/>
              <w:left w:val="single" w:color="000000" w:sz="10" w:space="0"/>
              <w:bottom w:val="nil"/>
            </w:tcBorders>
            <w:vAlign w:val="top"/>
          </w:tcPr>
          <w:p w14:paraId="4FDA1EF4">
            <w:pPr>
              <w:rPr>
                <w:rFonts w:ascii="Arial"/>
                <w:sz w:val="21"/>
              </w:rPr>
            </w:pPr>
          </w:p>
        </w:tc>
        <w:tc>
          <w:tcPr>
            <w:tcW w:w="1502" w:type="dxa"/>
            <w:vMerge w:val="continue"/>
            <w:tcBorders>
              <w:top w:val="nil"/>
              <w:bottom w:val="nil"/>
            </w:tcBorders>
            <w:vAlign w:val="top"/>
          </w:tcPr>
          <w:p w14:paraId="43C82E6F">
            <w:pPr>
              <w:rPr>
                <w:rFonts w:ascii="Arial"/>
                <w:sz w:val="21"/>
              </w:rPr>
            </w:pPr>
          </w:p>
        </w:tc>
        <w:tc>
          <w:tcPr>
            <w:tcW w:w="1499" w:type="dxa"/>
            <w:vAlign w:val="top"/>
          </w:tcPr>
          <w:p w14:paraId="6098EE7E">
            <w:pPr>
              <w:spacing w:before="131" w:line="202" w:lineRule="auto"/>
              <w:ind w:left="491"/>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2370" w:type="dxa"/>
            <w:gridSpan w:val="2"/>
            <w:vAlign w:val="top"/>
          </w:tcPr>
          <w:p w14:paraId="238ECAD3">
            <w:pPr>
              <w:spacing w:before="130" w:line="195" w:lineRule="auto"/>
              <w:ind w:left="10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350</w:t>
            </w:r>
          </w:p>
        </w:tc>
        <w:tc>
          <w:tcPr>
            <w:tcW w:w="2433" w:type="dxa"/>
            <w:tcBorders>
              <w:right w:val="single" w:color="000000" w:sz="10" w:space="0"/>
            </w:tcBorders>
            <w:vAlign w:val="top"/>
          </w:tcPr>
          <w:p w14:paraId="08D9A184">
            <w:pPr>
              <w:spacing w:before="130" w:line="195" w:lineRule="auto"/>
              <w:ind w:left="113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r>
      <w:tr w14:paraId="3E04CC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19" w:type="dxa"/>
            <w:vMerge w:val="continue"/>
            <w:tcBorders>
              <w:top w:val="nil"/>
              <w:left w:val="single" w:color="000000" w:sz="10" w:space="0"/>
              <w:bottom w:val="nil"/>
            </w:tcBorders>
            <w:vAlign w:val="top"/>
          </w:tcPr>
          <w:p w14:paraId="03CC9CF8">
            <w:pPr>
              <w:rPr>
                <w:rFonts w:ascii="Arial"/>
                <w:sz w:val="21"/>
              </w:rPr>
            </w:pPr>
          </w:p>
        </w:tc>
        <w:tc>
          <w:tcPr>
            <w:tcW w:w="1502" w:type="dxa"/>
            <w:vMerge w:val="continue"/>
            <w:tcBorders>
              <w:top w:val="nil"/>
              <w:bottom w:val="nil"/>
            </w:tcBorders>
            <w:vAlign w:val="top"/>
          </w:tcPr>
          <w:p w14:paraId="10D0EC92">
            <w:pPr>
              <w:rPr>
                <w:rFonts w:ascii="Arial"/>
                <w:sz w:val="21"/>
              </w:rPr>
            </w:pPr>
          </w:p>
        </w:tc>
        <w:tc>
          <w:tcPr>
            <w:tcW w:w="1499" w:type="dxa"/>
            <w:vAlign w:val="top"/>
          </w:tcPr>
          <w:p w14:paraId="46514272">
            <w:pPr>
              <w:spacing w:before="132" w:line="195" w:lineRule="auto"/>
              <w:ind w:left="6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2370" w:type="dxa"/>
            <w:gridSpan w:val="2"/>
            <w:vAlign w:val="top"/>
          </w:tcPr>
          <w:p w14:paraId="1C0B3413">
            <w:pPr>
              <w:spacing w:before="132" w:line="195" w:lineRule="auto"/>
              <w:ind w:left="10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350</w:t>
            </w:r>
          </w:p>
        </w:tc>
        <w:tc>
          <w:tcPr>
            <w:tcW w:w="2433" w:type="dxa"/>
            <w:tcBorders>
              <w:right w:val="single" w:color="000000" w:sz="10" w:space="0"/>
            </w:tcBorders>
            <w:vAlign w:val="top"/>
          </w:tcPr>
          <w:p w14:paraId="0876B74E">
            <w:pPr>
              <w:spacing w:before="132" w:line="195" w:lineRule="auto"/>
              <w:ind w:left="113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r>
      <w:tr w14:paraId="358A8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919" w:type="dxa"/>
            <w:vMerge w:val="continue"/>
            <w:tcBorders>
              <w:top w:val="nil"/>
              <w:left w:val="single" w:color="000000" w:sz="10" w:space="0"/>
              <w:bottom w:val="nil"/>
            </w:tcBorders>
            <w:vAlign w:val="top"/>
          </w:tcPr>
          <w:p w14:paraId="53E6ECEE">
            <w:pPr>
              <w:rPr>
                <w:rFonts w:ascii="Arial"/>
                <w:sz w:val="21"/>
              </w:rPr>
            </w:pPr>
          </w:p>
        </w:tc>
        <w:tc>
          <w:tcPr>
            <w:tcW w:w="1502" w:type="dxa"/>
            <w:vMerge w:val="continue"/>
            <w:tcBorders>
              <w:top w:val="nil"/>
              <w:bottom w:val="nil"/>
            </w:tcBorders>
            <w:vAlign w:val="top"/>
          </w:tcPr>
          <w:p w14:paraId="1E01A6C1">
            <w:pPr>
              <w:rPr>
                <w:rFonts w:ascii="Arial"/>
                <w:sz w:val="21"/>
              </w:rPr>
            </w:pPr>
          </w:p>
        </w:tc>
        <w:tc>
          <w:tcPr>
            <w:tcW w:w="1499" w:type="dxa"/>
            <w:vAlign w:val="top"/>
          </w:tcPr>
          <w:p w14:paraId="01985557">
            <w:pPr>
              <w:spacing w:before="141" w:line="207" w:lineRule="auto"/>
              <w:ind w:left="459"/>
              <w:rPr>
                <w:rFonts w:ascii="Times New Roman" w:hAnsi="Times New Roman" w:eastAsia="Times New Roman" w:cs="Times New Roman"/>
                <w:sz w:val="19"/>
                <w:szCs w:val="19"/>
              </w:rPr>
            </w:pPr>
            <w:r>
              <w:rPr>
                <w:rFonts w:ascii="Times New Roman" w:hAnsi="Times New Roman" w:eastAsia="Times New Roman" w:cs="Times New Roman"/>
                <w:sz w:val="19"/>
                <w:szCs w:val="19"/>
              </w:rPr>
              <w:t>NH</w:t>
            </w:r>
            <w:r>
              <w:rPr>
                <w:rFonts w:ascii="Times New Roman" w:hAnsi="Times New Roman" w:eastAsia="Times New Roman" w:cs="Times New Roman"/>
                <w:spacing w:val="9"/>
                <w:sz w:val="12"/>
                <w:szCs w:val="12"/>
              </w:rPr>
              <w:t>3</w:t>
            </w:r>
            <w:r>
              <w:rPr>
                <w:rFonts w:ascii="Times New Roman" w:hAnsi="Times New Roman" w:eastAsia="Times New Roman" w:cs="Times New Roman"/>
                <w:spacing w:val="9"/>
                <w:sz w:val="19"/>
                <w:szCs w:val="19"/>
              </w:rPr>
              <w:t>-N</w:t>
            </w:r>
          </w:p>
        </w:tc>
        <w:tc>
          <w:tcPr>
            <w:tcW w:w="2370" w:type="dxa"/>
            <w:gridSpan w:val="2"/>
            <w:vAlign w:val="top"/>
          </w:tcPr>
          <w:p w14:paraId="5CBD66A0">
            <w:pPr>
              <w:spacing w:before="133" w:line="195" w:lineRule="auto"/>
              <w:ind w:left="108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2433" w:type="dxa"/>
            <w:tcBorders>
              <w:right w:val="single" w:color="000000" w:sz="10" w:space="0"/>
            </w:tcBorders>
            <w:vAlign w:val="top"/>
          </w:tcPr>
          <w:p w14:paraId="5BCF8667">
            <w:pPr>
              <w:spacing w:before="136" w:line="192" w:lineRule="auto"/>
              <w:ind w:left="117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402C27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919" w:type="dxa"/>
            <w:vMerge w:val="continue"/>
            <w:tcBorders>
              <w:top w:val="nil"/>
              <w:left w:val="single" w:color="000000" w:sz="10" w:space="0"/>
              <w:bottom w:val="nil"/>
            </w:tcBorders>
            <w:vAlign w:val="top"/>
          </w:tcPr>
          <w:p w14:paraId="5BC3E4B5">
            <w:pPr>
              <w:rPr>
                <w:rFonts w:ascii="Arial"/>
                <w:sz w:val="21"/>
              </w:rPr>
            </w:pPr>
          </w:p>
        </w:tc>
        <w:tc>
          <w:tcPr>
            <w:tcW w:w="1502" w:type="dxa"/>
            <w:vMerge w:val="continue"/>
            <w:tcBorders>
              <w:top w:val="nil"/>
              <w:bottom w:val="nil"/>
            </w:tcBorders>
            <w:vAlign w:val="top"/>
          </w:tcPr>
          <w:p w14:paraId="6DC1CBF3">
            <w:pPr>
              <w:rPr>
                <w:rFonts w:ascii="Arial"/>
                <w:sz w:val="21"/>
              </w:rPr>
            </w:pPr>
          </w:p>
        </w:tc>
        <w:tc>
          <w:tcPr>
            <w:tcW w:w="1499" w:type="dxa"/>
            <w:vAlign w:val="top"/>
          </w:tcPr>
          <w:p w14:paraId="3D43AE06">
            <w:pPr>
              <w:spacing w:before="136" w:line="192" w:lineRule="auto"/>
              <w:ind w:left="6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TN</w:t>
            </w:r>
          </w:p>
        </w:tc>
        <w:tc>
          <w:tcPr>
            <w:tcW w:w="2370" w:type="dxa"/>
            <w:gridSpan w:val="2"/>
            <w:vAlign w:val="top"/>
          </w:tcPr>
          <w:p w14:paraId="0D30D3D8">
            <w:pPr>
              <w:spacing w:before="133" w:line="195" w:lineRule="auto"/>
              <w:ind w:left="10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2433" w:type="dxa"/>
            <w:tcBorders>
              <w:right w:val="single" w:color="000000" w:sz="10" w:space="0"/>
            </w:tcBorders>
            <w:vAlign w:val="top"/>
          </w:tcPr>
          <w:p w14:paraId="1AA199BF">
            <w:pPr>
              <w:spacing w:before="133" w:line="195" w:lineRule="auto"/>
              <w:ind w:left="113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r>
      <w:tr w14:paraId="3B5EF8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19" w:type="dxa"/>
            <w:vMerge w:val="continue"/>
            <w:tcBorders>
              <w:top w:val="nil"/>
              <w:left w:val="single" w:color="000000" w:sz="10" w:space="0"/>
              <w:bottom w:val="nil"/>
            </w:tcBorders>
            <w:vAlign w:val="top"/>
          </w:tcPr>
          <w:p w14:paraId="074A9294">
            <w:pPr>
              <w:rPr>
                <w:rFonts w:ascii="Arial"/>
                <w:sz w:val="21"/>
              </w:rPr>
            </w:pPr>
          </w:p>
        </w:tc>
        <w:tc>
          <w:tcPr>
            <w:tcW w:w="1502" w:type="dxa"/>
            <w:vMerge w:val="continue"/>
            <w:tcBorders>
              <w:top w:val="nil"/>
            </w:tcBorders>
            <w:vAlign w:val="top"/>
          </w:tcPr>
          <w:p w14:paraId="44582C58">
            <w:pPr>
              <w:rPr>
                <w:rFonts w:ascii="Arial"/>
                <w:sz w:val="21"/>
              </w:rPr>
            </w:pPr>
          </w:p>
        </w:tc>
        <w:tc>
          <w:tcPr>
            <w:tcW w:w="1499" w:type="dxa"/>
            <w:vAlign w:val="top"/>
          </w:tcPr>
          <w:p w14:paraId="2FE703F4">
            <w:pPr>
              <w:spacing w:before="136" w:line="192" w:lineRule="auto"/>
              <w:ind w:left="62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TP</w:t>
            </w:r>
          </w:p>
        </w:tc>
        <w:tc>
          <w:tcPr>
            <w:tcW w:w="2370" w:type="dxa"/>
            <w:gridSpan w:val="2"/>
            <w:vAlign w:val="top"/>
          </w:tcPr>
          <w:p w14:paraId="1654D46C">
            <w:pPr>
              <w:spacing w:before="133" w:line="195" w:lineRule="auto"/>
              <w:ind w:left="1140"/>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433" w:type="dxa"/>
            <w:tcBorders>
              <w:right w:val="single" w:color="000000" w:sz="10" w:space="0"/>
            </w:tcBorders>
            <w:vAlign w:val="top"/>
          </w:tcPr>
          <w:p w14:paraId="5306ABA8">
            <w:pPr>
              <w:spacing w:before="133" w:line="195" w:lineRule="auto"/>
              <w:ind w:left="109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r>
      <w:tr w14:paraId="1766AB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919" w:type="dxa"/>
            <w:vMerge w:val="continue"/>
            <w:tcBorders>
              <w:top w:val="nil"/>
              <w:left w:val="single" w:color="000000" w:sz="10" w:space="0"/>
              <w:bottom w:val="nil"/>
            </w:tcBorders>
            <w:vAlign w:val="top"/>
          </w:tcPr>
          <w:p w14:paraId="07BBC3EF">
            <w:pPr>
              <w:rPr>
                <w:rFonts w:ascii="Arial"/>
                <w:sz w:val="21"/>
              </w:rPr>
            </w:pPr>
          </w:p>
        </w:tc>
        <w:tc>
          <w:tcPr>
            <w:tcW w:w="3731" w:type="dxa"/>
            <w:gridSpan w:val="3"/>
            <w:vAlign w:val="top"/>
          </w:tcPr>
          <w:p w14:paraId="752C247F">
            <w:pPr>
              <w:spacing w:line="314" w:lineRule="auto"/>
              <w:rPr>
                <w:rFonts w:ascii="Arial"/>
                <w:sz w:val="21"/>
              </w:rPr>
            </w:pPr>
          </w:p>
          <w:p w14:paraId="7B62BE67">
            <w:pPr>
              <w:pStyle w:val="6"/>
              <w:spacing w:before="65" w:line="228" w:lineRule="auto"/>
              <w:ind w:left="106"/>
            </w:pPr>
            <w:r>
              <w:rPr>
                <w:spacing w:val="8"/>
              </w:rPr>
              <w:t>水文、水质数据三性检查</w:t>
            </w:r>
          </w:p>
        </w:tc>
        <w:tc>
          <w:tcPr>
            <w:tcW w:w="4073" w:type="dxa"/>
            <w:gridSpan w:val="2"/>
            <w:tcBorders>
              <w:right w:val="single" w:color="000000" w:sz="10" w:space="0"/>
            </w:tcBorders>
            <w:vAlign w:val="top"/>
          </w:tcPr>
          <w:p w14:paraId="5D487F5E">
            <w:pPr>
              <w:pStyle w:val="6"/>
              <w:spacing w:before="70" w:line="226" w:lineRule="auto"/>
              <w:ind w:left="152"/>
            </w:pPr>
            <w:r>
              <w:rPr>
                <w:spacing w:val="9"/>
              </w:rPr>
              <w:t>数据引用于一期入河排污口论证报告，且</w:t>
            </w:r>
          </w:p>
          <w:p w14:paraId="462B4599">
            <w:pPr>
              <w:pStyle w:val="6"/>
              <w:spacing w:before="66" w:line="228" w:lineRule="auto"/>
              <w:ind w:right="4"/>
              <w:jc w:val="right"/>
            </w:pPr>
            <w:r>
              <w:rPr>
                <w:spacing w:val="7"/>
              </w:rPr>
              <w:t>根据现场实际情况进行复核，可靠、一致、</w:t>
            </w:r>
          </w:p>
          <w:p w14:paraId="49186E62">
            <w:pPr>
              <w:pStyle w:val="6"/>
              <w:spacing w:before="65" w:line="217" w:lineRule="auto"/>
              <w:ind w:left="1520"/>
            </w:pPr>
            <w:r>
              <w:rPr>
                <w:spacing w:val="7"/>
              </w:rPr>
              <w:t>具有代表性</w:t>
            </w:r>
          </w:p>
        </w:tc>
      </w:tr>
      <w:tr w14:paraId="2DF44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919" w:type="dxa"/>
            <w:vMerge w:val="continue"/>
            <w:tcBorders>
              <w:top w:val="nil"/>
              <w:left w:val="single" w:color="000000" w:sz="10" w:space="0"/>
              <w:bottom w:val="nil"/>
            </w:tcBorders>
            <w:vAlign w:val="top"/>
          </w:tcPr>
          <w:p w14:paraId="3E5286D1">
            <w:pPr>
              <w:rPr>
                <w:rFonts w:ascii="Arial"/>
                <w:sz w:val="21"/>
              </w:rPr>
            </w:pPr>
          </w:p>
        </w:tc>
        <w:tc>
          <w:tcPr>
            <w:tcW w:w="3731" w:type="dxa"/>
            <w:gridSpan w:val="3"/>
            <w:vAlign w:val="top"/>
          </w:tcPr>
          <w:p w14:paraId="6C6DA788">
            <w:pPr>
              <w:pStyle w:val="6"/>
              <w:spacing w:before="97" w:line="228" w:lineRule="auto"/>
              <w:ind w:left="106"/>
            </w:pPr>
            <w:r>
              <w:rPr>
                <w:spacing w:val="9"/>
              </w:rPr>
              <w:t>水污染物输移时间及混合区实验情况</w:t>
            </w:r>
          </w:p>
        </w:tc>
        <w:tc>
          <w:tcPr>
            <w:tcW w:w="4073" w:type="dxa"/>
            <w:gridSpan w:val="2"/>
            <w:tcBorders>
              <w:right w:val="single" w:color="000000" w:sz="10" w:space="0"/>
            </w:tcBorders>
            <w:vAlign w:val="top"/>
          </w:tcPr>
          <w:p w14:paraId="79B13FEB">
            <w:pPr>
              <w:spacing w:before="132" w:line="199" w:lineRule="auto"/>
              <w:ind w:left="20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7BC9C4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19" w:type="dxa"/>
            <w:vMerge w:val="continue"/>
            <w:tcBorders>
              <w:top w:val="nil"/>
              <w:left w:val="single" w:color="000000" w:sz="10" w:space="0"/>
              <w:bottom w:val="nil"/>
            </w:tcBorders>
            <w:vAlign w:val="top"/>
          </w:tcPr>
          <w:p w14:paraId="1519B97E">
            <w:pPr>
              <w:rPr>
                <w:rFonts w:ascii="Arial"/>
                <w:sz w:val="21"/>
              </w:rPr>
            </w:pPr>
          </w:p>
        </w:tc>
        <w:tc>
          <w:tcPr>
            <w:tcW w:w="3731" w:type="dxa"/>
            <w:gridSpan w:val="3"/>
            <w:vAlign w:val="top"/>
          </w:tcPr>
          <w:p w14:paraId="44E99AF9">
            <w:pPr>
              <w:pStyle w:val="6"/>
              <w:spacing w:before="98" w:line="228" w:lineRule="auto"/>
              <w:ind w:left="106"/>
            </w:pPr>
            <w:r>
              <w:rPr>
                <w:spacing w:val="9"/>
              </w:rPr>
              <w:t>水生态调查及污水急性毒性试验情况</w:t>
            </w:r>
          </w:p>
        </w:tc>
        <w:tc>
          <w:tcPr>
            <w:tcW w:w="4073" w:type="dxa"/>
            <w:gridSpan w:val="2"/>
            <w:tcBorders>
              <w:right w:val="single" w:color="000000" w:sz="10" w:space="0"/>
            </w:tcBorders>
            <w:vAlign w:val="top"/>
          </w:tcPr>
          <w:p w14:paraId="057BB5F5">
            <w:pPr>
              <w:spacing w:before="132" w:line="199" w:lineRule="auto"/>
              <w:ind w:left="20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5259D9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919" w:type="dxa"/>
            <w:vMerge w:val="continue"/>
            <w:tcBorders>
              <w:top w:val="nil"/>
              <w:left w:val="single" w:color="000000" w:sz="10" w:space="0"/>
              <w:bottom w:val="nil"/>
            </w:tcBorders>
            <w:vAlign w:val="top"/>
          </w:tcPr>
          <w:p w14:paraId="0138366E">
            <w:pPr>
              <w:rPr>
                <w:rFonts w:ascii="Arial"/>
                <w:sz w:val="21"/>
              </w:rPr>
            </w:pPr>
          </w:p>
        </w:tc>
        <w:tc>
          <w:tcPr>
            <w:tcW w:w="3731" w:type="dxa"/>
            <w:gridSpan w:val="3"/>
            <w:vAlign w:val="top"/>
          </w:tcPr>
          <w:p w14:paraId="663A02CD">
            <w:pPr>
              <w:pStyle w:val="6"/>
              <w:spacing w:before="74" w:line="263" w:lineRule="auto"/>
              <w:ind w:left="104" w:right="106" w:firstLine="3"/>
              <w:jc w:val="both"/>
            </w:pPr>
            <w:r>
              <w:rPr>
                <w:spacing w:val="6"/>
              </w:rPr>
              <w:t>设计水文条件选取及计算方法，拟入河污水、纳污水体水污染物浓度可能最大</w:t>
            </w:r>
            <w:r>
              <w:rPr>
                <w:spacing w:val="9"/>
              </w:rPr>
              <w:t>值计算方法，水质模型选取</w:t>
            </w:r>
          </w:p>
        </w:tc>
        <w:tc>
          <w:tcPr>
            <w:tcW w:w="4073" w:type="dxa"/>
            <w:gridSpan w:val="2"/>
            <w:tcBorders>
              <w:right w:val="single" w:color="000000" w:sz="10" w:space="0"/>
            </w:tcBorders>
            <w:vAlign w:val="top"/>
          </w:tcPr>
          <w:p w14:paraId="0F2F930A">
            <w:pPr>
              <w:spacing w:line="317" w:lineRule="auto"/>
              <w:rPr>
                <w:rFonts w:ascii="Arial"/>
                <w:sz w:val="21"/>
              </w:rPr>
            </w:pPr>
          </w:p>
          <w:p w14:paraId="31E71E73">
            <w:pPr>
              <w:pStyle w:val="6"/>
              <w:spacing w:before="65" w:line="228" w:lineRule="auto"/>
              <w:ind w:left="1201"/>
            </w:pPr>
            <w:r>
              <w:rPr>
                <w:spacing w:val="8"/>
              </w:rPr>
              <w:t>平面二维数学模型</w:t>
            </w:r>
          </w:p>
        </w:tc>
      </w:tr>
      <w:tr w14:paraId="2D534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919" w:type="dxa"/>
            <w:vMerge w:val="continue"/>
            <w:tcBorders>
              <w:top w:val="nil"/>
              <w:left w:val="single" w:color="000000" w:sz="10" w:space="0"/>
              <w:bottom w:val="nil"/>
            </w:tcBorders>
            <w:vAlign w:val="top"/>
          </w:tcPr>
          <w:p w14:paraId="4483C450">
            <w:pPr>
              <w:rPr>
                <w:rFonts w:ascii="Arial"/>
                <w:sz w:val="21"/>
              </w:rPr>
            </w:pPr>
          </w:p>
        </w:tc>
        <w:tc>
          <w:tcPr>
            <w:tcW w:w="3731" w:type="dxa"/>
            <w:gridSpan w:val="3"/>
            <w:vAlign w:val="top"/>
          </w:tcPr>
          <w:p w14:paraId="2D576600">
            <w:pPr>
              <w:spacing w:line="319" w:lineRule="auto"/>
              <w:rPr>
                <w:rFonts w:ascii="Arial"/>
                <w:sz w:val="21"/>
              </w:rPr>
            </w:pPr>
          </w:p>
          <w:p w14:paraId="44B05CA9">
            <w:pPr>
              <w:pStyle w:val="6"/>
              <w:spacing w:before="65" w:line="228" w:lineRule="auto"/>
              <w:ind w:left="104"/>
            </w:pPr>
            <w:r>
              <w:rPr>
                <w:spacing w:val="9"/>
              </w:rPr>
              <w:t>排入水功能区及水质目标</w:t>
            </w:r>
          </w:p>
        </w:tc>
        <w:tc>
          <w:tcPr>
            <w:tcW w:w="4073" w:type="dxa"/>
            <w:gridSpan w:val="2"/>
            <w:tcBorders>
              <w:right w:val="single" w:color="000000" w:sz="10" w:space="0"/>
            </w:tcBorders>
            <w:vAlign w:val="top"/>
          </w:tcPr>
          <w:p w14:paraId="372567D0">
            <w:pPr>
              <w:pStyle w:val="6"/>
              <w:spacing w:before="74" w:line="263" w:lineRule="auto"/>
              <w:ind w:left="119" w:right="99" w:firstLine="3"/>
              <w:jc w:val="both"/>
            </w:pPr>
            <w:r>
              <w:rPr>
                <w:spacing w:val="8"/>
              </w:rPr>
              <w:t>资水（赧水）隆回</w:t>
            </w:r>
            <w:r>
              <w:rPr>
                <w:rFonts w:ascii="Times New Roman" w:hAnsi="Times New Roman" w:eastAsia="Times New Roman" w:cs="Times New Roman"/>
                <w:spacing w:val="8"/>
              </w:rPr>
              <w:t>-</w:t>
            </w:r>
            <w:r>
              <w:rPr>
                <w:spacing w:val="8"/>
              </w:rPr>
              <w:t>邵阳保留区，根据《邵</w:t>
            </w:r>
            <w:r>
              <w:rPr>
                <w:spacing w:val="7"/>
              </w:rPr>
              <w:t>阳市水功能区划》水质目标为</w:t>
            </w:r>
            <w:r>
              <w:rPr>
                <w:rFonts w:ascii="Times New Roman" w:hAnsi="Times New Roman" w:eastAsia="Times New Roman" w:cs="Times New Roman"/>
              </w:rPr>
              <w:t>III</w:t>
            </w:r>
            <w:r>
              <w:rPr>
                <w:spacing w:val="7"/>
              </w:rPr>
              <w:t>类，现状管理目标为年度平均达到</w:t>
            </w:r>
            <w:r>
              <w:rPr>
                <w:rFonts w:ascii="Times New Roman" w:hAnsi="Times New Roman" w:eastAsia="Times New Roman" w:cs="Times New Roman"/>
              </w:rPr>
              <w:t>II</w:t>
            </w:r>
            <w:r>
              <w:rPr>
                <w:spacing w:val="7"/>
              </w:rPr>
              <w:t>类。</w:t>
            </w:r>
          </w:p>
        </w:tc>
      </w:tr>
      <w:tr w14:paraId="7E955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919" w:type="dxa"/>
            <w:vMerge w:val="continue"/>
            <w:tcBorders>
              <w:top w:val="nil"/>
              <w:left w:val="single" w:color="000000" w:sz="10" w:space="0"/>
              <w:bottom w:val="single" w:color="000000" w:sz="10" w:space="0"/>
            </w:tcBorders>
            <w:vAlign w:val="top"/>
          </w:tcPr>
          <w:p w14:paraId="7D2601FF">
            <w:pPr>
              <w:rPr>
                <w:rFonts w:ascii="Arial"/>
                <w:sz w:val="21"/>
              </w:rPr>
            </w:pPr>
          </w:p>
        </w:tc>
        <w:tc>
          <w:tcPr>
            <w:tcW w:w="3731" w:type="dxa"/>
            <w:gridSpan w:val="3"/>
            <w:tcBorders>
              <w:bottom w:val="single" w:color="000000" w:sz="10" w:space="0"/>
            </w:tcBorders>
            <w:vAlign w:val="top"/>
          </w:tcPr>
          <w:p w14:paraId="4505EC96">
            <w:pPr>
              <w:pStyle w:val="6"/>
              <w:spacing w:before="232" w:line="228" w:lineRule="auto"/>
              <w:ind w:left="103"/>
            </w:pPr>
            <w:r>
              <w:rPr>
                <w:spacing w:val="9"/>
              </w:rPr>
              <w:t>对水功能区水质影响</w:t>
            </w:r>
          </w:p>
        </w:tc>
        <w:tc>
          <w:tcPr>
            <w:tcW w:w="4073" w:type="dxa"/>
            <w:gridSpan w:val="2"/>
            <w:tcBorders>
              <w:bottom w:val="single" w:color="000000" w:sz="10" w:space="0"/>
              <w:right w:val="single" w:color="000000" w:sz="10" w:space="0"/>
            </w:tcBorders>
            <w:vAlign w:val="top"/>
          </w:tcPr>
          <w:p w14:paraId="30CFC0EC">
            <w:pPr>
              <w:pStyle w:val="6"/>
              <w:spacing w:before="76" w:line="260" w:lineRule="auto"/>
              <w:ind w:left="114" w:right="173" w:firstLine="1"/>
            </w:pPr>
            <w:r>
              <w:rPr>
                <w:spacing w:val="9"/>
              </w:rPr>
              <w:t>论证排污口的废污水正常排放、非正常排放情况下对常规水质监测断面的水质基本</w:t>
            </w:r>
          </w:p>
        </w:tc>
      </w:tr>
    </w:tbl>
    <w:p w14:paraId="2AEB5151">
      <w:pPr>
        <w:pStyle w:val="2"/>
      </w:pPr>
    </w:p>
    <w:p w14:paraId="72C1ABCD">
      <w:pPr>
        <w:sectPr>
          <w:pgSz w:w="11906" w:h="16839"/>
          <w:pgMar w:top="1132" w:right="1578" w:bottom="0" w:left="1578" w:header="829" w:footer="0" w:gutter="0"/>
          <w:cols w:space="720" w:num="1"/>
        </w:sectPr>
      </w:pPr>
    </w:p>
    <w:p w14:paraId="34B500B9">
      <w:pPr>
        <w:spacing w:before="42"/>
      </w:pPr>
    </w:p>
    <w:tbl>
      <w:tblPr>
        <w:tblStyle w:val="5"/>
        <w:tblW w:w="872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9"/>
        <w:gridCol w:w="1503"/>
        <w:gridCol w:w="817"/>
        <w:gridCol w:w="1411"/>
        <w:gridCol w:w="570"/>
        <w:gridCol w:w="3503"/>
      </w:tblGrid>
      <w:tr w14:paraId="514CE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919" w:type="dxa"/>
            <w:vMerge w:val="restart"/>
            <w:tcBorders>
              <w:top w:val="single" w:color="000000" w:sz="10" w:space="0"/>
              <w:left w:val="single" w:color="000000" w:sz="10" w:space="0"/>
              <w:bottom w:val="nil"/>
            </w:tcBorders>
            <w:vAlign w:val="top"/>
          </w:tcPr>
          <w:p w14:paraId="7F990E5C">
            <w:pPr>
              <w:rPr>
                <w:rFonts w:ascii="Arial"/>
                <w:sz w:val="21"/>
              </w:rPr>
            </w:pPr>
          </w:p>
        </w:tc>
        <w:tc>
          <w:tcPr>
            <w:tcW w:w="3731" w:type="dxa"/>
            <w:gridSpan w:val="3"/>
            <w:tcBorders>
              <w:top w:val="single" w:color="000000" w:sz="10" w:space="0"/>
            </w:tcBorders>
            <w:vAlign w:val="top"/>
          </w:tcPr>
          <w:p w14:paraId="6ECA0276">
            <w:pPr>
              <w:rPr>
                <w:rFonts w:ascii="Arial"/>
                <w:sz w:val="21"/>
              </w:rPr>
            </w:pPr>
          </w:p>
        </w:tc>
        <w:tc>
          <w:tcPr>
            <w:tcW w:w="4073" w:type="dxa"/>
            <w:gridSpan w:val="2"/>
            <w:tcBorders>
              <w:top w:val="single" w:color="000000" w:sz="10" w:space="0"/>
              <w:right w:val="single" w:color="000000" w:sz="10" w:space="0"/>
            </w:tcBorders>
            <w:vAlign w:val="top"/>
          </w:tcPr>
          <w:p w14:paraId="77A65E4A">
            <w:pPr>
              <w:pStyle w:val="6"/>
              <w:spacing w:before="36" w:line="261" w:lineRule="auto"/>
              <w:ind w:left="115" w:right="173"/>
            </w:pPr>
            <w:r>
              <w:rPr>
                <w:spacing w:val="9"/>
              </w:rPr>
              <w:t>无影响，且污水处理厂为减排项目，对资江（赧水）的水质改善有着积极的作用</w:t>
            </w:r>
          </w:p>
        </w:tc>
      </w:tr>
      <w:tr w14:paraId="7205E6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19" w:type="dxa"/>
            <w:vMerge w:val="continue"/>
            <w:tcBorders>
              <w:top w:val="nil"/>
              <w:left w:val="single" w:color="000000" w:sz="10" w:space="0"/>
              <w:bottom w:val="nil"/>
            </w:tcBorders>
            <w:vAlign w:val="top"/>
          </w:tcPr>
          <w:p w14:paraId="17549F8B">
            <w:pPr>
              <w:rPr>
                <w:rFonts w:ascii="Arial"/>
                <w:sz w:val="21"/>
              </w:rPr>
            </w:pPr>
          </w:p>
        </w:tc>
        <w:tc>
          <w:tcPr>
            <w:tcW w:w="3731" w:type="dxa"/>
            <w:gridSpan w:val="3"/>
            <w:vAlign w:val="top"/>
          </w:tcPr>
          <w:p w14:paraId="56FA23F9">
            <w:pPr>
              <w:pStyle w:val="6"/>
              <w:spacing w:before="80" w:line="228" w:lineRule="auto"/>
              <w:ind w:left="107"/>
            </w:pPr>
            <w:r>
              <w:rPr>
                <w:spacing w:val="8"/>
              </w:rPr>
              <w:t>是否满足水功能区要求</w:t>
            </w:r>
          </w:p>
        </w:tc>
        <w:tc>
          <w:tcPr>
            <w:tcW w:w="4073" w:type="dxa"/>
            <w:gridSpan w:val="2"/>
            <w:tcBorders>
              <w:right w:val="single" w:color="000000" w:sz="10" w:space="0"/>
            </w:tcBorders>
            <w:vAlign w:val="top"/>
          </w:tcPr>
          <w:p w14:paraId="29B774C9">
            <w:pPr>
              <w:pStyle w:val="6"/>
              <w:spacing w:before="80" w:line="228" w:lineRule="auto"/>
              <w:ind w:left="114"/>
            </w:pPr>
            <w:r>
              <w:rPr>
                <w:spacing w:val="4"/>
              </w:rPr>
              <w:t>满足</w:t>
            </w:r>
          </w:p>
        </w:tc>
      </w:tr>
      <w:tr w14:paraId="5DBBB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19" w:type="dxa"/>
            <w:vMerge w:val="continue"/>
            <w:tcBorders>
              <w:top w:val="nil"/>
              <w:left w:val="single" w:color="000000" w:sz="10" w:space="0"/>
              <w:bottom w:val="nil"/>
            </w:tcBorders>
            <w:vAlign w:val="top"/>
          </w:tcPr>
          <w:p w14:paraId="7C465A2C">
            <w:pPr>
              <w:rPr>
                <w:rFonts w:ascii="Arial"/>
                <w:sz w:val="21"/>
              </w:rPr>
            </w:pPr>
          </w:p>
        </w:tc>
        <w:tc>
          <w:tcPr>
            <w:tcW w:w="3731" w:type="dxa"/>
            <w:gridSpan w:val="3"/>
            <w:vAlign w:val="top"/>
          </w:tcPr>
          <w:p w14:paraId="0C723E83">
            <w:pPr>
              <w:pStyle w:val="6"/>
              <w:spacing w:before="81" w:line="228" w:lineRule="auto"/>
              <w:ind w:left="103"/>
            </w:pPr>
            <w:r>
              <w:rPr>
                <w:spacing w:val="9"/>
              </w:rPr>
              <w:t>对下游取水及生态敏感点的影响</w:t>
            </w:r>
          </w:p>
        </w:tc>
        <w:tc>
          <w:tcPr>
            <w:tcW w:w="4073" w:type="dxa"/>
            <w:gridSpan w:val="2"/>
            <w:tcBorders>
              <w:right w:val="single" w:color="000000" w:sz="10" w:space="0"/>
            </w:tcBorders>
            <w:vAlign w:val="top"/>
          </w:tcPr>
          <w:p w14:paraId="6FA7C216">
            <w:pPr>
              <w:pStyle w:val="6"/>
              <w:spacing w:before="81" w:line="227" w:lineRule="auto"/>
              <w:ind w:left="114"/>
            </w:pPr>
            <w:r>
              <w:rPr>
                <w:spacing w:val="8"/>
              </w:rPr>
              <w:t>基本无影响</w:t>
            </w:r>
          </w:p>
        </w:tc>
      </w:tr>
      <w:tr w14:paraId="509822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19" w:type="dxa"/>
            <w:vMerge w:val="continue"/>
            <w:tcBorders>
              <w:top w:val="nil"/>
              <w:left w:val="single" w:color="000000" w:sz="10" w:space="0"/>
            </w:tcBorders>
            <w:vAlign w:val="top"/>
          </w:tcPr>
          <w:p w14:paraId="4E0CA2BE">
            <w:pPr>
              <w:rPr>
                <w:rFonts w:ascii="Arial"/>
                <w:sz w:val="21"/>
              </w:rPr>
            </w:pPr>
          </w:p>
        </w:tc>
        <w:tc>
          <w:tcPr>
            <w:tcW w:w="3731" w:type="dxa"/>
            <w:gridSpan w:val="3"/>
            <w:vAlign w:val="top"/>
          </w:tcPr>
          <w:p w14:paraId="56E3C3AA">
            <w:pPr>
              <w:pStyle w:val="6"/>
              <w:spacing w:before="82" w:line="228" w:lineRule="auto"/>
              <w:ind w:left="103"/>
            </w:pPr>
            <w:r>
              <w:rPr>
                <w:spacing w:val="9"/>
              </w:rPr>
              <w:t>对重要第三方的影响</w:t>
            </w:r>
          </w:p>
        </w:tc>
        <w:tc>
          <w:tcPr>
            <w:tcW w:w="4073" w:type="dxa"/>
            <w:gridSpan w:val="2"/>
            <w:tcBorders>
              <w:right w:val="single" w:color="000000" w:sz="10" w:space="0"/>
            </w:tcBorders>
            <w:vAlign w:val="top"/>
          </w:tcPr>
          <w:p w14:paraId="6910ABF1">
            <w:pPr>
              <w:pStyle w:val="6"/>
              <w:spacing w:before="83" w:line="228" w:lineRule="auto"/>
              <w:ind w:left="116"/>
            </w:pPr>
            <w:r>
              <w:t>无</w:t>
            </w:r>
          </w:p>
        </w:tc>
      </w:tr>
      <w:tr w14:paraId="1A08D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0" w:hRule="atLeast"/>
        </w:trPr>
        <w:tc>
          <w:tcPr>
            <w:tcW w:w="919" w:type="dxa"/>
            <w:vMerge w:val="restart"/>
            <w:tcBorders>
              <w:left w:val="single" w:color="000000" w:sz="10" w:space="0"/>
              <w:bottom w:val="nil"/>
            </w:tcBorders>
            <w:vAlign w:val="top"/>
          </w:tcPr>
          <w:p w14:paraId="7D403746">
            <w:pPr>
              <w:spacing w:line="261" w:lineRule="auto"/>
              <w:rPr>
                <w:rFonts w:ascii="Arial"/>
                <w:sz w:val="21"/>
              </w:rPr>
            </w:pPr>
          </w:p>
          <w:p w14:paraId="797BB4F9">
            <w:pPr>
              <w:spacing w:line="261" w:lineRule="auto"/>
              <w:rPr>
                <w:rFonts w:ascii="Arial"/>
                <w:sz w:val="21"/>
              </w:rPr>
            </w:pPr>
          </w:p>
          <w:p w14:paraId="34DE313A">
            <w:pPr>
              <w:spacing w:line="261" w:lineRule="auto"/>
              <w:rPr>
                <w:rFonts w:ascii="Arial"/>
                <w:sz w:val="21"/>
              </w:rPr>
            </w:pPr>
          </w:p>
          <w:p w14:paraId="555E482A">
            <w:pPr>
              <w:spacing w:line="261" w:lineRule="auto"/>
              <w:rPr>
                <w:rFonts w:ascii="Arial"/>
                <w:sz w:val="21"/>
              </w:rPr>
            </w:pPr>
          </w:p>
          <w:p w14:paraId="542B2D6F">
            <w:pPr>
              <w:spacing w:line="261" w:lineRule="auto"/>
              <w:rPr>
                <w:rFonts w:ascii="Arial"/>
                <w:sz w:val="21"/>
              </w:rPr>
            </w:pPr>
          </w:p>
          <w:p w14:paraId="7F9A352B">
            <w:pPr>
              <w:spacing w:line="261" w:lineRule="auto"/>
              <w:rPr>
                <w:rFonts w:ascii="Arial"/>
                <w:sz w:val="21"/>
              </w:rPr>
            </w:pPr>
          </w:p>
          <w:p w14:paraId="0D9047C8">
            <w:pPr>
              <w:spacing w:line="261" w:lineRule="auto"/>
              <w:rPr>
                <w:rFonts w:ascii="Arial"/>
                <w:sz w:val="21"/>
              </w:rPr>
            </w:pPr>
          </w:p>
          <w:p w14:paraId="739A7F2A">
            <w:pPr>
              <w:spacing w:line="261" w:lineRule="auto"/>
              <w:rPr>
                <w:rFonts w:ascii="Arial"/>
                <w:sz w:val="21"/>
              </w:rPr>
            </w:pPr>
          </w:p>
          <w:p w14:paraId="3F48FB84">
            <w:pPr>
              <w:spacing w:line="262" w:lineRule="auto"/>
              <w:rPr>
                <w:rFonts w:ascii="Arial"/>
                <w:sz w:val="21"/>
              </w:rPr>
            </w:pPr>
          </w:p>
          <w:p w14:paraId="0FA6958A">
            <w:pPr>
              <w:spacing w:line="262" w:lineRule="auto"/>
              <w:rPr>
                <w:rFonts w:ascii="Arial"/>
                <w:sz w:val="21"/>
              </w:rPr>
            </w:pPr>
          </w:p>
          <w:p w14:paraId="0E79BCCA">
            <w:pPr>
              <w:spacing w:line="262" w:lineRule="auto"/>
              <w:rPr>
                <w:rFonts w:ascii="Arial"/>
                <w:sz w:val="21"/>
              </w:rPr>
            </w:pPr>
          </w:p>
          <w:p w14:paraId="504D6E95">
            <w:pPr>
              <w:pStyle w:val="6"/>
              <w:spacing w:before="65" w:line="228" w:lineRule="auto"/>
              <w:ind w:left="108"/>
            </w:pPr>
            <w:r>
              <w:rPr>
                <w:spacing w:val="6"/>
              </w:rPr>
              <w:t>水资源</w:t>
            </w:r>
          </w:p>
          <w:p w14:paraId="45197C12">
            <w:pPr>
              <w:pStyle w:val="6"/>
              <w:spacing w:before="65" w:line="291" w:lineRule="auto"/>
              <w:ind w:left="105" w:right="177" w:firstLine="1"/>
            </w:pPr>
            <w:r>
              <w:rPr>
                <w:spacing w:val="6"/>
              </w:rPr>
              <w:t>保护措</w:t>
            </w:r>
            <w:r>
              <w:rPr>
                <w:spacing w:val="1"/>
              </w:rPr>
              <w:t>施</w:t>
            </w:r>
          </w:p>
        </w:tc>
        <w:tc>
          <w:tcPr>
            <w:tcW w:w="2320" w:type="dxa"/>
            <w:gridSpan w:val="2"/>
            <w:vAlign w:val="top"/>
          </w:tcPr>
          <w:p w14:paraId="6438E3AF">
            <w:pPr>
              <w:spacing w:line="305" w:lineRule="auto"/>
              <w:rPr>
                <w:rFonts w:ascii="Arial"/>
                <w:sz w:val="21"/>
              </w:rPr>
            </w:pPr>
          </w:p>
          <w:p w14:paraId="291FC666">
            <w:pPr>
              <w:spacing w:line="305" w:lineRule="auto"/>
              <w:rPr>
                <w:rFonts w:ascii="Arial"/>
                <w:sz w:val="21"/>
              </w:rPr>
            </w:pPr>
          </w:p>
          <w:p w14:paraId="4AA7F0F3">
            <w:pPr>
              <w:pStyle w:val="6"/>
              <w:spacing w:before="65" w:line="228" w:lineRule="auto"/>
              <w:ind w:left="109"/>
            </w:pPr>
            <w:r>
              <w:rPr>
                <w:spacing w:val="6"/>
              </w:rPr>
              <w:t>管理措施</w:t>
            </w:r>
          </w:p>
        </w:tc>
        <w:tc>
          <w:tcPr>
            <w:tcW w:w="5484" w:type="dxa"/>
            <w:gridSpan w:val="3"/>
            <w:tcBorders>
              <w:right w:val="single" w:color="000000" w:sz="10" w:space="0"/>
            </w:tcBorders>
            <w:vAlign w:val="top"/>
          </w:tcPr>
          <w:p w14:paraId="2F079AA3">
            <w:pPr>
              <w:pStyle w:val="6"/>
              <w:spacing w:before="54" w:line="268" w:lineRule="auto"/>
              <w:ind w:left="109" w:right="63" w:firstLine="10"/>
            </w:pPr>
            <w:r>
              <w:rPr>
                <w:spacing w:val="7"/>
              </w:rPr>
              <w:t>（</w:t>
            </w:r>
            <w:r>
              <w:rPr>
                <w:rFonts w:ascii="Times New Roman" w:hAnsi="Times New Roman" w:eastAsia="Times New Roman" w:cs="Times New Roman"/>
                <w:spacing w:val="7"/>
              </w:rPr>
              <w:t>1</w:t>
            </w:r>
            <w:r>
              <w:rPr>
                <w:spacing w:val="7"/>
              </w:rPr>
              <w:t>）严格执行《排污许可证管理条例》，坚持依法排污，</w:t>
            </w:r>
            <w:r>
              <w:rPr>
                <w:spacing w:val="9"/>
              </w:rPr>
              <w:t>环境保护行政主管部门应定期将持证排污者主要污染物排</w:t>
            </w:r>
            <w:r>
              <w:rPr>
                <w:spacing w:val="8"/>
              </w:rPr>
              <w:t>放情况向社会公布，接受公众监督；</w:t>
            </w:r>
          </w:p>
          <w:p w14:paraId="72E2C163">
            <w:pPr>
              <w:pStyle w:val="6"/>
              <w:spacing w:before="65" w:line="258" w:lineRule="auto"/>
              <w:ind w:left="109" w:right="96" w:firstLine="10"/>
            </w:pPr>
            <w:r>
              <w:rPr>
                <w:spacing w:val="6"/>
              </w:rPr>
              <w:t>（</w:t>
            </w:r>
            <w:r>
              <w:rPr>
                <w:rFonts w:ascii="Times New Roman" w:hAnsi="Times New Roman" w:eastAsia="Times New Roman" w:cs="Times New Roman"/>
                <w:spacing w:val="6"/>
              </w:rPr>
              <w:t>2</w:t>
            </w:r>
            <w:r>
              <w:rPr>
                <w:spacing w:val="6"/>
              </w:rPr>
              <w:t>）严格按项目环评及批复的相关要求，执行</w:t>
            </w:r>
            <w:r>
              <w:rPr>
                <w:spacing w:val="5"/>
              </w:rPr>
              <w:t>和落实保护</w:t>
            </w:r>
            <w:r>
              <w:rPr>
                <w:spacing w:val="3"/>
              </w:rPr>
              <w:t>措施。</w:t>
            </w:r>
          </w:p>
        </w:tc>
      </w:tr>
      <w:tr w14:paraId="290D3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919" w:type="dxa"/>
            <w:vMerge w:val="continue"/>
            <w:tcBorders>
              <w:top w:val="nil"/>
              <w:left w:val="single" w:color="000000" w:sz="10" w:space="0"/>
              <w:bottom w:val="nil"/>
            </w:tcBorders>
            <w:vAlign w:val="top"/>
          </w:tcPr>
          <w:p w14:paraId="0914BCCC">
            <w:pPr>
              <w:rPr>
                <w:rFonts w:ascii="Arial"/>
                <w:sz w:val="21"/>
              </w:rPr>
            </w:pPr>
          </w:p>
        </w:tc>
        <w:tc>
          <w:tcPr>
            <w:tcW w:w="2320" w:type="dxa"/>
            <w:gridSpan w:val="2"/>
            <w:vAlign w:val="top"/>
          </w:tcPr>
          <w:p w14:paraId="30DE26C5">
            <w:pPr>
              <w:spacing w:line="304" w:lineRule="auto"/>
              <w:rPr>
                <w:rFonts w:ascii="Arial"/>
                <w:sz w:val="21"/>
              </w:rPr>
            </w:pPr>
          </w:p>
          <w:p w14:paraId="5B8A5F51">
            <w:pPr>
              <w:pStyle w:val="6"/>
              <w:spacing w:before="65" w:line="228" w:lineRule="auto"/>
              <w:ind w:left="105"/>
            </w:pPr>
            <w:r>
              <w:rPr>
                <w:spacing w:val="7"/>
              </w:rPr>
              <w:t>技术措施</w:t>
            </w:r>
          </w:p>
        </w:tc>
        <w:tc>
          <w:tcPr>
            <w:tcW w:w="5484" w:type="dxa"/>
            <w:gridSpan w:val="3"/>
            <w:tcBorders>
              <w:right w:val="single" w:color="000000" w:sz="10" w:space="0"/>
            </w:tcBorders>
            <w:vAlign w:val="top"/>
          </w:tcPr>
          <w:p w14:paraId="7D570DC3">
            <w:pPr>
              <w:pStyle w:val="6"/>
              <w:spacing w:before="59" w:line="228" w:lineRule="auto"/>
              <w:ind w:left="111"/>
            </w:pPr>
            <w:r>
              <w:rPr>
                <w:spacing w:val="9"/>
              </w:rPr>
              <w:t>污水排放浓度执行《城镇污水处理厂污染物排放标准》</w:t>
            </w:r>
          </w:p>
          <w:p w14:paraId="28FE9A16">
            <w:pPr>
              <w:pStyle w:val="6"/>
              <w:spacing w:before="66" w:line="256" w:lineRule="auto"/>
              <w:ind w:left="108" w:right="99" w:firstLine="11"/>
            </w:pPr>
            <w:r>
              <w:rPr>
                <w:spacing w:val="5"/>
              </w:rPr>
              <w:t>（</w:t>
            </w:r>
            <w:r>
              <w:rPr>
                <w:rFonts w:ascii="Times New Roman" w:hAnsi="Times New Roman" w:eastAsia="Times New Roman" w:cs="Times New Roman"/>
              </w:rPr>
              <w:t>GB</w:t>
            </w:r>
            <w:r>
              <w:rPr>
                <w:rFonts w:ascii="Times New Roman" w:hAnsi="Times New Roman" w:eastAsia="Times New Roman" w:cs="Times New Roman"/>
                <w:spacing w:val="5"/>
              </w:rPr>
              <w:t>18918-2002</w:t>
            </w:r>
            <w:r>
              <w:rPr>
                <w:spacing w:val="5"/>
              </w:rPr>
              <w:t>）中一级</w:t>
            </w:r>
            <w:r>
              <w:rPr>
                <w:rFonts w:ascii="Times New Roman" w:hAnsi="Times New Roman" w:eastAsia="Times New Roman" w:cs="Times New Roman"/>
                <w:spacing w:val="5"/>
              </w:rPr>
              <w:t>A</w:t>
            </w:r>
            <w:r>
              <w:rPr>
                <w:spacing w:val="5"/>
              </w:rPr>
              <w:t>标准，排污口设置在线监测装</w:t>
            </w:r>
            <w:r>
              <w:rPr>
                <w:spacing w:val="1"/>
              </w:rPr>
              <w:t>置。</w:t>
            </w:r>
          </w:p>
        </w:tc>
      </w:tr>
      <w:tr w14:paraId="08C2AE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19" w:type="dxa"/>
            <w:vMerge w:val="continue"/>
            <w:tcBorders>
              <w:top w:val="nil"/>
              <w:left w:val="single" w:color="000000" w:sz="10" w:space="0"/>
              <w:bottom w:val="nil"/>
            </w:tcBorders>
            <w:vAlign w:val="top"/>
          </w:tcPr>
          <w:p w14:paraId="3829C272">
            <w:pPr>
              <w:rPr>
                <w:rFonts w:ascii="Arial"/>
                <w:sz w:val="21"/>
              </w:rPr>
            </w:pPr>
          </w:p>
        </w:tc>
        <w:tc>
          <w:tcPr>
            <w:tcW w:w="2320" w:type="dxa"/>
            <w:gridSpan w:val="2"/>
            <w:vAlign w:val="top"/>
          </w:tcPr>
          <w:p w14:paraId="65B2D297">
            <w:pPr>
              <w:pStyle w:val="6"/>
              <w:spacing w:before="91" w:line="228" w:lineRule="auto"/>
              <w:ind w:left="106"/>
            </w:pPr>
            <w:r>
              <w:rPr>
                <w:spacing w:val="8"/>
              </w:rPr>
              <w:t>污染物总量控制意见</w:t>
            </w:r>
          </w:p>
        </w:tc>
        <w:tc>
          <w:tcPr>
            <w:tcW w:w="5484" w:type="dxa"/>
            <w:gridSpan w:val="3"/>
            <w:tcBorders>
              <w:right w:val="single" w:color="000000" w:sz="10" w:space="0"/>
            </w:tcBorders>
            <w:vAlign w:val="top"/>
          </w:tcPr>
          <w:p w14:paraId="02CBDA55">
            <w:pPr>
              <w:pStyle w:val="6"/>
              <w:spacing w:before="91" w:line="227" w:lineRule="auto"/>
              <w:ind w:left="109"/>
              <w:rPr>
                <w:rFonts w:ascii="Times New Roman" w:hAnsi="Times New Roman" w:eastAsia="Times New Roman" w:cs="Times New Roman"/>
              </w:rPr>
            </w:pPr>
            <w:r>
              <w:rPr>
                <w:spacing w:val="5"/>
              </w:rPr>
              <w:t>扩建工程：化学需氧量</w:t>
            </w:r>
            <w:r>
              <w:rPr>
                <w:rFonts w:ascii="Times New Roman" w:hAnsi="Times New Roman" w:eastAsia="Times New Roman" w:cs="Times New Roman"/>
                <w:spacing w:val="5"/>
              </w:rPr>
              <w:t>273.75t/a</w:t>
            </w:r>
            <w:r>
              <w:rPr>
                <w:spacing w:val="5"/>
              </w:rPr>
              <w:t>、氨氮</w:t>
            </w:r>
            <w:r>
              <w:rPr>
                <w:rFonts w:ascii="Times New Roman" w:hAnsi="Times New Roman" w:eastAsia="Times New Roman" w:cs="Times New Roman"/>
                <w:spacing w:val="5"/>
              </w:rPr>
              <w:t>27.375t/a</w:t>
            </w:r>
          </w:p>
        </w:tc>
      </w:tr>
      <w:tr w14:paraId="4454D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919" w:type="dxa"/>
            <w:vMerge w:val="continue"/>
            <w:tcBorders>
              <w:top w:val="nil"/>
              <w:left w:val="single" w:color="000000" w:sz="10" w:space="0"/>
              <w:bottom w:val="nil"/>
            </w:tcBorders>
            <w:vAlign w:val="top"/>
          </w:tcPr>
          <w:p w14:paraId="09A89981">
            <w:pPr>
              <w:rPr>
                <w:rFonts w:ascii="Arial"/>
                <w:sz w:val="21"/>
              </w:rPr>
            </w:pPr>
          </w:p>
        </w:tc>
        <w:tc>
          <w:tcPr>
            <w:tcW w:w="1503" w:type="dxa"/>
            <w:vMerge w:val="restart"/>
            <w:tcBorders>
              <w:bottom w:val="nil"/>
            </w:tcBorders>
            <w:vAlign w:val="top"/>
          </w:tcPr>
          <w:p w14:paraId="5A634484">
            <w:pPr>
              <w:spacing w:line="329" w:lineRule="auto"/>
              <w:rPr>
                <w:rFonts w:ascii="Arial"/>
                <w:sz w:val="21"/>
              </w:rPr>
            </w:pPr>
          </w:p>
          <w:p w14:paraId="6EECB036">
            <w:pPr>
              <w:spacing w:line="330" w:lineRule="auto"/>
              <w:rPr>
                <w:rFonts w:ascii="Arial"/>
                <w:sz w:val="21"/>
              </w:rPr>
            </w:pPr>
          </w:p>
          <w:p w14:paraId="49E9C65A">
            <w:pPr>
              <w:pStyle w:val="6"/>
              <w:spacing w:before="65" w:line="228" w:lineRule="auto"/>
              <w:ind w:left="104"/>
            </w:pPr>
            <w:r>
              <w:rPr>
                <w:spacing w:val="8"/>
              </w:rPr>
              <w:t>基于水质目标</w:t>
            </w:r>
          </w:p>
          <w:p w14:paraId="03555EDA">
            <w:pPr>
              <w:pStyle w:val="6"/>
              <w:spacing w:before="66" w:line="289" w:lineRule="auto"/>
              <w:ind w:left="104" w:right="144" w:firstLine="17"/>
            </w:pPr>
            <w:r>
              <w:rPr>
                <w:spacing w:val="5"/>
              </w:rPr>
              <w:t>的水污染物排</w:t>
            </w:r>
            <w:r>
              <w:rPr>
                <w:spacing w:val="6"/>
              </w:rPr>
              <w:t>放限值</w:t>
            </w:r>
          </w:p>
        </w:tc>
        <w:tc>
          <w:tcPr>
            <w:tcW w:w="2798" w:type="dxa"/>
            <w:gridSpan w:val="3"/>
            <w:vAlign w:val="top"/>
          </w:tcPr>
          <w:p w14:paraId="2D85A787">
            <w:pPr>
              <w:spacing w:before="131" w:line="195" w:lineRule="auto"/>
              <w:ind w:left="11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3503" w:type="dxa"/>
            <w:tcBorders>
              <w:right w:val="single" w:color="000000" w:sz="10" w:space="0"/>
            </w:tcBorders>
            <w:vAlign w:val="top"/>
          </w:tcPr>
          <w:p w14:paraId="23A642B1">
            <w:pPr>
              <w:spacing w:before="127" w:line="201" w:lineRule="auto"/>
              <w:ind w:left="142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50</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/L</w:t>
            </w:r>
          </w:p>
        </w:tc>
      </w:tr>
      <w:tr w14:paraId="0007B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19" w:type="dxa"/>
            <w:vMerge w:val="continue"/>
            <w:tcBorders>
              <w:top w:val="nil"/>
              <w:left w:val="single" w:color="000000" w:sz="10" w:space="0"/>
              <w:bottom w:val="nil"/>
            </w:tcBorders>
            <w:vAlign w:val="top"/>
          </w:tcPr>
          <w:p w14:paraId="7BDAA623">
            <w:pPr>
              <w:rPr>
                <w:rFonts w:ascii="Arial"/>
                <w:sz w:val="21"/>
              </w:rPr>
            </w:pPr>
          </w:p>
        </w:tc>
        <w:tc>
          <w:tcPr>
            <w:tcW w:w="1503" w:type="dxa"/>
            <w:vMerge w:val="continue"/>
            <w:tcBorders>
              <w:top w:val="nil"/>
              <w:bottom w:val="nil"/>
            </w:tcBorders>
            <w:vAlign w:val="top"/>
          </w:tcPr>
          <w:p w14:paraId="5F8A1D22">
            <w:pPr>
              <w:rPr>
                <w:rFonts w:ascii="Arial"/>
                <w:sz w:val="21"/>
              </w:rPr>
            </w:pPr>
          </w:p>
        </w:tc>
        <w:tc>
          <w:tcPr>
            <w:tcW w:w="2798" w:type="dxa"/>
            <w:gridSpan w:val="3"/>
            <w:vAlign w:val="top"/>
          </w:tcPr>
          <w:p w14:paraId="4549C67E">
            <w:pPr>
              <w:spacing w:before="132" w:line="200" w:lineRule="auto"/>
              <w:ind w:left="1143"/>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19"/>
                <w:position w:val="-1"/>
                <w:sz w:val="13"/>
                <w:szCs w:val="13"/>
              </w:rPr>
              <w:t>5</w:t>
            </w:r>
          </w:p>
        </w:tc>
        <w:tc>
          <w:tcPr>
            <w:tcW w:w="3503" w:type="dxa"/>
            <w:tcBorders>
              <w:right w:val="single" w:color="000000" w:sz="10" w:space="0"/>
            </w:tcBorders>
            <w:vAlign w:val="top"/>
          </w:tcPr>
          <w:p w14:paraId="7674833C">
            <w:pPr>
              <w:spacing w:before="129" w:line="201" w:lineRule="auto"/>
              <w:ind w:left="14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w:t>
            </w:r>
            <w:r>
              <w:rPr>
                <w:rFonts w:ascii="Times New Roman" w:hAnsi="Times New Roman" w:eastAsia="Times New Roman" w:cs="Times New Roman"/>
                <w:sz w:val="20"/>
                <w:szCs w:val="20"/>
              </w:rPr>
              <w:t>mg</w:t>
            </w:r>
            <w:r>
              <w:rPr>
                <w:rFonts w:ascii="Times New Roman" w:hAnsi="Times New Roman" w:eastAsia="Times New Roman" w:cs="Times New Roman"/>
                <w:spacing w:val="1"/>
                <w:sz w:val="20"/>
                <w:szCs w:val="20"/>
              </w:rPr>
              <w:t>/L</w:t>
            </w:r>
          </w:p>
        </w:tc>
      </w:tr>
      <w:tr w14:paraId="257B51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19" w:type="dxa"/>
            <w:vMerge w:val="continue"/>
            <w:tcBorders>
              <w:top w:val="nil"/>
              <w:left w:val="single" w:color="000000" w:sz="10" w:space="0"/>
              <w:bottom w:val="nil"/>
            </w:tcBorders>
            <w:vAlign w:val="top"/>
          </w:tcPr>
          <w:p w14:paraId="5F9C78A2">
            <w:pPr>
              <w:rPr>
                <w:rFonts w:ascii="Arial"/>
                <w:sz w:val="21"/>
              </w:rPr>
            </w:pPr>
          </w:p>
        </w:tc>
        <w:tc>
          <w:tcPr>
            <w:tcW w:w="1503" w:type="dxa"/>
            <w:vMerge w:val="continue"/>
            <w:tcBorders>
              <w:top w:val="nil"/>
              <w:bottom w:val="nil"/>
            </w:tcBorders>
            <w:vAlign w:val="top"/>
          </w:tcPr>
          <w:p w14:paraId="521E5C44">
            <w:pPr>
              <w:rPr>
                <w:rFonts w:ascii="Arial"/>
                <w:sz w:val="21"/>
              </w:rPr>
            </w:pPr>
          </w:p>
        </w:tc>
        <w:tc>
          <w:tcPr>
            <w:tcW w:w="2798" w:type="dxa"/>
            <w:gridSpan w:val="3"/>
            <w:vAlign w:val="top"/>
          </w:tcPr>
          <w:p w14:paraId="6E8F93C0">
            <w:pPr>
              <w:spacing w:before="132" w:line="195" w:lineRule="auto"/>
              <w:ind w:left="12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3503" w:type="dxa"/>
            <w:tcBorders>
              <w:right w:val="single" w:color="000000" w:sz="10" w:space="0"/>
            </w:tcBorders>
            <w:vAlign w:val="top"/>
          </w:tcPr>
          <w:p w14:paraId="773DECA9">
            <w:pPr>
              <w:spacing w:before="128" w:line="201" w:lineRule="auto"/>
              <w:ind w:left="14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w:t>
            </w:r>
            <w:r>
              <w:rPr>
                <w:rFonts w:ascii="Times New Roman" w:hAnsi="Times New Roman" w:eastAsia="Times New Roman" w:cs="Times New Roman"/>
                <w:sz w:val="20"/>
                <w:szCs w:val="20"/>
              </w:rPr>
              <w:t>mg</w:t>
            </w:r>
            <w:r>
              <w:rPr>
                <w:rFonts w:ascii="Times New Roman" w:hAnsi="Times New Roman" w:eastAsia="Times New Roman" w:cs="Times New Roman"/>
                <w:spacing w:val="1"/>
                <w:sz w:val="20"/>
                <w:szCs w:val="20"/>
              </w:rPr>
              <w:t>/L</w:t>
            </w:r>
          </w:p>
        </w:tc>
      </w:tr>
      <w:tr w14:paraId="7AF1F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19" w:type="dxa"/>
            <w:vMerge w:val="continue"/>
            <w:tcBorders>
              <w:top w:val="nil"/>
              <w:left w:val="single" w:color="000000" w:sz="10" w:space="0"/>
              <w:bottom w:val="nil"/>
            </w:tcBorders>
            <w:vAlign w:val="top"/>
          </w:tcPr>
          <w:p w14:paraId="73508C6E">
            <w:pPr>
              <w:rPr>
                <w:rFonts w:ascii="Arial"/>
                <w:sz w:val="21"/>
              </w:rPr>
            </w:pPr>
          </w:p>
        </w:tc>
        <w:tc>
          <w:tcPr>
            <w:tcW w:w="1503" w:type="dxa"/>
            <w:vMerge w:val="continue"/>
            <w:tcBorders>
              <w:top w:val="nil"/>
              <w:bottom w:val="nil"/>
            </w:tcBorders>
            <w:vAlign w:val="top"/>
          </w:tcPr>
          <w:p w14:paraId="4701B92C">
            <w:pPr>
              <w:rPr>
                <w:rFonts w:ascii="Arial"/>
                <w:sz w:val="21"/>
              </w:rPr>
            </w:pPr>
          </w:p>
        </w:tc>
        <w:tc>
          <w:tcPr>
            <w:tcW w:w="2798" w:type="dxa"/>
            <w:gridSpan w:val="3"/>
            <w:vAlign w:val="top"/>
          </w:tcPr>
          <w:p w14:paraId="7E5EBD43">
            <w:pPr>
              <w:spacing w:before="141" w:line="207" w:lineRule="auto"/>
              <w:ind w:left="1110"/>
              <w:rPr>
                <w:rFonts w:ascii="Times New Roman" w:hAnsi="Times New Roman" w:eastAsia="Times New Roman" w:cs="Times New Roman"/>
                <w:sz w:val="19"/>
                <w:szCs w:val="19"/>
              </w:rPr>
            </w:pPr>
            <w:r>
              <w:rPr>
                <w:rFonts w:ascii="Times New Roman" w:hAnsi="Times New Roman" w:eastAsia="Times New Roman" w:cs="Times New Roman"/>
                <w:sz w:val="19"/>
                <w:szCs w:val="19"/>
              </w:rPr>
              <w:t>NH</w:t>
            </w:r>
            <w:r>
              <w:rPr>
                <w:rFonts w:ascii="Times New Roman" w:hAnsi="Times New Roman" w:eastAsia="Times New Roman" w:cs="Times New Roman"/>
                <w:spacing w:val="9"/>
                <w:sz w:val="12"/>
                <w:szCs w:val="12"/>
              </w:rPr>
              <w:t>3</w:t>
            </w:r>
            <w:r>
              <w:rPr>
                <w:rFonts w:ascii="Times New Roman" w:hAnsi="Times New Roman" w:eastAsia="Times New Roman" w:cs="Times New Roman"/>
                <w:spacing w:val="9"/>
                <w:sz w:val="19"/>
                <w:szCs w:val="19"/>
              </w:rPr>
              <w:t>-N</w:t>
            </w:r>
          </w:p>
        </w:tc>
        <w:tc>
          <w:tcPr>
            <w:tcW w:w="3503" w:type="dxa"/>
            <w:tcBorders>
              <w:right w:val="single" w:color="000000" w:sz="10" w:space="0"/>
            </w:tcBorders>
            <w:vAlign w:val="top"/>
          </w:tcPr>
          <w:p w14:paraId="33D90C4A">
            <w:pPr>
              <w:spacing w:before="129" w:line="201" w:lineRule="auto"/>
              <w:ind w:left="147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/L</w:t>
            </w:r>
          </w:p>
        </w:tc>
      </w:tr>
      <w:tr w14:paraId="73D93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19" w:type="dxa"/>
            <w:vMerge w:val="continue"/>
            <w:tcBorders>
              <w:top w:val="nil"/>
              <w:left w:val="single" w:color="000000" w:sz="10" w:space="0"/>
              <w:bottom w:val="nil"/>
            </w:tcBorders>
            <w:vAlign w:val="top"/>
          </w:tcPr>
          <w:p w14:paraId="190C2BE1">
            <w:pPr>
              <w:rPr>
                <w:rFonts w:ascii="Arial"/>
                <w:sz w:val="21"/>
              </w:rPr>
            </w:pPr>
          </w:p>
        </w:tc>
        <w:tc>
          <w:tcPr>
            <w:tcW w:w="1503" w:type="dxa"/>
            <w:vMerge w:val="continue"/>
            <w:tcBorders>
              <w:top w:val="nil"/>
              <w:bottom w:val="nil"/>
            </w:tcBorders>
            <w:vAlign w:val="top"/>
          </w:tcPr>
          <w:p w14:paraId="48740B9E">
            <w:pPr>
              <w:rPr>
                <w:rFonts w:ascii="Arial"/>
                <w:sz w:val="21"/>
              </w:rPr>
            </w:pPr>
          </w:p>
        </w:tc>
        <w:tc>
          <w:tcPr>
            <w:tcW w:w="2798" w:type="dxa"/>
            <w:gridSpan w:val="3"/>
            <w:vAlign w:val="top"/>
          </w:tcPr>
          <w:p w14:paraId="2F0C33E7">
            <w:pPr>
              <w:spacing w:before="137" w:line="192" w:lineRule="auto"/>
              <w:ind w:left="12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TN</w:t>
            </w:r>
          </w:p>
        </w:tc>
        <w:tc>
          <w:tcPr>
            <w:tcW w:w="3503" w:type="dxa"/>
            <w:tcBorders>
              <w:right w:val="single" w:color="000000" w:sz="10" w:space="0"/>
            </w:tcBorders>
            <w:vAlign w:val="top"/>
          </w:tcPr>
          <w:p w14:paraId="34F1E5AD">
            <w:pPr>
              <w:spacing w:before="130" w:line="201" w:lineRule="auto"/>
              <w:ind w:left="14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w:t>
            </w:r>
            <w:r>
              <w:rPr>
                <w:rFonts w:ascii="Times New Roman" w:hAnsi="Times New Roman" w:eastAsia="Times New Roman" w:cs="Times New Roman"/>
                <w:sz w:val="20"/>
                <w:szCs w:val="20"/>
              </w:rPr>
              <w:t>mg</w:t>
            </w:r>
            <w:r>
              <w:rPr>
                <w:rFonts w:ascii="Times New Roman" w:hAnsi="Times New Roman" w:eastAsia="Times New Roman" w:cs="Times New Roman"/>
                <w:spacing w:val="1"/>
                <w:sz w:val="20"/>
                <w:szCs w:val="20"/>
              </w:rPr>
              <w:t>/L</w:t>
            </w:r>
          </w:p>
        </w:tc>
      </w:tr>
      <w:tr w14:paraId="58DF2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919" w:type="dxa"/>
            <w:vMerge w:val="continue"/>
            <w:tcBorders>
              <w:top w:val="nil"/>
              <w:left w:val="single" w:color="000000" w:sz="10" w:space="0"/>
              <w:bottom w:val="nil"/>
            </w:tcBorders>
            <w:vAlign w:val="top"/>
          </w:tcPr>
          <w:p w14:paraId="589C09A4">
            <w:pPr>
              <w:rPr>
                <w:rFonts w:ascii="Arial"/>
                <w:sz w:val="21"/>
              </w:rPr>
            </w:pPr>
          </w:p>
        </w:tc>
        <w:tc>
          <w:tcPr>
            <w:tcW w:w="1503" w:type="dxa"/>
            <w:vMerge w:val="continue"/>
            <w:tcBorders>
              <w:top w:val="nil"/>
            </w:tcBorders>
            <w:vAlign w:val="top"/>
          </w:tcPr>
          <w:p w14:paraId="11C102EB">
            <w:pPr>
              <w:rPr>
                <w:rFonts w:ascii="Arial"/>
                <w:sz w:val="21"/>
              </w:rPr>
            </w:pPr>
          </w:p>
        </w:tc>
        <w:tc>
          <w:tcPr>
            <w:tcW w:w="2798" w:type="dxa"/>
            <w:gridSpan w:val="3"/>
            <w:vAlign w:val="top"/>
          </w:tcPr>
          <w:p w14:paraId="1830573C">
            <w:pPr>
              <w:spacing w:before="138" w:line="192" w:lineRule="auto"/>
              <w:ind w:left="12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TP</w:t>
            </w:r>
          </w:p>
        </w:tc>
        <w:tc>
          <w:tcPr>
            <w:tcW w:w="3503" w:type="dxa"/>
            <w:tcBorders>
              <w:right w:val="single" w:color="000000" w:sz="10" w:space="0"/>
            </w:tcBorders>
            <w:vAlign w:val="top"/>
          </w:tcPr>
          <w:p w14:paraId="0A0F5F8C">
            <w:pPr>
              <w:spacing w:before="131" w:line="201" w:lineRule="auto"/>
              <w:ind w:left="139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/L</w:t>
            </w:r>
          </w:p>
        </w:tc>
      </w:tr>
      <w:tr w14:paraId="25325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919" w:type="dxa"/>
            <w:vMerge w:val="continue"/>
            <w:tcBorders>
              <w:top w:val="nil"/>
              <w:left w:val="single" w:color="000000" w:sz="10" w:space="0"/>
              <w:bottom w:val="nil"/>
            </w:tcBorders>
            <w:vAlign w:val="top"/>
          </w:tcPr>
          <w:p w14:paraId="7DB2B8CC">
            <w:pPr>
              <w:rPr>
                <w:rFonts w:ascii="Arial"/>
                <w:sz w:val="21"/>
              </w:rPr>
            </w:pPr>
          </w:p>
        </w:tc>
        <w:tc>
          <w:tcPr>
            <w:tcW w:w="1503" w:type="dxa"/>
            <w:vAlign w:val="top"/>
          </w:tcPr>
          <w:p w14:paraId="671C2B03">
            <w:pPr>
              <w:pStyle w:val="6"/>
              <w:spacing w:before="228" w:line="290" w:lineRule="auto"/>
              <w:ind w:left="105" w:right="144"/>
            </w:pPr>
            <w:r>
              <w:rPr>
                <w:spacing w:val="7"/>
              </w:rPr>
              <w:t>污水排放监控</w:t>
            </w:r>
            <w:r>
              <w:rPr>
                <w:spacing w:val="4"/>
              </w:rPr>
              <w:t>要求</w:t>
            </w:r>
          </w:p>
        </w:tc>
        <w:tc>
          <w:tcPr>
            <w:tcW w:w="6301" w:type="dxa"/>
            <w:gridSpan w:val="4"/>
            <w:tcBorders>
              <w:right w:val="single" w:color="000000" w:sz="10" w:space="0"/>
            </w:tcBorders>
            <w:vAlign w:val="top"/>
          </w:tcPr>
          <w:p w14:paraId="2FD3C2AC">
            <w:pPr>
              <w:pStyle w:val="6"/>
              <w:tabs>
                <w:tab w:val="left" w:pos="6255"/>
              </w:tabs>
              <w:spacing w:before="73" w:line="263" w:lineRule="auto"/>
              <w:ind w:left="97" w:right="28" w:firstLine="9"/>
              <w:jc w:val="both"/>
            </w:pPr>
            <w:r>
              <w:rPr>
                <w:spacing w:val="3"/>
              </w:rPr>
              <w:t>在厂区总排口计量槽安装废水在线监测设备，监测流量、</w:t>
            </w:r>
            <w:r>
              <w:rPr>
                <w:rFonts w:ascii="Times New Roman" w:hAnsi="Times New Roman" w:eastAsia="Times New Roman" w:cs="Times New Roman"/>
              </w:rPr>
              <w:t>pH</w:t>
            </w:r>
            <w:r>
              <w:rPr>
                <w:spacing w:val="3"/>
              </w:rPr>
              <w:t>、</w:t>
            </w:r>
            <w:r>
              <w:rPr>
                <w:rFonts w:ascii="Times New Roman" w:hAnsi="Times New Roman" w:eastAsia="Times New Roman" w:cs="Times New Roman"/>
              </w:rPr>
              <w:t>COD</w:t>
            </w:r>
            <w:r>
              <w:rPr>
                <w:spacing w:val="3"/>
              </w:rPr>
              <w:t>、</w:t>
            </w:r>
            <w:r>
              <w:rPr>
                <w:rFonts w:ascii="Times New Roman" w:hAnsi="Times New Roman" w:eastAsia="Times New Roman" w:cs="Times New Roman"/>
              </w:rPr>
              <w:t>NH</w:t>
            </w:r>
            <w:r>
              <w:rPr>
                <w:rFonts w:ascii="Times New Roman" w:hAnsi="Times New Roman" w:eastAsia="Times New Roman" w:cs="Times New Roman"/>
                <w:spacing w:val="9"/>
                <w:sz w:val="13"/>
                <w:szCs w:val="13"/>
              </w:rPr>
              <w:t>3</w:t>
            </w:r>
            <w:r>
              <w:rPr>
                <w:rFonts w:ascii="Times New Roman" w:hAnsi="Times New Roman" w:eastAsia="Times New Roman" w:cs="Times New Roman"/>
                <w:spacing w:val="9"/>
              </w:rPr>
              <w:t>-N</w:t>
            </w:r>
            <w:r>
              <w:rPr>
                <w:spacing w:val="9"/>
              </w:rPr>
              <w:t>、</w:t>
            </w:r>
            <w:r>
              <w:rPr>
                <w:rFonts w:ascii="Times New Roman" w:hAnsi="Times New Roman" w:eastAsia="Times New Roman" w:cs="Times New Roman"/>
              </w:rPr>
              <w:t>TN</w:t>
            </w:r>
            <w:r>
              <w:rPr>
                <w:spacing w:val="9"/>
              </w:rPr>
              <w:t>、</w:t>
            </w:r>
            <w:r>
              <w:rPr>
                <w:rFonts w:ascii="Times New Roman" w:hAnsi="Times New Roman" w:eastAsia="Times New Roman" w:cs="Times New Roman"/>
              </w:rPr>
              <w:t>TP</w:t>
            </w:r>
            <w:r>
              <w:rPr>
                <w:spacing w:val="9"/>
              </w:rPr>
              <w:t>等，确保污染物达标排放；定期监测</w:t>
            </w:r>
            <w:r>
              <w:rPr>
                <w:spacing w:val="8"/>
              </w:rPr>
              <w:t>项目区水环</w:t>
            </w:r>
            <w:r>
              <w:tab/>
            </w:r>
            <w:r>
              <w:rPr>
                <w:spacing w:val="9"/>
              </w:rPr>
              <w:t>境质量是否满足相关质量要求。</w:t>
            </w:r>
          </w:p>
        </w:tc>
      </w:tr>
      <w:tr w14:paraId="7CBBA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919" w:type="dxa"/>
            <w:vMerge w:val="continue"/>
            <w:tcBorders>
              <w:top w:val="nil"/>
              <w:left w:val="single" w:color="000000" w:sz="10" w:space="0"/>
              <w:bottom w:val="single" w:color="000000" w:sz="10" w:space="0"/>
            </w:tcBorders>
            <w:vAlign w:val="top"/>
          </w:tcPr>
          <w:p w14:paraId="6B817CB5">
            <w:pPr>
              <w:rPr>
                <w:rFonts w:ascii="Arial"/>
                <w:sz w:val="21"/>
              </w:rPr>
            </w:pPr>
          </w:p>
        </w:tc>
        <w:tc>
          <w:tcPr>
            <w:tcW w:w="1503" w:type="dxa"/>
            <w:tcBorders>
              <w:bottom w:val="single" w:color="000000" w:sz="10" w:space="0"/>
            </w:tcBorders>
            <w:vAlign w:val="top"/>
          </w:tcPr>
          <w:p w14:paraId="54BB5682">
            <w:pPr>
              <w:pStyle w:val="6"/>
              <w:spacing w:before="75" w:line="261" w:lineRule="auto"/>
              <w:ind w:left="103" w:right="144" w:firstLine="8"/>
            </w:pPr>
            <w:r>
              <w:rPr>
                <w:spacing w:val="7"/>
              </w:rPr>
              <w:t>突发水污染事</w:t>
            </w:r>
            <w:r>
              <w:rPr>
                <w:spacing w:val="8"/>
              </w:rPr>
              <w:t>件应急预案</w:t>
            </w:r>
          </w:p>
        </w:tc>
        <w:tc>
          <w:tcPr>
            <w:tcW w:w="6301" w:type="dxa"/>
            <w:gridSpan w:val="4"/>
            <w:tcBorders>
              <w:bottom w:val="single" w:color="000000" w:sz="10" w:space="0"/>
              <w:right w:val="single" w:color="000000" w:sz="10" w:space="0"/>
            </w:tcBorders>
            <w:vAlign w:val="top"/>
          </w:tcPr>
          <w:p w14:paraId="09B73F66">
            <w:pPr>
              <w:pStyle w:val="6"/>
              <w:spacing w:before="230" w:line="228" w:lineRule="auto"/>
              <w:ind w:left="1892"/>
            </w:pPr>
            <w:r>
              <w:rPr>
                <w:spacing w:val="9"/>
              </w:rPr>
              <w:t>制定突发环境事件应急预案</w:t>
            </w:r>
          </w:p>
        </w:tc>
      </w:tr>
    </w:tbl>
    <w:p w14:paraId="1F288B2C">
      <w:pPr>
        <w:pStyle w:val="2"/>
      </w:pPr>
    </w:p>
    <w:p w14:paraId="00645D81">
      <w:pPr>
        <w:sectPr>
          <w:pgSz w:w="11906" w:h="16839"/>
          <w:pgMar w:top="1132" w:right="1578" w:bottom="0" w:left="1578" w:header="829" w:footer="0" w:gutter="0"/>
          <w:cols w:space="720" w:num="1"/>
        </w:sectPr>
      </w:pPr>
    </w:p>
    <w:p w14:paraId="38D7249E">
      <w:pPr>
        <w:pStyle w:val="2"/>
        <w:spacing w:line="335" w:lineRule="auto"/>
      </w:pPr>
    </w:p>
    <w:p w14:paraId="6D8B64B1">
      <w:pPr>
        <w:spacing w:before="100" w:line="225" w:lineRule="auto"/>
        <w:ind w:left="4099"/>
        <w:outlineLvl w:val="0"/>
        <w:rPr>
          <w:rFonts w:ascii="宋体" w:hAnsi="宋体" w:eastAsia="宋体" w:cs="宋体"/>
          <w:sz w:val="31"/>
          <w:szCs w:val="31"/>
        </w:rPr>
      </w:pPr>
      <w:bookmarkStart w:id="1" w:name="bookmark2"/>
      <w:bookmarkEnd w:id="1"/>
      <w:r>
        <w:rPr>
          <w:rFonts w:ascii="Times New Roman" w:hAnsi="Times New Roman" w:eastAsia="Times New Roman" w:cs="Times New Roman"/>
          <w:b/>
          <w:bCs/>
          <w:spacing w:val="-8"/>
          <w:sz w:val="31"/>
          <w:szCs w:val="31"/>
        </w:rPr>
        <w:t>1</w:t>
      </w:r>
      <w:r>
        <w:rPr>
          <w:rFonts w:ascii="宋体" w:hAnsi="宋体" w:eastAsia="宋体" w:cs="宋体"/>
          <w:b/>
          <w:bCs/>
          <w:spacing w:val="-8"/>
          <w:sz w:val="31"/>
          <w:szCs w:val="31"/>
        </w:rPr>
        <w:t>总则</w:t>
      </w:r>
    </w:p>
    <w:p w14:paraId="3FAB8A7D">
      <w:pPr>
        <w:pStyle w:val="2"/>
        <w:spacing w:line="350" w:lineRule="auto"/>
      </w:pPr>
    </w:p>
    <w:p w14:paraId="4FF906CC">
      <w:pPr>
        <w:spacing w:before="91" w:line="223" w:lineRule="auto"/>
        <w:ind w:left="19"/>
        <w:outlineLvl w:val="1"/>
        <w:rPr>
          <w:rFonts w:ascii="宋体" w:hAnsi="宋体" w:eastAsia="宋体" w:cs="宋体"/>
          <w:sz w:val="28"/>
          <w:szCs w:val="28"/>
        </w:rPr>
      </w:pPr>
      <w:bookmarkStart w:id="2" w:name="bookmark3"/>
      <w:bookmarkEnd w:id="2"/>
      <w:r>
        <w:rPr>
          <w:rFonts w:ascii="Times New Roman" w:hAnsi="Times New Roman" w:eastAsia="Times New Roman" w:cs="Times New Roman"/>
          <w:b/>
          <w:bCs/>
          <w:spacing w:val="-4"/>
          <w:sz w:val="28"/>
          <w:szCs w:val="28"/>
        </w:rPr>
        <w:t>1.1</w:t>
      </w:r>
      <w:r>
        <w:rPr>
          <w:rFonts w:ascii="宋体" w:hAnsi="宋体" w:eastAsia="宋体" w:cs="宋体"/>
          <w:b/>
          <w:bCs/>
          <w:spacing w:val="-4"/>
          <w:sz w:val="28"/>
          <w:szCs w:val="28"/>
        </w:rPr>
        <w:t>论证目的</w:t>
      </w:r>
    </w:p>
    <w:p w14:paraId="51541526">
      <w:pPr>
        <w:spacing w:before="230" w:line="219" w:lineRule="auto"/>
        <w:ind w:left="16"/>
        <w:outlineLvl w:val="2"/>
        <w:rPr>
          <w:rFonts w:ascii="宋体" w:hAnsi="宋体" w:eastAsia="宋体" w:cs="宋体"/>
          <w:sz w:val="24"/>
          <w:szCs w:val="24"/>
        </w:rPr>
      </w:pPr>
      <w:r>
        <w:rPr>
          <w:rFonts w:ascii="Times New Roman" w:hAnsi="Times New Roman" w:eastAsia="Times New Roman" w:cs="Times New Roman"/>
          <w:b/>
          <w:bCs/>
          <w:spacing w:val="-5"/>
          <w:sz w:val="24"/>
          <w:szCs w:val="24"/>
        </w:rPr>
        <w:t>1.1.1</w:t>
      </w:r>
      <w:r>
        <w:rPr>
          <w:rFonts w:ascii="宋体" w:hAnsi="宋体" w:eastAsia="宋体" w:cs="宋体"/>
          <w:b/>
          <w:bCs/>
          <w:spacing w:val="-5"/>
          <w:sz w:val="24"/>
          <w:szCs w:val="24"/>
        </w:rPr>
        <w:t>项目由来</w:t>
      </w:r>
    </w:p>
    <w:p w14:paraId="5AFC43D0">
      <w:pPr>
        <w:spacing w:before="182" w:line="360" w:lineRule="auto"/>
        <w:ind w:left="11" w:right="103" w:firstLine="493"/>
        <w:jc w:val="both"/>
        <w:rPr>
          <w:rFonts w:ascii="宋体" w:hAnsi="宋体" w:eastAsia="宋体" w:cs="宋体"/>
          <w:sz w:val="24"/>
          <w:szCs w:val="24"/>
        </w:rPr>
      </w:pPr>
      <w:r>
        <w:rPr>
          <w:rFonts w:ascii="宋体" w:hAnsi="宋体" w:eastAsia="宋体" w:cs="宋体"/>
          <w:spacing w:val="-2"/>
          <w:sz w:val="24"/>
          <w:szCs w:val="24"/>
        </w:rPr>
        <w:t>隆回高新技术产业开发区园区代码</w:t>
      </w:r>
      <w:r>
        <w:rPr>
          <w:rFonts w:ascii="Times New Roman" w:hAnsi="Times New Roman" w:eastAsia="Times New Roman" w:cs="Times New Roman"/>
          <w:spacing w:val="-2"/>
          <w:sz w:val="24"/>
          <w:szCs w:val="24"/>
        </w:rPr>
        <w:t>S439086</w:t>
      </w:r>
      <w:r>
        <w:rPr>
          <w:rFonts w:ascii="宋体" w:hAnsi="宋体" w:eastAsia="宋体" w:cs="宋体"/>
          <w:spacing w:val="-2"/>
          <w:sz w:val="24"/>
          <w:szCs w:val="24"/>
        </w:rPr>
        <w:t>，园区级</w:t>
      </w:r>
      <w:r>
        <w:rPr>
          <w:rFonts w:ascii="宋体" w:hAnsi="宋体" w:eastAsia="宋体" w:cs="宋体"/>
          <w:spacing w:val="-3"/>
          <w:sz w:val="24"/>
          <w:szCs w:val="24"/>
        </w:rPr>
        <w:t>别为省级工业园区。目</w:t>
      </w:r>
      <w:r>
        <w:rPr>
          <w:rFonts w:ascii="宋体" w:hAnsi="宋体" w:eastAsia="宋体" w:cs="宋体"/>
          <w:sz w:val="24"/>
          <w:szCs w:val="24"/>
        </w:rPr>
        <w:t>前制鞋业，文教、工美、体育和娱乐用品制造业，</w:t>
      </w:r>
      <w:r>
        <w:rPr>
          <w:rFonts w:ascii="宋体" w:hAnsi="宋体" w:eastAsia="宋体" w:cs="宋体"/>
          <w:spacing w:val="-1"/>
          <w:sz w:val="24"/>
          <w:szCs w:val="24"/>
        </w:rPr>
        <w:t>农副食品加工，家具制造业，</w:t>
      </w:r>
      <w:r>
        <w:rPr>
          <w:rFonts w:ascii="宋体" w:hAnsi="宋体" w:eastAsia="宋体" w:cs="宋体"/>
          <w:spacing w:val="3"/>
          <w:sz w:val="24"/>
          <w:szCs w:val="24"/>
        </w:rPr>
        <w:t>金属门窗制造等产业得到一定发展。隆回高新技术产业开发区成立于</w:t>
      </w:r>
      <w:r>
        <w:rPr>
          <w:rFonts w:ascii="Times New Roman" w:hAnsi="Times New Roman" w:eastAsia="Times New Roman" w:cs="Times New Roman"/>
          <w:spacing w:val="3"/>
          <w:sz w:val="24"/>
          <w:szCs w:val="24"/>
        </w:rPr>
        <w:t>2005</w:t>
      </w:r>
      <w:r>
        <w:rPr>
          <w:rFonts w:ascii="宋体" w:hAnsi="宋体" w:eastAsia="宋体" w:cs="宋体"/>
          <w:spacing w:val="3"/>
          <w:sz w:val="24"/>
          <w:szCs w:val="24"/>
        </w:rPr>
        <w:t>年</w:t>
      </w:r>
      <w:r>
        <w:rPr>
          <w:rFonts w:ascii="Times New Roman" w:hAnsi="Times New Roman" w:eastAsia="Times New Roman" w:cs="Times New Roman"/>
          <w:spacing w:val="3"/>
          <w:sz w:val="24"/>
          <w:szCs w:val="24"/>
        </w:rPr>
        <w:t>8</w:t>
      </w:r>
      <w:r>
        <w:rPr>
          <w:rFonts w:ascii="宋体" w:hAnsi="宋体" w:eastAsia="宋体" w:cs="宋体"/>
          <w:spacing w:val="-3"/>
          <w:sz w:val="24"/>
          <w:szCs w:val="24"/>
        </w:rPr>
        <w:t>月，</w:t>
      </w:r>
      <w:r>
        <w:rPr>
          <w:rFonts w:ascii="Times New Roman" w:hAnsi="Times New Roman" w:eastAsia="Times New Roman" w:cs="Times New Roman"/>
          <w:spacing w:val="-3"/>
          <w:sz w:val="24"/>
          <w:szCs w:val="24"/>
        </w:rPr>
        <w:t>2012</w:t>
      </w:r>
      <w:r>
        <w:rPr>
          <w:rFonts w:ascii="宋体" w:hAnsi="宋体" w:eastAsia="宋体" w:cs="宋体"/>
          <w:spacing w:val="-3"/>
          <w:sz w:val="24"/>
          <w:szCs w:val="24"/>
        </w:rPr>
        <w:t>年</w:t>
      </w:r>
      <w:r>
        <w:rPr>
          <w:rFonts w:ascii="Times New Roman" w:hAnsi="Times New Roman" w:eastAsia="Times New Roman" w:cs="Times New Roman"/>
          <w:spacing w:val="-3"/>
          <w:sz w:val="24"/>
          <w:szCs w:val="24"/>
        </w:rPr>
        <w:t>11</w:t>
      </w:r>
      <w:r>
        <w:rPr>
          <w:rFonts w:ascii="宋体" w:hAnsi="宋体" w:eastAsia="宋体" w:cs="宋体"/>
          <w:spacing w:val="-3"/>
          <w:sz w:val="24"/>
          <w:szCs w:val="24"/>
        </w:rPr>
        <w:t>月获批准为“省级高</w:t>
      </w:r>
      <w:r>
        <w:rPr>
          <w:rFonts w:ascii="宋体" w:hAnsi="宋体" w:eastAsia="宋体" w:cs="宋体"/>
          <w:spacing w:val="-4"/>
          <w:sz w:val="24"/>
          <w:szCs w:val="24"/>
        </w:rPr>
        <w:t>新区”（湘政办函</w:t>
      </w:r>
      <w:r>
        <w:rPr>
          <w:rFonts w:ascii="Times New Roman" w:hAnsi="Times New Roman" w:eastAsia="Times New Roman" w:cs="Times New Roman"/>
          <w:spacing w:val="-4"/>
          <w:sz w:val="24"/>
          <w:szCs w:val="24"/>
        </w:rPr>
        <w:t>[2012]187</w:t>
      </w:r>
      <w:r>
        <w:rPr>
          <w:rFonts w:ascii="宋体" w:hAnsi="宋体" w:eastAsia="宋体" w:cs="宋体"/>
          <w:spacing w:val="-4"/>
          <w:sz w:val="24"/>
          <w:szCs w:val="24"/>
        </w:rPr>
        <w:t>号</w:t>
      </w:r>
      <w:r>
        <w:rPr>
          <w:rFonts w:ascii="宋体" w:hAnsi="宋体" w:eastAsia="宋体" w:cs="宋体"/>
          <w:spacing w:val="19"/>
          <w:sz w:val="24"/>
          <w:szCs w:val="24"/>
        </w:rPr>
        <w:t>），</w:t>
      </w:r>
      <w:r>
        <w:rPr>
          <w:rFonts w:ascii="宋体" w:hAnsi="宋体" w:eastAsia="宋体" w:cs="宋体"/>
          <w:spacing w:val="-4"/>
          <w:sz w:val="24"/>
          <w:szCs w:val="24"/>
        </w:rPr>
        <w:t>自此更名</w:t>
      </w:r>
      <w:r>
        <w:rPr>
          <w:rFonts w:ascii="宋体" w:hAnsi="宋体" w:eastAsia="宋体" w:cs="宋体"/>
          <w:spacing w:val="-1"/>
          <w:sz w:val="24"/>
          <w:szCs w:val="24"/>
        </w:rPr>
        <w:t>为隆回工业集中区，</w:t>
      </w:r>
      <w:r>
        <w:rPr>
          <w:rFonts w:ascii="Times New Roman" w:hAnsi="Times New Roman" w:eastAsia="Times New Roman" w:cs="Times New Roman"/>
          <w:spacing w:val="-1"/>
          <w:sz w:val="24"/>
          <w:szCs w:val="24"/>
        </w:rPr>
        <w:t>2020</w:t>
      </w:r>
      <w:r>
        <w:rPr>
          <w:rFonts w:ascii="宋体" w:hAnsi="宋体" w:eastAsia="宋体" w:cs="宋体"/>
          <w:spacing w:val="-1"/>
          <w:sz w:val="24"/>
          <w:szCs w:val="24"/>
        </w:rPr>
        <w:t>年</w:t>
      </w:r>
      <w:r>
        <w:rPr>
          <w:rFonts w:ascii="Times New Roman" w:hAnsi="Times New Roman" w:eastAsia="Times New Roman" w:cs="Times New Roman"/>
          <w:spacing w:val="-1"/>
          <w:sz w:val="24"/>
          <w:szCs w:val="24"/>
        </w:rPr>
        <w:t>7</w:t>
      </w:r>
      <w:r>
        <w:rPr>
          <w:rFonts w:ascii="宋体" w:hAnsi="宋体" w:eastAsia="宋体" w:cs="宋体"/>
          <w:spacing w:val="-1"/>
          <w:sz w:val="24"/>
          <w:szCs w:val="24"/>
        </w:rPr>
        <w:t>月更名为隆回高新技术产</w:t>
      </w:r>
      <w:r>
        <w:rPr>
          <w:rFonts w:ascii="宋体" w:hAnsi="宋体" w:eastAsia="宋体" w:cs="宋体"/>
          <w:spacing w:val="-2"/>
          <w:sz w:val="24"/>
          <w:szCs w:val="24"/>
        </w:rPr>
        <w:t>业开发区。</w:t>
      </w:r>
    </w:p>
    <w:p w14:paraId="1B23C1A9">
      <w:pPr>
        <w:spacing w:before="4" w:line="359" w:lineRule="auto"/>
        <w:ind w:left="10" w:right="98" w:firstLine="474"/>
        <w:jc w:val="both"/>
        <w:rPr>
          <w:rFonts w:ascii="宋体" w:hAnsi="宋体" w:eastAsia="宋体" w:cs="宋体"/>
          <w:sz w:val="24"/>
          <w:szCs w:val="24"/>
        </w:rPr>
      </w:pPr>
      <w:r>
        <w:rPr>
          <w:rFonts w:ascii="Times New Roman" w:hAnsi="Times New Roman" w:eastAsia="Times New Roman" w:cs="Times New Roman"/>
          <w:spacing w:val="-3"/>
          <w:sz w:val="24"/>
          <w:szCs w:val="24"/>
        </w:rPr>
        <w:t>2017</w:t>
      </w:r>
      <w:r>
        <w:rPr>
          <w:rFonts w:ascii="宋体" w:hAnsi="宋体" w:eastAsia="宋体" w:cs="宋体"/>
          <w:spacing w:val="-3"/>
          <w:sz w:val="24"/>
          <w:szCs w:val="24"/>
        </w:rPr>
        <w:t>年</w:t>
      </w:r>
      <w:r>
        <w:rPr>
          <w:rFonts w:ascii="Times New Roman" w:hAnsi="Times New Roman" w:eastAsia="Times New Roman" w:cs="Times New Roman"/>
          <w:spacing w:val="-3"/>
          <w:sz w:val="24"/>
          <w:szCs w:val="24"/>
        </w:rPr>
        <w:t>8</w:t>
      </w:r>
      <w:r>
        <w:rPr>
          <w:rFonts w:ascii="宋体" w:hAnsi="宋体" w:eastAsia="宋体" w:cs="宋体"/>
          <w:spacing w:val="-3"/>
          <w:sz w:val="24"/>
          <w:szCs w:val="24"/>
        </w:rPr>
        <w:t>月，隆回县工业污水处理厂建设单位委托长沙市玺成工程技术咨询</w:t>
      </w:r>
      <w:r>
        <w:rPr>
          <w:rFonts w:ascii="宋体" w:hAnsi="宋体" w:eastAsia="宋体" w:cs="宋体"/>
          <w:spacing w:val="-7"/>
          <w:sz w:val="24"/>
          <w:szCs w:val="24"/>
        </w:rPr>
        <w:t>有限责任公司编制《隆回县工业污水处理厂（一期）工程环境影响报告书》。</w:t>
      </w:r>
      <w:r>
        <w:rPr>
          <w:rFonts w:ascii="Times New Roman" w:hAnsi="Times New Roman" w:eastAsia="Times New Roman" w:cs="Times New Roman"/>
          <w:spacing w:val="-7"/>
          <w:sz w:val="24"/>
          <w:szCs w:val="24"/>
        </w:rPr>
        <w:t>2017</w:t>
      </w:r>
      <w:r>
        <w:rPr>
          <w:rFonts w:ascii="宋体" w:hAnsi="宋体" w:eastAsia="宋体" w:cs="宋体"/>
          <w:spacing w:val="-3"/>
          <w:sz w:val="24"/>
          <w:szCs w:val="24"/>
        </w:rPr>
        <w:t>年</w:t>
      </w:r>
      <w:r>
        <w:rPr>
          <w:rFonts w:ascii="Times New Roman" w:hAnsi="Times New Roman" w:eastAsia="Times New Roman" w:cs="Times New Roman"/>
          <w:spacing w:val="-3"/>
          <w:sz w:val="24"/>
          <w:szCs w:val="24"/>
        </w:rPr>
        <w:t>9</w:t>
      </w:r>
      <w:r>
        <w:rPr>
          <w:rFonts w:ascii="宋体" w:hAnsi="宋体" w:eastAsia="宋体" w:cs="宋体"/>
          <w:spacing w:val="-3"/>
          <w:sz w:val="24"/>
          <w:szCs w:val="24"/>
        </w:rPr>
        <w:t>月</w:t>
      </w:r>
      <w:r>
        <w:rPr>
          <w:rFonts w:ascii="Times New Roman" w:hAnsi="Times New Roman" w:eastAsia="Times New Roman" w:cs="Times New Roman"/>
          <w:spacing w:val="-3"/>
          <w:sz w:val="24"/>
          <w:szCs w:val="24"/>
        </w:rPr>
        <w:t>7</w:t>
      </w:r>
      <w:r>
        <w:rPr>
          <w:rFonts w:ascii="宋体" w:hAnsi="宋体" w:eastAsia="宋体" w:cs="宋体"/>
          <w:spacing w:val="-3"/>
          <w:sz w:val="24"/>
          <w:szCs w:val="24"/>
        </w:rPr>
        <w:t>日，邵阳市环境保护局对该项目环境影响报告书进行了批复（邵市环评</w:t>
      </w:r>
      <w:r>
        <w:rPr>
          <w:rFonts w:ascii="Times New Roman" w:hAnsi="Times New Roman" w:eastAsia="Times New Roman" w:cs="Times New Roman"/>
          <w:spacing w:val="-4"/>
          <w:sz w:val="24"/>
          <w:szCs w:val="24"/>
        </w:rPr>
        <w:t>[2017]45</w:t>
      </w:r>
      <w:r>
        <w:rPr>
          <w:rFonts w:ascii="宋体" w:hAnsi="宋体" w:eastAsia="宋体" w:cs="宋体"/>
          <w:spacing w:val="-4"/>
          <w:sz w:val="24"/>
          <w:szCs w:val="24"/>
        </w:rPr>
        <w:t>号）。隆回县工业污水处理厂（一期）工程于</w:t>
      </w:r>
      <w:r>
        <w:rPr>
          <w:rFonts w:ascii="Times New Roman" w:hAnsi="Times New Roman" w:eastAsia="Times New Roman" w:cs="Times New Roman"/>
          <w:spacing w:val="-4"/>
          <w:sz w:val="24"/>
          <w:szCs w:val="24"/>
        </w:rPr>
        <w:t>2018</w:t>
      </w:r>
      <w:r>
        <w:rPr>
          <w:rFonts w:ascii="宋体" w:hAnsi="宋体" w:eastAsia="宋体" w:cs="宋体"/>
          <w:spacing w:val="-4"/>
          <w:sz w:val="24"/>
          <w:szCs w:val="24"/>
        </w:rPr>
        <w:t>年</w:t>
      </w:r>
      <w:r>
        <w:rPr>
          <w:rFonts w:ascii="Times New Roman" w:hAnsi="Times New Roman" w:eastAsia="Times New Roman" w:cs="Times New Roman"/>
          <w:spacing w:val="-4"/>
          <w:sz w:val="24"/>
          <w:szCs w:val="24"/>
        </w:rPr>
        <w:t>4</w:t>
      </w:r>
      <w:r>
        <w:rPr>
          <w:rFonts w:ascii="宋体" w:hAnsi="宋体" w:eastAsia="宋体" w:cs="宋体"/>
          <w:spacing w:val="-4"/>
          <w:sz w:val="24"/>
          <w:szCs w:val="24"/>
        </w:rPr>
        <w:t>月开工，</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5"/>
          <w:sz w:val="24"/>
          <w:szCs w:val="24"/>
        </w:rPr>
        <w:t>019</w:t>
      </w:r>
      <w:r>
        <w:rPr>
          <w:rFonts w:ascii="宋体" w:hAnsi="宋体" w:eastAsia="宋体" w:cs="宋体"/>
          <w:spacing w:val="-5"/>
          <w:sz w:val="24"/>
          <w:szCs w:val="24"/>
        </w:rPr>
        <w:t>年</w:t>
      </w:r>
      <w:r>
        <w:rPr>
          <w:rFonts w:ascii="Times New Roman" w:hAnsi="Times New Roman" w:eastAsia="Times New Roman" w:cs="Times New Roman"/>
          <w:spacing w:val="-3"/>
          <w:sz w:val="24"/>
          <w:szCs w:val="24"/>
        </w:rPr>
        <w:t>6</w:t>
      </w:r>
      <w:r>
        <w:rPr>
          <w:rFonts w:ascii="宋体" w:hAnsi="宋体" w:eastAsia="宋体" w:cs="宋体"/>
          <w:spacing w:val="-3"/>
          <w:sz w:val="24"/>
          <w:szCs w:val="24"/>
        </w:rPr>
        <w:t>月进入调整运营阶段。</w:t>
      </w:r>
      <w:r>
        <w:rPr>
          <w:rFonts w:ascii="Times New Roman" w:hAnsi="Times New Roman" w:eastAsia="Times New Roman" w:cs="Times New Roman"/>
          <w:spacing w:val="-3"/>
          <w:sz w:val="24"/>
          <w:szCs w:val="24"/>
        </w:rPr>
        <w:t>2020</w:t>
      </w:r>
      <w:r>
        <w:rPr>
          <w:rFonts w:ascii="宋体" w:hAnsi="宋体" w:eastAsia="宋体" w:cs="宋体"/>
          <w:spacing w:val="-3"/>
          <w:sz w:val="24"/>
          <w:szCs w:val="24"/>
        </w:rPr>
        <w:t>年</w:t>
      </w:r>
      <w:r>
        <w:rPr>
          <w:rFonts w:ascii="Times New Roman" w:hAnsi="Times New Roman" w:eastAsia="Times New Roman" w:cs="Times New Roman"/>
          <w:spacing w:val="-3"/>
          <w:sz w:val="24"/>
          <w:szCs w:val="24"/>
        </w:rPr>
        <w:t>6</w:t>
      </w:r>
      <w:r>
        <w:rPr>
          <w:rFonts w:ascii="宋体" w:hAnsi="宋体" w:eastAsia="宋体" w:cs="宋体"/>
          <w:spacing w:val="-3"/>
          <w:sz w:val="24"/>
          <w:szCs w:val="24"/>
        </w:rPr>
        <w:t>月</w:t>
      </w:r>
      <w:r>
        <w:rPr>
          <w:rFonts w:ascii="Times New Roman" w:hAnsi="Times New Roman" w:eastAsia="Times New Roman" w:cs="Times New Roman"/>
          <w:spacing w:val="-3"/>
          <w:sz w:val="24"/>
          <w:szCs w:val="24"/>
        </w:rPr>
        <w:t>4</w:t>
      </w:r>
      <w:r>
        <w:rPr>
          <w:rFonts w:ascii="宋体" w:hAnsi="宋体" w:eastAsia="宋体" w:cs="宋体"/>
          <w:spacing w:val="-3"/>
          <w:sz w:val="24"/>
          <w:szCs w:val="24"/>
        </w:rPr>
        <w:t>日完成自主环保验收并备案（邵生环隆分</w:t>
      </w:r>
      <w:r>
        <w:rPr>
          <w:rFonts w:ascii="宋体" w:hAnsi="宋体" w:eastAsia="宋体" w:cs="宋体"/>
          <w:spacing w:val="-1"/>
          <w:sz w:val="24"/>
          <w:szCs w:val="24"/>
        </w:rPr>
        <w:t>自验备字</w:t>
      </w:r>
      <w:r>
        <w:rPr>
          <w:rFonts w:ascii="Times New Roman" w:hAnsi="Times New Roman" w:eastAsia="Times New Roman" w:cs="Times New Roman"/>
          <w:spacing w:val="-1"/>
          <w:sz w:val="24"/>
          <w:szCs w:val="24"/>
        </w:rPr>
        <w:t>[2020]22</w:t>
      </w:r>
      <w:r>
        <w:rPr>
          <w:rFonts w:ascii="宋体" w:hAnsi="宋体" w:eastAsia="宋体" w:cs="宋体"/>
          <w:spacing w:val="-1"/>
          <w:sz w:val="24"/>
          <w:szCs w:val="24"/>
        </w:rPr>
        <w:t>号）。</w:t>
      </w:r>
    </w:p>
    <w:p w14:paraId="7DE8CE33">
      <w:pPr>
        <w:spacing w:before="4" w:line="360" w:lineRule="auto"/>
        <w:ind w:left="8" w:right="103" w:firstLine="476"/>
        <w:jc w:val="both"/>
        <w:rPr>
          <w:rFonts w:ascii="宋体" w:hAnsi="宋体" w:eastAsia="宋体" w:cs="宋体"/>
          <w:sz w:val="24"/>
          <w:szCs w:val="24"/>
        </w:rPr>
      </w:pPr>
      <w:r>
        <w:rPr>
          <w:rFonts w:ascii="Times New Roman" w:hAnsi="Times New Roman" w:eastAsia="Times New Roman" w:cs="Times New Roman"/>
          <w:spacing w:val="-3"/>
          <w:sz w:val="24"/>
          <w:szCs w:val="24"/>
        </w:rPr>
        <w:t>2022</w:t>
      </w:r>
      <w:r>
        <w:rPr>
          <w:rFonts w:ascii="宋体" w:hAnsi="宋体" w:eastAsia="宋体" w:cs="宋体"/>
          <w:spacing w:val="-3"/>
          <w:sz w:val="24"/>
          <w:szCs w:val="24"/>
        </w:rPr>
        <w:t>年</w:t>
      </w:r>
      <w:r>
        <w:rPr>
          <w:rFonts w:ascii="Times New Roman" w:hAnsi="Times New Roman" w:eastAsia="Times New Roman" w:cs="Times New Roman"/>
          <w:spacing w:val="-3"/>
          <w:sz w:val="24"/>
          <w:szCs w:val="24"/>
        </w:rPr>
        <w:t>6</w:t>
      </w:r>
      <w:r>
        <w:rPr>
          <w:rFonts w:ascii="宋体" w:hAnsi="宋体" w:eastAsia="宋体" w:cs="宋体"/>
          <w:spacing w:val="-3"/>
          <w:sz w:val="24"/>
          <w:szCs w:val="24"/>
        </w:rPr>
        <w:t>月，隆回高新技术产业开发区管理委员会委托湖南三晟环保科技有</w:t>
      </w:r>
      <w:r>
        <w:rPr>
          <w:rFonts w:ascii="宋体" w:hAnsi="宋体" w:eastAsia="宋体" w:cs="宋体"/>
          <w:spacing w:val="2"/>
          <w:sz w:val="24"/>
          <w:szCs w:val="24"/>
        </w:rPr>
        <w:t>限公司对原</w:t>
      </w:r>
      <w:r>
        <w:rPr>
          <w:rFonts w:ascii="Times New Roman" w:hAnsi="Times New Roman" w:eastAsia="Times New Roman" w:cs="Times New Roman"/>
          <w:spacing w:val="2"/>
          <w:sz w:val="24"/>
          <w:szCs w:val="24"/>
        </w:rPr>
        <w:t>1.5×10</w:t>
      </w:r>
      <w:r>
        <w:rPr>
          <w:rFonts w:ascii="Times New Roman" w:hAnsi="Times New Roman" w:eastAsia="Times New Roman" w:cs="Times New Roman"/>
          <w:spacing w:val="2"/>
          <w:position w:val="8"/>
          <w:sz w:val="15"/>
          <w:szCs w:val="15"/>
        </w:rPr>
        <w:t>4</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4"/>
          <w:szCs w:val="24"/>
        </w:rPr>
        <w:t>/d</w:t>
      </w:r>
      <w:r>
        <w:rPr>
          <w:rFonts w:ascii="宋体" w:hAnsi="宋体" w:eastAsia="宋体" w:cs="宋体"/>
          <w:spacing w:val="2"/>
          <w:sz w:val="24"/>
          <w:szCs w:val="24"/>
        </w:rPr>
        <w:t>污水处理厂编制了《隆回县工业污水处理厂（一期）工</w:t>
      </w:r>
      <w:r>
        <w:rPr>
          <w:rFonts w:ascii="宋体" w:hAnsi="宋体" w:eastAsia="宋体" w:cs="宋体"/>
          <w:spacing w:val="4"/>
          <w:sz w:val="24"/>
          <w:szCs w:val="24"/>
        </w:rPr>
        <w:t>程入河排污口设置论证报告》（简称原入河排污口设置论证</w:t>
      </w:r>
      <w:r>
        <w:rPr>
          <w:rFonts w:ascii="宋体" w:hAnsi="宋体" w:eastAsia="宋体" w:cs="宋体"/>
          <w:spacing w:val="3"/>
          <w:sz w:val="24"/>
          <w:szCs w:val="24"/>
        </w:rPr>
        <w:t>报告</w:t>
      </w:r>
      <w:r>
        <w:rPr>
          <w:rFonts w:ascii="宋体" w:hAnsi="宋体" w:eastAsia="宋体" w:cs="宋体"/>
          <w:spacing w:val="16"/>
          <w:sz w:val="24"/>
          <w:szCs w:val="24"/>
        </w:rPr>
        <w:t>），</w:t>
      </w:r>
      <w:r>
        <w:rPr>
          <w:rFonts w:ascii="宋体" w:hAnsi="宋体" w:eastAsia="宋体" w:cs="宋体"/>
          <w:spacing w:val="3"/>
          <w:sz w:val="24"/>
          <w:szCs w:val="24"/>
        </w:rPr>
        <w:t>并于</w:t>
      </w:r>
      <w:r>
        <w:rPr>
          <w:rFonts w:ascii="Times New Roman" w:hAnsi="Times New Roman" w:eastAsia="Times New Roman" w:cs="Times New Roman"/>
          <w:spacing w:val="3"/>
          <w:sz w:val="24"/>
          <w:szCs w:val="24"/>
        </w:rPr>
        <w:t>2022</w:t>
      </w:r>
      <w:r>
        <w:rPr>
          <w:rFonts w:ascii="宋体" w:hAnsi="宋体" w:eastAsia="宋体" w:cs="宋体"/>
          <w:spacing w:val="-3"/>
          <w:sz w:val="24"/>
          <w:szCs w:val="24"/>
        </w:rPr>
        <w:t>年</w:t>
      </w:r>
      <w:r>
        <w:rPr>
          <w:rFonts w:ascii="Times New Roman" w:hAnsi="Times New Roman" w:eastAsia="Times New Roman" w:cs="Times New Roman"/>
          <w:spacing w:val="-3"/>
          <w:sz w:val="24"/>
          <w:szCs w:val="24"/>
        </w:rPr>
        <w:t>11</w:t>
      </w:r>
      <w:r>
        <w:rPr>
          <w:rFonts w:ascii="宋体" w:hAnsi="宋体" w:eastAsia="宋体" w:cs="宋体"/>
          <w:spacing w:val="-3"/>
          <w:sz w:val="24"/>
          <w:szCs w:val="24"/>
        </w:rPr>
        <w:t>月</w:t>
      </w:r>
      <w:r>
        <w:rPr>
          <w:rFonts w:ascii="Times New Roman" w:hAnsi="Times New Roman" w:eastAsia="Times New Roman" w:cs="Times New Roman"/>
          <w:spacing w:val="-3"/>
          <w:sz w:val="24"/>
          <w:szCs w:val="24"/>
        </w:rPr>
        <w:t>14</w:t>
      </w:r>
      <w:r>
        <w:rPr>
          <w:rFonts w:ascii="宋体" w:hAnsi="宋体" w:eastAsia="宋体" w:cs="宋体"/>
          <w:spacing w:val="-3"/>
          <w:sz w:val="24"/>
          <w:szCs w:val="24"/>
        </w:rPr>
        <w:t>日取得邵阳市生态环境局《关于隆回县工业污水</w:t>
      </w:r>
      <w:r>
        <w:rPr>
          <w:rFonts w:ascii="宋体" w:hAnsi="宋体" w:eastAsia="宋体" w:cs="宋体"/>
          <w:spacing w:val="-4"/>
          <w:sz w:val="24"/>
          <w:szCs w:val="24"/>
        </w:rPr>
        <w:t>处理厂（一期）工程</w:t>
      </w:r>
      <w:r>
        <w:rPr>
          <w:rFonts w:ascii="宋体" w:hAnsi="宋体" w:eastAsia="宋体" w:cs="宋体"/>
          <w:spacing w:val="-9"/>
          <w:sz w:val="24"/>
          <w:szCs w:val="24"/>
        </w:rPr>
        <w:t>入河排污口设置的批复》（邵市环评（</w:t>
      </w:r>
      <w:r>
        <w:rPr>
          <w:rFonts w:ascii="Times New Roman" w:hAnsi="Times New Roman" w:eastAsia="Times New Roman" w:cs="Times New Roman"/>
          <w:spacing w:val="-9"/>
          <w:sz w:val="24"/>
          <w:szCs w:val="24"/>
        </w:rPr>
        <w:t>4</w:t>
      </w:r>
      <w:r>
        <w:rPr>
          <w:rFonts w:ascii="宋体" w:hAnsi="宋体" w:eastAsia="宋体" w:cs="宋体"/>
          <w:spacing w:val="-9"/>
          <w:sz w:val="24"/>
          <w:szCs w:val="24"/>
        </w:rPr>
        <w:t>）</w:t>
      </w:r>
      <w:r>
        <w:rPr>
          <w:rFonts w:ascii="Times New Roman" w:hAnsi="Times New Roman" w:eastAsia="Times New Roman" w:cs="Times New Roman"/>
          <w:spacing w:val="-9"/>
          <w:sz w:val="24"/>
          <w:szCs w:val="24"/>
        </w:rPr>
        <w:t>[2022]22</w:t>
      </w:r>
      <w:r>
        <w:rPr>
          <w:rFonts w:ascii="宋体" w:hAnsi="宋体" w:eastAsia="宋体" w:cs="宋体"/>
          <w:spacing w:val="-9"/>
          <w:sz w:val="24"/>
          <w:szCs w:val="24"/>
        </w:rPr>
        <w:t>号）。隆回工业污水处理厂（一</w:t>
      </w:r>
      <w:r>
        <w:rPr>
          <w:rFonts w:ascii="宋体" w:hAnsi="宋体" w:eastAsia="宋体" w:cs="宋体"/>
          <w:sz w:val="24"/>
          <w:szCs w:val="24"/>
        </w:rPr>
        <w:t>期）处理达标后的尾水经排水管道接入隆回县华茂污水处</w:t>
      </w:r>
      <w:r>
        <w:rPr>
          <w:rFonts w:ascii="宋体" w:hAnsi="宋体" w:eastAsia="宋体" w:cs="宋体"/>
          <w:spacing w:val="-1"/>
          <w:sz w:val="24"/>
          <w:szCs w:val="24"/>
        </w:rPr>
        <w:t>理厂排水管道（隆回县</w:t>
      </w:r>
      <w:r>
        <w:rPr>
          <w:rFonts w:ascii="宋体" w:hAnsi="宋体" w:eastAsia="宋体" w:cs="宋体"/>
          <w:spacing w:val="1"/>
          <w:sz w:val="24"/>
          <w:szCs w:val="24"/>
        </w:rPr>
        <w:t>工业污水厂与隆回县华茂污水处理厂共用一个入河排污口</w:t>
      </w:r>
      <w:r>
        <w:rPr>
          <w:rFonts w:ascii="宋体" w:hAnsi="宋体" w:eastAsia="宋体" w:cs="宋体"/>
          <w:spacing w:val="16"/>
          <w:sz w:val="24"/>
          <w:szCs w:val="24"/>
        </w:rPr>
        <w:t>），</w:t>
      </w:r>
      <w:r>
        <w:rPr>
          <w:rFonts w:ascii="宋体" w:hAnsi="宋体" w:eastAsia="宋体" w:cs="宋体"/>
          <w:spacing w:val="1"/>
          <w:sz w:val="24"/>
          <w:szCs w:val="24"/>
        </w:rPr>
        <w:t>经</w:t>
      </w:r>
      <w:r>
        <w:rPr>
          <w:rFonts w:ascii="Times New Roman" w:hAnsi="Times New Roman" w:eastAsia="Times New Roman" w:cs="Times New Roman"/>
          <w:spacing w:val="1"/>
          <w:sz w:val="24"/>
          <w:szCs w:val="24"/>
        </w:rPr>
        <w:t>1254.42m</w:t>
      </w:r>
      <w:r>
        <w:rPr>
          <w:rFonts w:ascii="宋体" w:hAnsi="宋体" w:eastAsia="宋体" w:cs="宋体"/>
          <w:spacing w:val="1"/>
          <w:sz w:val="24"/>
          <w:szCs w:val="24"/>
        </w:rPr>
        <w:t>排水</w:t>
      </w:r>
      <w:r>
        <w:rPr>
          <w:rFonts w:ascii="宋体" w:hAnsi="宋体" w:eastAsia="宋体" w:cs="宋体"/>
          <w:spacing w:val="-1"/>
          <w:sz w:val="24"/>
          <w:szCs w:val="24"/>
        </w:rPr>
        <w:t>专管，于元木山电站下游</w:t>
      </w:r>
      <w:r>
        <w:rPr>
          <w:rFonts w:ascii="Times New Roman" w:hAnsi="Times New Roman" w:eastAsia="Times New Roman" w:cs="Times New Roman"/>
          <w:spacing w:val="-1"/>
          <w:sz w:val="24"/>
          <w:szCs w:val="24"/>
        </w:rPr>
        <w:t>2.8m</w:t>
      </w:r>
      <w:r>
        <w:rPr>
          <w:rFonts w:ascii="宋体" w:hAnsi="宋体" w:eastAsia="宋体" w:cs="宋体"/>
          <w:spacing w:val="-1"/>
          <w:sz w:val="24"/>
          <w:szCs w:val="24"/>
        </w:rPr>
        <w:t>处排至赧水。</w:t>
      </w:r>
    </w:p>
    <w:p w14:paraId="3EE6C19E">
      <w:pPr>
        <w:spacing w:before="8" w:line="356" w:lineRule="auto"/>
        <w:ind w:left="9" w:right="103" w:firstLine="507"/>
        <w:jc w:val="both"/>
        <w:rPr>
          <w:rFonts w:ascii="宋体" w:hAnsi="宋体" w:eastAsia="宋体" w:cs="宋体"/>
          <w:sz w:val="24"/>
          <w:szCs w:val="24"/>
        </w:rPr>
      </w:pPr>
      <w:r>
        <w:rPr>
          <w:rFonts w:ascii="宋体" w:hAnsi="宋体" w:eastAsia="宋体" w:cs="宋体"/>
          <w:spacing w:val="-1"/>
          <w:sz w:val="24"/>
          <w:szCs w:val="24"/>
        </w:rPr>
        <w:t>以满足现状隆回县工业园区污水处理的要求，改善企业周边的水</w:t>
      </w:r>
      <w:r>
        <w:rPr>
          <w:rFonts w:ascii="宋体" w:hAnsi="宋体" w:eastAsia="宋体" w:cs="宋体"/>
          <w:spacing w:val="-2"/>
          <w:sz w:val="24"/>
          <w:szCs w:val="24"/>
        </w:rPr>
        <w:t>环境，降低</w:t>
      </w:r>
      <w:r>
        <w:rPr>
          <w:rFonts w:ascii="宋体" w:hAnsi="宋体" w:eastAsia="宋体" w:cs="宋体"/>
          <w:sz w:val="24"/>
          <w:szCs w:val="24"/>
        </w:rPr>
        <w:t>环境污染的风险，提升伏龙江、赧水流域生态环境，隆</w:t>
      </w:r>
      <w:r>
        <w:rPr>
          <w:rFonts w:ascii="宋体" w:hAnsi="宋体" w:eastAsia="宋体" w:cs="宋体"/>
          <w:spacing w:val="-1"/>
          <w:sz w:val="24"/>
          <w:szCs w:val="24"/>
        </w:rPr>
        <w:t>回县工业园开发建设投资</w:t>
      </w:r>
      <w:r>
        <w:rPr>
          <w:rFonts w:ascii="宋体" w:hAnsi="宋体" w:eastAsia="宋体" w:cs="宋体"/>
          <w:spacing w:val="7"/>
          <w:sz w:val="24"/>
          <w:szCs w:val="24"/>
        </w:rPr>
        <w:t>有限公司拟在现有工业污水处理厂厂内建设隆回工业污水</w:t>
      </w:r>
      <w:r>
        <w:rPr>
          <w:rFonts w:ascii="宋体" w:hAnsi="宋体" w:eastAsia="宋体" w:cs="宋体"/>
          <w:spacing w:val="6"/>
          <w:sz w:val="24"/>
          <w:szCs w:val="24"/>
        </w:rPr>
        <w:t>处理厂提标扩容改造</w:t>
      </w:r>
      <w:r>
        <w:rPr>
          <w:rFonts w:ascii="宋体" w:hAnsi="宋体" w:eastAsia="宋体" w:cs="宋体"/>
          <w:sz w:val="24"/>
          <w:szCs w:val="24"/>
        </w:rPr>
        <w:t>（二期）工程，污水处理厂拟采用“厂外污水→粗格栅</w:t>
      </w:r>
      <w:r>
        <w:rPr>
          <w:rFonts w:ascii="宋体" w:hAnsi="宋体" w:eastAsia="宋体" w:cs="宋体"/>
          <w:spacing w:val="-1"/>
          <w:sz w:val="24"/>
          <w:szCs w:val="24"/>
        </w:rPr>
        <w:t>及提升泵站→细格栅及旋</w:t>
      </w:r>
      <w:r>
        <w:rPr>
          <w:rFonts w:ascii="宋体" w:hAnsi="宋体" w:eastAsia="宋体" w:cs="宋体"/>
          <w:spacing w:val="3"/>
          <w:sz w:val="24"/>
          <w:szCs w:val="24"/>
        </w:rPr>
        <w:t>流沉砂池→调节池→水解酸化池→</w:t>
      </w:r>
      <w:r>
        <w:rPr>
          <w:rFonts w:ascii="Times New Roman" w:hAnsi="Times New Roman" w:eastAsia="Times New Roman" w:cs="Times New Roman"/>
          <w:sz w:val="24"/>
          <w:szCs w:val="24"/>
        </w:rPr>
        <w:t>AAO</w:t>
      </w:r>
      <w:r>
        <w:rPr>
          <w:rFonts w:ascii="宋体" w:hAnsi="宋体" w:eastAsia="宋体" w:cs="宋体"/>
          <w:spacing w:val="3"/>
          <w:sz w:val="24"/>
          <w:szCs w:val="24"/>
        </w:rPr>
        <w:t>生化池→二沉池→</w:t>
      </w:r>
      <w:r>
        <w:rPr>
          <w:rFonts w:ascii="Times New Roman" w:hAnsi="Times New Roman" w:eastAsia="Times New Roman" w:cs="Times New Roman"/>
          <w:spacing w:val="3"/>
          <w:sz w:val="24"/>
          <w:szCs w:val="24"/>
        </w:rPr>
        <w:t>V</w:t>
      </w:r>
      <w:r>
        <w:rPr>
          <w:rFonts w:ascii="宋体" w:hAnsi="宋体" w:eastAsia="宋体" w:cs="宋体"/>
          <w:spacing w:val="3"/>
          <w:sz w:val="24"/>
          <w:szCs w:val="24"/>
        </w:rPr>
        <w:t>型滤池→紫外光消</w:t>
      </w:r>
      <w:r>
        <w:rPr>
          <w:rFonts w:ascii="宋体" w:hAnsi="宋体" w:eastAsia="宋体" w:cs="宋体"/>
          <w:spacing w:val="-2"/>
          <w:sz w:val="24"/>
          <w:szCs w:val="24"/>
        </w:rPr>
        <w:t>毒池→出水”工艺。隆回工业污水处理厂提标扩容改造（二期）工程的尾</w:t>
      </w:r>
      <w:r>
        <w:rPr>
          <w:rFonts w:ascii="宋体" w:hAnsi="宋体" w:eastAsia="宋体" w:cs="宋体"/>
          <w:spacing w:val="-3"/>
          <w:sz w:val="24"/>
          <w:szCs w:val="24"/>
        </w:rPr>
        <w:t>水沿用</w:t>
      </w:r>
      <w:r>
        <w:rPr>
          <w:rFonts w:ascii="宋体" w:hAnsi="宋体" w:eastAsia="宋体" w:cs="宋体"/>
          <w:spacing w:val="2"/>
          <w:sz w:val="24"/>
          <w:szCs w:val="24"/>
        </w:rPr>
        <w:t>一期工程已建好尾水排放管，尾水接入排水专管后在元木山电站下游约</w:t>
      </w:r>
      <w:r>
        <w:rPr>
          <w:rFonts w:ascii="Times New Roman" w:hAnsi="Times New Roman" w:eastAsia="Times New Roman" w:cs="Times New Roman"/>
          <w:spacing w:val="2"/>
          <w:sz w:val="24"/>
          <w:szCs w:val="24"/>
        </w:rPr>
        <w:t>2.8m</w:t>
      </w:r>
      <w:r>
        <w:rPr>
          <w:rFonts w:ascii="宋体" w:hAnsi="宋体" w:eastAsia="宋体" w:cs="宋体"/>
          <w:spacing w:val="2"/>
          <w:sz w:val="24"/>
          <w:szCs w:val="24"/>
        </w:rPr>
        <w:t>处</w:t>
      </w:r>
    </w:p>
    <w:p w14:paraId="56F412F0">
      <w:pPr>
        <w:spacing w:line="356" w:lineRule="auto"/>
        <w:rPr>
          <w:rFonts w:ascii="宋体" w:hAnsi="宋体" w:eastAsia="宋体" w:cs="宋体"/>
          <w:sz w:val="24"/>
          <w:szCs w:val="24"/>
        </w:rPr>
        <w:sectPr>
          <w:footerReference r:id="rId8" w:type="default"/>
          <w:pgSz w:w="11906" w:h="16839"/>
          <w:pgMar w:top="1132" w:right="1700" w:bottom="1259" w:left="1701" w:header="829" w:footer="1097" w:gutter="0"/>
          <w:cols w:space="720" w:num="1"/>
        </w:sectPr>
      </w:pPr>
    </w:p>
    <w:p w14:paraId="19BEF748">
      <w:pPr>
        <w:pStyle w:val="2"/>
        <w:spacing w:line="319" w:lineRule="auto"/>
      </w:pPr>
    </w:p>
    <w:p w14:paraId="64C2552F">
      <w:pPr>
        <w:spacing w:before="78" w:line="360" w:lineRule="auto"/>
        <w:ind w:left="2" w:right="103" w:firstLine="7"/>
        <w:rPr>
          <w:rFonts w:ascii="宋体" w:hAnsi="宋体" w:eastAsia="宋体" w:cs="宋体"/>
          <w:sz w:val="24"/>
          <w:szCs w:val="24"/>
        </w:rPr>
      </w:pPr>
      <w:r>
        <w:rPr>
          <w:rFonts w:ascii="宋体" w:hAnsi="宋体" w:eastAsia="宋体" w:cs="宋体"/>
          <w:spacing w:val="-2"/>
          <w:sz w:val="24"/>
          <w:szCs w:val="24"/>
        </w:rPr>
        <w:t>排入赧水，尾水执行《城镇污水处理厂污染物排放标准》（</w:t>
      </w:r>
      <w:r>
        <w:rPr>
          <w:rFonts w:ascii="Times New Roman" w:hAnsi="Times New Roman" w:eastAsia="Times New Roman" w:cs="Times New Roman"/>
          <w:spacing w:val="-2"/>
          <w:sz w:val="24"/>
          <w:szCs w:val="24"/>
        </w:rPr>
        <w:t>GB18918-2002</w:t>
      </w:r>
      <w:r>
        <w:rPr>
          <w:rFonts w:ascii="宋体" w:hAnsi="宋体" w:eastAsia="宋体" w:cs="宋体"/>
          <w:spacing w:val="-2"/>
          <w:sz w:val="24"/>
          <w:szCs w:val="24"/>
        </w:rPr>
        <w:t>）一级</w:t>
      </w:r>
      <w:r>
        <w:rPr>
          <w:rFonts w:ascii="Times New Roman" w:hAnsi="Times New Roman" w:eastAsia="Times New Roman" w:cs="Times New Roman"/>
          <w:spacing w:val="-4"/>
          <w:sz w:val="24"/>
          <w:szCs w:val="24"/>
        </w:rPr>
        <w:t>A</w:t>
      </w:r>
      <w:r>
        <w:rPr>
          <w:rFonts w:ascii="宋体" w:hAnsi="宋体" w:eastAsia="宋体" w:cs="宋体"/>
          <w:spacing w:val="-4"/>
          <w:sz w:val="24"/>
          <w:szCs w:val="24"/>
        </w:rPr>
        <w:t>标准。</w:t>
      </w:r>
    </w:p>
    <w:p w14:paraId="725D8150">
      <w:pPr>
        <w:spacing w:before="19" w:line="359" w:lineRule="auto"/>
        <w:ind w:left="8" w:right="41" w:firstLine="499"/>
        <w:jc w:val="both"/>
        <w:rPr>
          <w:rFonts w:ascii="宋体" w:hAnsi="宋体" w:eastAsia="宋体" w:cs="宋体"/>
          <w:sz w:val="24"/>
          <w:szCs w:val="24"/>
        </w:rPr>
      </w:pPr>
      <w:r>
        <w:rPr>
          <w:rFonts w:ascii="宋体" w:hAnsi="宋体" w:eastAsia="宋体" w:cs="宋体"/>
          <w:spacing w:val="-6"/>
          <w:sz w:val="24"/>
          <w:szCs w:val="24"/>
        </w:rPr>
        <w:t>因工业污水处理厂扩建后污水量由</w:t>
      </w:r>
      <w:r>
        <w:rPr>
          <w:rFonts w:ascii="Times New Roman" w:hAnsi="Times New Roman" w:eastAsia="Times New Roman" w:cs="Times New Roman"/>
          <w:spacing w:val="-6"/>
          <w:sz w:val="24"/>
          <w:szCs w:val="24"/>
        </w:rPr>
        <w:t>1.5</w:t>
      </w:r>
      <w:r>
        <w:rPr>
          <w:rFonts w:ascii="宋体" w:hAnsi="宋体" w:eastAsia="宋体" w:cs="宋体"/>
          <w:spacing w:val="-6"/>
          <w:sz w:val="24"/>
          <w:szCs w:val="24"/>
        </w:rPr>
        <w:t>×</w:t>
      </w:r>
      <w:r>
        <w:rPr>
          <w:rFonts w:ascii="Times New Roman" w:hAnsi="Times New Roman" w:eastAsia="Times New Roman" w:cs="Times New Roman"/>
          <w:spacing w:val="-6"/>
          <w:sz w:val="24"/>
          <w:szCs w:val="24"/>
        </w:rPr>
        <w:t>10</w:t>
      </w:r>
      <w:r>
        <w:rPr>
          <w:rFonts w:ascii="Times New Roman" w:hAnsi="Times New Roman" w:eastAsia="Times New Roman" w:cs="Times New Roman"/>
          <w:spacing w:val="-6"/>
          <w:position w:val="7"/>
          <w:sz w:val="15"/>
          <w:szCs w:val="15"/>
        </w:rPr>
        <w:t>4</w:t>
      </w:r>
      <w:r>
        <w:rPr>
          <w:rFonts w:ascii="Times New Roman" w:hAnsi="Times New Roman" w:eastAsia="Times New Roman" w:cs="Times New Roman"/>
          <w:spacing w:val="-6"/>
          <w:sz w:val="24"/>
          <w:szCs w:val="24"/>
        </w:rPr>
        <w:t>m</w:t>
      </w:r>
      <w:r>
        <w:rPr>
          <w:rFonts w:ascii="Times New Roman" w:hAnsi="Times New Roman" w:eastAsia="Times New Roman" w:cs="Times New Roman"/>
          <w:spacing w:val="-6"/>
          <w:position w:val="7"/>
          <w:sz w:val="15"/>
          <w:szCs w:val="15"/>
        </w:rPr>
        <w:t>3</w:t>
      </w:r>
      <w:r>
        <w:rPr>
          <w:rFonts w:ascii="Times New Roman" w:hAnsi="Times New Roman" w:eastAsia="Times New Roman" w:cs="Times New Roman"/>
          <w:spacing w:val="-6"/>
          <w:sz w:val="24"/>
          <w:szCs w:val="24"/>
        </w:rPr>
        <w:t>/d</w:t>
      </w:r>
      <w:r>
        <w:rPr>
          <w:rFonts w:ascii="宋体" w:hAnsi="宋体" w:eastAsia="宋体" w:cs="宋体"/>
          <w:spacing w:val="-6"/>
          <w:sz w:val="24"/>
          <w:szCs w:val="24"/>
        </w:rPr>
        <w:t>提升至</w:t>
      </w:r>
      <w:r>
        <w:rPr>
          <w:rFonts w:ascii="Times New Roman" w:hAnsi="Times New Roman" w:eastAsia="Times New Roman" w:cs="Times New Roman"/>
          <w:spacing w:val="-6"/>
          <w:sz w:val="24"/>
          <w:szCs w:val="24"/>
        </w:rPr>
        <w:t>3</w:t>
      </w:r>
      <w:r>
        <w:rPr>
          <w:rFonts w:ascii="宋体" w:hAnsi="宋体" w:eastAsia="宋体" w:cs="宋体"/>
          <w:spacing w:val="-6"/>
          <w:sz w:val="24"/>
          <w:szCs w:val="24"/>
        </w:rPr>
        <w:t>×</w:t>
      </w:r>
      <w:r>
        <w:rPr>
          <w:rFonts w:ascii="Times New Roman" w:hAnsi="Times New Roman" w:eastAsia="Times New Roman" w:cs="Times New Roman"/>
          <w:spacing w:val="-6"/>
          <w:sz w:val="24"/>
          <w:szCs w:val="24"/>
        </w:rPr>
        <w:t>10</w:t>
      </w:r>
      <w:r>
        <w:rPr>
          <w:rFonts w:ascii="Times New Roman" w:hAnsi="Times New Roman" w:eastAsia="Times New Roman" w:cs="Times New Roman"/>
          <w:spacing w:val="-7"/>
          <w:position w:val="7"/>
          <w:sz w:val="15"/>
          <w:szCs w:val="15"/>
        </w:rPr>
        <w:t>4</w:t>
      </w:r>
      <w:r>
        <w:rPr>
          <w:rFonts w:ascii="Times New Roman" w:hAnsi="Times New Roman" w:eastAsia="Times New Roman" w:cs="Times New Roman"/>
          <w:spacing w:val="-7"/>
          <w:sz w:val="24"/>
          <w:szCs w:val="24"/>
        </w:rPr>
        <w:t>m</w:t>
      </w:r>
      <w:r>
        <w:rPr>
          <w:rFonts w:ascii="Times New Roman" w:hAnsi="Times New Roman" w:eastAsia="Times New Roman" w:cs="Times New Roman"/>
          <w:spacing w:val="-7"/>
          <w:position w:val="7"/>
          <w:sz w:val="15"/>
          <w:szCs w:val="15"/>
        </w:rPr>
        <w:t>3</w:t>
      </w:r>
      <w:r>
        <w:rPr>
          <w:rFonts w:ascii="Times New Roman" w:hAnsi="Times New Roman" w:eastAsia="Times New Roman" w:cs="Times New Roman"/>
          <w:spacing w:val="-7"/>
          <w:sz w:val="24"/>
          <w:szCs w:val="24"/>
        </w:rPr>
        <w:t>/d</w:t>
      </w:r>
      <w:r>
        <w:rPr>
          <w:rFonts w:ascii="宋体" w:hAnsi="宋体" w:eastAsia="宋体" w:cs="宋体"/>
          <w:spacing w:val="-7"/>
          <w:sz w:val="24"/>
          <w:szCs w:val="24"/>
        </w:rPr>
        <w:t>。根据《入</w:t>
      </w:r>
      <w:r>
        <w:rPr>
          <w:rFonts w:ascii="宋体" w:hAnsi="宋体" w:eastAsia="宋体" w:cs="宋体"/>
          <w:spacing w:val="-4"/>
          <w:sz w:val="24"/>
          <w:szCs w:val="24"/>
        </w:rPr>
        <w:t>河排污口监督管理办法》（生态环境部部令第</w:t>
      </w:r>
      <w:r>
        <w:rPr>
          <w:rFonts w:ascii="Times New Roman" w:hAnsi="Times New Roman" w:eastAsia="Times New Roman" w:cs="Times New Roman"/>
          <w:spacing w:val="-4"/>
          <w:sz w:val="24"/>
          <w:szCs w:val="24"/>
        </w:rPr>
        <w:t>35</w:t>
      </w:r>
      <w:r>
        <w:rPr>
          <w:rFonts w:ascii="宋体" w:hAnsi="宋体" w:eastAsia="宋体" w:cs="宋体"/>
          <w:spacing w:val="-4"/>
          <w:sz w:val="24"/>
          <w:szCs w:val="24"/>
        </w:rPr>
        <w:t>号）、</w:t>
      </w:r>
      <w:r>
        <w:rPr>
          <w:rFonts w:ascii="宋体" w:hAnsi="宋体" w:eastAsia="宋体" w:cs="宋体"/>
          <w:spacing w:val="-5"/>
          <w:sz w:val="24"/>
          <w:szCs w:val="24"/>
        </w:rPr>
        <w:t>《入河入海排污口监督管</w:t>
      </w:r>
      <w:r>
        <w:rPr>
          <w:rFonts w:ascii="宋体" w:hAnsi="宋体" w:eastAsia="宋体" w:cs="宋体"/>
          <w:spacing w:val="-3"/>
          <w:sz w:val="24"/>
          <w:szCs w:val="24"/>
        </w:rPr>
        <w:t>理技术指南入河排污口规范化建设》（</w:t>
      </w:r>
      <w:r>
        <w:rPr>
          <w:rFonts w:ascii="Times New Roman" w:hAnsi="Times New Roman" w:eastAsia="Times New Roman" w:cs="Times New Roman"/>
          <w:spacing w:val="-3"/>
          <w:sz w:val="24"/>
          <w:szCs w:val="24"/>
        </w:rPr>
        <w:t>HJ1309-2023</w:t>
      </w:r>
      <w:r>
        <w:rPr>
          <w:rFonts w:ascii="宋体" w:hAnsi="宋体" w:eastAsia="宋体" w:cs="宋体"/>
          <w:spacing w:val="-3"/>
          <w:sz w:val="24"/>
          <w:szCs w:val="24"/>
        </w:rPr>
        <w:t>）、《入河入海排污口监督管理技术指南入河排污口设置》（</w:t>
      </w:r>
      <w:r>
        <w:rPr>
          <w:rFonts w:ascii="Times New Roman" w:hAnsi="Times New Roman" w:eastAsia="Times New Roman" w:cs="Times New Roman"/>
          <w:spacing w:val="-3"/>
          <w:sz w:val="24"/>
          <w:szCs w:val="24"/>
        </w:rPr>
        <w:t>HJ1386-2024</w:t>
      </w:r>
      <w:r>
        <w:rPr>
          <w:rFonts w:ascii="宋体" w:hAnsi="宋体" w:eastAsia="宋体" w:cs="宋体"/>
          <w:spacing w:val="-3"/>
          <w:sz w:val="24"/>
          <w:szCs w:val="24"/>
        </w:rPr>
        <w:t>）、《湖南省入河排污口监督管理办</w:t>
      </w:r>
      <w:r>
        <w:rPr>
          <w:rFonts w:ascii="宋体" w:hAnsi="宋体" w:eastAsia="宋体" w:cs="宋体"/>
          <w:sz w:val="24"/>
          <w:szCs w:val="24"/>
        </w:rPr>
        <w:t>法》（湘政办发〔</w:t>
      </w:r>
      <w:r>
        <w:rPr>
          <w:rFonts w:ascii="Times New Roman" w:hAnsi="Times New Roman" w:eastAsia="Times New Roman" w:cs="Times New Roman"/>
          <w:sz w:val="24"/>
          <w:szCs w:val="24"/>
        </w:rPr>
        <w:t>2018</w:t>
      </w:r>
      <w:r>
        <w:rPr>
          <w:rFonts w:ascii="宋体" w:hAnsi="宋体" w:eastAsia="宋体" w:cs="宋体"/>
          <w:sz w:val="24"/>
          <w:szCs w:val="24"/>
        </w:rPr>
        <w:t>〕</w:t>
      </w:r>
      <w:r>
        <w:rPr>
          <w:rFonts w:ascii="Times New Roman" w:hAnsi="Times New Roman" w:eastAsia="Times New Roman" w:cs="Times New Roman"/>
          <w:sz w:val="24"/>
          <w:szCs w:val="24"/>
        </w:rPr>
        <w:t>44</w:t>
      </w:r>
      <w:r>
        <w:rPr>
          <w:rFonts w:ascii="宋体" w:hAnsi="宋体" w:eastAsia="宋体" w:cs="宋体"/>
          <w:sz w:val="24"/>
          <w:szCs w:val="24"/>
        </w:rPr>
        <w:t>号）、《湖南省生态环境厅湖南省水利厅关于印发</w:t>
      </w:r>
      <w:r>
        <w:rPr>
          <w:rFonts w:ascii="Times New Roman" w:hAnsi="Times New Roman" w:eastAsia="Times New Roman" w:cs="Times New Roman"/>
          <w:sz w:val="24"/>
          <w:szCs w:val="24"/>
        </w:rPr>
        <w:t>&lt;</w:t>
      </w:r>
      <w:r>
        <w:rPr>
          <w:rFonts w:ascii="宋体" w:hAnsi="宋体" w:eastAsia="宋体" w:cs="宋体"/>
          <w:spacing w:val="-1"/>
          <w:sz w:val="24"/>
          <w:szCs w:val="24"/>
        </w:rPr>
        <w:t>湖南省入河（湖）排污口监督管理工作方案</w:t>
      </w:r>
      <w:r>
        <w:rPr>
          <w:rFonts w:ascii="Times New Roman" w:hAnsi="Times New Roman" w:eastAsia="Times New Roman" w:cs="Times New Roman"/>
          <w:spacing w:val="-1"/>
          <w:sz w:val="24"/>
          <w:szCs w:val="24"/>
        </w:rPr>
        <w:t>&gt;</w:t>
      </w:r>
      <w:r>
        <w:rPr>
          <w:rFonts w:ascii="宋体" w:hAnsi="宋体" w:eastAsia="宋体" w:cs="宋体"/>
          <w:spacing w:val="-1"/>
          <w:sz w:val="24"/>
          <w:szCs w:val="24"/>
        </w:rPr>
        <w:t>的通知》（湘环发〔</w:t>
      </w:r>
      <w:r>
        <w:rPr>
          <w:rFonts w:ascii="Times New Roman" w:hAnsi="Times New Roman" w:eastAsia="Times New Roman" w:cs="Times New Roman"/>
          <w:spacing w:val="-1"/>
          <w:sz w:val="24"/>
          <w:szCs w:val="24"/>
        </w:rPr>
        <w:t>2023</w:t>
      </w:r>
      <w:r>
        <w:rPr>
          <w:rFonts w:ascii="宋体" w:hAnsi="宋体" w:eastAsia="宋体" w:cs="宋体"/>
          <w:spacing w:val="-1"/>
          <w:sz w:val="24"/>
          <w:szCs w:val="24"/>
        </w:rPr>
        <w:t>〕</w:t>
      </w:r>
      <w:r>
        <w:rPr>
          <w:rFonts w:ascii="Times New Roman" w:hAnsi="Times New Roman" w:eastAsia="Times New Roman" w:cs="Times New Roman"/>
          <w:spacing w:val="-1"/>
          <w:sz w:val="24"/>
          <w:szCs w:val="24"/>
        </w:rPr>
        <w:t>31</w:t>
      </w:r>
      <w:r>
        <w:rPr>
          <w:rFonts w:ascii="宋体" w:hAnsi="宋体" w:eastAsia="宋体" w:cs="宋体"/>
          <w:spacing w:val="-1"/>
          <w:sz w:val="24"/>
          <w:szCs w:val="24"/>
        </w:rPr>
        <w:t>号）</w:t>
      </w:r>
      <w:r>
        <w:rPr>
          <w:rFonts w:ascii="宋体" w:hAnsi="宋体" w:eastAsia="宋体" w:cs="宋体"/>
          <w:sz w:val="24"/>
          <w:szCs w:val="24"/>
        </w:rPr>
        <w:t>等文件要求，加强入河排污口监督管理，有效控制水环境</w:t>
      </w:r>
      <w:r>
        <w:rPr>
          <w:rFonts w:ascii="宋体" w:hAnsi="宋体" w:eastAsia="宋体" w:cs="宋体"/>
          <w:spacing w:val="-1"/>
          <w:sz w:val="24"/>
          <w:szCs w:val="24"/>
        </w:rPr>
        <w:t>污染，实现水环境的可</w:t>
      </w:r>
      <w:r>
        <w:rPr>
          <w:rFonts w:ascii="宋体" w:hAnsi="宋体" w:eastAsia="宋体" w:cs="宋体"/>
          <w:sz w:val="24"/>
          <w:szCs w:val="24"/>
        </w:rPr>
        <w:t>持续利用和保护，在江河、湖泊（含运河、渠道、水库等</w:t>
      </w:r>
      <w:r>
        <w:rPr>
          <w:rFonts w:ascii="宋体" w:hAnsi="宋体" w:eastAsia="宋体" w:cs="宋体"/>
          <w:spacing w:val="-1"/>
          <w:sz w:val="24"/>
          <w:szCs w:val="24"/>
        </w:rPr>
        <w:t>水域）新建、改建或者</w:t>
      </w:r>
      <w:r>
        <w:rPr>
          <w:rFonts w:ascii="宋体" w:hAnsi="宋体" w:eastAsia="宋体" w:cs="宋体"/>
          <w:sz w:val="24"/>
          <w:szCs w:val="24"/>
        </w:rPr>
        <w:t>扩大入河排污口的设置单位，必须编制入河排污口设置论</w:t>
      </w:r>
      <w:r>
        <w:rPr>
          <w:rFonts w:ascii="宋体" w:hAnsi="宋体" w:eastAsia="宋体" w:cs="宋体"/>
          <w:spacing w:val="-1"/>
          <w:sz w:val="24"/>
          <w:szCs w:val="24"/>
        </w:rPr>
        <w:t>证报告，并向有管辖权</w:t>
      </w:r>
      <w:r>
        <w:rPr>
          <w:rFonts w:ascii="宋体" w:hAnsi="宋体" w:eastAsia="宋体" w:cs="宋体"/>
          <w:sz w:val="24"/>
          <w:szCs w:val="24"/>
        </w:rPr>
        <w:t>的县级以上地方人民政府生态环境主管部门提出入河排污</w:t>
      </w:r>
      <w:r>
        <w:rPr>
          <w:rFonts w:ascii="宋体" w:hAnsi="宋体" w:eastAsia="宋体" w:cs="宋体"/>
          <w:spacing w:val="-1"/>
          <w:sz w:val="24"/>
          <w:szCs w:val="24"/>
        </w:rPr>
        <w:t>口设置申请，经相关部</w:t>
      </w:r>
      <w:r>
        <w:rPr>
          <w:rFonts w:ascii="宋体" w:hAnsi="宋体" w:eastAsia="宋体" w:cs="宋体"/>
          <w:sz w:val="24"/>
          <w:szCs w:val="24"/>
        </w:rPr>
        <w:t>门审批同意后方可设置入河排污口。在此背景下，为落实</w:t>
      </w:r>
      <w:r>
        <w:rPr>
          <w:rFonts w:ascii="宋体" w:hAnsi="宋体" w:eastAsia="宋体" w:cs="宋体"/>
          <w:spacing w:val="-1"/>
          <w:sz w:val="24"/>
          <w:szCs w:val="24"/>
        </w:rPr>
        <w:t>相关文件精神，进一步</w:t>
      </w:r>
      <w:r>
        <w:rPr>
          <w:rFonts w:ascii="宋体" w:hAnsi="宋体" w:eastAsia="宋体" w:cs="宋体"/>
          <w:spacing w:val="-5"/>
          <w:sz w:val="24"/>
          <w:szCs w:val="24"/>
        </w:rPr>
        <w:t>推进隆回工业污水处理厂提标扩容改造（二期）工程入河排污口</w:t>
      </w:r>
      <w:r>
        <w:rPr>
          <w:rFonts w:ascii="宋体" w:hAnsi="宋体" w:eastAsia="宋体" w:cs="宋体"/>
          <w:spacing w:val="-6"/>
          <w:sz w:val="24"/>
          <w:szCs w:val="24"/>
        </w:rPr>
        <w:t>的监督管理工作，</w:t>
      </w:r>
      <w:r>
        <w:rPr>
          <w:rFonts w:ascii="宋体" w:hAnsi="宋体" w:eastAsia="宋体" w:cs="宋体"/>
          <w:sz w:val="24"/>
          <w:szCs w:val="24"/>
        </w:rPr>
        <w:t>促进水资源优化配置，保证水资源可持续利用，受隆回县</w:t>
      </w:r>
      <w:r>
        <w:rPr>
          <w:rFonts w:ascii="宋体" w:hAnsi="宋体" w:eastAsia="宋体" w:cs="宋体"/>
          <w:spacing w:val="-1"/>
          <w:sz w:val="24"/>
          <w:szCs w:val="24"/>
        </w:rPr>
        <w:t>工业园开发建设投资有限公司委托，我公司承担了《隆回县工业污水处理厂进行提标扩容改造（二期）工程入河排污口设置论证报告》。</w:t>
      </w:r>
    </w:p>
    <w:p w14:paraId="2FE0DF5D">
      <w:pPr>
        <w:spacing w:line="222" w:lineRule="auto"/>
        <w:ind w:left="16"/>
        <w:outlineLvl w:val="2"/>
        <w:rPr>
          <w:rFonts w:ascii="宋体" w:hAnsi="宋体" w:eastAsia="宋体" w:cs="宋体"/>
          <w:sz w:val="24"/>
          <w:szCs w:val="24"/>
        </w:rPr>
      </w:pPr>
      <w:r>
        <w:rPr>
          <w:rFonts w:ascii="Times New Roman" w:hAnsi="Times New Roman" w:eastAsia="Times New Roman" w:cs="Times New Roman"/>
          <w:b/>
          <w:bCs/>
          <w:spacing w:val="-3"/>
          <w:sz w:val="24"/>
          <w:szCs w:val="24"/>
        </w:rPr>
        <w:t>1.1.2</w:t>
      </w:r>
      <w:r>
        <w:rPr>
          <w:rFonts w:ascii="宋体" w:hAnsi="宋体" w:eastAsia="宋体" w:cs="宋体"/>
          <w:b/>
          <w:bCs/>
          <w:spacing w:val="-3"/>
          <w:sz w:val="24"/>
          <w:szCs w:val="24"/>
        </w:rPr>
        <w:t>论证目的</w:t>
      </w:r>
    </w:p>
    <w:p w14:paraId="629AD41F">
      <w:pPr>
        <w:spacing w:before="175" w:line="337" w:lineRule="auto"/>
        <w:ind w:left="8" w:right="41" w:firstLine="49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）为使有限的水资源可持续地为社会发展服务，协调好环境</w:t>
      </w:r>
      <w:r>
        <w:rPr>
          <w:rFonts w:ascii="宋体" w:hAnsi="宋体" w:eastAsia="宋体" w:cs="宋体"/>
          <w:spacing w:val="-5"/>
          <w:sz w:val="24"/>
          <w:szCs w:val="24"/>
        </w:rPr>
        <w:t>保护和区域发</w:t>
      </w:r>
      <w:r>
        <w:rPr>
          <w:rFonts w:ascii="宋体" w:hAnsi="宋体" w:eastAsia="宋体" w:cs="宋体"/>
          <w:sz w:val="24"/>
          <w:szCs w:val="24"/>
        </w:rPr>
        <w:t>展的关系，营造人与自然的和谐氛围，有效保护水域水质</w:t>
      </w:r>
      <w:r>
        <w:rPr>
          <w:rFonts w:ascii="宋体" w:hAnsi="宋体" w:eastAsia="宋体" w:cs="宋体"/>
          <w:spacing w:val="-1"/>
          <w:sz w:val="24"/>
          <w:szCs w:val="24"/>
        </w:rPr>
        <w:t>安全和生态环境，实现</w:t>
      </w:r>
      <w:r>
        <w:rPr>
          <w:rFonts w:ascii="宋体" w:hAnsi="宋体" w:eastAsia="宋体" w:cs="宋体"/>
          <w:sz w:val="24"/>
          <w:szCs w:val="24"/>
        </w:rPr>
        <w:t>排污口有效监督管理，按照《中华人民共和国水法》、《</w:t>
      </w:r>
      <w:r>
        <w:rPr>
          <w:rFonts w:ascii="宋体" w:hAnsi="宋体" w:eastAsia="宋体" w:cs="宋体"/>
          <w:spacing w:val="-1"/>
          <w:sz w:val="24"/>
          <w:szCs w:val="24"/>
        </w:rPr>
        <w:t>入河排污口监督管理办</w:t>
      </w:r>
      <w:r>
        <w:rPr>
          <w:rFonts w:ascii="宋体" w:hAnsi="宋体" w:eastAsia="宋体" w:cs="宋体"/>
          <w:spacing w:val="-5"/>
          <w:sz w:val="24"/>
          <w:szCs w:val="24"/>
        </w:rPr>
        <w:t>法》、《水功能区监督管理办法》和《湖南省入河排污口监督管</w:t>
      </w:r>
      <w:r>
        <w:rPr>
          <w:rFonts w:ascii="宋体" w:hAnsi="宋体" w:eastAsia="宋体" w:cs="宋体"/>
          <w:spacing w:val="-6"/>
          <w:sz w:val="24"/>
          <w:szCs w:val="24"/>
        </w:rPr>
        <w:t>理办法》等要求，</w:t>
      </w:r>
      <w:r>
        <w:rPr>
          <w:rFonts w:ascii="宋体" w:hAnsi="宋体" w:eastAsia="宋体" w:cs="宋体"/>
          <w:sz w:val="24"/>
          <w:szCs w:val="24"/>
        </w:rPr>
        <w:t>在满足水功能区保护要求的前提下，论证入河排污口设置</w:t>
      </w:r>
      <w:r>
        <w:rPr>
          <w:rFonts w:ascii="宋体" w:hAnsi="宋体" w:eastAsia="宋体" w:cs="宋体"/>
          <w:spacing w:val="-1"/>
          <w:sz w:val="24"/>
          <w:szCs w:val="24"/>
        </w:rPr>
        <w:t>对水功能区水质、水生态和第三者权益的影响。</w:t>
      </w:r>
    </w:p>
    <w:p w14:paraId="0293B79F">
      <w:pPr>
        <w:spacing w:before="183" w:line="313" w:lineRule="auto"/>
        <w:ind w:left="10" w:right="103" w:firstLine="490"/>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）保护和改善水环境：根据受纳水体纳污能力、排污总量控</w:t>
      </w:r>
      <w:r>
        <w:rPr>
          <w:rFonts w:ascii="宋体" w:hAnsi="宋体" w:eastAsia="宋体" w:cs="宋体"/>
          <w:spacing w:val="-5"/>
          <w:sz w:val="24"/>
          <w:szCs w:val="24"/>
        </w:rPr>
        <w:t>制、水生态保</w:t>
      </w:r>
      <w:r>
        <w:rPr>
          <w:rFonts w:ascii="宋体" w:hAnsi="宋体" w:eastAsia="宋体" w:cs="宋体"/>
          <w:sz w:val="24"/>
          <w:szCs w:val="24"/>
        </w:rPr>
        <w:t>护等要求，对排污口设置的合理性进行论证分析，优</w:t>
      </w:r>
      <w:r>
        <w:rPr>
          <w:rFonts w:ascii="宋体" w:hAnsi="宋体" w:eastAsia="宋体" w:cs="宋体"/>
          <w:spacing w:val="-1"/>
          <w:sz w:val="24"/>
          <w:szCs w:val="24"/>
        </w:rPr>
        <w:t>化入河排污口设置方案，并提出水资源保护措施，以保障所在水域生活、生产和生态用水安全。</w:t>
      </w:r>
    </w:p>
    <w:p w14:paraId="19E5A208">
      <w:pPr>
        <w:spacing w:before="184" w:line="289" w:lineRule="auto"/>
        <w:ind w:left="13" w:right="103" w:firstLine="487"/>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）提供科学审批的依据：通过对入河排污口设置合理性的论</w:t>
      </w:r>
      <w:r>
        <w:rPr>
          <w:rFonts w:ascii="宋体" w:hAnsi="宋体" w:eastAsia="宋体" w:cs="宋体"/>
          <w:spacing w:val="-5"/>
          <w:sz w:val="24"/>
          <w:szCs w:val="24"/>
        </w:rPr>
        <w:t>证，为各级水</w:t>
      </w:r>
      <w:r>
        <w:rPr>
          <w:rFonts w:ascii="宋体" w:hAnsi="宋体" w:eastAsia="宋体" w:cs="宋体"/>
          <w:sz w:val="24"/>
          <w:szCs w:val="24"/>
        </w:rPr>
        <w:t>行政主管部门审批入河排污口以及建设单位合</w:t>
      </w:r>
      <w:r>
        <w:rPr>
          <w:rFonts w:ascii="宋体" w:hAnsi="宋体" w:eastAsia="宋体" w:cs="宋体"/>
          <w:spacing w:val="-1"/>
          <w:sz w:val="24"/>
          <w:szCs w:val="24"/>
        </w:rPr>
        <w:t>理设置入河排污口提供科学根据。</w:t>
      </w:r>
    </w:p>
    <w:p w14:paraId="0D69E59F">
      <w:pPr>
        <w:spacing w:line="289" w:lineRule="auto"/>
        <w:rPr>
          <w:rFonts w:ascii="宋体" w:hAnsi="宋体" w:eastAsia="宋体" w:cs="宋体"/>
          <w:sz w:val="24"/>
          <w:szCs w:val="24"/>
        </w:rPr>
        <w:sectPr>
          <w:footerReference r:id="rId9" w:type="default"/>
          <w:pgSz w:w="11906" w:h="16839"/>
          <w:pgMar w:top="1132" w:right="1700" w:bottom="1259" w:left="1701" w:header="829" w:footer="1097" w:gutter="0"/>
          <w:cols w:space="720" w:num="1"/>
        </w:sectPr>
      </w:pPr>
    </w:p>
    <w:p w14:paraId="2F1B9C8B">
      <w:pPr>
        <w:pStyle w:val="2"/>
        <w:spacing w:line="362" w:lineRule="auto"/>
      </w:pPr>
    </w:p>
    <w:p w14:paraId="3D47C7C0">
      <w:pPr>
        <w:spacing w:before="91" w:line="219" w:lineRule="auto"/>
        <w:ind w:left="19"/>
        <w:outlineLvl w:val="1"/>
        <w:rPr>
          <w:rFonts w:ascii="宋体" w:hAnsi="宋体" w:eastAsia="宋体" w:cs="宋体"/>
          <w:sz w:val="28"/>
          <w:szCs w:val="28"/>
        </w:rPr>
      </w:pPr>
      <w:bookmarkStart w:id="3" w:name="bookmark4"/>
      <w:bookmarkEnd w:id="3"/>
      <w:r>
        <w:rPr>
          <w:rFonts w:ascii="Times New Roman" w:hAnsi="Times New Roman" w:eastAsia="Times New Roman" w:cs="Times New Roman"/>
          <w:b/>
          <w:bCs/>
          <w:spacing w:val="-4"/>
          <w:sz w:val="28"/>
          <w:szCs w:val="28"/>
        </w:rPr>
        <w:t>1.2</w:t>
      </w:r>
      <w:r>
        <w:rPr>
          <w:rFonts w:ascii="宋体" w:hAnsi="宋体" w:eastAsia="宋体" w:cs="宋体"/>
          <w:b/>
          <w:bCs/>
          <w:spacing w:val="-4"/>
          <w:sz w:val="28"/>
          <w:szCs w:val="28"/>
        </w:rPr>
        <w:t>论证依据</w:t>
      </w:r>
    </w:p>
    <w:p w14:paraId="4500517A">
      <w:pPr>
        <w:spacing w:before="235" w:line="219" w:lineRule="auto"/>
        <w:ind w:left="16"/>
        <w:outlineLvl w:val="2"/>
        <w:rPr>
          <w:rFonts w:ascii="宋体" w:hAnsi="宋体" w:eastAsia="宋体" w:cs="宋体"/>
          <w:sz w:val="24"/>
          <w:szCs w:val="24"/>
        </w:rPr>
      </w:pPr>
      <w:r>
        <w:rPr>
          <w:rFonts w:ascii="Times New Roman" w:hAnsi="Times New Roman" w:eastAsia="Times New Roman" w:cs="Times New Roman"/>
          <w:b/>
          <w:bCs/>
          <w:spacing w:val="-4"/>
          <w:sz w:val="24"/>
          <w:szCs w:val="24"/>
        </w:rPr>
        <w:t>1.2.1</w:t>
      </w:r>
      <w:r>
        <w:rPr>
          <w:rFonts w:ascii="宋体" w:hAnsi="宋体" w:eastAsia="宋体" w:cs="宋体"/>
          <w:b/>
          <w:bCs/>
          <w:spacing w:val="-4"/>
          <w:sz w:val="24"/>
          <w:szCs w:val="24"/>
        </w:rPr>
        <w:t>国家有关法律、法规及有关规定</w:t>
      </w:r>
    </w:p>
    <w:p w14:paraId="49342E71">
      <w:pPr>
        <w:spacing w:before="182" w:line="219" w:lineRule="auto"/>
        <w:ind w:left="501"/>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）《中华人民共和国水法》（全国人大常委会</w:t>
      </w:r>
      <w:r>
        <w:rPr>
          <w:rFonts w:ascii="Times New Roman" w:hAnsi="Times New Roman" w:eastAsia="Times New Roman" w:cs="Times New Roman"/>
          <w:spacing w:val="-3"/>
          <w:sz w:val="24"/>
          <w:szCs w:val="24"/>
        </w:rPr>
        <w:t>2016</w:t>
      </w:r>
      <w:r>
        <w:rPr>
          <w:rFonts w:ascii="宋体" w:hAnsi="宋体" w:eastAsia="宋体" w:cs="宋体"/>
          <w:spacing w:val="-3"/>
          <w:sz w:val="24"/>
          <w:szCs w:val="24"/>
        </w:rPr>
        <w:t>年</w:t>
      </w:r>
      <w:r>
        <w:rPr>
          <w:rFonts w:ascii="Times New Roman" w:hAnsi="Times New Roman" w:eastAsia="Times New Roman" w:cs="Times New Roman"/>
          <w:spacing w:val="-4"/>
          <w:sz w:val="24"/>
          <w:szCs w:val="24"/>
        </w:rPr>
        <w:t>7</w:t>
      </w:r>
      <w:r>
        <w:rPr>
          <w:rFonts w:ascii="宋体" w:hAnsi="宋体" w:eastAsia="宋体" w:cs="宋体"/>
          <w:spacing w:val="-4"/>
          <w:sz w:val="24"/>
          <w:szCs w:val="24"/>
        </w:rPr>
        <w:t>月</w:t>
      </w:r>
      <w:r>
        <w:rPr>
          <w:rFonts w:ascii="Times New Roman" w:hAnsi="Times New Roman" w:eastAsia="Times New Roman" w:cs="Times New Roman"/>
          <w:spacing w:val="-4"/>
          <w:sz w:val="24"/>
          <w:szCs w:val="24"/>
        </w:rPr>
        <w:t>2</w:t>
      </w:r>
      <w:r>
        <w:rPr>
          <w:rFonts w:ascii="宋体" w:hAnsi="宋体" w:eastAsia="宋体" w:cs="宋体"/>
          <w:spacing w:val="-4"/>
          <w:sz w:val="24"/>
          <w:szCs w:val="24"/>
        </w:rPr>
        <w:t>日修正</w:t>
      </w:r>
      <w:r>
        <w:rPr>
          <w:rFonts w:ascii="宋体" w:hAnsi="宋体" w:eastAsia="宋体" w:cs="宋体"/>
          <w:sz w:val="24"/>
          <w:szCs w:val="24"/>
        </w:rPr>
        <w:t>）；</w:t>
      </w:r>
    </w:p>
    <w:p w14:paraId="143B7BFE">
      <w:pPr>
        <w:spacing w:before="182" w:line="290" w:lineRule="auto"/>
        <w:ind w:left="15" w:right="103" w:firstLine="48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）《中华人民共和国环境保护法》（</w:t>
      </w:r>
      <w:r>
        <w:rPr>
          <w:rFonts w:ascii="Times New Roman" w:hAnsi="Times New Roman" w:eastAsia="Times New Roman" w:cs="Times New Roman"/>
          <w:sz w:val="24"/>
          <w:szCs w:val="24"/>
        </w:rPr>
        <w:t>2014</w:t>
      </w:r>
      <w:r>
        <w:rPr>
          <w:rFonts w:ascii="宋体" w:hAnsi="宋体" w:eastAsia="宋体" w:cs="宋体"/>
          <w:sz w:val="24"/>
          <w:szCs w:val="24"/>
        </w:rPr>
        <w:t>年</w:t>
      </w:r>
      <w:r>
        <w:rPr>
          <w:rFonts w:ascii="Times New Roman" w:hAnsi="Times New Roman" w:eastAsia="Times New Roman" w:cs="Times New Roman"/>
          <w:sz w:val="24"/>
          <w:szCs w:val="24"/>
        </w:rPr>
        <w:t>4</w:t>
      </w:r>
      <w:r>
        <w:rPr>
          <w:rFonts w:ascii="宋体" w:hAnsi="宋体" w:eastAsia="宋体" w:cs="宋体"/>
          <w:sz w:val="24"/>
          <w:szCs w:val="24"/>
        </w:rPr>
        <w:t>月</w:t>
      </w:r>
      <w:r>
        <w:rPr>
          <w:rFonts w:ascii="Times New Roman" w:hAnsi="Times New Roman" w:eastAsia="Times New Roman" w:cs="Times New Roman"/>
          <w:sz w:val="24"/>
          <w:szCs w:val="24"/>
        </w:rPr>
        <w:t>24</w:t>
      </w:r>
      <w:r>
        <w:rPr>
          <w:rFonts w:ascii="宋体" w:hAnsi="宋体" w:eastAsia="宋体" w:cs="宋体"/>
          <w:sz w:val="24"/>
          <w:szCs w:val="24"/>
        </w:rPr>
        <w:t>日</w:t>
      </w:r>
      <w:r>
        <w:rPr>
          <w:rFonts w:ascii="宋体" w:hAnsi="宋体" w:eastAsia="宋体" w:cs="宋体"/>
          <w:spacing w:val="-1"/>
          <w:sz w:val="24"/>
          <w:szCs w:val="24"/>
        </w:rPr>
        <w:t>修订，</w:t>
      </w:r>
      <w:r>
        <w:rPr>
          <w:rFonts w:ascii="Times New Roman" w:hAnsi="Times New Roman" w:eastAsia="Times New Roman" w:cs="Times New Roman"/>
          <w:spacing w:val="-1"/>
          <w:sz w:val="24"/>
          <w:szCs w:val="24"/>
        </w:rPr>
        <w:t>2015</w:t>
      </w:r>
      <w:r>
        <w:rPr>
          <w:rFonts w:ascii="宋体" w:hAnsi="宋体" w:eastAsia="宋体" w:cs="宋体"/>
          <w:spacing w:val="-1"/>
          <w:sz w:val="24"/>
          <w:szCs w:val="24"/>
        </w:rPr>
        <w:t>年</w:t>
      </w:r>
      <w:r>
        <w:rPr>
          <w:rFonts w:ascii="Times New Roman" w:hAnsi="Times New Roman" w:eastAsia="Times New Roman" w:cs="Times New Roman"/>
          <w:spacing w:val="-1"/>
          <w:sz w:val="24"/>
          <w:szCs w:val="24"/>
        </w:rPr>
        <w:t>1</w:t>
      </w:r>
      <w:r>
        <w:rPr>
          <w:rFonts w:ascii="宋体" w:hAnsi="宋体" w:eastAsia="宋体" w:cs="宋体"/>
          <w:spacing w:val="-15"/>
          <w:sz w:val="24"/>
          <w:szCs w:val="24"/>
        </w:rPr>
        <w:t>月</w:t>
      </w:r>
      <w:r>
        <w:rPr>
          <w:rFonts w:ascii="Times New Roman" w:hAnsi="Times New Roman" w:eastAsia="Times New Roman" w:cs="Times New Roman"/>
          <w:spacing w:val="-15"/>
          <w:sz w:val="24"/>
          <w:szCs w:val="24"/>
        </w:rPr>
        <w:t>1</w:t>
      </w:r>
      <w:r>
        <w:rPr>
          <w:rFonts w:ascii="宋体" w:hAnsi="宋体" w:eastAsia="宋体" w:cs="宋体"/>
          <w:spacing w:val="-15"/>
          <w:sz w:val="24"/>
          <w:szCs w:val="24"/>
        </w:rPr>
        <w:t>日实施</w:t>
      </w:r>
      <w:r>
        <w:rPr>
          <w:rFonts w:ascii="宋体" w:hAnsi="宋体" w:eastAsia="宋体" w:cs="宋体"/>
          <w:sz w:val="24"/>
          <w:szCs w:val="24"/>
        </w:rPr>
        <w:t>）；</w:t>
      </w:r>
    </w:p>
    <w:p w14:paraId="2FDADC46">
      <w:pPr>
        <w:spacing w:before="182" w:line="290" w:lineRule="auto"/>
        <w:ind w:left="15" w:right="103" w:firstLine="48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）《中华人民共和国水污染防治法》（</w:t>
      </w:r>
      <w:r>
        <w:rPr>
          <w:rFonts w:ascii="Times New Roman" w:hAnsi="Times New Roman" w:eastAsia="Times New Roman" w:cs="Times New Roman"/>
          <w:spacing w:val="-5"/>
          <w:sz w:val="24"/>
          <w:szCs w:val="24"/>
        </w:rPr>
        <w:t>2017</w:t>
      </w:r>
      <w:r>
        <w:rPr>
          <w:rFonts w:ascii="宋体" w:hAnsi="宋体" w:eastAsia="宋体" w:cs="宋体"/>
          <w:spacing w:val="-5"/>
          <w:sz w:val="24"/>
          <w:szCs w:val="24"/>
        </w:rPr>
        <w:t>年</w:t>
      </w:r>
      <w:r>
        <w:rPr>
          <w:rFonts w:ascii="Times New Roman" w:hAnsi="Times New Roman" w:eastAsia="Times New Roman" w:cs="Times New Roman"/>
          <w:spacing w:val="-5"/>
          <w:sz w:val="24"/>
          <w:szCs w:val="24"/>
        </w:rPr>
        <w:t>6</w:t>
      </w:r>
      <w:r>
        <w:rPr>
          <w:rFonts w:ascii="宋体" w:hAnsi="宋体" w:eastAsia="宋体" w:cs="宋体"/>
          <w:spacing w:val="-5"/>
          <w:sz w:val="24"/>
          <w:szCs w:val="24"/>
        </w:rPr>
        <w:t>月</w:t>
      </w:r>
      <w:r>
        <w:rPr>
          <w:rFonts w:ascii="Times New Roman" w:hAnsi="Times New Roman" w:eastAsia="Times New Roman" w:cs="Times New Roman"/>
          <w:spacing w:val="-5"/>
          <w:sz w:val="24"/>
          <w:szCs w:val="24"/>
        </w:rPr>
        <w:t>28</w:t>
      </w:r>
      <w:r>
        <w:rPr>
          <w:rFonts w:ascii="宋体" w:hAnsi="宋体" w:eastAsia="宋体" w:cs="宋体"/>
          <w:spacing w:val="-5"/>
          <w:sz w:val="24"/>
          <w:szCs w:val="24"/>
        </w:rPr>
        <w:t>日修订，</w:t>
      </w:r>
      <w:r>
        <w:rPr>
          <w:rFonts w:ascii="Times New Roman" w:hAnsi="Times New Roman" w:eastAsia="Times New Roman" w:cs="Times New Roman"/>
          <w:spacing w:val="-5"/>
          <w:sz w:val="24"/>
          <w:szCs w:val="24"/>
        </w:rPr>
        <w:t>2018</w:t>
      </w:r>
      <w:r>
        <w:rPr>
          <w:rFonts w:ascii="宋体" w:hAnsi="宋体" w:eastAsia="宋体" w:cs="宋体"/>
          <w:spacing w:val="-5"/>
          <w:sz w:val="24"/>
          <w:szCs w:val="24"/>
        </w:rPr>
        <w:t>年</w:t>
      </w:r>
      <w:r>
        <w:rPr>
          <w:rFonts w:ascii="Times New Roman" w:hAnsi="Times New Roman" w:eastAsia="Times New Roman" w:cs="Times New Roman"/>
          <w:spacing w:val="-5"/>
          <w:sz w:val="24"/>
          <w:szCs w:val="24"/>
        </w:rPr>
        <w:t>1</w:t>
      </w:r>
      <w:r>
        <w:rPr>
          <w:rFonts w:ascii="宋体" w:hAnsi="宋体" w:eastAsia="宋体" w:cs="宋体"/>
          <w:spacing w:val="-15"/>
          <w:sz w:val="24"/>
          <w:szCs w:val="24"/>
        </w:rPr>
        <w:t>月</w:t>
      </w:r>
      <w:r>
        <w:rPr>
          <w:rFonts w:ascii="Times New Roman" w:hAnsi="Times New Roman" w:eastAsia="Times New Roman" w:cs="Times New Roman"/>
          <w:spacing w:val="-15"/>
          <w:sz w:val="24"/>
          <w:szCs w:val="24"/>
        </w:rPr>
        <w:t>1</w:t>
      </w:r>
      <w:r>
        <w:rPr>
          <w:rFonts w:ascii="宋体" w:hAnsi="宋体" w:eastAsia="宋体" w:cs="宋体"/>
          <w:spacing w:val="-15"/>
          <w:sz w:val="24"/>
          <w:szCs w:val="24"/>
        </w:rPr>
        <w:t>日实施</w:t>
      </w:r>
      <w:r>
        <w:rPr>
          <w:rFonts w:ascii="宋体" w:hAnsi="宋体" w:eastAsia="宋体" w:cs="宋体"/>
          <w:sz w:val="24"/>
          <w:szCs w:val="24"/>
        </w:rPr>
        <w:t>）；</w:t>
      </w:r>
    </w:p>
    <w:p w14:paraId="0A02A69C">
      <w:pPr>
        <w:spacing w:before="182" w:line="290" w:lineRule="auto"/>
        <w:ind w:left="5" w:right="103" w:firstLine="49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）《中华人民共和国环境影响评价法》（全国人大常委会</w:t>
      </w:r>
      <w:r>
        <w:rPr>
          <w:rFonts w:ascii="Times New Roman" w:hAnsi="Times New Roman" w:eastAsia="Times New Roman" w:cs="Times New Roman"/>
          <w:spacing w:val="1"/>
          <w:sz w:val="24"/>
          <w:szCs w:val="24"/>
        </w:rPr>
        <w:t>2018</w:t>
      </w:r>
      <w:r>
        <w:rPr>
          <w:rFonts w:ascii="宋体" w:hAnsi="宋体" w:eastAsia="宋体" w:cs="宋体"/>
          <w:spacing w:val="1"/>
          <w:sz w:val="24"/>
          <w:szCs w:val="24"/>
        </w:rPr>
        <w:t>年</w:t>
      </w:r>
      <w:r>
        <w:rPr>
          <w:rFonts w:ascii="Times New Roman" w:hAnsi="Times New Roman" w:eastAsia="Times New Roman" w:cs="Times New Roman"/>
          <w:spacing w:val="1"/>
          <w:sz w:val="24"/>
          <w:szCs w:val="24"/>
        </w:rPr>
        <w:t>12</w:t>
      </w:r>
      <w:r>
        <w:rPr>
          <w:rFonts w:ascii="宋体" w:hAnsi="宋体" w:eastAsia="宋体" w:cs="宋体"/>
          <w:spacing w:val="1"/>
          <w:sz w:val="24"/>
          <w:szCs w:val="24"/>
        </w:rPr>
        <w:t>月</w:t>
      </w:r>
      <w:r>
        <w:rPr>
          <w:rFonts w:ascii="Times New Roman" w:hAnsi="Times New Roman" w:eastAsia="Times New Roman" w:cs="Times New Roman"/>
          <w:spacing w:val="-12"/>
          <w:sz w:val="24"/>
          <w:szCs w:val="24"/>
        </w:rPr>
        <w:t>29</w:t>
      </w:r>
      <w:r>
        <w:rPr>
          <w:rFonts w:ascii="宋体" w:hAnsi="宋体" w:eastAsia="宋体" w:cs="宋体"/>
          <w:spacing w:val="-12"/>
          <w:sz w:val="24"/>
          <w:szCs w:val="24"/>
        </w:rPr>
        <w:t>日修订</w:t>
      </w:r>
      <w:r>
        <w:rPr>
          <w:rFonts w:ascii="宋体" w:hAnsi="宋体" w:eastAsia="宋体" w:cs="宋体"/>
          <w:spacing w:val="1"/>
          <w:sz w:val="24"/>
          <w:szCs w:val="24"/>
        </w:rPr>
        <w:t>）；</w:t>
      </w:r>
    </w:p>
    <w:p w14:paraId="493C883A">
      <w:pPr>
        <w:spacing w:before="183" w:line="219" w:lineRule="auto"/>
        <w:ind w:left="50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）《建设项目水资源论证管理办法》水利部、国家计委（第</w:t>
      </w:r>
      <w:r>
        <w:rPr>
          <w:rFonts w:ascii="Times New Roman" w:hAnsi="Times New Roman" w:eastAsia="Times New Roman" w:cs="Times New Roman"/>
          <w:spacing w:val="-2"/>
          <w:sz w:val="24"/>
          <w:szCs w:val="24"/>
        </w:rPr>
        <w:t>15</w:t>
      </w:r>
      <w:r>
        <w:rPr>
          <w:rFonts w:ascii="宋体" w:hAnsi="宋体" w:eastAsia="宋体" w:cs="宋体"/>
          <w:spacing w:val="-3"/>
          <w:sz w:val="24"/>
          <w:szCs w:val="24"/>
        </w:rPr>
        <w:t>号令</w:t>
      </w:r>
      <w:r>
        <w:rPr>
          <w:rFonts w:ascii="宋体" w:hAnsi="宋体" w:eastAsia="宋体" w:cs="宋体"/>
          <w:sz w:val="24"/>
          <w:szCs w:val="24"/>
        </w:rPr>
        <w:t>）；</w:t>
      </w:r>
    </w:p>
    <w:p w14:paraId="18C731C4">
      <w:pPr>
        <w:spacing w:before="184" w:line="219" w:lineRule="auto"/>
        <w:ind w:left="501"/>
        <w:rPr>
          <w:rFonts w:ascii="宋体" w:hAnsi="宋体" w:eastAsia="宋体" w:cs="宋体"/>
          <w:sz w:val="24"/>
          <w:szCs w:val="24"/>
        </w:rPr>
      </w:pPr>
      <w:r>
        <w:rPr>
          <w:rFonts w:ascii="宋体" w:hAnsi="宋体" w:eastAsia="宋体" w:cs="宋体"/>
          <w:spacing w:val="14"/>
          <w:sz w:val="24"/>
          <w:szCs w:val="24"/>
        </w:rPr>
        <w:t>（</w:t>
      </w:r>
      <w:r>
        <w:rPr>
          <w:rFonts w:ascii="Times New Roman" w:hAnsi="Times New Roman" w:eastAsia="Times New Roman" w:cs="Times New Roman"/>
          <w:spacing w:val="14"/>
          <w:sz w:val="24"/>
          <w:szCs w:val="24"/>
        </w:rPr>
        <w:t>6</w:t>
      </w:r>
      <w:r>
        <w:rPr>
          <w:rFonts w:ascii="宋体" w:hAnsi="宋体" w:eastAsia="宋体" w:cs="宋体"/>
          <w:spacing w:val="14"/>
          <w:sz w:val="24"/>
          <w:szCs w:val="24"/>
        </w:rPr>
        <w:t>）《关于做好建设项目水资源论证工作的通知》</w:t>
      </w:r>
      <w:r>
        <w:rPr>
          <w:rFonts w:ascii="宋体" w:hAnsi="宋体" w:eastAsia="宋体" w:cs="宋体"/>
          <w:spacing w:val="13"/>
          <w:sz w:val="24"/>
          <w:szCs w:val="24"/>
        </w:rPr>
        <w:t>（水利部、水资源</w:t>
      </w:r>
    </w:p>
    <w:p w14:paraId="3699FA99">
      <w:pPr>
        <w:spacing w:before="183" w:line="210" w:lineRule="auto"/>
        <w:ind w:left="20"/>
        <w:rPr>
          <w:rFonts w:ascii="宋体" w:hAnsi="宋体" w:eastAsia="宋体" w:cs="宋体"/>
          <w:sz w:val="24"/>
          <w:szCs w:val="24"/>
        </w:rPr>
      </w:pPr>
      <w:r>
        <w:rPr>
          <w:rFonts w:ascii="Times New Roman" w:hAnsi="Times New Roman" w:eastAsia="Times New Roman" w:cs="Times New Roman"/>
          <w:spacing w:val="-3"/>
          <w:sz w:val="24"/>
          <w:szCs w:val="24"/>
        </w:rPr>
        <w:t>[2002]145</w:t>
      </w:r>
      <w:r>
        <w:rPr>
          <w:rFonts w:ascii="宋体" w:hAnsi="宋体" w:eastAsia="宋体" w:cs="宋体"/>
          <w:spacing w:val="2"/>
          <w:sz w:val="24"/>
          <w:szCs w:val="24"/>
        </w:rPr>
        <w:t>）；</w:t>
      </w:r>
    </w:p>
    <w:p w14:paraId="383BE986">
      <w:pPr>
        <w:spacing w:before="194" w:line="219" w:lineRule="auto"/>
        <w:ind w:left="50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7</w:t>
      </w:r>
      <w:r>
        <w:rPr>
          <w:rFonts w:ascii="宋体" w:hAnsi="宋体" w:eastAsia="宋体" w:cs="宋体"/>
          <w:spacing w:val="-2"/>
          <w:sz w:val="24"/>
          <w:szCs w:val="24"/>
        </w:rPr>
        <w:t>）《入河排污口监督管理办法》（</w:t>
      </w:r>
      <w:r>
        <w:rPr>
          <w:rFonts w:ascii="Times New Roman" w:hAnsi="Times New Roman" w:eastAsia="Times New Roman" w:cs="Times New Roman"/>
          <w:spacing w:val="-2"/>
          <w:sz w:val="24"/>
          <w:szCs w:val="24"/>
        </w:rPr>
        <w:t>2024</w:t>
      </w:r>
      <w:r>
        <w:rPr>
          <w:rFonts w:ascii="宋体" w:hAnsi="宋体" w:eastAsia="宋体" w:cs="宋体"/>
          <w:spacing w:val="-2"/>
          <w:sz w:val="24"/>
          <w:szCs w:val="24"/>
        </w:rPr>
        <w:t>年，部令第</w:t>
      </w:r>
      <w:r>
        <w:rPr>
          <w:rFonts w:ascii="Times New Roman" w:hAnsi="Times New Roman" w:eastAsia="Times New Roman" w:cs="Times New Roman"/>
          <w:spacing w:val="-2"/>
          <w:sz w:val="24"/>
          <w:szCs w:val="24"/>
        </w:rPr>
        <w:t>35</w:t>
      </w:r>
      <w:r>
        <w:rPr>
          <w:rFonts w:ascii="宋体" w:hAnsi="宋体" w:eastAsia="宋体" w:cs="宋体"/>
          <w:spacing w:val="-2"/>
          <w:sz w:val="24"/>
          <w:szCs w:val="24"/>
        </w:rPr>
        <w:t>号</w:t>
      </w:r>
      <w:r>
        <w:rPr>
          <w:rFonts w:ascii="宋体" w:hAnsi="宋体" w:eastAsia="宋体" w:cs="宋体"/>
          <w:spacing w:val="7"/>
          <w:sz w:val="24"/>
          <w:szCs w:val="24"/>
        </w:rPr>
        <w:t>）；</w:t>
      </w:r>
    </w:p>
    <w:p w14:paraId="5E5790DB">
      <w:pPr>
        <w:spacing w:before="183" w:line="290" w:lineRule="auto"/>
        <w:ind w:left="15" w:right="103" w:firstLine="48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8</w:t>
      </w:r>
      <w:r>
        <w:rPr>
          <w:rFonts w:ascii="宋体" w:hAnsi="宋体" w:eastAsia="宋体" w:cs="宋体"/>
          <w:spacing w:val="-2"/>
          <w:sz w:val="24"/>
          <w:szCs w:val="24"/>
        </w:rPr>
        <w:t>）《关于加强入河排污口监督管理工作的通知》（水利部水资源</w:t>
      </w:r>
      <w:r>
        <w:rPr>
          <w:rFonts w:ascii="Times New Roman" w:hAnsi="Times New Roman" w:eastAsia="Times New Roman" w:cs="Times New Roman"/>
          <w:spacing w:val="-2"/>
          <w:sz w:val="24"/>
          <w:szCs w:val="24"/>
        </w:rPr>
        <w:t>[2005]79</w:t>
      </w:r>
      <w:r>
        <w:rPr>
          <w:rFonts w:ascii="宋体" w:hAnsi="宋体" w:eastAsia="宋体" w:cs="宋体"/>
          <w:spacing w:val="-6"/>
          <w:sz w:val="24"/>
          <w:szCs w:val="24"/>
        </w:rPr>
        <w:t>号，</w:t>
      </w:r>
      <w:r>
        <w:rPr>
          <w:rFonts w:ascii="Times New Roman" w:hAnsi="Times New Roman" w:eastAsia="Times New Roman" w:cs="Times New Roman"/>
          <w:spacing w:val="-6"/>
          <w:sz w:val="24"/>
          <w:szCs w:val="24"/>
        </w:rPr>
        <w:t>2008</w:t>
      </w:r>
      <w:r>
        <w:rPr>
          <w:rFonts w:ascii="宋体" w:hAnsi="宋体" w:eastAsia="宋体" w:cs="宋体"/>
          <w:spacing w:val="-6"/>
          <w:sz w:val="24"/>
          <w:szCs w:val="24"/>
        </w:rPr>
        <w:t>年</w:t>
      </w:r>
      <w:r>
        <w:rPr>
          <w:rFonts w:ascii="Times New Roman" w:hAnsi="Times New Roman" w:eastAsia="Times New Roman" w:cs="Times New Roman"/>
          <w:spacing w:val="-6"/>
          <w:sz w:val="24"/>
          <w:szCs w:val="24"/>
        </w:rPr>
        <w:t>3</w:t>
      </w:r>
      <w:r>
        <w:rPr>
          <w:rFonts w:ascii="宋体" w:hAnsi="宋体" w:eastAsia="宋体" w:cs="宋体"/>
          <w:spacing w:val="-6"/>
          <w:sz w:val="24"/>
          <w:szCs w:val="24"/>
        </w:rPr>
        <w:t>月</w:t>
      </w:r>
      <w:r>
        <w:rPr>
          <w:rFonts w:ascii="Times New Roman" w:hAnsi="Times New Roman" w:eastAsia="Times New Roman" w:cs="Times New Roman"/>
          <w:spacing w:val="-6"/>
          <w:sz w:val="24"/>
          <w:szCs w:val="24"/>
        </w:rPr>
        <w:t>8</w:t>
      </w:r>
      <w:r>
        <w:rPr>
          <w:rFonts w:ascii="宋体" w:hAnsi="宋体" w:eastAsia="宋体" w:cs="宋体"/>
          <w:spacing w:val="-6"/>
          <w:sz w:val="24"/>
          <w:szCs w:val="24"/>
        </w:rPr>
        <w:t>日</w:t>
      </w:r>
      <w:r>
        <w:rPr>
          <w:rFonts w:ascii="宋体" w:hAnsi="宋体" w:eastAsia="宋体" w:cs="宋体"/>
          <w:spacing w:val="-16"/>
          <w:sz w:val="24"/>
          <w:szCs w:val="24"/>
        </w:rPr>
        <w:t>）；</w:t>
      </w:r>
    </w:p>
    <w:p w14:paraId="074F0A24">
      <w:pPr>
        <w:spacing w:before="184" w:line="219" w:lineRule="auto"/>
        <w:ind w:left="50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9</w:t>
      </w:r>
      <w:r>
        <w:rPr>
          <w:rFonts w:ascii="宋体" w:hAnsi="宋体" w:eastAsia="宋体" w:cs="宋体"/>
          <w:spacing w:val="-1"/>
          <w:sz w:val="24"/>
          <w:szCs w:val="24"/>
        </w:rPr>
        <w:t>）《饮用水水源保护区污染防治管理规定》（环保部，</w:t>
      </w:r>
      <w:r>
        <w:rPr>
          <w:rFonts w:ascii="Times New Roman" w:hAnsi="Times New Roman" w:eastAsia="Times New Roman" w:cs="Times New Roman"/>
          <w:spacing w:val="-1"/>
          <w:sz w:val="24"/>
          <w:szCs w:val="24"/>
        </w:rPr>
        <w:t>2010</w:t>
      </w:r>
      <w:r>
        <w:rPr>
          <w:rFonts w:ascii="宋体" w:hAnsi="宋体" w:eastAsia="宋体" w:cs="宋体"/>
          <w:spacing w:val="-1"/>
          <w:sz w:val="24"/>
          <w:szCs w:val="24"/>
        </w:rPr>
        <w:t>年修订</w:t>
      </w:r>
      <w:r>
        <w:rPr>
          <w:rFonts w:ascii="宋体" w:hAnsi="宋体" w:eastAsia="宋体" w:cs="宋体"/>
          <w:spacing w:val="6"/>
          <w:sz w:val="24"/>
          <w:szCs w:val="24"/>
        </w:rPr>
        <w:t>）；</w:t>
      </w:r>
    </w:p>
    <w:p w14:paraId="47D706AB">
      <w:pPr>
        <w:spacing w:before="183" w:line="210" w:lineRule="auto"/>
        <w:ind w:left="50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10</w:t>
      </w:r>
      <w:r>
        <w:rPr>
          <w:rFonts w:ascii="宋体" w:hAnsi="宋体" w:eastAsia="宋体" w:cs="宋体"/>
          <w:spacing w:val="-1"/>
          <w:sz w:val="24"/>
          <w:szCs w:val="24"/>
        </w:rPr>
        <w:t>）《水功能区监督管理办法》（水利部水资源</w:t>
      </w:r>
      <w:r>
        <w:rPr>
          <w:rFonts w:ascii="Times New Roman" w:hAnsi="Times New Roman" w:eastAsia="Times New Roman" w:cs="Times New Roman"/>
          <w:spacing w:val="-1"/>
          <w:sz w:val="24"/>
          <w:szCs w:val="24"/>
        </w:rPr>
        <w:t>[2017]101</w:t>
      </w:r>
      <w:r>
        <w:rPr>
          <w:rFonts w:ascii="宋体" w:hAnsi="宋体" w:eastAsia="宋体" w:cs="宋体"/>
          <w:spacing w:val="-1"/>
          <w:sz w:val="24"/>
          <w:szCs w:val="24"/>
        </w:rPr>
        <w:t>号</w:t>
      </w:r>
      <w:r>
        <w:rPr>
          <w:rFonts w:ascii="宋体" w:hAnsi="宋体" w:eastAsia="宋体" w:cs="宋体"/>
          <w:spacing w:val="5"/>
          <w:sz w:val="24"/>
          <w:szCs w:val="24"/>
        </w:rPr>
        <w:t>）；</w:t>
      </w:r>
    </w:p>
    <w:p w14:paraId="001B71A2">
      <w:pPr>
        <w:spacing w:before="195" w:line="219" w:lineRule="auto"/>
        <w:ind w:left="50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11</w:t>
      </w:r>
      <w:r>
        <w:rPr>
          <w:rFonts w:ascii="宋体" w:hAnsi="宋体" w:eastAsia="宋体" w:cs="宋体"/>
          <w:spacing w:val="-1"/>
          <w:sz w:val="24"/>
          <w:szCs w:val="24"/>
        </w:rPr>
        <w:t>）《中华人民共和国河道管理条例》（</w:t>
      </w:r>
      <w:r>
        <w:rPr>
          <w:rFonts w:ascii="Times New Roman" w:hAnsi="Times New Roman" w:eastAsia="Times New Roman" w:cs="Times New Roman"/>
          <w:spacing w:val="-1"/>
          <w:sz w:val="24"/>
          <w:szCs w:val="24"/>
        </w:rPr>
        <w:t>2018</w:t>
      </w:r>
      <w:r>
        <w:rPr>
          <w:rFonts w:ascii="宋体" w:hAnsi="宋体" w:eastAsia="宋体" w:cs="宋体"/>
          <w:spacing w:val="-2"/>
          <w:sz w:val="24"/>
          <w:szCs w:val="24"/>
        </w:rPr>
        <w:t>年修订</w:t>
      </w:r>
      <w:r>
        <w:rPr>
          <w:rFonts w:ascii="宋体" w:hAnsi="宋体" w:eastAsia="宋体" w:cs="宋体"/>
          <w:sz w:val="24"/>
          <w:szCs w:val="24"/>
        </w:rPr>
        <w:t>）；</w:t>
      </w:r>
    </w:p>
    <w:p w14:paraId="2292E4BF">
      <w:pPr>
        <w:spacing w:before="184" w:line="290" w:lineRule="auto"/>
        <w:ind w:left="15" w:right="103" w:firstLine="48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12</w:t>
      </w:r>
      <w:r>
        <w:rPr>
          <w:rFonts w:ascii="宋体" w:hAnsi="宋体" w:eastAsia="宋体" w:cs="宋体"/>
          <w:spacing w:val="5"/>
          <w:sz w:val="24"/>
          <w:szCs w:val="24"/>
        </w:rPr>
        <w:t>）《关于进一步加强入河排污口管理工作的通知》（</w:t>
      </w:r>
      <w:r>
        <w:rPr>
          <w:rFonts w:ascii="宋体" w:hAnsi="宋体" w:eastAsia="宋体" w:cs="宋体"/>
          <w:spacing w:val="4"/>
          <w:sz w:val="24"/>
          <w:szCs w:val="24"/>
        </w:rPr>
        <w:t>水资源</w:t>
      </w:r>
      <w:r>
        <w:rPr>
          <w:rFonts w:ascii="Times New Roman" w:hAnsi="Times New Roman" w:eastAsia="Times New Roman" w:cs="Times New Roman"/>
          <w:spacing w:val="4"/>
          <w:sz w:val="24"/>
          <w:szCs w:val="24"/>
        </w:rPr>
        <w:t>[2017]138</w:t>
      </w:r>
      <w:r>
        <w:rPr>
          <w:rFonts w:ascii="宋体" w:hAnsi="宋体" w:eastAsia="宋体" w:cs="宋体"/>
          <w:spacing w:val="-16"/>
          <w:sz w:val="24"/>
          <w:szCs w:val="24"/>
        </w:rPr>
        <w:t>号</w:t>
      </w:r>
      <w:r>
        <w:rPr>
          <w:rFonts w:ascii="宋体" w:hAnsi="宋体" w:eastAsia="宋体" w:cs="宋体"/>
          <w:sz w:val="24"/>
          <w:szCs w:val="24"/>
        </w:rPr>
        <w:t>）；</w:t>
      </w:r>
    </w:p>
    <w:p w14:paraId="3FC97084">
      <w:pPr>
        <w:spacing w:before="182" w:line="290" w:lineRule="auto"/>
        <w:ind w:left="15" w:right="103" w:firstLine="485"/>
        <w:rPr>
          <w:rFonts w:ascii="宋体" w:hAnsi="宋体" w:eastAsia="宋体" w:cs="宋体"/>
          <w:sz w:val="24"/>
          <w:szCs w:val="24"/>
        </w:rPr>
      </w:pPr>
      <w:r>
        <w:rPr>
          <w:rFonts w:ascii="宋体" w:hAnsi="宋体" w:eastAsia="宋体" w:cs="宋体"/>
          <w:spacing w:val="-11"/>
          <w:sz w:val="24"/>
          <w:szCs w:val="24"/>
        </w:rPr>
        <w:t>（</w:t>
      </w:r>
      <w:r>
        <w:rPr>
          <w:rFonts w:ascii="Times New Roman" w:hAnsi="Times New Roman" w:eastAsia="Times New Roman" w:cs="Times New Roman"/>
          <w:spacing w:val="-11"/>
          <w:sz w:val="24"/>
          <w:szCs w:val="24"/>
        </w:rPr>
        <w:t>13</w:t>
      </w:r>
      <w:r>
        <w:rPr>
          <w:rFonts w:ascii="宋体" w:hAnsi="宋体" w:eastAsia="宋体" w:cs="宋体"/>
          <w:spacing w:val="-11"/>
          <w:sz w:val="24"/>
          <w:szCs w:val="24"/>
        </w:rPr>
        <w:t>）《国务院办公厅关于加强饮用水安全保障工作的通知》（国办发</w:t>
      </w:r>
      <w:r>
        <w:rPr>
          <w:rFonts w:ascii="Times New Roman" w:hAnsi="Times New Roman" w:eastAsia="Times New Roman" w:cs="Times New Roman"/>
          <w:spacing w:val="-11"/>
          <w:sz w:val="24"/>
          <w:szCs w:val="24"/>
        </w:rPr>
        <w:t>[2005]45</w:t>
      </w:r>
      <w:r>
        <w:rPr>
          <w:rFonts w:ascii="宋体" w:hAnsi="宋体" w:eastAsia="宋体" w:cs="宋体"/>
          <w:spacing w:val="-16"/>
          <w:sz w:val="24"/>
          <w:szCs w:val="24"/>
        </w:rPr>
        <w:t>号</w:t>
      </w:r>
      <w:r>
        <w:rPr>
          <w:rFonts w:ascii="宋体" w:hAnsi="宋体" w:eastAsia="宋体" w:cs="宋体"/>
          <w:sz w:val="24"/>
          <w:szCs w:val="24"/>
        </w:rPr>
        <w:t>）；</w:t>
      </w:r>
    </w:p>
    <w:p w14:paraId="458EFFE4">
      <w:pPr>
        <w:spacing w:before="181" w:line="219" w:lineRule="auto"/>
        <w:ind w:left="501"/>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14</w:t>
      </w:r>
      <w:r>
        <w:rPr>
          <w:rFonts w:ascii="宋体" w:hAnsi="宋体" w:eastAsia="宋体" w:cs="宋体"/>
          <w:spacing w:val="-5"/>
          <w:sz w:val="24"/>
          <w:szCs w:val="24"/>
        </w:rPr>
        <w:t>）《湖南省水污染防治条例》（</w:t>
      </w:r>
      <w:r>
        <w:rPr>
          <w:rFonts w:ascii="Times New Roman" w:hAnsi="Times New Roman" w:eastAsia="Times New Roman" w:cs="Times New Roman"/>
          <w:spacing w:val="-5"/>
          <w:sz w:val="24"/>
          <w:szCs w:val="24"/>
        </w:rPr>
        <w:t>2025</w:t>
      </w:r>
      <w:r>
        <w:rPr>
          <w:rFonts w:ascii="宋体" w:hAnsi="宋体" w:eastAsia="宋体" w:cs="宋体"/>
          <w:spacing w:val="-5"/>
          <w:sz w:val="24"/>
          <w:szCs w:val="24"/>
        </w:rPr>
        <w:t>年</w:t>
      </w:r>
      <w:r>
        <w:rPr>
          <w:rFonts w:ascii="Times New Roman" w:hAnsi="Times New Roman" w:eastAsia="Times New Roman" w:cs="Times New Roman"/>
          <w:spacing w:val="-5"/>
          <w:sz w:val="24"/>
          <w:szCs w:val="24"/>
        </w:rPr>
        <w:t>5</w:t>
      </w:r>
      <w:r>
        <w:rPr>
          <w:rFonts w:ascii="宋体" w:hAnsi="宋体" w:eastAsia="宋体" w:cs="宋体"/>
          <w:spacing w:val="-5"/>
          <w:sz w:val="24"/>
          <w:szCs w:val="24"/>
        </w:rPr>
        <w:t>月</w:t>
      </w:r>
      <w:r>
        <w:rPr>
          <w:rFonts w:ascii="Times New Roman" w:hAnsi="Times New Roman" w:eastAsia="Times New Roman" w:cs="Times New Roman"/>
          <w:spacing w:val="-5"/>
          <w:sz w:val="24"/>
          <w:szCs w:val="24"/>
        </w:rPr>
        <w:t>1</w:t>
      </w:r>
      <w:r>
        <w:rPr>
          <w:rFonts w:ascii="宋体" w:hAnsi="宋体" w:eastAsia="宋体" w:cs="宋体"/>
          <w:spacing w:val="-5"/>
          <w:sz w:val="24"/>
          <w:szCs w:val="24"/>
        </w:rPr>
        <w:t>日实施</w:t>
      </w:r>
      <w:r>
        <w:rPr>
          <w:rFonts w:ascii="宋体" w:hAnsi="宋体" w:eastAsia="宋体" w:cs="宋体"/>
          <w:spacing w:val="9"/>
          <w:sz w:val="24"/>
          <w:szCs w:val="24"/>
        </w:rPr>
        <w:t>）；</w:t>
      </w:r>
    </w:p>
    <w:p w14:paraId="3FF3333D">
      <w:pPr>
        <w:spacing w:before="184" w:line="219" w:lineRule="auto"/>
        <w:ind w:left="50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15</w:t>
      </w:r>
      <w:r>
        <w:rPr>
          <w:rFonts w:ascii="宋体" w:hAnsi="宋体" w:eastAsia="宋体" w:cs="宋体"/>
          <w:spacing w:val="-1"/>
          <w:sz w:val="24"/>
          <w:szCs w:val="24"/>
        </w:rPr>
        <w:t>）湖南省实施《中华人民共和国河道管理条例》办法；</w:t>
      </w:r>
    </w:p>
    <w:p w14:paraId="3427F431">
      <w:pPr>
        <w:spacing w:before="183" w:line="219" w:lineRule="auto"/>
        <w:ind w:left="50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16</w:t>
      </w:r>
      <w:r>
        <w:rPr>
          <w:rFonts w:ascii="宋体" w:hAnsi="宋体" w:eastAsia="宋体" w:cs="宋体"/>
          <w:spacing w:val="-1"/>
          <w:sz w:val="24"/>
          <w:szCs w:val="24"/>
        </w:rPr>
        <w:t>）《湖南省入河排污口监督管理办法》（湘政办发〔</w:t>
      </w:r>
      <w:r>
        <w:rPr>
          <w:rFonts w:ascii="Times New Roman" w:hAnsi="Times New Roman" w:eastAsia="Times New Roman" w:cs="Times New Roman"/>
          <w:spacing w:val="-1"/>
          <w:sz w:val="24"/>
          <w:szCs w:val="24"/>
        </w:rPr>
        <w:t>2018</w:t>
      </w:r>
      <w:r>
        <w:rPr>
          <w:rFonts w:ascii="宋体" w:hAnsi="宋体" w:eastAsia="宋体" w:cs="宋体"/>
          <w:spacing w:val="-1"/>
          <w:sz w:val="24"/>
          <w:szCs w:val="24"/>
        </w:rPr>
        <w:t>〕</w:t>
      </w:r>
      <w:r>
        <w:rPr>
          <w:rFonts w:ascii="Times New Roman" w:hAnsi="Times New Roman" w:eastAsia="Times New Roman" w:cs="Times New Roman"/>
          <w:spacing w:val="-2"/>
          <w:sz w:val="24"/>
          <w:szCs w:val="24"/>
        </w:rPr>
        <w:t>44</w:t>
      </w:r>
      <w:r>
        <w:rPr>
          <w:rFonts w:ascii="宋体" w:hAnsi="宋体" w:eastAsia="宋体" w:cs="宋体"/>
          <w:spacing w:val="-2"/>
          <w:sz w:val="24"/>
          <w:szCs w:val="24"/>
        </w:rPr>
        <w:t>号</w:t>
      </w:r>
      <w:r>
        <w:rPr>
          <w:rFonts w:ascii="宋体" w:hAnsi="宋体" w:eastAsia="宋体" w:cs="宋体"/>
          <w:sz w:val="24"/>
          <w:szCs w:val="24"/>
        </w:rPr>
        <w:t>）；</w:t>
      </w:r>
    </w:p>
    <w:p w14:paraId="5FB50596">
      <w:pPr>
        <w:spacing w:before="183" w:line="285" w:lineRule="auto"/>
        <w:ind w:left="29" w:right="103" w:firstLine="47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17</w:t>
      </w:r>
      <w:r>
        <w:rPr>
          <w:rFonts w:ascii="宋体" w:hAnsi="宋体" w:eastAsia="宋体" w:cs="宋体"/>
          <w:spacing w:val="-1"/>
          <w:sz w:val="24"/>
          <w:szCs w:val="24"/>
        </w:rPr>
        <w:t>）《关于公布湖南省县级以上地表水集中式饮用水水源保护区划定方案</w:t>
      </w:r>
      <w:r>
        <w:rPr>
          <w:rFonts w:ascii="宋体" w:hAnsi="宋体" w:eastAsia="宋体" w:cs="宋体"/>
          <w:spacing w:val="-2"/>
          <w:sz w:val="24"/>
          <w:szCs w:val="24"/>
        </w:rPr>
        <w:t>的通知》（湘政函</w:t>
      </w:r>
      <w:r>
        <w:rPr>
          <w:rFonts w:ascii="Times New Roman" w:hAnsi="Times New Roman" w:eastAsia="Times New Roman" w:cs="Times New Roman"/>
          <w:spacing w:val="-2"/>
          <w:sz w:val="24"/>
          <w:szCs w:val="24"/>
        </w:rPr>
        <w:t>[2016]176</w:t>
      </w:r>
      <w:r>
        <w:rPr>
          <w:rFonts w:ascii="宋体" w:hAnsi="宋体" w:eastAsia="宋体" w:cs="宋体"/>
          <w:spacing w:val="-2"/>
          <w:sz w:val="24"/>
          <w:szCs w:val="24"/>
        </w:rPr>
        <w:t>号</w:t>
      </w:r>
      <w:r>
        <w:rPr>
          <w:rFonts w:ascii="宋体" w:hAnsi="宋体" w:eastAsia="宋体" w:cs="宋体"/>
          <w:spacing w:val="3"/>
          <w:sz w:val="24"/>
          <w:szCs w:val="24"/>
        </w:rPr>
        <w:t>）；</w:t>
      </w:r>
    </w:p>
    <w:p w14:paraId="0FE64C5B">
      <w:pPr>
        <w:spacing w:before="194" w:line="291" w:lineRule="auto"/>
        <w:ind w:left="51" w:right="103" w:firstLine="45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18</w:t>
      </w:r>
      <w:r>
        <w:rPr>
          <w:rFonts w:ascii="宋体" w:hAnsi="宋体" w:eastAsia="宋体" w:cs="宋体"/>
          <w:spacing w:val="2"/>
          <w:sz w:val="24"/>
          <w:szCs w:val="24"/>
        </w:rPr>
        <w:t>）《湖南省县级以上城市集中式饮用水</w:t>
      </w:r>
      <w:r>
        <w:rPr>
          <w:rFonts w:ascii="宋体" w:hAnsi="宋体" w:eastAsia="宋体" w:cs="宋体"/>
          <w:spacing w:val="1"/>
          <w:sz w:val="24"/>
          <w:szCs w:val="24"/>
        </w:rPr>
        <w:t>水源地名录》（</w:t>
      </w:r>
      <w:r>
        <w:rPr>
          <w:rFonts w:ascii="Times New Roman" w:hAnsi="Times New Roman" w:eastAsia="Times New Roman" w:cs="Times New Roman"/>
          <w:spacing w:val="1"/>
          <w:sz w:val="24"/>
          <w:szCs w:val="24"/>
        </w:rPr>
        <w:t>2022</w:t>
      </w:r>
      <w:r>
        <w:rPr>
          <w:rFonts w:ascii="宋体" w:hAnsi="宋体" w:eastAsia="宋体" w:cs="宋体"/>
          <w:spacing w:val="1"/>
          <w:sz w:val="24"/>
          <w:szCs w:val="24"/>
        </w:rPr>
        <w:t>年</w:t>
      </w:r>
      <w:r>
        <w:rPr>
          <w:rFonts w:ascii="Times New Roman" w:hAnsi="Times New Roman" w:eastAsia="Times New Roman" w:cs="Times New Roman"/>
          <w:spacing w:val="1"/>
          <w:sz w:val="24"/>
          <w:szCs w:val="24"/>
        </w:rPr>
        <w:t>7</w:t>
      </w:r>
      <w:r>
        <w:rPr>
          <w:rFonts w:ascii="宋体" w:hAnsi="宋体" w:eastAsia="宋体" w:cs="宋体"/>
          <w:spacing w:val="1"/>
          <w:sz w:val="24"/>
          <w:szCs w:val="24"/>
        </w:rPr>
        <w:t>月</w:t>
      </w:r>
      <w:r>
        <w:rPr>
          <w:rFonts w:ascii="Times New Roman" w:hAnsi="Times New Roman" w:eastAsia="Times New Roman" w:cs="Times New Roman"/>
          <w:spacing w:val="1"/>
          <w:sz w:val="24"/>
          <w:szCs w:val="24"/>
        </w:rPr>
        <w:t>25</w:t>
      </w:r>
      <w:r>
        <w:rPr>
          <w:rFonts w:ascii="宋体" w:hAnsi="宋体" w:eastAsia="宋体" w:cs="宋体"/>
          <w:spacing w:val="-16"/>
          <w:sz w:val="24"/>
          <w:szCs w:val="24"/>
        </w:rPr>
        <w:t>日</w:t>
      </w:r>
      <w:r>
        <w:rPr>
          <w:rFonts w:ascii="宋体" w:hAnsi="宋体" w:eastAsia="宋体" w:cs="宋体"/>
          <w:spacing w:val="-18"/>
          <w:sz w:val="24"/>
          <w:szCs w:val="24"/>
        </w:rPr>
        <w:t>）；</w:t>
      </w:r>
    </w:p>
    <w:p w14:paraId="6833E8B9">
      <w:pPr>
        <w:spacing w:line="291" w:lineRule="auto"/>
        <w:rPr>
          <w:rFonts w:ascii="宋体" w:hAnsi="宋体" w:eastAsia="宋体" w:cs="宋体"/>
          <w:sz w:val="24"/>
          <w:szCs w:val="24"/>
        </w:rPr>
        <w:sectPr>
          <w:footerReference r:id="rId10" w:type="default"/>
          <w:pgSz w:w="11906" w:h="16839"/>
          <w:pgMar w:top="1132" w:right="1700" w:bottom="1259" w:left="1701" w:header="829" w:footer="1097" w:gutter="0"/>
          <w:cols w:space="720" w:num="1"/>
        </w:sectPr>
      </w:pPr>
    </w:p>
    <w:p w14:paraId="0ACECB38">
      <w:pPr>
        <w:pStyle w:val="2"/>
        <w:spacing w:line="320" w:lineRule="auto"/>
      </w:pPr>
    </w:p>
    <w:p w14:paraId="69D5D1B1">
      <w:pPr>
        <w:spacing w:before="78" w:line="219" w:lineRule="auto"/>
        <w:ind w:left="50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19</w:t>
      </w:r>
      <w:r>
        <w:rPr>
          <w:rFonts w:ascii="宋体" w:hAnsi="宋体" w:eastAsia="宋体" w:cs="宋体"/>
          <w:spacing w:val="-1"/>
          <w:sz w:val="24"/>
          <w:szCs w:val="24"/>
        </w:rPr>
        <w:t>）《湖南省水功能区划（修编）》（湖南省水利厅</w:t>
      </w:r>
      <w:r>
        <w:rPr>
          <w:rFonts w:ascii="Times New Roman" w:hAnsi="Times New Roman" w:eastAsia="Times New Roman" w:cs="Times New Roman"/>
          <w:spacing w:val="-1"/>
          <w:sz w:val="24"/>
          <w:szCs w:val="24"/>
        </w:rPr>
        <w:t>2014</w:t>
      </w:r>
      <w:r>
        <w:rPr>
          <w:rFonts w:ascii="宋体" w:hAnsi="宋体" w:eastAsia="宋体" w:cs="宋体"/>
          <w:spacing w:val="-1"/>
          <w:sz w:val="24"/>
          <w:szCs w:val="24"/>
        </w:rPr>
        <w:t>年</w:t>
      </w:r>
      <w:r>
        <w:rPr>
          <w:rFonts w:ascii="宋体" w:hAnsi="宋体" w:eastAsia="宋体" w:cs="宋体"/>
          <w:spacing w:val="2"/>
          <w:sz w:val="24"/>
          <w:szCs w:val="24"/>
        </w:rPr>
        <w:t>）；</w:t>
      </w:r>
    </w:p>
    <w:p w14:paraId="1724037C">
      <w:pPr>
        <w:spacing w:before="183" w:line="219" w:lineRule="auto"/>
        <w:ind w:left="50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20</w:t>
      </w:r>
      <w:r>
        <w:rPr>
          <w:rFonts w:ascii="宋体" w:hAnsi="宋体" w:eastAsia="宋体" w:cs="宋体"/>
          <w:spacing w:val="-1"/>
          <w:sz w:val="24"/>
          <w:szCs w:val="24"/>
        </w:rPr>
        <w:t>）《湖南省水功能区监督管理办法》（湘政办发〔</w:t>
      </w:r>
      <w:r>
        <w:rPr>
          <w:rFonts w:ascii="Times New Roman" w:hAnsi="Times New Roman" w:eastAsia="Times New Roman" w:cs="Times New Roman"/>
          <w:spacing w:val="-1"/>
          <w:sz w:val="24"/>
          <w:szCs w:val="24"/>
        </w:rPr>
        <w:t>2016</w:t>
      </w: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2"/>
          <w:sz w:val="24"/>
          <w:szCs w:val="24"/>
        </w:rPr>
        <w:t>4</w:t>
      </w:r>
      <w:r>
        <w:rPr>
          <w:rFonts w:ascii="宋体" w:hAnsi="宋体" w:eastAsia="宋体" w:cs="宋体"/>
          <w:spacing w:val="-2"/>
          <w:sz w:val="24"/>
          <w:szCs w:val="24"/>
        </w:rPr>
        <w:t>号）</w:t>
      </w:r>
    </w:p>
    <w:p w14:paraId="0F57A675">
      <w:pPr>
        <w:spacing w:before="183" w:line="219" w:lineRule="auto"/>
        <w:ind w:left="50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21</w:t>
      </w:r>
      <w:r>
        <w:rPr>
          <w:rFonts w:ascii="宋体" w:hAnsi="宋体" w:eastAsia="宋体" w:cs="宋体"/>
          <w:spacing w:val="-1"/>
          <w:sz w:val="24"/>
          <w:szCs w:val="24"/>
        </w:rPr>
        <w:t>）《关于做好入河排污口和水功能区划相关工作的通知》（环办水体函</w:t>
      </w:r>
    </w:p>
    <w:p w14:paraId="7A8E3ED6">
      <w:pPr>
        <w:spacing w:before="183" w:line="210" w:lineRule="auto"/>
        <w:ind w:left="20"/>
        <w:rPr>
          <w:rFonts w:ascii="宋体" w:hAnsi="宋体" w:eastAsia="宋体" w:cs="宋体"/>
          <w:sz w:val="24"/>
          <w:szCs w:val="24"/>
        </w:rPr>
      </w:pPr>
      <w:r>
        <w:rPr>
          <w:rFonts w:ascii="Times New Roman" w:hAnsi="Times New Roman" w:eastAsia="Times New Roman" w:cs="Times New Roman"/>
          <w:spacing w:val="-4"/>
          <w:sz w:val="24"/>
          <w:szCs w:val="24"/>
        </w:rPr>
        <w:t>[2019]36</w:t>
      </w:r>
      <w:r>
        <w:rPr>
          <w:rFonts w:ascii="宋体" w:hAnsi="宋体" w:eastAsia="宋体" w:cs="宋体"/>
          <w:spacing w:val="-4"/>
          <w:sz w:val="24"/>
          <w:szCs w:val="24"/>
        </w:rPr>
        <w:t>号</w:t>
      </w:r>
      <w:r>
        <w:rPr>
          <w:rFonts w:ascii="宋体" w:hAnsi="宋体" w:eastAsia="宋体" w:cs="宋体"/>
          <w:sz w:val="24"/>
          <w:szCs w:val="24"/>
        </w:rPr>
        <w:t>）；</w:t>
      </w:r>
    </w:p>
    <w:p w14:paraId="5611374E">
      <w:pPr>
        <w:spacing w:before="194" w:line="219" w:lineRule="auto"/>
        <w:ind w:left="501"/>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22</w:t>
      </w:r>
      <w:r>
        <w:rPr>
          <w:rFonts w:ascii="宋体" w:hAnsi="宋体" w:eastAsia="宋体" w:cs="宋体"/>
          <w:sz w:val="24"/>
          <w:szCs w:val="24"/>
        </w:rPr>
        <w:t>）《水行政许可实施办法》</w:t>
      </w:r>
      <w:r>
        <w:rPr>
          <w:rFonts w:ascii="宋体" w:hAnsi="宋体" w:eastAsia="宋体" w:cs="宋体"/>
          <w:spacing w:val="-13"/>
          <w:sz w:val="24"/>
          <w:szCs w:val="24"/>
        </w:rPr>
        <w:t>，（</w:t>
      </w:r>
      <w:r>
        <w:rPr>
          <w:rFonts w:ascii="宋体" w:hAnsi="宋体" w:eastAsia="宋体" w:cs="宋体"/>
          <w:sz w:val="24"/>
          <w:szCs w:val="24"/>
        </w:rPr>
        <w:t>水利部令第23号</w:t>
      </w:r>
      <w:r>
        <w:rPr>
          <w:rFonts w:ascii="宋体" w:hAnsi="宋体" w:eastAsia="宋体" w:cs="宋体"/>
          <w:spacing w:val="-13"/>
          <w:sz w:val="24"/>
          <w:szCs w:val="24"/>
        </w:rPr>
        <w:t>）；</w:t>
      </w:r>
    </w:p>
    <w:p w14:paraId="250BC992">
      <w:pPr>
        <w:spacing w:before="184" w:line="289" w:lineRule="auto"/>
        <w:ind w:left="11" w:right="103" w:firstLine="489"/>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23</w:t>
      </w:r>
      <w:r>
        <w:rPr>
          <w:rFonts w:ascii="宋体" w:hAnsi="宋体" w:eastAsia="宋体" w:cs="宋体"/>
          <w:spacing w:val="-3"/>
          <w:sz w:val="24"/>
          <w:szCs w:val="24"/>
        </w:rPr>
        <w:t>）《关于规范入河排污口设置审批工作的函》（湘环函〔</w:t>
      </w:r>
      <w:r>
        <w:rPr>
          <w:rFonts w:ascii="Times New Roman" w:hAnsi="Times New Roman" w:eastAsia="Times New Roman" w:cs="Times New Roman"/>
          <w:spacing w:val="-3"/>
          <w:sz w:val="24"/>
          <w:szCs w:val="24"/>
        </w:rPr>
        <w:t>2021</w:t>
      </w:r>
      <w:r>
        <w:rPr>
          <w:rFonts w:ascii="宋体" w:hAnsi="宋体" w:eastAsia="宋体" w:cs="宋体"/>
          <w:spacing w:val="-3"/>
          <w:sz w:val="24"/>
          <w:szCs w:val="24"/>
        </w:rPr>
        <w:t>〕</w:t>
      </w:r>
      <w:r>
        <w:rPr>
          <w:rFonts w:ascii="Times New Roman" w:hAnsi="Times New Roman" w:eastAsia="Times New Roman" w:cs="Times New Roman"/>
          <w:spacing w:val="-3"/>
          <w:sz w:val="24"/>
          <w:szCs w:val="24"/>
        </w:rPr>
        <w:t>71</w:t>
      </w:r>
      <w:r>
        <w:rPr>
          <w:rFonts w:ascii="宋体" w:hAnsi="宋体" w:eastAsia="宋体" w:cs="宋体"/>
          <w:spacing w:val="-3"/>
          <w:sz w:val="24"/>
          <w:szCs w:val="24"/>
        </w:rPr>
        <w:t>号省</w:t>
      </w:r>
      <w:r>
        <w:rPr>
          <w:rFonts w:ascii="宋体" w:hAnsi="宋体" w:eastAsia="宋体" w:cs="宋体"/>
          <w:spacing w:val="-1"/>
          <w:sz w:val="24"/>
          <w:szCs w:val="24"/>
        </w:rPr>
        <w:t>生态环境厅、农业农村厅、省林业局联合发布</w:t>
      </w:r>
      <w:r>
        <w:rPr>
          <w:rFonts w:ascii="宋体" w:hAnsi="宋体" w:eastAsia="宋体" w:cs="宋体"/>
          <w:spacing w:val="3"/>
          <w:sz w:val="24"/>
          <w:szCs w:val="24"/>
        </w:rPr>
        <w:t>）；</w:t>
      </w:r>
    </w:p>
    <w:p w14:paraId="2DB6C707">
      <w:pPr>
        <w:spacing w:before="182" w:line="290" w:lineRule="auto"/>
        <w:ind w:left="14" w:right="103" w:firstLine="48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24</w:t>
      </w:r>
      <w:r>
        <w:rPr>
          <w:rFonts w:ascii="宋体" w:hAnsi="宋体" w:eastAsia="宋体" w:cs="宋体"/>
          <w:spacing w:val="-2"/>
          <w:sz w:val="24"/>
          <w:szCs w:val="24"/>
        </w:rPr>
        <w:t>）《关于印发我省“十四五”地表水省控断面和饮用水源考核目标的通</w:t>
      </w:r>
      <w:r>
        <w:rPr>
          <w:rFonts w:ascii="宋体" w:hAnsi="宋体" w:eastAsia="宋体" w:cs="宋体"/>
          <w:spacing w:val="-1"/>
          <w:sz w:val="24"/>
          <w:szCs w:val="24"/>
        </w:rPr>
        <w:t>知》（湖南省生态环境厅办公室湘环办〔</w:t>
      </w:r>
      <w:r>
        <w:rPr>
          <w:rFonts w:ascii="Times New Roman" w:hAnsi="Times New Roman" w:eastAsia="Times New Roman" w:cs="Times New Roman"/>
          <w:spacing w:val="-1"/>
          <w:sz w:val="24"/>
          <w:szCs w:val="24"/>
        </w:rPr>
        <w:t>2021</w:t>
      </w:r>
      <w:r>
        <w:rPr>
          <w:rFonts w:ascii="宋体" w:hAnsi="宋体" w:eastAsia="宋体" w:cs="宋体"/>
          <w:spacing w:val="-1"/>
          <w:sz w:val="24"/>
          <w:szCs w:val="24"/>
        </w:rPr>
        <w:t>〕</w:t>
      </w:r>
      <w:r>
        <w:rPr>
          <w:rFonts w:ascii="Times New Roman" w:hAnsi="Times New Roman" w:eastAsia="Times New Roman" w:cs="Times New Roman"/>
          <w:spacing w:val="-2"/>
          <w:sz w:val="24"/>
          <w:szCs w:val="24"/>
        </w:rPr>
        <w:t>293</w:t>
      </w:r>
      <w:r>
        <w:rPr>
          <w:rFonts w:ascii="宋体" w:hAnsi="宋体" w:eastAsia="宋体" w:cs="宋体"/>
          <w:spacing w:val="-2"/>
          <w:sz w:val="24"/>
          <w:szCs w:val="24"/>
        </w:rPr>
        <w:t>号</w:t>
      </w:r>
      <w:r>
        <w:rPr>
          <w:rFonts w:ascii="宋体" w:hAnsi="宋体" w:eastAsia="宋体" w:cs="宋体"/>
          <w:sz w:val="24"/>
          <w:szCs w:val="24"/>
        </w:rPr>
        <w:t>）；</w:t>
      </w:r>
    </w:p>
    <w:p w14:paraId="053FCBA1">
      <w:pPr>
        <w:spacing w:before="182" w:line="290" w:lineRule="auto"/>
        <w:ind w:left="46" w:right="103" w:firstLine="45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25</w:t>
      </w:r>
      <w:r>
        <w:rPr>
          <w:rFonts w:ascii="宋体" w:hAnsi="宋体" w:eastAsia="宋体" w:cs="宋体"/>
          <w:spacing w:val="2"/>
          <w:sz w:val="24"/>
          <w:szCs w:val="24"/>
        </w:rPr>
        <w:t>）《湖南省生态环境厅湖南省水利厅关于印发</w:t>
      </w:r>
      <w:r>
        <w:rPr>
          <w:rFonts w:ascii="Times New Roman" w:hAnsi="Times New Roman" w:eastAsia="Times New Roman" w:cs="Times New Roman"/>
          <w:spacing w:val="2"/>
          <w:sz w:val="24"/>
          <w:szCs w:val="24"/>
        </w:rPr>
        <w:t>&lt;</w:t>
      </w:r>
      <w:r>
        <w:rPr>
          <w:rFonts w:ascii="宋体" w:hAnsi="宋体" w:eastAsia="宋体" w:cs="宋体"/>
          <w:spacing w:val="2"/>
          <w:sz w:val="24"/>
          <w:szCs w:val="24"/>
        </w:rPr>
        <w:t>湖南省入河（湖）排污</w:t>
      </w:r>
      <w:r>
        <w:rPr>
          <w:rFonts w:ascii="宋体" w:hAnsi="宋体" w:eastAsia="宋体" w:cs="宋体"/>
          <w:spacing w:val="-3"/>
          <w:sz w:val="24"/>
          <w:szCs w:val="24"/>
        </w:rPr>
        <w:t>口监督管理工作方案</w:t>
      </w:r>
      <w:r>
        <w:rPr>
          <w:rFonts w:ascii="Times New Roman" w:hAnsi="Times New Roman" w:eastAsia="Times New Roman" w:cs="Times New Roman"/>
          <w:spacing w:val="-3"/>
          <w:sz w:val="24"/>
          <w:szCs w:val="24"/>
        </w:rPr>
        <w:t>&gt;</w:t>
      </w:r>
      <w:r>
        <w:rPr>
          <w:rFonts w:ascii="宋体" w:hAnsi="宋体" w:eastAsia="宋体" w:cs="宋体"/>
          <w:spacing w:val="-3"/>
          <w:sz w:val="24"/>
          <w:szCs w:val="24"/>
        </w:rPr>
        <w:t>的通知》（湘环发〔</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4"/>
          <w:sz w:val="24"/>
          <w:szCs w:val="24"/>
        </w:rPr>
        <w:t>023</w:t>
      </w:r>
      <w:r>
        <w:rPr>
          <w:rFonts w:ascii="宋体" w:hAnsi="宋体" w:eastAsia="宋体" w:cs="宋体"/>
          <w:spacing w:val="-4"/>
          <w:sz w:val="24"/>
          <w:szCs w:val="24"/>
        </w:rPr>
        <w:t>〕</w:t>
      </w:r>
      <w:r>
        <w:rPr>
          <w:rFonts w:ascii="Times New Roman" w:hAnsi="Times New Roman" w:eastAsia="Times New Roman" w:cs="Times New Roman"/>
          <w:spacing w:val="-4"/>
          <w:sz w:val="24"/>
          <w:szCs w:val="24"/>
        </w:rPr>
        <w:t>31</w:t>
      </w:r>
      <w:r>
        <w:rPr>
          <w:rFonts w:ascii="宋体" w:hAnsi="宋体" w:eastAsia="宋体" w:cs="宋体"/>
          <w:spacing w:val="-4"/>
          <w:sz w:val="24"/>
          <w:szCs w:val="24"/>
        </w:rPr>
        <w:t>号）</w:t>
      </w:r>
    </w:p>
    <w:p w14:paraId="24304C59">
      <w:pPr>
        <w:spacing w:before="257" w:line="219" w:lineRule="auto"/>
        <w:ind w:left="501"/>
        <w:rPr>
          <w:rFonts w:ascii="宋体" w:hAnsi="宋体" w:eastAsia="宋体" w:cs="宋体"/>
          <w:sz w:val="24"/>
          <w:szCs w:val="24"/>
        </w:rPr>
      </w:pPr>
      <w:r>
        <w:rPr>
          <w:rFonts w:ascii="宋体" w:hAnsi="宋体" w:eastAsia="宋体" w:cs="宋体"/>
          <w:spacing w:val="-8"/>
          <w:sz w:val="24"/>
          <w:szCs w:val="24"/>
        </w:rPr>
        <w:t>（26）《邵阳市、三线一单”生态环境管控基本要求暨环境管控单元生态环境</w:t>
      </w:r>
    </w:p>
    <w:p w14:paraId="2C8E3FA7">
      <w:pPr>
        <w:spacing w:before="265" w:line="220" w:lineRule="auto"/>
        <w:ind w:left="11"/>
        <w:rPr>
          <w:rFonts w:ascii="宋体" w:hAnsi="宋体" w:eastAsia="宋体" w:cs="宋体"/>
          <w:sz w:val="24"/>
          <w:szCs w:val="24"/>
        </w:rPr>
      </w:pPr>
      <w:r>
        <w:rPr>
          <w:rFonts w:ascii="宋体" w:hAnsi="宋体" w:eastAsia="宋体" w:cs="宋体"/>
          <w:spacing w:val="-2"/>
          <w:sz w:val="24"/>
          <w:szCs w:val="24"/>
        </w:rPr>
        <w:t>准入清单》；</w:t>
      </w:r>
    </w:p>
    <w:p w14:paraId="2D3440E7">
      <w:pPr>
        <w:spacing w:before="183" w:line="219" w:lineRule="auto"/>
        <w:ind w:left="50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27</w:t>
      </w:r>
      <w:r>
        <w:rPr>
          <w:rFonts w:ascii="宋体" w:hAnsi="宋体" w:eastAsia="宋体" w:cs="宋体"/>
          <w:spacing w:val="-2"/>
          <w:sz w:val="24"/>
          <w:szCs w:val="24"/>
        </w:rPr>
        <w:t>）《邵阳市资江保护条例》（</w:t>
      </w:r>
      <w:r>
        <w:rPr>
          <w:rFonts w:ascii="Times New Roman" w:hAnsi="Times New Roman" w:eastAsia="Times New Roman" w:cs="Times New Roman"/>
          <w:spacing w:val="-2"/>
          <w:sz w:val="24"/>
          <w:szCs w:val="24"/>
        </w:rPr>
        <w:t>2021</w:t>
      </w:r>
      <w:r>
        <w:rPr>
          <w:rFonts w:ascii="宋体" w:hAnsi="宋体" w:eastAsia="宋体" w:cs="宋体"/>
          <w:spacing w:val="-2"/>
          <w:sz w:val="24"/>
          <w:szCs w:val="24"/>
        </w:rPr>
        <w:t>年第</w:t>
      </w:r>
      <w:r>
        <w:rPr>
          <w:rFonts w:ascii="Times New Roman" w:hAnsi="Times New Roman" w:eastAsia="Times New Roman" w:cs="Times New Roman"/>
          <w:spacing w:val="-2"/>
          <w:sz w:val="24"/>
          <w:szCs w:val="24"/>
        </w:rPr>
        <w:t>3</w:t>
      </w:r>
      <w:r>
        <w:rPr>
          <w:rFonts w:ascii="宋体" w:hAnsi="宋体" w:eastAsia="宋体" w:cs="宋体"/>
          <w:spacing w:val="-2"/>
          <w:sz w:val="24"/>
          <w:szCs w:val="24"/>
        </w:rPr>
        <w:t>号）。</w:t>
      </w:r>
    </w:p>
    <w:p w14:paraId="5433130E">
      <w:pPr>
        <w:spacing w:before="183" w:line="219" w:lineRule="auto"/>
        <w:ind w:left="16"/>
        <w:outlineLvl w:val="2"/>
        <w:rPr>
          <w:rFonts w:ascii="宋体" w:hAnsi="宋体" w:eastAsia="宋体" w:cs="宋体"/>
          <w:sz w:val="24"/>
          <w:szCs w:val="24"/>
        </w:rPr>
      </w:pPr>
      <w:r>
        <w:rPr>
          <w:rFonts w:ascii="Times New Roman" w:hAnsi="Times New Roman" w:eastAsia="Times New Roman" w:cs="Times New Roman"/>
          <w:b/>
          <w:bCs/>
          <w:spacing w:val="-2"/>
          <w:sz w:val="24"/>
          <w:szCs w:val="24"/>
        </w:rPr>
        <w:t>1.2.2</w:t>
      </w:r>
      <w:r>
        <w:rPr>
          <w:rFonts w:ascii="宋体" w:hAnsi="宋体" w:eastAsia="宋体" w:cs="宋体"/>
          <w:b/>
          <w:bCs/>
          <w:spacing w:val="-2"/>
          <w:sz w:val="24"/>
          <w:szCs w:val="24"/>
        </w:rPr>
        <w:t>有关技术规范和技术标准</w:t>
      </w:r>
    </w:p>
    <w:p w14:paraId="1BD6E167">
      <w:pPr>
        <w:spacing w:before="182" w:line="291" w:lineRule="auto"/>
        <w:ind w:left="21" w:right="117" w:firstLine="480"/>
        <w:rPr>
          <w:rFonts w:ascii="宋体" w:hAnsi="宋体" w:eastAsia="宋体" w:cs="宋体"/>
          <w:sz w:val="24"/>
          <w:szCs w:val="24"/>
        </w:rPr>
      </w:pPr>
      <w:r>
        <w:rPr>
          <w:rFonts w:ascii="宋体" w:hAnsi="宋体" w:eastAsia="宋体" w:cs="宋体"/>
          <w:spacing w:val="16"/>
          <w:sz w:val="24"/>
          <w:szCs w:val="24"/>
        </w:rPr>
        <w:t>（</w:t>
      </w:r>
      <w:r>
        <w:rPr>
          <w:rFonts w:ascii="Times New Roman" w:hAnsi="Times New Roman" w:eastAsia="Times New Roman" w:cs="Times New Roman"/>
          <w:spacing w:val="16"/>
          <w:sz w:val="24"/>
          <w:szCs w:val="24"/>
        </w:rPr>
        <w:t>1</w:t>
      </w:r>
      <w:r>
        <w:rPr>
          <w:rFonts w:ascii="宋体" w:hAnsi="宋体" w:eastAsia="宋体" w:cs="宋体"/>
          <w:spacing w:val="16"/>
          <w:sz w:val="24"/>
          <w:szCs w:val="24"/>
        </w:rPr>
        <w:t>）《入河入海排污口监督管理技术指南入河排污口规范化建设》</w:t>
      </w:r>
      <w:r>
        <w:rPr>
          <w:rFonts w:ascii="宋体" w:hAnsi="宋体" w:eastAsia="宋体" w:cs="宋体"/>
          <w:spacing w:val="-2"/>
          <w:sz w:val="24"/>
          <w:szCs w:val="24"/>
        </w:rPr>
        <w:t>（</w:t>
      </w:r>
      <w:r>
        <w:rPr>
          <w:rFonts w:ascii="Times New Roman" w:hAnsi="Times New Roman" w:eastAsia="Times New Roman" w:cs="Times New Roman"/>
          <w:spacing w:val="-2"/>
          <w:sz w:val="24"/>
          <w:szCs w:val="24"/>
        </w:rPr>
        <w:t>HJ1309-2023</w:t>
      </w:r>
      <w:r>
        <w:rPr>
          <w:rFonts w:ascii="宋体" w:hAnsi="宋体" w:eastAsia="宋体" w:cs="宋体"/>
          <w:sz w:val="24"/>
          <w:szCs w:val="24"/>
        </w:rPr>
        <w:t>）；</w:t>
      </w:r>
    </w:p>
    <w:p w14:paraId="58BB7B25">
      <w:pPr>
        <w:spacing w:before="181" w:line="219" w:lineRule="auto"/>
        <w:jc w:val="right"/>
        <w:rPr>
          <w:rFonts w:ascii="宋体" w:hAnsi="宋体" w:eastAsia="宋体" w:cs="宋体"/>
          <w:sz w:val="24"/>
          <w:szCs w:val="24"/>
        </w:rPr>
      </w:pPr>
      <w:r>
        <w:rPr>
          <w:rFonts w:ascii="宋体" w:hAnsi="宋体" w:eastAsia="宋体" w:cs="宋体"/>
          <w:spacing w:val="-12"/>
          <w:sz w:val="24"/>
          <w:szCs w:val="24"/>
        </w:rPr>
        <w:t>（</w:t>
      </w:r>
      <w:r>
        <w:rPr>
          <w:rFonts w:ascii="Times New Roman" w:hAnsi="Times New Roman" w:eastAsia="Times New Roman" w:cs="Times New Roman"/>
          <w:spacing w:val="-12"/>
          <w:sz w:val="24"/>
          <w:szCs w:val="24"/>
        </w:rPr>
        <w:t>2</w:t>
      </w:r>
      <w:r>
        <w:rPr>
          <w:rFonts w:ascii="宋体" w:hAnsi="宋体" w:eastAsia="宋体" w:cs="宋体"/>
          <w:spacing w:val="-12"/>
          <w:sz w:val="24"/>
          <w:szCs w:val="24"/>
        </w:rPr>
        <w:t>）《入河入海排污口监督管理技术指南入河排污口设置》（</w:t>
      </w:r>
      <w:r>
        <w:rPr>
          <w:rFonts w:ascii="Times New Roman" w:hAnsi="Times New Roman" w:eastAsia="Times New Roman" w:cs="Times New Roman"/>
          <w:spacing w:val="-12"/>
          <w:sz w:val="24"/>
          <w:szCs w:val="24"/>
        </w:rPr>
        <w:t>HJ1386-2024</w:t>
      </w:r>
      <w:r>
        <w:rPr>
          <w:rFonts w:ascii="宋体" w:hAnsi="宋体" w:eastAsia="宋体" w:cs="宋体"/>
          <w:spacing w:val="-55"/>
          <w:w w:val="85"/>
          <w:sz w:val="24"/>
          <w:szCs w:val="24"/>
        </w:rPr>
        <w:t>）；</w:t>
      </w:r>
    </w:p>
    <w:p w14:paraId="5DA649BF">
      <w:pPr>
        <w:spacing w:before="183" w:line="219" w:lineRule="auto"/>
        <w:ind w:left="50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）《入河入海排污口监督管理技术指南监测》（</w:t>
      </w:r>
      <w:r>
        <w:rPr>
          <w:rFonts w:ascii="Times New Roman" w:hAnsi="Times New Roman" w:eastAsia="Times New Roman" w:cs="Times New Roman"/>
          <w:spacing w:val="-1"/>
          <w:sz w:val="24"/>
          <w:szCs w:val="24"/>
        </w:rPr>
        <w:t>HJ1387-2024</w:t>
      </w:r>
      <w:r>
        <w:rPr>
          <w:rFonts w:ascii="宋体" w:hAnsi="宋体" w:eastAsia="宋体" w:cs="宋体"/>
          <w:spacing w:val="5"/>
          <w:sz w:val="24"/>
          <w:szCs w:val="24"/>
        </w:rPr>
        <w:t>）；</w:t>
      </w:r>
    </w:p>
    <w:p w14:paraId="3A93E430">
      <w:pPr>
        <w:spacing w:before="183" w:line="218" w:lineRule="auto"/>
        <w:jc w:val="right"/>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）《环境影响评价技术导则</w:t>
      </w:r>
      <w:r>
        <w:rPr>
          <w:rFonts w:ascii="Times New Roman" w:hAnsi="Times New Roman" w:eastAsia="Times New Roman" w:cs="Times New Roman"/>
          <w:spacing w:val="-3"/>
          <w:sz w:val="24"/>
          <w:szCs w:val="24"/>
        </w:rPr>
        <w:t>-</w:t>
      </w:r>
      <w:r>
        <w:rPr>
          <w:rFonts w:ascii="宋体" w:hAnsi="宋体" w:eastAsia="宋体" w:cs="宋体"/>
          <w:spacing w:val="-3"/>
          <w:sz w:val="24"/>
          <w:szCs w:val="24"/>
        </w:rPr>
        <w:t>地表水环境》</w:t>
      </w:r>
      <w:r>
        <w:rPr>
          <w:rFonts w:ascii="宋体" w:hAnsi="宋体" w:eastAsia="宋体" w:cs="宋体"/>
          <w:spacing w:val="-4"/>
          <w:sz w:val="24"/>
          <w:szCs w:val="24"/>
        </w:rPr>
        <w:t>（</w:t>
      </w:r>
      <w:r>
        <w:rPr>
          <w:rFonts w:ascii="Times New Roman" w:hAnsi="Times New Roman" w:eastAsia="Times New Roman" w:cs="Times New Roman"/>
          <w:spacing w:val="-4"/>
          <w:sz w:val="24"/>
          <w:szCs w:val="24"/>
        </w:rPr>
        <w:t>HJ/T2.3-2018</w:t>
      </w:r>
      <w:r>
        <w:rPr>
          <w:rFonts w:ascii="宋体" w:hAnsi="宋体" w:eastAsia="宋体" w:cs="宋体"/>
          <w:spacing w:val="-4"/>
          <w:sz w:val="24"/>
          <w:szCs w:val="24"/>
        </w:rPr>
        <w:t>，生态环境部</w:t>
      </w:r>
      <w:r>
        <w:rPr>
          <w:rFonts w:ascii="宋体" w:hAnsi="宋体" w:eastAsia="宋体" w:cs="宋体"/>
          <w:spacing w:val="-57"/>
          <w:w w:val="89"/>
          <w:sz w:val="24"/>
          <w:szCs w:val="24"/>
        </w:rPr>
        <w:t>）；</w:t>
      </w:r>
    </w:p>
    <w:p w14:paraId="0B5B828A">
      <w:pPr>
        <w:spacing w:before="185" w:line="219" w:lineRule="auto"/>
        <w:ind w:left="50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）《建设项目水资源论证导则》（</w:t>
      </w:r>
      <w:r>
        <w:rPr>
          <w:rFonts w:ascii="Times New Roman" w:hAnsi="Times New Roman" w:eastAsia="Times New Roman" w:cs="Times New Roman"/>
          <w:spacing w:val="-1"/>
          <w:sz w:val="24"/>
          <w:szCs w:val="24"/>
        </w:rPr>
        <w:t>SL322-2017</w:t>
      </w:r>
      <w:r>
        <w:rPr>
          <w:rFonts w:ascii="宋体" w:hAnsi="宋体" w:eastAsia="宋体" w:cs="宋体"/>
          <w:spacing w:val="1"/>
          <w:sz w:val="24"/>
          <w:szCs w:val="24"/>
        </w:rPr>
        <w:t>）；</w:t>
      </w:r>
    </w:p>
    <w:p w14:paraId="19A0F897">
      <w:pPr>
        <w:spacing w:before="183" w:line="219" w:lineRule="auto"/>
        <w:ind w:left="50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6</w:t>
      </w:r>
      <w:r>
        <w:rPr>
          <w:rFonts w:ascii="宋体" w:hAnsi="宋体" w:eastAsia="宋体" w:cs="宋体"/>
          <w:spacing w:val="-1"/>
          <w:sz w:val="24"/>
          <w:szCs w:val="24"/>
        </w:rPr>
        <w:t>）《水域纳污能力计算规程》（</w:t>
      </w:r>
      <w:r>
        <w:rPr>
          <w:rFonts w:ascii="Times New Roman" w:hAnsi="Times New Roman" w:eastAsia="Times New Roman" w:cs="Times New Roman"/>
          <w:spacing w:val="-1"/>
          <w:sz w:val="24"/>
          <w:szCs w:val="24"/>
        </w:rPr>
        <w:t>GB/T25173-2010</w:t>
      </w:r>
      <w:r>
        <w:rPr>
          <w:rFonts w:ascii="宋体" w:hAnsi="宋体" w:eastAsia="宋体" w:cs="宋体"/>
          <w:spacing w:val="2"/>
          <w:sz w:val="24"/>
          <w:szCs w:val="24"/>
        </w:rPr>
        <w:t>）；</w:t>
      </w:r>
    </w:p>
    <w:p w14:paraId="563E08DD">
      <w:pPr>
        <w:spacing w:before="184" w:line="219" w:lineRule="auto"/>
        <w:ind w:left="50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7</w:t>
      </w:r>
      <w:r>
        <w:rPr>
          <w:rFonts w:ascii="宋体" w:hAnsi="宋体" w:eastAsia="宋体" w:cs="宋体"/>
          <w:spacing w:val="-1"/>
          <w:sz w:val="24"/>
          <w:szCs w:val="24"/>
        </w:rPr>
        <w:t>）《污水再生利用工程设计规范》（</w:t>
      </w:r>
      <w:r>
        <w:rPr>
          <w:rFonts w:ascii="Times New Roman" w:hAnsi="Times New Roman" w:eastAsia="Times New Roman" w:cs="Times New Roman"/>
          <w:spacing w:val="-1"/>
          <w:sz w:val="24"/>
          <w:szCs w:val="24"/>
        </w:rPr>
        <w:t>GB50335-2002</w:t>
      </w:r>
      <w:r>
        <w:rPr>
          <w:rFonts w:ascii="宋体" w:hAnsi="宋体" w:eastAsia="宋体" w:cs="宋体"/>
          <w:spacing w:val="2"/>
          <w:sz w:val="24"/>
          <w:szCs w:val="24"/>
        </w:rPr>
        <w:t>）；</w:t>
      </w:r>
    </w:p>
    <w:p w14:paraId="00ACECDA">
      <w:pPr>
        <w:spacing w:before="183" w:line="219" w:lineRule="auto"/>
        <w:ind w:left="50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8</w:t>
      </w:r>
      <w:r>
        <w:rPr>
          <w:rFonts w:ascii="宋体" w:hAnsi="宋体" w:eastAsia="宋体" w:cs="宋体"/>
          <w:spacing w:val="-1"/>
          <w:sz w:val="24"/>
          <w:szCs w:val="24"/>
        </w:rPr>
        <w:t>）《水利水电工程水文计算规范》（</w:t>
      </w:r>
      <w:r>
        <w:rPr>
          <w:rFonts w:ascii="Times New Roman" w:hAnsi="Times New Roman" w:eastAsia="Times New Roman" w:cs="Times New Roman"/>
          <w:spacing w:val="-1"/>
          <w:sz w:val="24"/>
          <w:szCs w:val="24"/>
        </w:rPr>
        <w:t>J929-2009</w:t>
      </w:r>
      <w:r>
        <w:rPr>
          <w:rFonts w:ascii="宋体" w:hAnsi="宋体" w:eastAsia="宋体" w:cs="宋体"/>
          <w:spacing w:val="2"/>
          <w:sz w:val="24"/>
          <w:szCs w:val="24"/>
        </w:rPr>
        <w:t>）；</w:t>
      </w:r>
    </w:p>
    <w:p w14:paraId="5DE96397">
      <w:pPr>
        <w:spacing w:before="183" w:line="218" w:lineRule="auto"/>
        <w:ind w:left="50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9</w:t>
      </w:r>
      <w:r>
        <w:rPr>
          <w:rFonts w:ascii="宋体" w:hAnsi="宋体" w:eastAsia="宋体" w:cs="宋体"/>
          <w:spacing w:val="-1"/>
          <w:sz w:val="24"/>
          <w:szCs w:val="24"/>
        </w:rPr>
        <w:t>）《地表水资源质量评价技术规程》（</w:t>
      </w:r>
      <w:r>
        <w:rPr>
          <w:rFonts w:ascii="Times New Roman" w:hAnsi="Times New Roman" w:eastAsia="Times New Roman" w:cs="Times New Roman"/>
          <w:spacing w:val="-1"/>
          <w:sz w:val="24"/>
          <w:szCs w:val="24"/>
        </w:rPr>
        <w:t>SL395-2007</w:t>
      </w:r>
      <w:r>
        <w:rPr>
          <w:rFonts w:ascii="宋体" w:hAnsi="宋体" w:eastAsia="宋体" w:cs="宋体"/>
          <w:spacing w:val="2"/>
          <w:sz w:val="24"/>
          <w:szCs w:val="24"/>
        </w:rPr>
        <w:t>）；</w:t>
      </w:r>
    </w:p>
    <w:p w14:paraId="3F433AC5">
      <w:pPr>
        <w:spacing w:before="184" w:line="218" w:lineRule="auto"/>
        <w:ind w:left="50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10</w:t>
      </w:r>
      <w:r>
        <w:rPr>
          <w:rFonts w:ascii="宋体" w:hAnsi="宋体" w:eastAsia="宋体" w:cs="宋体"/>
          <w:spacing w:val="-1"/>
          <w:sz w:val="24"/>
          <w:szCs w:val="24"/>
        </w:rPr>
        <w:t>）《水资源评价导则》（</w:t>
      </w:r>
      <w:r>
        <w:rPr>
          <w:rFonts w:ascii="Times New Roman" w:hAnsi="Times New Roman" w:eastAsia="Times New Roman" w:cs="Times New Roman"/>
          <w:spacing w:val="-1"/>
          <w:sz w:val="24"/>
          <w:szCs w:val="24"/>
        </w:rPr>
        <w:t>SL/T238-1999</w:t>
      </w:r>
      <w:r>
        <w:rPr>
          <w:rFonts w:ascii="宋体" w:hAnsi="宋体" w:eastAsia="宋体" w:cs="宋体"/>
          <w:spacing w:val="1"/>
          <w:sz w:val="24"/>
          <w:szCs w:val="24"/>
        </w:rPr>
        <w:t>）；</w:t>
      </w:r>
    </w:p>
    <w:p w14:paraId="26229FB4">
      <w:pPr>
        <w:spacing w:before="185" w:line="219" w:lineRule="auto"/>
        <w:ind w:left="50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11</w:t>
      </w:r>
      <w:r>
        <w:rPr>
          <w:rFonts w:ascii="宋体" w:hAnsi="宋体" w:eastAsia="宋体" w:cs="宋体"/>
          <w:spacing w:val="-1"/>
          <w:sz w:val="24"/>
          <w:szCs w:val="24"/>
        </w:rPr>
        <w:t>）《地表水环境质量标准》（</w:t>
      </w:r>
      <w:r>
        <w:rPr>
          <w:rFonts w:ascii="Times New Roman" w:hAnsi="Times New Roman" w:eastAsia="Times New Roman" w:cs="Times New Roman"/>
          <w:spacing w:val="-1"/>
          <w:sz w:val="24"/>
          <w:szCs w:val="24"/>
        </w:rPr>
        <w:t>GB3838</w:t>
      </w:r>
      <w:r>
        <w:rPr>
          <w:rFonts w:ascii="Times New Roman" w:hAnsi="Times New Roman" w:eastAsia="Times New Roman" w:cs="Times New Roman"/>
          <w:spacing w:val="-2"/>
          <w:sz w:val="24"/>
          <w:szCs w:val="24"/>
        </w:rPr>
        <w:t>-2002</w:t>
      </w:r>
      <w:r>
        <w:rPr>
          <w:rFonts w:ascii="宋体" w:hAnsi="宋体" w:eastAsia="宋体" w:cs="宋体"/>
          <w:sz w:val="24"/>
          <w:szCs w:val="24"/>
        </w:rPr>
        <w:t>）；</w:t>
      </w:r>
    </w:p>
    <w:p w14:paraId="5471F069">
      <w:pPr>
        <w:spacing w:before="184" w:line="219" w:lineRule="auto"/>
        <w:ind w:left="50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12</w:t>
      </w:r>
      <w:r>
        <w:rPr>
          <w:rFonts w:ascii="宋体" w:hAnsi="宋体" w:eastAsia="宋体" w:cs="宋体"/>
          <w:spacing w:val="-1"/>
          <w:sz w:val="24"/>
          <w:szCs w:val="24"/>
        </w:rPr>
        <w:t>）《地表水资源质量标准》（</w:t>
      </w:r>
      <w:r>
        <w:rPr>
          <w:rFonts w:ascii="Times New Roman" w:hAnsi="Times New Roman" w:eastAsia="Times New Roman" w:cs="Times New Roman"/>
          <w:spacing w:val="-1"/>
          <w:sz w:val="24"/>
          <w:szCs w:val="24"/>
        </w:rPr>
        <w:t>SL63-</w:t>
      </w:r>
      <w:r>
        <w:rPr>
          <w:rFonts w:ascii="Times New Roman" w:hAnsi="Times New Roman" w:eastAsia="Times New Roman" w:cs="Times New Roman"/>
          <w:spacing w:val="-2"/>
          <w:sz w:val="24"/>
          <w:szCs w:val="24"/>
        </w:rPr>
        <w:t>94</w:t>
      </w:r>
      <w:r>
        <w:rPr>
          <w:rFonts w:ascii="宋体" w:hAnsi="宋体" w:eastAsia="宋体" w:cs="宋体"/>
          <w:sz w:val="24"/>
          <w:szCs w:val="24"/>
        </w:rPr>
        <w:t>）；</w:t>
      </w:r>
    </w:p>
    <w:p w14:paraId="3AD2DA7B">
      <w:pPr>
        <w:spacing w:before="183" w:line="219" w:lineRule="auto"/>
        <w:ind w:left="50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13</w:t>
      </w:r>
      <w:r>
        <w:rPr>
          <w:rFonts w:ascii="宋体" w:hAnsi="宋体" w:eastAsia="宋体" w:cs="宋体"/>
          <w:spacing w:val="-1"/>
          <w:sz w:val="24"/>
          <w:szCs w:val="24"/>
        </w:rPr>
        <w:t>）《水环境监测规范》（</w:t>
      </w:r>
      <w:r>
        <w:rPr>
          <w:rFonts w:ascii="Times New Roman" w:hAnsi="Times New Roman" w:eastAsia="Times New Roman" w:cs="Times New Roman"/>
          <w:spacing w:val="-1"/>
          <w:sz w:val="24"/>
          <w:szCs w:val="24"/>
        </w:rPr>
        <w:t>SL219-2013</w:t>
      </w:r>
      <w:r>
        <w:rPr>
          <w:rFonts w:ascii="宋体" w:hAnsi="宋体" w:eastAsia="宋体" w:cs="宋体"/>
          <w:sz w:val="24"/>
          <w:szCs w:val="24"/>
        </w:rPr>
        <w:t>）；</w:t>
      </w:r>
    </w:p>
    <w:p w14:paraId="0E87B26B">
      <w:pPr>
        <w:spacing w:line="219" w:lineRule="auto"/>
        <w:rPr>
          <w:rFonts w:ascii="宋体" w:hAnsi="宋体" w:eastAsia="宋体" w:cs="宋体"/>
          <w:sz w:val="24"/>
          <w:szCs w:val="24"/>
        </w:rPr>
        <w:sectPr>
          <w:footerReference r:id="rId11" w:type="default"/>
          <w:pgSz w:w="11906" w:h="16839"/>
          <w:pgMar w:top="1132" w:right="1700" w:bottom="1259" w:left="1701" w:header="829" w:footer="1097" w:gutter="0"/>
          <w:cols w:space="720" w:num="1"/>
        </w:sectPr>
      </w:pPr>
    </w:p>
    <w:p w14:paraId="335E1F36">
      <w:pPr>
        <w:pStyle w:val="2"/>
        <w:spacing w:line="320" w:lineRule="auto"/>
      </w:pPr>
    </w:p>
    <w:p w14:paraId="24D6AAD0">
      <w:pPr>
        <w:spacing w:before="78" w:line="219" w:lineRule="auto"/>
        <w:ind w:left="50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14</w:t>
      </w:r>
      <w:r>
        <w:rPr>
          <w:rFonts w:ascii="宋体" w:hAnsi="宋体" w:eastAsia="宋体" w:cs="宋体"/>
          <w:spacing w:val="-1"/>
          <w:sz w:val="24"/>
          <w:szCs w:val="24"/>
        </w:rPr>
        <w:t>）《水文调查规范》（</w:t>
      </w:r>
      <w:r>
        <w:rPr>
          <w:rFonts w:ascii="Times New Roman" w:hAnsi="Times New Roman" w:eastAsia="Times New Roman" w:cs="Times New Roman"/>
          <w:spacing w:val="-1"/>
          <w:sz w:val="24"/>
          <w:szCs w:val="24"/>
        </w:rPr>
        <w:t>SL196-20</w:t>
      </w:r>
      <w:r>
        <w:rPr>
          <w:rFonts w:ascii="Times New Roman" w:hAnsi="Times New Roman" w:eastAsia="Times New Roman" w:cs="Times New Roman"/>
          <w:spacing w:val="-2"/>
          <w:sz w:val="24"/>
          <w:szCs w:val="24"/>
        </w:rPr>
        <w:t>15</w:t>
      </w:r>
      <w:r>
        <w:rPr>
          <w:rFonts w:ascii="宋体" w:hAnsi="宋体" w:eastAsia="宋体" w:cs="宋体"/>
          <w:sz w:val="24"/>
          <w:szCs w:val="24"/>
        </w:rPr>
        <w:t>）；</w:t>
      </w:r>
    </w:p>
    <w:p w14:paraId="4348C5A8">
      <w:pPr>
        <w:spacing w:before="182" w:line="219" w:lineRule="auto"/>
        <w:ind w:left="50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15</w:t>
      </w:r>
      <w:r>
        <w:rPr>
          <w:rFonts w:ascii="宋体" w:hAnsi="宋体" w:eastAsia="宋体" w:cs="宋体"/>
          <w:spacing w:val="-1"/>
          <w:sz w:val="24"/>
          <w:szCs w:val="24"/>
        </w:rPr>
        <w:t>）《水资源监控设备基本技术条件》（</w:t>
      </w:r>
      <w:r>
        <w:rPr>
          <w:rFonts w:ascii="Times New Roman" w:hAnsi="Times New Roman" w:eastAsia="Times New Roman" w:cs="Times New Roman"/>
          <w:spacing w:val="-1"/>
          <w:sz w:val="24"/>
          <w:szCs w:val="24"/>
        </w:rPr>
        <w:t>SL426-2008</w:t>
      </w:r>
      <w:r>
        <w:rPr>
          <w:rFonts w:ascii="宋体" w:hAnsi="宋体" w:eastAsia="宋体" w:cs="宋体"/>
          <w:spacing w:val="2"/>
          <w:sz w:val="24"/>
          <w:szCs w:val="24"/>
        </w:rPr>
        <w:t>）；</w:t>
      </w:r>
    </w:p>
    <w:p w14:paraId="658CAEBB">
      <w:pPr>
        <w:spacing w:before="184" w:line="219" w:lineRule="auto"/>
        <w:ind w:left="50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16</w:t>
      </w:r>
      <w:r>
        <w:rPr>
          <w:rFonts w:ascii="宋体" w:hAnsi="宋体" w:eastAsia="宋体" w:cs="宋体"/>
          <w:spacing w:val="-1"/>
          <w:sz w:val="24"/>
          <w:szCs w:val="24"/>
        </w:rPr>
        <w:t>）《水资源实时监控系统建设技术导则》（</w:t>
      </w:r>
      <w:r>
        <w:rPr>
          <w:rFonts w:ascii="Times New Roman" w:hAnsi="Times New Roman" w:eastAsia="Times New Roman" w:cs="Times New Roman"/>
          <w:spacing w:val="-1"/>
          <w:sz w:val="24"/>
          <w:szCs w:val="24"/>
        </w:rPr>
        <w:t>SL/Z349-2006</w:t>
      </w:r>
      <w:r>
        <w:rPr>
          <w:rFonts w:ascii="宋体" w:hAnsi="宋体" w:eastAsia="宋体" w:cs="宋体"/>
          <w:spacing w:val="5"/>
          <w:sz w:val="24"/>
          <w:szCs w:val="24"/>
        </w:rPr>
        <w:t>）；</w:t>
      </w:r>
    </w:p>
    <w:p w14:paraId="5BD0B96C">
      <w:pPr>
        <w:spacing w:before="183" w:line="219" w:lineRule="auto"/>
        <w:ind w:left="50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17</w:t>
      </w:r>
      <w:r>
        <w:rPr>
          <w:rFonts w:ascii="宋体" w:hAnsi="宋体" w:eastAsia="宋体" w:cs="宋体"/>
          <w:spacing w:val="-1"/>
          <w:sz w:val="24"/>
          <w:szCs w:val="24"/>
        </w:rPr>
        <w:t>）《水资源水量监测技术导则》（</w:t>
      </w:r>
      <w:r>
        <w:rPr>
          <w:rFonts w:ascii="Times New Roman" w:hAnsi="Times New Roman" w:eastAsia="Times New Roman" w:cs="Times New Roman"/>
          <w:spacing w:val="-1"/>
          <w:sz w:val="24"/>
          <w:szCs w:val="24"/>
        </w:rPr>
        <w:t>SL365-2007</w:t>
      </w:r>
      <w:r>
        <w:rPr>
          <w:rFonts w:ascii="宋体" w:hAnsi="宋体" w:eastAsia="宋体" w:cs="宋体"/>
          <w:spacing w:val="1"/>
          <w:sz w:val="24"/>
          <w:szCs w:val="24"/>
        </w:rPr>
        <w:t>）；</w:t>
      </w:r>
    </w:p>
    <w:p w14:paraId="475F3257">
      <w:pPr>
        <w:spacing w:before="182" w:line="218" w:lineRule="auto"/>
        <w:ind w:left="50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18</w:t>
      </w:r>
      <w:r>
        <w:rPr>
          <w:rFonts w:ascii="宋体" w:hAnsi="宋体" w:eastAsia="宋体" w:cs="宋体"/>
          <w:spacing w:val="-1"/>
          <w:sz w:val="24"/>
          <w:szCs w:val="24"/>
        </w:rPr>
        <w:t>）《地表水水资源质量评价技术规程》（</w:t>
      </w:r>
      <w:r>
        <w:rPr>
          <w:rFonts w:ascii="Times New Roman" w:hAnsi="Times New Roman" w:eastAsia="Times New Roman" w:cs="Times New Roman"/>
          <w:spacing w:val="-1"/>
          <w:sz w:val="24"/>
          <w:szCs w:val="24"/>
        </w:rPr>
        <w:t>SL395-2007</w:t>
      </w:r>
      <w:r>
        <w:rPr>
          <w:rFonts w:ascii="宋体" w:hAnsi="宋体" w:eastAsia="宋体" w:cs="宋体"/>
          <w:spacing w:val="3"/>
          <w:sz w:val="24"/>
          <w:szCs w:val="24"/>
        </w:rPr>
        <w:t>）；</w:t>
      </w:r>
    </w:p>
    <w:p w14:paraId="1E03FFDA">
      <w:pPr>
        <w:spacing w:before="185" w:line="219" w:lineRule="auto"/>
        <w:ind w:left="50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19</w:t>
      </w:r>
      <w:r>
        <w:rPr>
          <w:rFonts w:ascii="宋体" w:hAnsi="宋体" w:eastAsia="宋体" w:cs="宋体"/>
          <w:spacing w:val="-1"/>
          <w:sz w:val="24"/>
          <w:szCs w:val="24"/>
        </w:rPr>
        <w:t>）《水利水电建设项目水资源论证导则》（</w:t>
      </w:r>
      <w:r>
        <w:rPr>
          <w:rFonts w:ascii="Times New Roman" w:hAnsi="Times New Roman" w:eastAsia="Times New Roman" w:cs="Times New Roman"/>
          <w:spacing w:val="-1"/>
          <w:sz w:val="24"/>
          <w:szCs w:val="24"/>
        </w:rPr>
        <w:t>SL525-2011</w:t>
      </w:r>
      <w:r>
        <w:rPr>
          <w:rFonts w:ascii="宋体" w:hAnsi="宋体" w:eastAsia="宋体" w:cs="宋体"/>
          <w:sz w:val="24"/>
          <w:szCs w:val="24"/>
        </w:rPr>
        <w:t>）；</w:t>
      </w:r>
    </w:p>
    <w:p w14:paraId="2DE16AE7">
      <w:pPr>
        <w:spacing w:before="183" w:line="219" w:lineRule="auto"/>
        <w:ind w:left="50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20</w:t>
      </w:r>
      <w:r>
        <w:rPr>
          <w:rFonts w:ascii="宋体" w:hAnsi="宋体" w:eastAsia="宋体" w:cs="宋体"/>
          <w:spacing w:val="-1"/>
          <w:sz w:val="24"/>
          <w:szCs w:val="24"/>
        </w:rPr>
        <w:t>）《水利工程水利计算规范》（</w:t>
      </w:r>
      <w:r>
        <w:rPr>
          <w:rFonts w:ascii="Times New Roman" w:hAnsi="Times New Roman" w:eastAsia="Times New Roman" w:cs="Times New Roman"/>
          <w:spacing w:val="-1"/>
          <w:sz w:val="24"/>
          <w:szCs w:val="24"/>
        </w:rPr>
        <w:t>SL104-2015</w:t>
      </w:r>
      <w:r>
        <w:rPr>
          <w:rFonts w:ascii="宋体" w:hAnsi="宋体" w:eastAsia="宋体" w:cs="宋体"/>
          <w:spacing w:val="1"/>
          <w:sz w:val="24"/>
          <w:szCs w:val="24"/>
        </w:rPr>
        <w:t>）；</w:t>
      </w:r>
    </w:p>
    <w:p w14:paraId="1DACA292">
      <w:pPr>
        <w:spacing w:before="183" w:line="219" w:lineRule="auto"/>
        <w:ind w:left="50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21</w:t>
      </w:r>
      <w:r>
        <w:rPr>
          <w:rFonts w:ascii="宋体" w:hAnsi="宋体" w:eastAsia="宋体" w:cs="宋体"/>
          <w:spacing w:val="-1"/>
          <w:sz w:val="24"/>
          <w:szCs w:val="24"/>
        </w:rPr>
        <w:t>）《城镇污水处理站污染物排放标准》（</w:t>
      </w:r>
      <w:r>
        <w:rPr>
          <w:rFonts w:ascii="Times New Roman" w:hAnsi="Times New Roman" w:eastAsia="Times New Roman" w:cs="Times New Roman"/>
          <w:spacing w:val="-1"/>
          <w:sz w:val="24"/>
          <w:szCs w:val="24"/>
        </w:rPr>
        <w:t>GB18918-2002</w:t>
      </w:r>
      <w:r>
        <w:rPr>
          <w:rFonts w:ascii="宋体" w:hAnsi="宋体" w:eastAsia="宋体" w:cs="宋体"/>
          <w:spacing w:val="4"/>
          <w:sz w:val="24"/>
          <w:szCs w:val="24"/>
        </w:rPr>
        <w:t>）；</w:t>
      </w:r>
    </w:p>
    <w:p w14:paraId="70A67036">
      <w:pPr>
        <w:spacing w:before="183" w:line="219" w:lineRule="auto"/>
        <w:ind w:left="50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22</w:t>
      </w:r>
      <w:r>
        <w:rPr>
          <w:rFonts w:ascii="宋体" w:hAnsi="宋体" w:eastAsia="宋体" w:cs="宋体"/>
          <w:spacing w:val="-1"/>
          <w:sz w:val="24"/>
          <w:szCs w:val="24"/>
        </w:rPr>
        <w:t>）《污水综合排放标准》（</w:t>
      </w:r>
      <w:r>
        <w:rPr>
          <w:rFonts w:ascii="Times New Roman" w:hAnsi="Times New Roman" w:eastAsia="Times New Roman" w:cs="Times New Roman"/>
          <w:spacing w:val="-1"/>
          <w:sz w:val="24"/>
          <w:szCs w:val="24"/>
        </w:rPr>
        <w:t>GB8979-1996</w:t>
      </w:r>
      <w:r>
        <w:rPr>
          <w:rFonts w:ascii="宋体" w:hAnsi="宋体" w:eastAsia="宋体" w:cs="宋体"/>
          <w:sz w:val="24"/>
          <w:szCs w:val="24"/>
        </w:rPr>
        <w:t>）；</w:t>
      </w:r>
    </w:p>
    <w:p w14:paraId="0250AAFC">
      <w:pPr>
        <w:spacing w:before="184" w:line="219" w:lineRule="auto"/>
        <w:ind w:left="50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23</w:t>
      </w:r>
      <w:r>
        <w:rPr>
          <w:rFonts w:ascii="宋体" w:hAnsi="宋体" w:eastAsia="宋体" w:cs="宋体"/>
          <w:spacing w:val="-1"/>
          <w:sz w:val="24"/>
          <w:szCs w:val="24"/>
        </w:rPr>
        <w:t>）《污水排入城市下水道水质标准》（</w:t>
      </w:r>
      <w:r>
        <w:rPr>
          <w:rFonts w:ascii="Times New Roman" w:hAnsi="Times New Roman" w:eastAsia="Times New Roman" w:cs="Times New Roman"/>
          <w:spacing w:val="-1"/>
          <w:sz w:val="24"/>
          <w:szCs w:val="24"/>
        </w:rPr>
        <w:t>CJ343-2010</w:t>
      </w:r>
      <w:r>
        <w:rPr>
          <w:rFonts w:ascii="宋体" w:hAnsi="宋体" w:eastAsia="宋体" w:cs="宋体"/>
          <w:spacing w:val="-1"/>
          <w:sz w:val="24"/>
          <w:szCs w:val="24"/>
        </w:rPr>
        <w:t>）。</w:t>
      </w:r>
    </w:p>
    <w:p w14:paraId="55FC079E">
      <w:pPr>
        <w:spacing w:before="182" w:line="218" w:lineRule="auto"/>
        <w:ind w:left="16"/>
        <w:outlineLvl w:val="2"/>
        <w:rPr>
          <w:rFonts w:ascii="宋体" w:hAnsi="宋体" w:eastAsia="宋体" w:cs="宋体"/>
          <w:sz w:val="24"/>
          <w:szCs w:val="24"/>
        </w:rPr>
      </w:pPr>
      <w:r>
        <w:rPr>
          <w:rFonts w:ascii="Times New Roman" w:hAnsi="Times New Roman" w:eastAsia="Times New Roman" w:cs="Times New Roman"/>
          <w:b/>
          <w:bCs/>
          <w:spacing w:val="-3"/>
          <w:sz w:val="24"/>
          <w:szCs w:val="24"/>
        </w:rPr>
        <w:t>1.2.3</w:t>
      </w:r>
      <w:r>
        <w:rPr>
          <w:rFonts w:ascii="宋体" w:hAnsi="宋体" w:eastAsia="宋体" w:cs="宋体"/>
          <w:b/>
          <w:bCs/>
          <w:spacing w:val="-3"/>
          <w:sz w:val="24"/>
          <w:szCs w:val="24"/>
        </w:rPr>
        <w:t>相关技术报告</w:t>
      </w:r>
    </w:p>
    <w:p w14:paraId="1E226437">
      <w:pPr>
        <w:spacing w:before="184" w:line="290" w:lineRule="auto"/>
        <w:ind w:left="11" w:right="103" w:firstLine="489"/>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）《隆回工业污水处理厂扩建及配套管网建设项目可行性报</w:t>
      </w:r>
      <w:r>
        <w:rPr>
          <w:rFonts w:ascii="宋体" w:hAnsi="宋体" w:eastAsia="宋体" w:cs="宋体"/>
          <w:spacing w:val="-5"/>
          <w:sz w:val="24"/>
          <w:szCs w:val="24"/>
        </w:rPr>
        <w:t>告》及其批复</w:t>
      </w:r>
      <w:r>
        <w:rPr>
          <w:rFonts w:ascii="宋体" w:hAnsi="宋体" w:eastAsia="宋体" w:cs="宋体"/>
          <w:spacing w:val="-4"/>
          <w:sz w:val="24"/>
          <w:szCs w:val="24"/>
        </w:rPr>
        <w:t>文件；</w:t>
      </w:r>
    </w:p>
    <w:p w14:paraId="267C6508">
      <w:pPr>
        <w:spacing w:before="182" w:line="290" w:lineRule="auto"/>
        <w:ind w:left="10" w:right="103" w:firstLine="490"/>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）《隆回工业园污水处理厂进行提标扩容改造（二期）工程</w:t>
      </w:r>
      <w:r>
        <w:rPr>
          <w:rFonts w:ascii="宋体" w:hAnsi="宋体" w:eastAsia="宋体" w:cs="宋体"/>
          <w:spacing w:val="-5"/>
          <w:sz w:val="24"/>
          <w:szCs w:val="24"/>
        </w:rPr>
        <w:t>初步设计》及</w:t>
      </w:r>
      <w:r>
        <w:rPr>
          <w:rFonts w:ascii="宋体" w:hAnsi="宋体" w:eastAsia="宋体" w:cs="宋体"/>
          <w:spacing w:val="-2"/>
          <w:sz w:val="24"/>
          <w:szCs w:val="24"/>
        </w:rPr>
        <w:t>其批复文件；</w:t>
      </w:r>
    </w:p>
    <w:p w14:paraId="1E7D9213">
      <w:pPr>
        <w:spacing w:before="183" w:line="285" w:lineRule="auto"/>
        <w:ind w:left="8" w:right="103" w:firstLine="49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）《隆回县工业污水处理厂（一期）工程入河排污口设置论</w:t>
      </w:r>
      <w:r>
        <w:rPr>
          <w:rFonts w:ascii="宋体" w:hAnsi="宋体" w:eastAsia="宋体" w:cs="宋体"/>
          <w:spacing w:val="-5"/>
          <w:sz w:val="24"/>
          <w:szCs w:val="24"/>
        </w:rPr>
        <w:t>证报告》及其</w:t>
      </w:r>
      <w:r>
        <w:rPr>
          <w:rFonts w:ascii="宋体" w:hAnsi="宋体" w:eastAsia="宋体" w:cs="宋体"/>
          <w:spacing w:val="-1"/>
          <w:sz w:val="24"/>
          <w:szCs w:val="24"/>
        </w:rPr>
        <w:t>批复文件（邵市环评（</w:t>
      </w:r>
      <w:r>
        <w:rPr>
          <w:rFonts w:ascii="Times New Roman" w:hAnsi="Times New Roman" w:eastAsia="Times New Roman" w:cs="Times New Roman"/>
          <w:spacing w:val="-1"/>
          <w:sz w:val="24"/>
          <w:szCs w:val="24"/>
        </w:rPr>
        <w:t>4</w:t>
      </w:r>
      <w:r>
        <w:rPr>
          <w:rFonts w:ascii="宋体" w:hAnsi="宋体" w:eastAsia="宋体" w:cs="宋体"/>
          <w:spacing w:val="-1"/>
          <w:sz w:val="24"/>
          <w:szCs w:val="24"/>
        </w:rPr>
        <w:t>）</w:t>
      </w:r>
      <w:r>
        <w:rPr>
          <w:rFonts w:ascii="Times New Roman" w:hAnsi="Times New Roman" w:eastAsia="Times New Roman" w:cs="Times New Roman"/>
          <w:spacing w:val="-1"/>
          <w:sz w:val="24"/>
          <w:szCs w:val="24"/>
        </w:rPr>
        <w:t>[2022]22</w:t>
      </w:r>
      <w:r>
        <w:rPr>
          <w:rFonts w:ascii="宋体" w:hAnsi="宋体" w:eastAsia="宋体" w:cs="宋体"/>
          <w:spacing w:val="-1"/>
          <w:sz w:val="24"/>
          <w:szCs w:val="24"/>
        </w:rPr>
        <w:t>号</w:t>
      </w:r>
      <w:r>
        <w:rPr>
          <w:rFonts w:ascii="宋体" w:hAnsi="宋体" w:eastAsia="宋体" w:cs="宋体"/>
          <w:spacing w:val="5"/>
          <w:sz w:val="24"/>
          <w:szCs w:val="24"/>
        </w:rPr>
        <w:t>）；</w:t>
      </w:r>
    </w:p>
    <w:p w14:paraId="4803F9D0">
      <w:pPr>
        <w:spacing w:before="195" w:line="285" w:lineRule="auto"/>
        <w:ind w:left="29" w:right="103" w:firstLine="471"/>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）《隆回高新技术产业开发区规划环境影响跟踪评价》及其</w:t>
      </w:r>
      <w:r>
        <w:rPr>
          <w:rFonts w:ascii="宋体" w:hAnsi="宋体" w:eastAsia="宋体" w:cs="宋体"/>
          <w:spacing w:val="-5"/>
          <w:sz w:val="24"/>
          <w:szCs w:val="24"/>
        </w:rPr>
        <w:t>省厅工作意见</w:t>
      </w:r>
      <w:r>
        <w:rPr>
          <w:rFonts w:ascii="宋体" w:hAnsi="宋体" w:eastAsia="宋体" w:cs="宋体"/>
          <w:spacing w:val="-2"/>
          <w:sz w:val="24"/>
          <w:szCs w:val="24"/>
        </w:rPr>
        <w:t>的函（湘环评函</w:t>
      </w:r>
      <w:r>
        <w:rPr>
          <w:rFonts w:ascii="Times New Roman" w:hAnsi="Times New Roman" w:eastAsia="Times New Roman" w:cs="Times New Roman"/>
          <w:spacing w:val="-2"/>
          <w:sz w:val="24"/>
          <w:szCs w:val="24"/>
        </w:rPr>
        <w:t>[2024]42</w:t>
      </w:r>
      <w:r>
        <w:rPr>
          <w:rFonts w:ascii="宋体" w:hAnsi="宋体" w:eastAsia="宋体" w:cs="宋体"/>
          <w:spacing w:val="-2"/>
          <w:sz w:val="24"/>
          <w:szCs w:val="24"/>
        </w:rPr>
        <w:t>号</w:t>
      </w:r>
      <w:r>
        <w:rPr>
          <w:rFonts w:ascii="宋体" w:hAnsi="宋体" w:eastAsia="宋体" w:cs="宋体"/>
          <w:spacing w:val="1"/>
          <w:sz w:val="24"/>
          <w:szCs w:val="24"/>
        </w:rPr>
        <w:t>）；</w:t>
      </w:r>
    </w:p>
    <w:p w14:paraId="04674394">
      <w:pPr>
        <w:spacing w:before="195" w:line="285" w:lineRule="auto"/>
        <w:ind w:left="12" w:right="105" w:firstLine="48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5</w:t>
      </w:r>
      <w:r>
        <w:rPr>
          <w:rFonts w:ascii="宋体" w:hAnsi="宋体" w:eastAsia="宋体" w:cs="宋体"/>
          <w:spacing w:val="-4"/>
          <w:sz w:val="24"/>
          <w:szCs w:val="24"/>
        </w:rPr>
        <w:t>）《隆回县工业污水处理厂（一期）工程环境影响报</w:t>
      </w:r>
      <w:r>
        <w:rPr>
          <w:rFonts w:ascii="宋体" w:hAnsi="宋体" w:eastAsia="宋体" w:cs="宋体"/>
          <w:spacing w:val="-5"/>
          <w:sz w:val="24"/>
          <w:szCs w:val="24"/>
        </w:rPr>
        <w:t>告书》（长沙市玺成</w:t>
      </w:r>
      <w:r>
        <w:rPr>
          <w:rFonts w:ascii="宋体" w:hAnsi="宋体" w:eastAsia="宋体" w:cs="宋体"/>
          <w:spacing w:val="-1"/>
          <w:sz w:val="24"/>
          <w:szCs w:val="24"/>
        </w:rPr>
        <w:t>工程技术咨询有限责任公司）及批复文件（邵市环评</w:t>
      </w:r>
      <w:r>
        <w:rPr>
          <w:rFonts w:ascii="Times New Roman" w:hAnsi="Times New Roman" w:eastAsia="Times New Roman" w:cs="Times New Roman"/>
          <w:spacing w:val="-1"/>
          <w:sz w:val="24"/>
          <w:szCs w:val="24"/>
        </w:rPr>
        <w:t>[2017]45</w:t>
      </w:r>
      <w:r>
        <w:rPr>
          <w:rFonts w:ascii="宋体" w:hAnsi="宋体" w:eastAsia="宋体" w:cs="宋体"/>
          <w:spacing w:val="-1"/>
          <w:sz w:val="24"/>
          <w:szCs w:val="24"/>
        </w:rPr>
        <w:t>号</w:t>
      </w:r>
      <w:r>
        <w:rPr>
          <w:rFonts w:ascii="宋体" w:hAnsi="宋体" w:eastAsia="宋体" w:cs="宋体"/>
          <w:spacing w:val="9"/>
          <w:sz w:val="24"/>
          <w:szCs w:val="24"/>
        </w:rPr>
        <w:t>）；</w:t>
      </w:r>
    </w:p>
    <w:p w14:paraId="6C63F733">
      <w:pPr>
        <w:spacing w:before="194" w:line="290" w:lineRule="auto"/>
        <w:ind w:left="33" w:right="103" w:firstLine="467"/>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6</w:t>
      </w:r>
      <w:r>
        <w:rPr>
          <w:rFonts w:ascii="宋体" w:hAnsi="宋体" w:eastAsia="宋体" w:cs="宋体"/>
          <w:spacing w:val="-4"/>
          <w:sz w:val="24"/>
          <w:szCs w:val="24"/>
        </w:rPr>
        <w:t>）《隆回县工业污水处理厂（一期）工程环境保护验收监测</w:t>
      </w:r>
      <w:r>
        <w:rPr>
          <w:rFonts w:ascii="宋体" w:hAnsi="宋体" w:eastAsia="宋体" w:cs="宋体"/>
          <w:spacing w:val="-5"/>
          <w:sz w:val="24"/>
          <w:szCs w:val="24"/>
        </w:rPr>
        <w:t>报告》及备案</w:t>
      </w:r>
      <w:r>
        <w:rPr>
          <w:rFonts w:ascii="宋体" w:hAnsi="宋体" w:eastAsia="宋体" w:cs="宋体"/>
          <w:spacing w:val="-11"/>
          <w:sz w:val="24"/>
          <w:szCs w:val="24"/>
        </w:rPr>
        <w:t>回执；</w:t>
      </w:r>
    </w:p>
    <w:p w14:paraId="36511E9E">
      <w:pPr>
        <w:spacing w:before="184" w:line="290" w:lineRule="auto"/>
        <w:ind w:left="8" w:right="105" w:firstLine="492"/>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7</w:t>
      </w:r>
      <w:r>
        <w:rPr>
          <w:rFonts w:ascii="宋体" w:hAnsi="宋体" w:eastAsia="宋体" w:cs="宋体"/>
          <w:spacing w:val="-4"/>
          <w:sz w:val="24"/>
          <w:szCs w:val="24"/>
        </w:rPr>
        <w:t>）《隆回县工业污水处理厂（一期）工程突发环境事</w:t>
      </w:r>
      <w:r>
        <w:rPr>
          <w:rFonts w:ascii="宋体" w:hAnsi="宋体" w:eastAsia="宋体" w:cs="宋体"/>
          <w:spacing w:val="-5"/>
          <w:sz w:val="24"/>
          <w:szCs w:val="24"/>
        </w:rPr>
        <w:t>件应急预案》及备案表；</w:t>
      </w:r>
    </w:p>
    <w:p w14:paraId="3E0A73FC">
      <w:pPr>
        <w:spacing w:before="182" w:line="219" w:lineRule="auto"/>
        <w:ind w:left="50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8</w:t>
      </w:r>
      <w:r>
        <w:rPr>
          <w:rFonts w:ascii="宋体" w:hAnsi="宋体" w:eastAsia="宋体" w:cs="宋体"/>
          <w:spacing w:val="-2"/>
          <w:sz w:val="24"/>
          <w:szCs w:val="24"/>
        </w:rPr>
        <w:t>）排污许可证（</w:t>
      </w:r>
      <w:r>
        <w:rPr>
          <w:rFonts w:ascii="Times New Roman" w:hAnsi="Times New Roman" w:eastAsia="Times New Roman" w:cs="Times New Roman"/>
          <w:spacing w:val="-2"/>
          <w:sz w:val="24"/>
          <w:szCs w:val="24"/>
        </w:rPr>
        <w:t>2023</w:t>
      </w:r>
      <w:r>
        <w:rPr>
          <w:rFonts w:ascii="宋体" w:hAnsi="宋体" w:eastAsia="宋体" w:cs="宋体"/>
          <w:spacing w:val="-2"/>
          <w:sz w:val="24"/>
          <w:szCs w:val="24"/>
        </w:rPr>
        <w:t>年</w:t>
      </w:r>
      <w:r>
        <w:rPr>
          <w:rFonts w:ascii="宋体" w:hAnsi="宋体" w:eastAsia="宋体" w:cs="宋体"/>
          <w:spacing w:val="4"/>
          <w:sz w:val="24"/>
          <w:szCs w:val="24"/>
        </w:rPr>
        <w:t>）；</w:t>
      </w:r>
    </w:p>
    <w:p w14:paraId="18ACD30D">
      <w:pPr>
        <w:spacing w:before="183" w:line="219" w:lineRule="auto"/>
        <w:ind w:left="50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9</w:t>
      </w:r>
      <w:r>
        <w:rPr>
          <w:rFonts w:ascii="宋体" w:hAnsi="宋体" w:eastAsia="宋体" w:cs="宋体"/>
          <w:spacing w:val="-1"/>
          <w:sz w:val="24"/>
          <w:szCs w:val="24"/>
        </w:rPr>
        <w:t>）《邵阳市水功能区划》（</w:t>
      </w:r>
      <w:r>
        <w:rPr>
          <w:rFonts w:ascii="Times New Roman" w:hAnsi="Times New Roman" w:eastAsia="Times New Roman" w:cs="Times New Roman"/>
          <w:spacing w:val="-1"/>
          <w:sz w:val="24"/>
          <w:szCs w:val="24"/>
        </w:rPr>
        <w:t>2016</w:t>
      </w:r>
      <w:r>
        <w:rPr>
          <w:rFonts w:ascii="宋体" w:hAnsi="宋体" w:eastAsia="宋体" w:cs="宋体"/>
          <w:spacing w:val="-1"/>
          <w:sz w:val="24"/>
          <w:szCs w:val="24"/>
        </w:rPr>
        <w:t>年修编</w:t>
      </w:r>
      <w:r>
        <w:rPr>
          <w:rFonts w:ascii="宋体" w:hAnsi="宋体" w:eastAsia="宋体" w:cs="宋体"/>
          <w:sz w:val="24"/>
          <w:szCs w:val="24"/>
        </w:rPr>
        <w:t>）；</w:t>
      </w:r>
    </w:p>
    <w:p w14:paraId="344F6C1B">
      <w:pPr>
        <w:spacing w:before="182" w:line="219" w:lineRule="auto"/>
        <w:ind w:left="50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10</w:t>
      </w:r>
      <w:r>
        <w:rPr>
          <w:rFonts w:ascii="宋体" w:hAnsi="宋体" w:eastAsia="宋体" w:cs="宋体"/>
          <w:spacing w:val="-2"/>
          <w:sz w:val="24"/>
          <w:szCs w:val="24"/>
        </w:rPr>
        <w:t>）建设方提供的其他资料；</w:t>
      </w:r>
    </w:p>
    <w:p w14:paraId="4F483B21">
      <w:pPr>
        <w:spacing w:before="240" w:line="221" w:lineRule="auto"/>
        <w:ind w:left="19"/>
        <w:outlineLvl w:val="1"/>
        <w:rPr>
          <w:rFonts w:ascii="宋体" w:hAnsi="宋体" w:eastAsia="宋体" w:cs="宋体"/>
          <w:sz w:val="28"/>
          <w:szCs w:val="28"/>
        </w:rPr>
      </w:pPr>
      <w:bookmarkStart w:id="4" w:name="bookmark5"/>
      <w:bookmarkEnd w:id="4"/>
      <w:r>
        <w:rPr>
          <w:rFonts w:ascii="Times New Roman" w:hAnsi="Times New Roman" w:eastAsia="Times New Roman" w:cs="Times New Roman"/>
          <w:b/>
          <w:bCs/>
          <w:spacing w:val="-4"/>
          <w:sz w:val="28"/>
          <w:szCs w:val="28"/>
        </w:rPr>
        <w:t>1.3</w:t>
      </w:r>
      <w:r>
        <w:rPr>
          <w:rFonts w:ascii="宋体" w:hAnsi="宋体" w:eastAsia="宋体" w:cs="宋体"/>
          <w:b/>
          <w:bCs/>
          <w:spacing w:val="-4"/>
          <w:sz w:val="28"/>
          <w:szCs w:val="28"/>
        </w:rPr>
        <w:t>论证原则</w:t>
      </w:r>
    </w:p>
    <w:p w14:paraId="50713E45">
      <w:pPr>
        <w:spacing w:line="221" w:lineRule="auto"/>
        <w:rPr>
          <w:rFonts w:ascii="宋体" w:hAnsi="宋体" w:eastAsia="宋体" w:cs="宋体"/>
          <w:sz w:val="28"/>
          <w:szCs w:val="28"/>
        </w:rPr>
        <w:sectPr>
          <w:footerReference r:id="rId12" w:type="default"/>
          <w:pgSz w:w="11906" w:h="16839"/>
          <w:pgMar w:top="1132" w:right="1700" w:bottom="1257" w:left="1701" w:header="829" w:footer="1097" w:gutter="0"/>
          <w:cols w:space="720" w:num="1"/>
        </w:sectPr>
      </w:pPr>
    </w:p>
    <w:p w14:paraId="23FCFCC5">
      <w:pPr>
        <w:pStyle w:val="2"/>
        <w:spacing w:line="319" w:lineRule="auto"/>
      </w:pPr>
    </w:p>
    <w:p w14:paraId="2755EED3">
      <w:pPr>
        <w:spacing w:before="78" w:line="219" w:lineRule="auto"/>
        <w:ind w:left="50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）以国家法律法规为依据</w:t>
      </w:r>
    </w:p>
    <w:p w14:paraId="241ED1F5">
      <w:pPr>
        <w:spacing w:before="183" w:line="360" w:lineRule="auto"/>
        <w:ind w:left="8" w:right="103" w:firstLine="482"/>
        <w:rPr>
          <w:rFonts w:ascii="宋体" w:hAnsi="宋体" w:eastAsia="宋体" w:cs="宋体"/>
          <w:sz w:val="24"/>
          <w:szCs w:val="24"/>
        </w:rPr>
      </w:pPr>
      <w:r>
        <w:rPr>
          <w:rFonts w:ascii="宋体" w:hAnsi="宋体" w:eastAsia="宋体" w:cs="宋体"/>
          <w:sz w:val="24"/>
          <w:szCs w:val="24"/>
        </w:rPr>
        <w:t>按照《中华人民共和国水法》、《中华人民共</w:t>
      </w:r>
      <w:r>
        <w:rPr>
          <w:rFonts w:ascii="宋体" w:hAnsi="宋体" w:eastAsia="宋体" w:cs="宋体"/>
          <w:spacing w:val="-1"/>
          <w:sz w:val="24"/>
          <w:szCs w:val="24"/>
        </w:rPr>
        <w:t>和国环境保护法》、《水功能</w:t>
      </w:r>
      <w:r>
        <w:rPr>
          <w:rFonts w:ascii="宋体" w:hAnsi="宋体" w:eastAsia="宋体" w:cs="宋体"/>
          <w:sz w:val="24"/>
          <w:szCs w:val="24"/>
        </w:rPr>
        <w:t>区管理办法》和《入河排污口监督管理办法》等法律法规</w:t>
      </w:r>
      <w:r>
        <w:rPr>
          <w:rFonts w:ascii="宋体" w:hAnsi="宋体" w:eastAsia="宋体" w:cs="宋体"/>
          <w:spacing w:val="-1"/>
          <w:sz w:val="24"/>
          <w:szCs w:val="24"/>
        </w:rPr>
        <w:t>的规定，充分考虑水资</w:t>
      </w:r>
      <w:r>
        <w:rPr>
          <w:rFonts w:ascii="宋体" w:hAnsi="宋体" w:eastAsia="宋体" w:cs="宋体"/>
          <w:sz w:val="24"/>
          <w:szCs w:val="24"/>
        </w:rPr>
        <w:t>源的可再生能力以及自然环境的承受能力，坚持可持续发</w:t>
      </w:r>
      <w:r>
        <w:rPr>
          <w:rFonts w:ascii="宋体" w:hAnsi="宋体" w:eastAsia="宋体" w:cs="宋体"/>
          <w:spacing w:val="-1"/>
          <w:sz w:val="24"/>
          <w:szCs w:val="24"/>
        </w:rPr>
        <w:t>展的原则，进行科学合</w:t>
      </w:r>
      <w:r>
        <w:rPr>
          <w:rFonts w:ascii="宋体" w:hAnsi="宋体" w:eastAsia="宋体" w:cs="宋体"/>
          <w:sz w:val="24"/>
          <w:szCs w:val="24"/>
        </w:rPr>
        <w:t>理的论证，既要保证本区域和当地居民的用水安全，又不</w:t>
      </w:r>
      <w:r>
        <w:rPr>
          <w:rFonts w:ascii="宋体" w:hAnsi="宋体" w:eastAsia="宋体" w:cs="宋体"/>
          <w:spacing w:val="-1"/>
          <w:sz w:val="24"/>
          <w:szCs w:val="24"/>
        </w:rPr>
        <w:t>破坏相邻区域和后代人赖以生存的水环境。</w:t>
      </w:r>
    </w:p>
    <w:p w14:paraId="0C5003F1">
      <w:pPr>
        <w:spacing w:line="219" w:lineRule="auto"/>
        <w:ind w:left="50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）以保护水资源功能为目标</w:t>
      </w:r>
    </w:p>
    <w:p w14:paraId="1BCE6183">
      <w:pPr>
        <w:spacing w:before="182" w:line="360" w:lineRule="auto"/>
        <w:ind w:left="10" w:right="41" w:firstLine="482"/>
        <w:rPr>
          <w:rFonts w:ascii="宋体" w:hAnsi="宋体" w:eastAsia="宋体" w:cs="宋体"/>
          <w:sz w:val="24"/>
          <w:szCs w:val="24"/>
        </w:rPr>
      </w:pPr>
      <w:r>
        <w:rPr>
          <w:rFonts w:ascii="宋体" w:hAnsi="宋体" w:eastAsia="宋体" w:cs="宋体"/>
          <w:spacing w:val="-8"/>
          <w:sz w:val="24"/>
          <w:szCs w:val="24"/>
        </w:rPr>
        <w:t>坚持水资源利用与保护并重的原则，严格按照《地表水环境质量标准》、《污</w:t>
      </w:r>
      <w:r>
        <w:rPr>
          <w:rFonts w:ascii="宋体" w:hAnsi="宋体" w:eastAsia="宋体" w:cs="宋体"/>
          <w:spacing w:val="-5"/>
          <w:sz w:val="24"/>
          <w:szCs w:val="24"/>
        </w:rPr>
        <w:t>水综合排放标准》等相关技术标准和规程进行论证，既要合</w:t>
      </w:r>
      <w:r>
        <w:rPr>
          <w:rFonts w:ascii="宋体" w:hAnsi="宋体" w:eastAsia="宋体" w:cs="宋体"/>
          <w:spacing w:val="-6"/>
          <w:sz w:val="24"/>
          <w:szCs w:val="24"/>
        </w:rPr>
        <w:t>理利用水体自净能力，</w:t>
      </w:r>
      <w:r>
        <w:rPr>
          <w:rFonts w:ascii="宋体" w:hAnsi="宋体" w:eastAsia="宋体" w:cs="宋体"/>
          <w:sz w:val="24"/>
          <w:szCs w:val="24"/>
        </w:rPr>
        <w:t>又要依据国家和行业有关技术标准，严格遵循水环境</w:t>
      </w:r>
      <w:r>
        <w:rPr>
          <w:rFonts w:ascii="宋体" w:hAnsi="宋体" w:eastAsia="宋体" w:cs="宋体"/>
          <w:spacing w:val="-1"/>
          <w:sz w:val="24"/>
          <w:szCs w:val="24"/>
        </w:rPr>
        <w:t>保护规律和原理，保障水环</w:t>
      </w:r>
      <w:r>
        <w:rPr>
          <w:rFonts w:ascii="宋体" w:hAnsi="宋体" w:eastAsia="宋体" w:cs="宋体"/>
          <w:spacing w:val="-3"/>
          <w:sz w:val="24"/>
          <w:szCs w:val="24"/>
        </w:rPr>
        <w:t>境安全。</w:t>
      </w:r>
    </w:p>
    <w:p w14:paraId="138EE36D">
      <w:pPr>
        <w:spacing w:line="219" w:lineRule="auto"/>
        <w:ind w:left="50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）以符合区域发展规划为基础</w:t>
      </w:r>
    </w:p>
    <w:p w14:paraId="6078EED3">
      <w:pPr>
        <w:spacing w:before="183" w:line="361" w:lineRule="auto"/>
        <w:ind w:left="9" w:right="41" w:firstLine="479"/>
        <w:rPr>
          <w:rFonts w:ascii="宋体" w:hAnsi="宋体" w:eastAsia="宋体" w:cs="宋体"/>
          <w:sz w:val="24"/>
          <w:szCs w:val="24"/>
        </w:rPr>
      </w:pPr>
      <w:r>
        <w:rPr>
          <w:rFonts w:ascii="宋体" w:hAnsi="宋体" w:eastAsia="宋体" w:cs="宋体"/>
          <w:spacing w:val="-6"/>
          <w:sz w:val="24"/>
          <w:szCs w:val="24"/>
        </w:rPr>
        <w:t>在符合当地矿产资源规划的基础上，结合水资源保护的要求，遵循客观事实，</w:t>
      </w:r>
      <w:r>
        <w:rPr>
          <w:rFonts w:ascii="宋体" w:hAnsi="宋体" w:eastAsia="宋体" w:cs="宋体"/>
          <w:sz w:val="24"/>
          <w:szCs w:val="24"/>
        </w:rPr>
        <w:t>真实反应论证区域水环境状况；对入河排污口设置方案</w:t>
      </w:r>
      <w:r>
        <w:rPr>
          <w:rFonts w:ascii="宋体" w:hAnsi="宋体" w:eastAsia="宋体" w:cs="宋体"/>
          <w:spacing w:val="-1"/>
          <w:sz w:val="24"/>
          <w:szCs w:val="24"/>
        </w:rPr>
        <w:t>进行充分论证；客观分析</w:t>
      </w:r>
      <w:r>
        <w:rPr>
          <w:rFonts w:ascii="宋体" w:hAnsi="宋体" w:eastAsia="宋体" w:cs="宋体"/>
          <w:sz w:val="24"/>
          <w:szCs w:val="24"/>
        </w:rPr>
        <w:t>排污对水功能区水质和水生态环境的影响；确保水功能</w:t>
      </w:r>
      <w:r>
        <w:rPr>
          <w:rFonts w:ascii="宋体" w:hAnsi="宋体" w:eastAsia="宋体" w:cs="宋体"/>
          <w:spacing w:val="-1"/>
          <w:sz w:val="24"/>
          <w:szCs w:val="24"/>
        </w:rPr>
        <w:t>区水体功能不受影响；保</w:t>
      </w:r>
      <w:r>
        <w:rPr>
          <w:rFonts w:ascii="宋体" w:hAnsi="宋体" w:eastAsia="宋体" w:cs="宋体"/>
          <w:sz w:val="24"/>
          <w:szCs w:val="24"/>
        </w:rPr>
        <w:t>护第三者权益不受损害；对可能的影响提出具</w:t>
      </w:r>
      <w:r>
        <w:rPr>
          <w:rFonts w:ascii="宋体" w:hAnsi="宋体" w:eastAsia="宋体" w:cs="宋体"/>
          <w:spacing w:val="-1"/>
          <w:sz w:val="24"/>
          <w:szCs w:val="24"/>
        </w:rPr>
        <w:t>有可操作性的防范措施。</w:t>
      </w:r>
    </w:p>
    <w:p w14:paraId="0E8E84F7">
      <w:pPr>
        <w:spacing w:before="50" w:line="221" w:lineRule="auto"/>
        <w:ind w:left="19"/>
        <w:outlineLvl w:val="1"/>
        <w:rPr>
          <w:rFonts w:ascii="宋体" w:hAnsi="宋体" w:eastAsia="宋体" w:cs="宋体"/>
          <w:sz w:val="28"/>
          <w:szCs w:val="28"/>
        </w:rPr>
      </w:pPr>
      <w:bookmarkStart w:id="5" w:name="bookmark6"/>
      <w:bookmarkEnd w:id="5"/>
      <w:r>
        <w:rPr>
          <w:rFonts w:ascii="Times New Roman" w:hAnsi="Times New Roman" w:eastAsia="Times New Roman" w:cs="Times New Roman"/>
          <w:b/>
          <w:bCs/>
          <w:spacing w:val="-4"/>
          <w:sz w:val="28"/>
          <w:szCs w:val="28"/>
        </w:rPr>
        <w:t>1.4</w:t>
      </w:r>
      <w:r>
        <w:rPr>
          <w:rFonts w:ascii="宋体" w:hAnsi="宋体" w:eastAsia="宋体" w:cs="宋体"/>
          <w:b/>
          <w:bCs/>
          <w:spacing w:val="-4"/>
          <w:sz w:val="28"/>
          <w:szCs w:val="28"/>
        </w:rPr>
        <w:t>论证范围</w:t>
      </w:r>
    </w:p>
    <w:p w14:paraId="71C5A50C">
      <w:pPr>
        <w:spacing w:before="234" w:line="360" w:lineRule="auto"/>
        <w:ind w:left="9" w:right="103" w:firstLine="480"/>
        <w:jc w:val="both"/>
        <w:rPr>
          <w:rFonts w:ascii="宋体" w:hAnsi="宋体" w:eastAsia="宋体" w:cs="宋体"/>
          <w:sz w:val="24"/>
          <w:szCs w:val="24"/>
        </w:rPr>
      </w:pPr>
      <w:r>
        <w:rPr>
          <w:rFonts w:ascii="宋体" w:hAnsi="宋体" w:eastAsia="宋体" w:cs="宋体"/>
          <w:sz w:val="24"/>
          <w:szCs w:val="24"/>
        </w:rPr>
        <w:t>根据入河排污口设置论证技术要求，论证范围确定</w:t>
      </w:r>
      <w:r>
        <w:rPr>
          <w:rFonts w:ascii="宋体" w:hAnsi="宋体" w:eastAsia="宋体" w:cs="宋体"/>
          <w:spacing w:val="-1"/>
          <w:sz w:val="24"/>
          <w:szCs w:val="24"/>
        </w:rPr>
        <w:t>是否合适，直接关系到论</w:t>
      </w:r>
      <w:r>
        <w:rPr>
          <w:rFonts w:ascii="宋体" w:hAnsi="宋体" w:eastAsia="宋体" w:cs="宋体"/>
          <w:sz w:val="24"/>
          <w:szCs w:val="24"/>
        </w:rPr>
        <w:t>证结论是否全面、客观，因此入河排污口论证范围原则</w:t>
      </w:r>
      <w:r>
        <w:rPr>
          <w:rFonts w:ascii="宋体" w:hAnsi="宋体" w:eastAsia="宋体" w:cs="宋体"/>
          <w:spacing w:val="-1"/>
          <w:sz w:val="24"/>
          <w:szCs w:val="24"/>
        </w:rPr>
        <w:t>上应以受入河排污口影响</w:t>
      </w:r>
      <w:r>
        <w:rPr>
          <w:rFonts w:ascii="宋体" w:hAnsi="宋体" w:eastAsia="宋体" w:cs="宋体"/>
          <w:sz w:val="24"/>
          <w:szCs w:val="24"/>
        </w:rPr>
        <w:t>的主要水域和其影响范围内的第三方取、用水户为论证</w:t>
      </w:r>
      <w:r>
        <w:rPr>
          <w:rFonts w:ascii="宋体" w:hAnsi="宋体" w:eastAsia="宋体" w:cs="宋体"/>
          <w:spacing w:val="-1"/>
          <w:sz w:val="24"/>
          <w:szCs w:val="24"/>
        </w:rPr>
        <w:t>范围。分析评价的基础单</w:t>
      </w:r>
      <w:r>
        <w:rPr>
          <w:rFonts w:ascii="宋体" w:hAnsi="宋体" w:eastAsia="宋体" w:cs="宋体"/>
          <w:spacing w:val="-2"/>
          <w:sz w:val="24"/>
          <w:szCs w:val="24"/>
        </w:rPr>
        <w:t>元为排污口所在的水功能区（水域</w:t>
      </w:r>
      <w:r>
        <w:rPr>
          <w:rFonts w:ascii="宋体" w:hAnsi="宋体" w:eastAsia="宋体" w:cs="宋体"/>
          <w:spacing w:val="24"/>
          <w:sz w:val="24"/>
          <w:szCs w:val="24"/>
        </w:rPr>
        <w:t>），</w:t>
      </w:r>
      <w:r>
        <w:rPr>
          <w:rFonts w:ascii="宋体" w:hAnsi="宋体" w:eastAsia="宋体" w:cs="宋体"/>
          <w:spacing w:val="-2"/>
          <w:sz w:val="24"/>
          <w:szCs w:val="24"/>
        </w:rPr>
        <w:t>以及可能受其影响的上下游水域。</w:t>
      </w:r>
    </w:p>
    <w:p w14:paraId="4ACDCF61">
      <w:pPr>
        <w:spacing w:before="5" w:line="360" w:lineRule="auto"/>
        <w:ind w:left="8" w:right="103" w:firstLine="480"/>
        <w:jc w:val="both"/>
        <w:rPr>
          <w:rFonts w:ascii="宋体" w:hAnsi="宋体" w:eastAsia="宋体" w:cs="宋体"/>
          <w:sz w:val="24"/>
          <w:szCs w:val="24"/>
        </w:rPr>
      </w:pPr>
      <w:r>
        <w:rPr>
          <w:rFonts w:ascii="宋体" w:hAnsi="宋体" w:eastAsia="宋体" w:cs="宋体"/>
          <w:sz w:val="24"/>
          <w:szCs w:val="24"/>
        </w:rPr>
        <w:t>根据现场调查情况，隆回县工业污水处理厂（二期</w:t>
      </w:r>
      <w:r>
        <w:rPr>
          <w:rFonts w:ascii="宋体" w:hAnsi="宋体" w:eastAsia="宋体" w:cs="宋体"/>
          <w:spacing w:val="-1"/>
          <w:sz w:val="24"/>
          <w:szCs w:val="24"/>
        </w:rPr>
        <w:t>）工程位于隆回县工业污</w:t>
      </w:r>
      <w:r>
        <w:rPr>
          <w:rFonts w:ascii="宋体" w:hAnsi="宋体" w:eastAsia="宋体" w:cs="宋体"/>
          <w:sz w:val="24"/>
          <w:szCs w:val="24"/>
        </w:rPr>
        <w:t>水处理厂现有厂址范围内，提标扩容改造（二期）工程的</w:t>
      </w:r>
      <w:r>
        <w:rPr>
          <w:rFonts w:ascii="宋体" w:hAnsi="宋体" w:eastAsia="宋体" w:cs="宋体"/>
          <w:spacing w:val="-1"/>
          <w:sz w:val="24"/>
          <w:szCs w:val="24"/>
        </w:rPr>
        <w:t>尾水沿用一期工程已建</w:t>
      </w:r>
      <w:r>
        <w:rPr>
          <w:rFonts w:ascii="宋体" w:hAnsi="宋体" w:eastAsia="宋体" w:cs="宋体"/>
          <w:spacing w:val="2"/>
          <w:sz w:val="24"/>
          <w:szCs w:val="24"/>
        </w:rPr>
        <w:t>好尾水排放管，尾水接入排水专管后在元木山电站下游约</w:t>
      </w:r>
      <w:r>
        <w:rPr>
          <w:rFonts w:ascii="Times New Roman" w:hAnsi="Times New Roman" w:eastAsia="Times New Roman" w:cs="Times New Roman"/>
          <w:spacing w:val="2"/>
          <w:sz w:val="24"/>
          <w:szCs w:val="24"/>
        </w:rPr>
        <w:t>2.8m</w:t>
      </w:r>
      <w:r>
        <w:rPr>
          <w:rFonts w:ascii="宋体" w:hAnsi="宋体" w:eastAsia="宋体" w:cs="宋体"/>
          <w:spacing w:val="2"/>
          <w:sz w:val="24"/>
          <w:szCs w:val="24"/>
        </w:rPr>
        <w:t>处排入赧水，入</w:t>
      </w:r>
      <w:r>
        <w:rPr>
          <w:rFonts w:ascii="宋体" w:hAnsi="宋体" w:eastAsia="宋体" w:cs="宋体"/>
          <w:spacing w:val="-2"/>
          <w:sz w:val="24"/>
          <w:szCs w:val="24"/>
        </w:rPr>
        <w:t>河排水口地理坐标位置：</w:t>
      </w:r>
      <w:r>
        <w:rPr>
          <w:rFonts w:ascii="Times New Roman" w:hAnsi="Times New Roman" w:eastAsia="Times New Roman" w:cs="Times New Roman"/>
          <w:spacing w:val="-2"/>
          <w:sz w:val="24"/>
          <w:szCs w:val="24"/>
        </w:rPr>
        <w:t>111°3′22.36752″</w:t>
      </w:r>
      <w:r>
        <w:rPr>
          <w:rFonts w:ascii="宋体" w:hAnsi="宋体" w:eastAsia="宋体" w:cs="宋体"/>
          <w:spacing w:val="-2"/>
          <w:sz w:val="24"/>
          <w:szCs w:val="24"/>
        </w:rPr>
        <w:t>，</w:t>
      </w:r>
      <w:r>
        <w:rPr>
          <w:rFonts w:ascii="Times New Roman" w:hAnsi="Times New Roman" w:eastAsia="Times New Roman" w:cs="Times New Roman"/>
          <w:spacing w:val="-2"/>
          <w:sz w:val="24"/>
          <w:szCs w:val="24"/>
        </w:rPr>
        <w:t>N27°4′46.315056″</w:t>
      </w:r>
      <w:r>
        <w:rPr>
          <w:rFonts w:ascii="宋体" w:hAnsi="宋体" w:eastAsia="宋体" w:cs="宋体"/>
          <w:spacing w:val="-2"/>
          <w:sz w:val="24"/>
          <w:szCs w:val="24"/>
        </w:rPr>
        <w:t>。</w:t>
      </w:r>
      <w:r>
        <w:rPr>
          <w:rFonts w:ascii="宋体" w:hAnsi="宋体" w:eastAsia="宋体" w:cs="宋体"/>
          <w:spacing w:val="-3"/>
          <w:sz w:val="24"/>
          <w:szCs w:val="24"/>
        </w:rPr>
        <w:t>根据《邵阳市水功</w:t>
      </w:r>
      <w:r>
        <w:rPr>
          <w:rFonts w:ascii="宋体" w:hAnsi="宋体" w:eastAsia="宋体" w:cs="宋体"/>
          <w:spacing w:val="-2"/>
          <w:sz w:val="24"/>
          <w:szCs w:val="24"/>
        </w:rPr>
        <w:t>能区划》（</w:t>
      </w:r>
      <w:r>
        <w:rPr>
          <w:rFonts w:ascii="Times New Roman" w:hAnsi="Times New Roman" w:eastAsia="Times New Roman" w:cs="Times New Roman"/>
          <w:spacing w:val="-2"/>
          <w:sz w:val="24"/>
          <w:szCs w:val="24"/>
        </w:rPr>
        <w:t>2016</w:t>
      </w:r>
      <w:r>
        <w:rPr>
          <w:rFonts w:ascii="宋体" w:hAnsi="宋体" w:eastAsia="宋体" w:cs="宋体"/>
          <w:spacing w:val="-2"/>
          <w:sz w:val="24"/>
          <w:szCs w:val="24"/>
        </w:rPr>
        <w:t>年修编</w:t>
      </w:r>
      <w:r>
        <w:rPr>
          <w:rFonts w:ascii="宋体" w:hAnsi="宋体" w:eastAsia="宋体" w:cs="宋体"/>
          <w:spacing w:val="2"/>
          <w:sz w:val="24"/>
          <w:szCs w:val="24"/>
        </w:rPr>
        <w:t>），</w:t>
      </w:r>
      <w:r>
        <w:rPr>
          <w:rFonts w:ascii="宋体" w:hAnsi="宋体" w:eastAsia="宋体" w:cs="宋体"/>
          <w:spacing w:val="-2"/>
          <w:sz w:val="24"/>
          <w:szCs w:val="24"/>
        </w:rPr>
        <w:t>隆回县工业污水处理厂所在地属于资水（赧水</w:t>
      </w:r>
      <w:r>
        <w:rPr>
          <w:rFonts w:ascii="宋体" w:hAnsi="宋体" w:eastAsia="宋体" w:cs="宋体"/>
          <w:spacing w:val="-3"/>
          <w:sz w:val="24"/>
          <w:szCs w:val="24"/>
        </w:rPr>
        <w:t>）隆回开发利用区，而入河排污口位于厂区下游约</w:t>
      </w:r>
      <w:r>
        <w:rPr>
          <w:rFonts w:ascii="Times New Roman" w:hAnsi="Times New Roman" w:eastAsia="Times New Roman" w:cs="Times New Roman"/>
          <w:spacing w:val="-3"/>
          <w:sz w:val="24"/>
          <w:szCs w:val="24"/>
        </w:rPr>
        <w:t>1km</w:t>
      </w:r>
      <w:r>
        <w:rPr>
          <w:rFonts w:ascii="宋体" w:hAnsi="宋体" w:eastAsia="宋体" w:cs="宋体"/>
          <w:spacing w:val="-3"/>
          <w:sz w:val="24"/>
          <w:szCs w:val="24"/>
        </w:rPr>
        <w:t>（元木山电站下游</w:t>
      </w:r>
      <w:r>
        <w:rPr>
          <w:rFonts w:ascii="Times New Roman" w:hAnsi="Times New Roman" w:eastAsia="Times New Roman" w:cs="Times New Roman"/>
          <w:spacing w:val="-3"/>
          <w:sz w:val="24"/>
          <w:szCs w:val="24"/>
        </w:rPr>
        <w:t>2.8m</w:t>
      </w:r>
      <w:r>
        <w:rPr>
          <w:rFonts w:ascii="宋体" w:hAnsi="宋体" w:eastAsia="宋体" w:cs="宋体"/>
          <w:spacing w:val="-3"/>
          <w:sz w:val="24"/>
          <w:szCs w:val="24"/>
        </w:rPr>
        <w:t>）处</w:t>
      </w:r>
      <w:r>
        <w:rPr>
          <w:rFonts w:ascii="宋体" w:hAnsi="宋体" w:eastAsia="宋体" w:cs="宋体"/>
          <w:spacing w:val="-4"/>
          <w:sz w:val="24"/>
          <w:szCs w:val="24"/>
        </w:rPr>
        <w:t>，入</w:t>
      </w:r>
      <w:r>
        <w:rPr>
          <w:rFonts w:ascii="宋体" w:hAnsi="宋体" w:eastAsia="宋体" w:cs="宋体"/>
          <w:spacing w:val="-3"/>
          <w:sz w:val="24"/>
          <w:szCs w:val="24"/>
        </w:rPr>
        <w:t>河排污口属于资水（赧水）隆回</w:t>
      </w:r>
      <w:r>
        <w:rPr>
          <w:rFonts w:ascii="Times New Roman" w:hAnsi="Times New Roman" w:eastAsia="Times New Roman" w:cs="Times New Roman"/>
          <w:spacing w:val="-3"/>
          <w:sz w:val="24"/>
          <w:szCs w:val="24"/>
        </w:rPr>
        <w:t>-</w:t>
      </w:r>
      <w:r>
        <w:rPr>
          <w:rFonts w:ascii="宋体" w:hAnsi="宋体" w:eastAsia="宋体" w:cs="宋体"/>
          <w:spacing w:val="-3"/>
          <w:sz w:val="24"/>
          <w:szCs w:val="24"/>
        </w:rPr>
        <w:t>邵阳保留区，起始断面为隆回县元木山电站，终止断面为邵阳市北塔区何家垸子，全长</w:t>
      </w:r>
      <w:r>
        <w:rPr>
          <w:rFonts w:ascii="Times New Roman" w:hAnsi="Times New Roman" w:eastAsia="Times New Roman" w:cs="Times New Roman"/>
          <w:spacing w:val="-3"/>
          <w:sz w:val="24"/>
          <w:szCs w:val="24"/>
        </w:rPr>
        <w:t>80.1km</w:t>
      </w:r>
      <w:r>
        <w:rPr>
          <w:rFonts w:ascii="宋体" w:hAnsi="宋体" w:eastAsia="宋体" w:cs="宋体"/>
          <w:spacing w:val="-3"/>
          <w:sz w:val="24"/>
          <w:szCs w:val="24"/>
        </w:rPr>
        <w:t>，根据《邵阳市水功能</w:t>
      </w:r>
      <w:r>
        <w:rPr>
          <w:rFonts w:ascii="宋体" w:hAnsi="宋体" w:eastAsia="宋体" w:cs="宋体"/>
          <w:spacing w:val="-4"/>
          <w:sz w:val="24"/>
          <w:szCs w:val="24"/>
        </w:rPr>
        <w:t>区划》水质</w:t>
      </w:r>
    </w:p>
    <w:p w14:paraId="11200AAA">
      <w:pPr>
        <w:spacing w:line="360" w:lineRule="auto"/>
        <w:rPr>
          <w:rFonts w:ascii="宋体" w:hAnsi="宋体" w:eastAsia="宋体" w:cs="宋体"/>
          <w:sz w:val="24"/>
          <w:szCs w:val="24"/>
        </w:rPr>
        <w:sectPr>
          <w:footerReference r:id="rId13" w:type="default"/>
          <w:pgSz w:w="11906" w:h="16839"/>
          <w:pgMar w:top="1132" w:right="1700" w:bottom="1259" w:left="1701" w:header="829" w:footer="1097" w:gutter="0"/>
          <w:cols w:space="720" w:num="1"/>
        </w:sectPr>
      </w:pPr>
    </w:p>
    <w:p w14:paraId="251890B6">
      <w:pPr>
        <w:pStyle w:val="2"/>
        <w:spacing w:line="319" w:lineRule="auto"/>
      </w:pPr>
    </w:p>
    <w:p w14:paraId="505CB55C">
      <w:pPr>
        <w:spacing w:before="78" w:line="360" w:lineRule="auto"/>
        <w:ind w:left="12" w:right="165" w:firstLine="44"/>
        <w:rPr>
          <w:rFonts w:ascii="宋体" w:hAnsi="宋体" w:eastAsia="宋体" w:cs="宋体"/>
          <w:sz w:val="24"/>
          <w:szCs w:val="24"/>
        </w:rPr>
      </w:pPr>
      <w:r>
        <w:rPr>
          <w:rFonts w:ascii="宋体" w:hAnsi="宋体" w:eastAsia="宋体" w:cs="宋体"/>
          <w:spacing w:val="-5"/>
          <w:sz w:val="24"/>
          <w:szCs w:val="24"/>
        </w:rPr>
        <w:t>目标为</w:t>
      </w:r>
      <w:r>
        <w:rPr>
          <w:rFonts w:ascii="Times New Roman" w:hAnsi="Times New Roman" w:eastAsia="Times New Roman" w:cs="Times New Roman"/>
          <w:spacing w:val="-5"/>
          <w:sz w:val="24"/>
          <w:szCs w:val="24"/>
        </w:rPr>
        <w:t>III</w:t>
      </w:r>
      <w:r>
        <w:rPr>
          <w:rFonts w:ascii="宋体" w:hAnsi="宋体" w:eastAsia="宋体" w:cs="宋体"/>
          <w:spacing w:val="-5"/>
          <w:sz w:val="24"/>
          <w:szCs w:val="24"/>
        </w:rPr>
        <w:t>类，但论证范围内的隆回县元木山断面和邵阳县渡头村断面现状考核目</w:t>
      </w:r>
      <w:r>
        <w:rPr>
          <w:rFonts w:ascii="宋体" w:hAnsi="宋体" w:eastAsia="宋体" w:cs="宋体"/>
          <w:spacing w:val="-2"/>
          <w:sz w:val="24"/>
          <w:szCs w:val="24"/>
        </w:rPr>
        <w:t>标为年度平均达到</w:t>
      </w:r>
      <w:r>
        <w:rPr>
          <w:rFonts w:ascii="Times New Roman" w:hAnsi="Times New Roman" w:eastAsia="Times New Roman" w:cs="Times New Roman"/>
          <w:spacing w:val="-2"/>
          <w:sz w:val="24"/>
          <w:szCs w:val="24"/>
        </w:rPr>
        <w:t>II</w:t>
      </w:r>
      <w:r>
        <w:rPr>
          <w:rFonts w:ascii="宋体" w:hAnsi="宋体" w:eastAsia="宋体" w:cs="宋体"/>
          <w:spacing w:val="-2"/>
          <w:sz w:val="24"/>
          <w:szCs w:val="24"/>
        </w:rPr>
        <w:t>类。</w:t>
      </w:r>
    </w:p>
    <w:p w14:paraId="761A5791">
      <w:pPr>
        <w:spacing w:before="4" w:line="360" w:lineRule="auto"/>
        <w:ind w:left="13" w:right="104" w:firstLine="477"/>
        <w:jc w:val="both"/>
        <w:rPr>
          <w:rFonts w:ascii="宋体" w:hAnsi="宋体" w:eastAsia="宋体" w:cs="宋体"/>
          <w:sz w:val="24"/>
          <w:szCs w:val="24"/>
        </w:rPr>
      </w:pPr>
      <w:r>
        <w:rPr>
          <w:rFonts w:ascii="宋体" w:hAnsi="宋体" w:eastAsia="宋体" w:cs="宋体"/>
          <w:sz w:val="24"/>
          <w:szCs w:val="24"/>
        </w:rPr>
        <w:t>入河排污口设置论证范围应根据其影响范围和程度确</w:t>
      </w:r>
      <w:r>
        <w:rPr>
          <w:rFonts w:ascii="宋体" w:hAnsi="宋体" w:eastAsia="宋体" w:cs="宋体"/>
          <w:spacing w:val="-1"/>
          <w:sz w:val="24"/>
          <w:szCs w:val="24"/>
        </w:rPr>
        <w:t>定。根据本论证报告的</w:t>
      </w:r>
      <w:r>
        <w:rPr>
          <w:rFonts w:ascii="宋体" w:hAnsi="宋体" w:eastAsia="宋体" w:cs="宋体"/>
          <w:spacing w:val="-5"/>
          <w:sz w:val="24"/>
          <w:szCs w:val="24"/>
        </w:rPr>
        <w:t>水污染预测结果、排污口下游取水口情况以及赧水隆回段</w:t>
      </w:r>
      <w:r>
        <w:rPr>
          <w:rFonts w:ascii="宋体" w:hAnsi="宋体" w:eastAsia="宋体" w:cs="宋体"/>
          <w:spacing w:val="-6"/>
          <w:sz w:val="24"/>
          <w:szCs w:val="24"/>
        </w:rPr>
        <w:t>水质考核断面布设情况，</w:t>
      </w:r>
      <w:r>
        <w:rPr>
          <w:rFonts w:ascii="宋体" w:hAnsi="宋体" w:eastAsia="宋体" w:cs="宋体"/>
          <w:sz w:val="24"/>
          <w:szCs w:val="24"/>
        </w:rPr>
        <w:t>再结合其排污影响范围，综合确定其入河排污口论</w:t>
      </w:r>
      <w:r>
        <w:rPr>
          <w:rFonts w:ascii="宋体" w:hAnsi="宋体" w:eastAsia="宋体" w:cs="宋体"/>
          <w:spacing w:val="-1"/>
          <w:sz w:val="24"/>
          <w:szCs w:val="24"/>
        </w:rPr>
        <w:t>证范围为：赧水河隆回县元木</w:t>
      </w:r>
      <w:r>
        <w:rPr>
          <w:rFonts w:ascii="宋体" w:hAnsi="宋体" w:eastAsia="宋体" w:cs="宋体"/>
          <w:spacing w:val="-2"/>
          <w:sz w:val="24"/>
          <w:szCs w:val="24"/>
        </w:rPr>
        <w:t>山水电站至邵阳县渡头村断面（出境断面</w:t>
      </w:r>
      <w:r>
        <w:rPr>
          <w:rFonts w:ascii="宋体" w:hAnsi="宋体" w:eastAsia="宋体" w:cs="宋体"/>
          <w:spacing w:val="13"/>
          <w:sz w:val="24"/>
          <w:szCs w:val="24"/>
        </w:rPr>
        <w:t>），</w:t>
      </w:r>
      <w:r>
        <w:rPr>
          <w:rFonts w:ascii="宋体" w:hAnsi="宋体" w:eastAsia="宋体" w:cs="宋体"/>
          <w:spacing w:val="-2"/>
          <w:sz w:val="24"/>
          <w:szCs w:val="24"/>
        </w:rPr>
        <w:t>全长约</w:t>
      </w:r>
      <w:r>
        <w:rPr>
          <w:rFonts w:ascii="Times New Roman" w:hAnsi="Times New Roman" w:eastAsia="Times New Roman" w:cs="Times New Roman"/>
          <w:spacing w:val="-2"/>
          <w:sz w:val="24"/>
          <w:szCs w:val="24"/>
        </w:rPr>
        <w:t>9km</w:t>
      </w:r>
      <w:r>
        <w:rPr>
          <w:rFonts w:ascii="宋体" w:hAnsi="宋体" w:eastAsia="宋体" w:cs="宋体"/>
          <w:spacing w:val="-2"/>
          <w:sz w:val="24"/>
          <w:szCs w:val="24"/>
        </w:rPr>
        <w:t>。</w:t>
      </w:r>
    </w:p>
    <w:p w14:paraId="6D188E7E">
      <w:pPr>
        <w:pStyle w:val="2"/>
        <w:spacing w:line="242" w:lineRule="auto"/>
      </w:pPr>
    </w:p>
    <w:p w14:paraId="28BEF3CD">
      <w:pPr>
        <w:pStyle w:val="2"/>
        <w:spacing w:line="242" w:lineRule="auto"/>
      </w:pPr>
    </w:p>
    <w:p w14:paraId="1CEBC611">
      <w:pPr>
        <w:pStyle w:val="2"/>
        <w:spacing w:line="242" w:lineRule="auto"/>
      </w:pPr>
    </w:p>
    <w:p w14:paraId="287A8FBF">
      <w:pPr>
        <w:pStyle w:val="2"/>
        <w:spacing w:line="242" w:lineRule="auto"/>
      </w:pPr>
    </w:p>
    <w:p w14:paraId="647F90FE">
      <w:pPr>
        <w:pStyle w:val="2"/>
        <w:spacing w:line="243" w:lineRule="auto"/>
      </w:pPr>
    </w:p>
    <w:p w14:paraId="1ED6F09C">
      <w:pPr>
        <w:pStyle w:val="2"/>
        <w:spacing w:line="243" w:lineRule="auto"/>
      </w:pPr>
    </w:p>
    <w:p w14:paraId="12EF9DA6">
      <w:pPr>
        <w:spacing w:line="158" w:lineRule="exact"/>
        <w:ind w:firstLine="3922"/>
      </w:pPr>
      <w:r>
        <w:drawing>
          <wp:anchor distT="0" distB="0" distL="0" distR="0" simplePos="0" relativeHeight="251661312" behindDoc="0" locked="0" layoutInCell="1" allowOverlap="1">
            <wp:simplePos x="0" y="0"/>
            <wp:positionH relativeFrom="column">
              <wp:posOffset>2372995</wp:posOffset>
            </wp:positionH>
            <wp:positionV relativeFrom="paragraph">
              <wp:posOffset>191770</wp:posOffset>
            </wp:positionV>
            <wp:extent cx="1404620" cy="1919605"/>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90"/>
                    <a:stretch>
                      <a:fillRect/>
                    </a:stretch>
                  </pic:blipFill>
                  <pic:spPr>
                    <a:xfrm>
                      <a:off x="0" y="0"/>
                      <a:ext cx="1404925" cy="1919566"/>
                    </a:xfrm>
                    <a:prstGeom prst="rect">
                      <a:avLst/>
                    </a:prstGeom>
                  </pic:spPr>
                </pic:pic>
              </a:graphicData>
            </a:graphic>
          </wp:anchor>
        </w:drawing>
      </w:r>
      <w:r>
        <w:rPr>
          <w:position w:val="-3"/>
        </w:rPr>
        <w:drawing>
          <wp:inline distT="0" distB="0" distL="0" distR="0">
            <wp:extent cx="104775" cy="9969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91"/>
                    <a:stretch>
                      <a:fillRect/>
                    </a:stretch>
                  </pic:blipFill>
                  <pic:spPr>
                    <a:xfrm>
                      <a:off x="0" y="0"/>
                      <a:ext cx="104775" cy="100329"/>
                    </a:xfrm>
                    <a:prstGeom prst="rect">
                      <a:avLst/>
                    </a:prstGeom>
                  </pic:spPr>
                </pic:pic>
              </a:graphicData>
            </a:graphic>
          </wp:inline>
        </w:drawing>
      </w:r>
    </w:p>
    <w:p w14:paraId="165B1484">
      <w:pPr>
        <w:spacing w:before="4"/>
      </w:pPr>
    </w:p>
    <w:p w14:paraId="757D2D02">
      <w:pPr>
        <w:spacing w:before="4"/>
      </w:pPr>
    </w:p>
    <w:p w14:paraId="2E7F1DBC">
      <w:pPr>
        <w:spacing w:before="4"/>
      </w:pPr>
    </w:p>
    <w:p w14:paraId="4079F1CF">
      <w:pPr>
        <w:spacing w:before="4"/>
      </w:pPr>
    </w:p>
    <w:p w14:paraId="69BE5685">
      <w:pPr>
        <w:spacing w:before="4"/>
      </w:pPr>
    </w:p>
    <w:p w14:paraId="64613210">
      <w:pPr>
        <w:spacing w:before="4"/>
      </w:pPr>
    </w:p>
    <w:p w14:paraId="5116C53E">
      <w:pPr>
        <w:spacing w:before="4"/>
      </w:pPr>
    </w:p>
    <w:p w14:paraId="5BFFE491">
      <w:pPr>
        <w:spacing w:before="4"/>
      </w:pPr>
    </w:p>
    <w:p w14:paraId="688C7CBB">
      <w:pPr>
        <w:spacing w:before="4"/>
      </w:pPr>
    </w:p>
    <w:tbl>
      <w:tblPr>
        <w:tblStyle w:val="5"/>
        <w:tblW w:w="2138" w:type="dxa"/>
        <w:tblInd w:w="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2138"/>
      </w:tblGrid>
      <w:tr w14:paraId="0EE47C73">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866" w:hRule="atLeast"/>
        </w:trPr>
        <w:tc>
          <w:tcPr>
            <w:tcW w:w="2138" w:type="dxa"/>
            <w:shd w:val="clear" w:color="auto" w:fill="FFFFFF"/>
            <w:vAlign w:val="top"/>
          </w:tcPr>
          <w:p w14:paraId="3FE65447">
            <w:pPr>
              <w:pStyle w:val="6"/>
              <w:spacing w:before="158" w:line="233" w:lineRule="auto"/>
              <w:ind w:left="319"/>
              <w:rPr>
                <w:sz w:val="14"/>
                <w:szCs w:val="14"/>
              </w:rPr>
            </w:pPr>
            <w:r>
              <w:drawing>
                <wp:anchor distT="0" distB="0" distL="0" distR="0" simplePos="0" relativeHeight="251660288" behindDoc="1" locked="0" layoutInCell="1" allowOverlap="1">
                  <wp:simplePos x="0" y="0"/>
                  <wp:positionH relativeFrom="column">
                    <wp:posOffset>-4445</wp:posOffset>
                  </wp:positionH>
                  <wp:positionV relativeFrom="paragraph">
                    <wp:posOffset>-2462530</wp:posOffset>
                  </wp:positionV>
                  <wp:extent cx="5439410" cy="365760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92"/>
                          <a:stretch>
                            <a:fillRect/>
                          </a:stretch>
                        </pic:blipFill>
                        <pic:spPr>
                          <a:xfrm>
                            <a:off x="0" y="0"/>
                            <a:ext cx="5439155" cy="3657599"/>
                          </a:xfrm>
                          <a:prstGeom prst="rect">
                            <a:avLst/>
                          </a:prstGeom>
                        </pic:spPr>
                      </pic:pic>
                    </a:graphicData>
                  </a:graphic>
                </wp:anchor>
              </w:drawing>
            </w:r>
            <w:r>
              <w:rPr>
                <w:spacing w:val="-1"/>
                <w:sz w:val="14"/>
                <w:szCs w:val="14"/>
              </w:rPr>
              <w:t>图例：</w:t>
            </w:r>
          </w:p>
          <w:p w14:paraId="47A17758">
            <w:pPr>
              <w:pStyle w:val="6"/>
              <w:spacing w:before="100" w:line="377" w:lineRule="auto"/>
              <w:ind w:left="161" w:right="150" w:hanging="45"/>
              <w:rPr>
                <w:sz w:val="14"/>
                <w:szCs w:val="14"/>
              </w:rPr>
            </w:pPr>
            <w:r>
              <w:rPr>
                <w:position w:val="-5"/>
                <w:sz w:val="14"/>
                <w:szCs w:val="14"/>
              </w:rPr>
              <w:drawing>
                <wp:inline distT="0" distB="0" distL="0" distR="0">
                  <wp:extent cx="138430" cy="13779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93"/>
                          <a:stretch>
                            <a:fillRect/>
                          </a:stretch>
                        </pic:blipFill>
                        <pic:spPr>
                          <a:xfrm>
                            <a:off x="0" y="0"/>
                            <a:ext cx="138480" cy="137819"/>
                          </a:xfrm>
                          <a:prstGeom prst="rect">
                            <a:avLst/>
                          </a:prstGeom>
                        </pic:spPr>
                      </pic:pic>
                    </a:graphicData>
                  </a:graphic>
                </wp:inline>
              </w:drawing>
            </w:r>
            <w:r>
              <w:rPr>
                <w:spacing w:val="5"/>
                <w:sz w:val="14"/>
                <w:szCs w:val="14"/>
              </w:rPr>
              <w:t>：隆回县工业污水处理厂</w:t>
            </w:r>
            <w:r>
              <w:rPr>
                <w:position w:val="-7"/>
                <w:sz w:val="14"/>
                <w:szCs w:val="14"/>
              </w:rPr>
              <w:drawing>
                <wp:inline distT="0" distB="0" distL="0" distR="0">
                  <wp:extent cx="182880" cy="9969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94"/>
                          <a:stretch>
                            <a:fillRect/>
                          </a:stretch>
                        </pic:blipFill>
                        <pic:spPr>
                          <a:xfrm>
                            <a:off x="0" y="0"/>
                            <a:ext cx="183514" cy="100329"/>
                          </a:xfrm>
                          <a:prstGeom prst="rect">
                            <a:avLst/>
                          </a:prstGeom>
                        </pic:spPr>
                      </pic:pic>
                    </a:graphicData>
                  </a:graphic>
                </wp:inline>
              </w:drawing>
            </w:r>
            <w:r>
              <w:rPr>
                <w:spacing w:val="9"/>
                <w:sz w:val="14"/>
                <w:szCs w:val="14"/>
              </w:rPr>
              <w:t>：评价范围</w:t>
            </w:r>
          </w:p>
          <w:p w14:paraId="089F755A">
            <w:pPr>
              <w:pStyle w:val="6"/>
              <w:spacing w:before="22" w:line="409" w:lineRule="auto"/>
              <w:ind w:left="131" w:right="328" w:firstLine="142"/>
              <w:rPr>
                <w:sz w:val="14"/>
                <w:szCs w:val="14"/>
              </w:rPr>
            </w:pPr>
            <w:r>
              <w:rPr>
                <w:sz w:val="14"/>
                <w:szCs w:val="14"/>
              </w:rPr>
              <w:drawing>
                <wp:inline distT="0" distB="0" distL="0" distR="0">
                  <wp:extent cx="64135" cy="6286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95"/>
                          <a:stretch>
                            <a:fillRect/>
                          </a:stretch>
                        </pic:blipFill>
                        <pic:spPr>
                          <a:xfrm>
                            <a:off x="0" y="0"/>
                            <a:ext cx="64147" cy="62877"/>
                          </a:xfrm>
                          <a:prstGeom prst="rect">
                            <a:avLst/>
                          </a:prstGeom>
                        </pic:spPr>
                      </pic:pic>
                    </a:graphicData>
                  </a:graphic>
                </wp:inline>
              </w:drawing>
            </w:r>
            <w:r>
              <w:rPr>
                <w:spacing w:val="7"/>
                <w:sz w:val="14"/>
                <w:szCs w:val="14"/>
              </w:rPr>
              <w:t>：工业污水厂排污口</w:t>
            </w:r>
            <w:r>
              <w:rPr>
                <w:position w:val="-2"/>
                <w:sz w:val="14"/>
                <w:szCs w:val="14"/>
              </w:rPr>
              <w:drawing>
                <wp:inline distT="0" distB="0" distL="0" distR="0">
                  <wp:extent cx="306070" cy="5397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96"/>
                          <a:stretch>
                            <a:fillRect/>
                          </a:stretch>
                        </pic:blipFill>
                        <pic:spPr>
                          <a:xfrm>
                            <a:off x="0" y="0"/>
                            <a:ext cx="306704" cy="54609"/>
                          </a:xfrm>
                          <a:prstGeom prst="rect">
                            <a:avLst/>
                          </a:prstGeom>
                        </pic:spPr>
                      </pic:pic>
                    </a:graphicData>
                  </a:graphic>
                </wp:inline>
              </w:drawing>
            </w:r>
            <w:r>
              <w:rPr>
                <w:spacing w:val="6"/>
                <w:sz w:val="14"/>
                <w:szCs w:val="14"/>
              </w:rPr>
              <w:t>：元木山电站</w:t>
            </w:r>
          </w:p>
        </w:tc>
      </w:tr>
    </w:tbl>
    <w:p w14:paraId="748044F7">
      <w:pPr>
        <w:pStyle w:val="2"/>
        <w:spacing w:line="274" w:lineRule="auto"/>
      </w:pPr>
    </w:p>
    <w:p w14:paraId="1BB65EEF">
      <w:pPr>
        <w:spacing w:before="65" w:line="228" w:lineRule="auto"/>
        <w:ind w:left="3325"/>
        <w:rPr>
          <w:rFonts w:ascii="宋体" w:hAnsi="宋体" w:eastAsia="宋体" w:cs="宋体"/>
          <w:sz w:val="20"/>
          <w:szCs w:val="20"/>
        </w:rPr>
      </w:pPr>
      <w:r>
        <w:rPr>
          <w:rFonts w:ascii="宋体" w:hAnsi="宋体" w:eastAsia="宋体" w:cs="宋体"/>
          <w:b/>
          <w:bCs/>
          <w:spacing w:val="3"/>
          <w:sz w:val="20"/>
          <w:szCs w:val="20"/>
        </w:rPr>
        <w:t>图</w:t>
      </w:r>
      <w:r>
        <w:rPr>
          <w:rFonts w:ascii="Times New Roman" w:hAnsi="Times New Roman" w:eastAsia="Times New Roman" w:cs="Times New Roman"/>
          <w:b/>
          <w:bCs/>
          <w:spacing w:val="3"/>
          <w:sz w:val="20"/>
          <w:szCs w:val="20"/>
        </w:rPr>
        <w:t>1.4-1</w:t>
      </w:r>
      <w:r>
        <w:rPr>
          <w:rFonts w:ascii="宋体" w:hAnsi="宋体" w:eastAsia="宋体" w:cs="宋体"/>
          <w:b/>
          <w:bCs/>
          <w:spacing w:val="3"/>
          <w:sz w:val="20"/>
          <w:szCs w:val="20"/>
        </w:rPr>
        <w:t>论证范围示意图</w:t>
      </w:r>
    </w:p>
    <w:p w14:paraId="625EF772">
      <w:pPr>
        <w:spacing w:before="262" w:line="221" w:lineRule="auto"/>
        <w:ind w:left="20"/>
        <w:outlineLvl w:val="1"/>
        <w:rPr>
          <w:rFonts w:ascii="宋体" w:hAnsi="宋体" w:eastAsia="宋体" w:cs="宋体"/>
          <w:sz w:val="28"/>
          <w:szCs w:val="28"/>
        </w:rPr>
      </w:pPr>
      <w:bookmarkStart w:id="6" w:name="bookmark7"/>
      <w:bookmarkEnd w:id="6"/>
      <w:r>
        <w:rPr>
          <w:rFonts w:ascii="Times New Roman" w:hAnsi="Times New Roman" w:eastAsia="Times New Roman" w:cs="Times New Roman"/>
          <w:b/>
          <w:bCs/>
          <w:spacing w:val="-3"/>
          <w:sz w:val="28"/>
          <w:szCs w:val="28"/>
        </w:rPr>
        <w:t>1.5</w:t>
      </w:r>
      <w:r>
        <w:rPr>
          <w:rFonts w:ascii="宋体" w:hAnsi="宋体" w:eastAsia="宋体" w:cs="宋体"/>
          <w:b/>
          <w:bCs/>
          <w:spacing w:val="-3"/>
          <w:sz w:val="28"/>
          <w:szCs w:val="28"/>
        </w:rPr>
        <w:t>论证工作程序</w:t>
      </w:r>
    </w:p>
    <w:p w14:paraId="1B5C64DA">
      <w:pPr>
        <w:spacing w:before="233" w:line="219" w:lineRule="auto"/>
        <w:ind w:left="50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）现场查勘与资料收集</w:t>
      </w:r>
    </w:p>
    <w:p w14:paraId="7B090C1C">
      <w:pPr>
        <w:spacing w:before="183" w:line="360" w:lineRule="auto"/>
        <w:ind w:left="10" w:right="165" w:firstLine="480"/>
        <w:rPr>
          <w:rFonts w:ascii="宋体" w:hAnsi="宋体" w:eastAsia="宋体" w:cs="宋体"/>
          <w:sz w:val="24"/>
          <w:szCs w:val="24"/>
        </w:rPr>
      </w:pPr>
      <w:r>
        <w:rPr>
          <w:rFonts w:ascii="宋体" w:hAnsi="宋体" w:eastAsia="宋体" w:cs="宋体"/>
          <w:sz w:val="24"/>
          <w:szCs w:val="24"/>
        </w:rPr>
        <w:t>根据污水处理厂入河排污口建设方案，进行现场查</w:t>
      </w:r>
      <w:r>
        <w:rPr>
          <w:rFonts w:ascii="宋体" w:hAnsi="宋体" w:eastAsia="宋体" w:cs="宋体"/>
          <w:spacing w:val="-1"/>
          <w:sz w:val="24"/>
          <w:szCs w:val="24"/>
        </w:rPr>
        <w:t>勘、调查和收集隆回工业</w:t>
      </w:r>
      <w:r>
        <w:rPr>
          <w:rFonts w:ascii="宋体" w:hAnsi="宋体" w:eastAsia="宋体" w:cs="宋体"/>
          <w:sz w:val="24"/>
          <w:szCs w:val="24"/>
        </w:rPr>
        <w:t>污水处理厂提标扩容改造（二期）工程及相关区域基本资</w:t>
      </w:r>
      <w:r>
        <w:rPr>
          <w:rFonts w:ascii="宋体" w:hAnsi="宋体" w:eastAsia="宋体" w:cs="宋体"/>
          <w:spacing w:val="-1"/>
          <w:sz w:val="24"/>
          <w:szCs w:val="24"/>
        </w:rPr>
        <w:t>料。组织技术人员对现</w:t>
      </w:r>
      <w:r>
        <w:rPr>
          <w:rFonts w:ascii="宋体" w:hAnsi="宋体" w:eastAsia="宋体" w:cs="宋体"/>
          <w:sz w:val="24"/>
          <w:szCs w:val="24"/>
        </w:rPr>
        <w:t>场进行查勘，调查和收集工程所在区域自然环境和社会环</w:t>
      </w:r>
      <w:r>
        <w:rPr>
          <w:rFonts w:ascii="宋体" w:hAnsi="宋体" w:eastAsia="宋体" w:cs="宋体"/>
          <w:spacing w:val="-1"/>
          <w:sz w:val="24"/>
          <w:szCs w:val="24"/>
        </w:rPr>
        <w:t>境资料，排污口设置河</w:t>
      </w:r>
      <w:r>
        <w:rPr>
          <w:rFonts w:ascii="宋体" w:hAnsi="宋体" w:eastAsia="宋体" w:cs="宋体"/>
          <w:sz w:val="24"/>
          <w:szCs w:val="24"/>
        </w:rPr>
        <w:t>段的水文、水质和水生态资料等，并且收集可能影响的其</w:t>
      </w:r>
      <w:r>
        <w:rPr>
          <w:rFonts w:ascii="宋体" w:hAnsi="宋体" w:eastAsia="宋体" w:cs="宋体"/>
          <w:spacing w:val="-1"/>
          <w:sz w:val="24"/>
          <w:szCs w:val="24"/>
        </w:rPr>
        <w:t>他取排水用户资料等，并对资料进行初步分析。</w:t>
      </w:r>
    </w:p>
    <w:p w14:paraId="21195709">
      <w:pPr>
        <w:spacing w:line="220" w:lineRule="auto"/>
        <w:ind w:left="50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）资料整理与分析</w:t>
      </w:r>
    </w:p>
    <w:p w14:paraId="2E8C4551">
      <w:pPr>
        <w:spacing w:before="182" w:line="219" w:lineRule="auto"/>
        <w:ind w:left="491"/>
        <w:rPr>
          <w:rFonts w:ascii="宋体" w:hAnsi="宋体" w:eastAsia="宋体" w:cs="宋体"/>
          <w:sz w:val="24"/>
          <w:szCs w:val="24"/>
        </w:rPr>
      </w:pPr>
      <w:r>
        <w:rPr>
          <w:rFonts w:ascii="宋体" w:hAnsi="宋体" w:eastAsia="宋体" w:cs="宋体"/>
          <w:sz w:val="24"/>
          <w:szCs w:val="24"/>
        </w:rPr>
        <w:t>根据所收集的资料，进行整理分析，明确工程布局</w:t>
      </w:r>
      <w:r>
        <w:rPr>
          <w:rFonts w:ascii="宋体" w:hAnsi="宋体" w:eastAsia="宋体" w:cs="宋体"/>
          <w:spacing w:val="-1"/>
          <w:sz w:val="24"/>
          <w:szCs w:val="24"/>
        </w:rPr>
        <w:t>、工艺流程、入河排污口</w:t>
      </w:r>
    </w:p>
    <w:p w14:paraId="117F221F">
      <w:pPr>
        <w:spacing w:line="219" w:lineRule="auto"/>
        <w:rPr>
          <w:rFonts w:ascii="宋体" w:hAnsi="宋体" w:eastAsia="宋体" w:cs="宋体"/>
          <w:sz w:val="24"/>
          <w:szCs w:val="24"/>
        </w:rPr>
        <w:sectPr>
          <w:headerReference r:id="rId14" w:type="default"/>
          <w:footerReference r:id="rId15" w:type="default"/>
          <w:pgSz w:w="11906" w:h="16839"/>
          <w:pgMar w:top="1132" w:right="1638" w:bottom="1257" w:left="1699" w:header="829" w:footer="1097" w:gutter="0"/>
          <w:cols w:space="720" w:num="1"/>
        </w:sectPr>
      </w:pPr>
    </w:p>
    <w:p w14:paraId="1F05AE8F">
      <w:pPr>
        <w:pStyle w:val="2"/>
        <w:spacing w:line="318" w:lineRule="auto"/>
      </w:pPr>
    </w:p>
    <w:p w14:paraId="728015EB">
      <w:pPr>
        <w:spacing w:before="78" w:line="362" w:lineRule="auto"/>
        <w:ind w:left="9" w:right="103"/>
        <w:rPr>
          <w:rFonts w:ascii="宋体" w:hAnsi="宋体" w:eastAsia="宋体" w:cs="宋体"/>
          <w:sz w:val="24"/>
          <w:szCs w:val="24"/>
        </w:rPr>
      </w:pPr>
      <w:r>
        <w:rPr>
          <w:rFonts w:ascii="宋体" w:hAnsi="宋体" w:eastAsia="宋体" w:cs="宋体"/>
          <w:sz w:val="24"/>
          <w:szCs w:val="24"/>
        </w:rPr>
        <w:t>位置、主要污染物排放量及法律特性等基本情况：分析</w:t>
      </w:r>
      <w:r>
        <w:rPr>
          <w:rFonts w:ascii="宋体" w:hAnsi="宋体" w:eastAsia="宋体" w:cs="宋体"/>
          <w:spacing w:val="-1"/>
          <w:sz w:val="24"/>
          <w:szCs w:val="24"/>
        </w:rPr>
        <w:t>所属河段水资源保护管理</w:t>
      </w:r>
      <w:r>
        <w:rPr>
          <w:rFonts w:ascii="宋体" w:hAnsi="宋体" w:eastAsia="宋体" w:cs="宋体"/>
          <w:sz w:val="24"/>
          <w:szCs w:val="24"/>
        </w:rPr>
        <w:t>要求，水环境现状和水生态现状等情况，以及其</w:t>
      </w:r>
      <w:r>
        <w:rPr>
          <w:rFonts w:ascii="宋体" w:hAnsi="宋体" w:eastAsia="宋体" w:cs="宋体"/>
          <w:spacing w:val="-1"/>
          <w:sz w:val="24"/>
          <w:szCs w:val="24"/>
        </w:rPr>
        <w:t>他取排水用户分布情况等。</w:t>
      </w:r>
    </w:p>
    <w:p w14:paraId="165899D5">
      <w:pPr>
        <w:spacing w:before="22" w:line="10636" w:lineRule="exact"/>
        <w:ind w:firstLine="129"/>
      </w:pPr>
      <w:r>
        <w:rPr>
          <w:position w:val="-212"/>
        </w:rPr>
        <w:drawing>
          <wp:inline distT="0" distB="0" distL="0" distR="0">
            <wp:extent cx="5170170" cy="675322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97"/>
                    <a:stretch>
                      <a:fillRect/>
                    </a:stretch>
                  </pic:blipFill>
                  <pic:spPr>
                    <a:xfrm>
                      <a:off x="0" y="0"/>
                      <a:ext cx="5170170" cy="6753605"/>
                    </a:xfrm>
                    <a:prstGeom prst="rect">
                      <a:avLst/>
                    </a:prstGeom>
                  </pic:spPr>
                </pic:pic>
              </a:graphicData>
            </a:graphic>
          </wp:inline>
        </w:drawing>
      </w:r>
    </w:p>
    <w:p w14:paraId="6F016704">
      <w:pPr>
        <w:spacing w:before="272" w:line="228" w:lineRule="auto"/>
        <w:ind w:left="2902"/>
        <w:rPr>
          <w:rFonts w:ascii="宋体" w:hAnsi="宋体" w:eastAsia="宋体" w:cs="宋体"/>
          <w:sz w:val="20"/>
          <w:szCs w:val="20"/>
        </w:rPr>
      </w:pPr>
      <w:r>
        <w:rPr>
          <w:rFonts w:ascii="宋体" w:hAnsi="宋体" w:eastAsia="宋体" w:cs="宋体"/>
          <w:b/>
          <w:bCs/>
          <w:spacing w:val="4"/>
          <w:sz w:val="20"/>
          <w:szCs w:val="20"/>
        </w:rPr>
        <w:t>图</w:t>
      </w:r>
      <w:r>
        <w:rPr>
          <w:rFonts w:ascii="Times New Roman" w:hAnsi="Times New Roman" w:eastAsia="Times New Roman" w:cs="Times New Roman"/>
          <w:b/>
          <w:bCs/>
          <w:spacing w:val="4"/>
          <w:sz w:val="20"/>
          <w:szCs w:val="20"/>
        </w:rPr>
        <w:t>1.5-1</w:t>
      </w:r>
      <w:r>
        <w:rPr>
          <w:rFonts w:ascii="宋体" w:hAnsi="宋体" w:eastAsia="宋体" w:cs="宋体"/>
          <w:b/>
          <w:bCs/>
          <w:spacing w:val="4"/>
          <w:sz w:val="20"/>
          <w:szCs w:val="20"/>
        </w:rPr>
        <w:t>入河排污口论证工作程序</w:t>
      </w:r>
    </w:p>
    <w:p w14:paraId="60A53DA8">
      <w:pPr>
        <w:spacing w:before="205" w:line="219" w:lineRule="auto"/>
        <w:ind w:left="50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）建立数学模型，进行预测模拟</w:t>
      </w:r>
    </w:p>
    <w:p w14:paraId="6E19AD83">
      <w:pPr>
        <w:spacing w:before="183" w:line="362" w:lineRule="auto"/>
        <w:ind w:left="8" w:right="103" w:firstLine="480"/>
        <w:rPr>
          <w:rFonts w:ascii="宋体" w:hAnsi="宋体" w:eastAsia="宋体" w:cs="宋体"/>
          <w:sz w:val="24"/>
          <w:szCs w:val="24"/>
        </w:rPr>
      </w:pPr>
      <w:r>
        <w:rPr>
          <w:rFonts w:ascii="宋体" w:hAnsi="宋体" w:eastAsia="宋体" w:cs="宋体"/>
          <w:sz w:val="24"/>
          <w:szCs w:val="24"/>
        </w:rPr>
        <w:t>根据水功能区水质和水生态保护要求，结合废污水</w:t>
      </w:r>
      <w:r>
        <w:rPr>
          <w:rFonts w:ascii="宋体" w:hAnsi="宋体" w:eastAsia="宋体" w:cs="宋体"/>
          <w:spacing w:val="-1"/>
          <w:sz w:val="24"/>
          <w:szCs w:val="24"/>
        </w:rPr>
        <w:t>处理排放情况，项目所处</w:t>
      </w:r>
      <w:r>
        <w:rPr>
          <w:rFonts w:ascii="宋体" w:hAnsi="宋体" w:eastAsia="宋体" w:cs="宋体"/>
          <w:sz w:val="24"/>
          <w:szCs w:val="24"/>
        </w:rPr>
        <w:t>河段河道水文特性，按照《水域纳污能力计算规程》，选</w:t>
      </w:r>
      <w:r>
        <w:rPr>
          <w:rFonts w:ascii="宋体" w:hAnsi="宋体" w:eastAsia="宋体" w:cs="宋体"/>
          <w:spacing w:val="-1"/>
          <w:sz w:val="24"/>
          <w:szCs w:val="24"/>
        </w:rPr>
        <w:t>定合适的数学模型，拟</w:t>
      </w:r>
    </w:p>
    <w:p w14:paraId="4DE89211">
      <w:pPr>
        <w:spacing w:line="362" w:lineRule="auto"/>
        <w:rPr>
          <w:rFonts w:ascii="宋体" w:hAnsi="宋体" w:eastAsia="宋体" w:cs="宋体"/>
          <w:sz w:val="24"/>
          <w:szCs w:val="24"/>
        </w:rPr>
        <w:sectPr>
          <w:footerReference r:id="rId16" w:type="default"/>
          <w:pgSz w:w="11906" w:h="16839"/>
          <w:pgMar w:top="1132" w:right="1700" w:bottom="1259" w:left="1701" w:header="829" w:footer="1097" w:gutter="0"/>
          <w:cols w:space="720" w:num="1"/>
        </w:sectPr>
      </w:pPr>
    </w:p>
    <w:p w14:paraId="3854DAF9">
      <w:pPr>
        <w:pStyle w:val="2"/>
        <w:spacing w:line="319" w:lineRule="auto"/>
      </w:pPr>
    </w:p>
    <w:p w14:paraId="0E4D66EC">
      <w:pPr>
        <w:spacing w:before="78" w:line="360" w:lineRule="auto"/>
        <w:ind w:left="8" w:right="103" w:firstLine="6"/>
        <w:rPr>
          <w:rFonts w:ascii="宋体" w:hAnsi="宋体" w:eastAsia="宋体" w:cs="宋体"/>
          <w:sz w:val="24"/>
          <w:szCs w:val="24"/>
        </w:rPr>
      </w:pPr>
      <w:r>
        <w:rPr>
          <w:rFonts w:ascii="宋体" w:hAnsi="宋体" w:eastAsia="宋体" w:cs="宋体"/>
          <w:spacing w:val="-1"/>
          <w:sz w:val="24"/>
          <w:szCs w:val="24"/>
        </w:rPr>
        <w:t>定模型预测计算工况，进行污染物扩散浓度预测计算，统计分析不同条件下入河废污水的影响程度及范围。</w:t>
      </w:r>
    </w:p>
    <w:p w14:paraId="4D4A135F">
      <w:pPr>
        <w:spacing w:line="220" w:lineRule="auto"/>
        <w:ind w:left="501"/>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）影响分析</w:t>
      </w:r>
    </w:p>
    <w:p w14:paraId="117891D1">
      <w:pPr>
        <w:spacing w:before="181" w:line="360" w:lineRule="auto"/>
        <w:ind w:left="10" w:right="103" w:firstLine="479"/>
        <w:rPr>
          <w:rFonts w:ascii="宋体" w:hAnsi="宋体" w:eastAsia="宋体" w:cs="宋体"/>
          <w:sz w:val="24"/>
          <w:szCs w:val="24"/>
        </w:rPr>
      </w:pPr>
      <w:r>
        <w:rPr>
          <w:rFonts w:ascii="宋体" w:hAnsi="宋体" w:eastAsia="宋体" w:cs="宋体"/>
          <w:sz w:val="24"/>
          <w:szCs w:val="24"/>
        </w:rPr>
        <w:t>根据计算结果，得出的入河排污口污染物排放产生</w:t>
      </w:r>
      <w:r>
        <w:rPr>
          <w:rFonts w:ascii="宋体" w:hAnsi="宋体" w:eastAsia="宋体" w:cs="宋体"/>
          <w:spacing w:val="-1"/>
          <w:sz w:val="24"/>
          <w:szCs w:val="24"/>
        </w:rPr>
        <w:t>的影响范围，以及所处河</w:t>
      </w:r>
      <w:r>
        <w:rPr>
          <w:rFonts w:ascii="宋体" w:hAnsi="宋体" w:eastAsia="宋体" w:cs="宋体"/>
          <w:sz w:val="24"/>
          <w:szCs w:val="24"/>
        </w:rPr>
        <w:t>段水生态现状，论证分析入河排污口对水功能区的影</w:t>
      </w:r>
      <w:r>
        <w:rPr>
          <w:rFonts w:ascii="宋体" w:hAnsi="宋体" w:eastAsia="宋体" w:cs="宋体"/>
          <w:spacing w:val="-1"/>
          <w:sz w:val="24"/>
          <w:szCs w:val="24"/>
        </w:rPr>
        <w:t>响程度。论证分析排污口对</w:t>
      </w:r>
      <w:r>
        <w:rPr>
          <w:rFonts w:ascii="宋体" w:hAnsi="宋体" w:eastAsia="宋体" w:cs="宋体"/>
          <w:sz w:val="24"/>
          <w:szCs w:val="24"/>
        </w:rPr>
        <w:t>上下游水功能区内第三方取用水安全的影响，提出入</w:t>
      </w:r>
      <w:r>
        <w:rPr>
          <w:rFonts w:ascii="宋体" w:hAnsi="宋体" w:eastAsia="宋体" w:cs="宋体"/>
          <w:spacing w:val="-1"/>
          <w:sz w:val="24"/>
          <w:szCs w:val="24"/>
        </w:rPr>
        <w:t>河排污口设置的制约因素。</w:t>
      </w:r>
    </w:p>
    <w:p w14:paraId="4761D017">
      <w:pPr>
        <w:spacing w:line="220" w:lineRule="auto"/>
        <w:ind w:left="50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）排污口设置合理性分析</w:t>
      </w:r>
    </w:p>
    <w:p w14:paraId="6E8B13C0">
      <w:pPr>
        <w:spacing w:before="182" w:line="361" w:lineRule="auto"/>
        <w:ind w:left="9" w:right="103" w:firstLine="480"/>
        <w:rPr>
          <w:rFonts w:ascii="宋体" w:hAnsi="宋体" w:eastAsia="宋体" w:cs="宋体"/>
          <w:sz w:val="24"/>
          <w:szCs w:val="24"/>
        </w:rPr>
      </w:pPr>
      <w:r>
        <w:rPr>
          <w:rFonts w:ascii="宋体" w:hAnsi="宋体" w:eastAsia="宋体" w:cs="宋体"/>
          <w:spacing w:val="-7"/>
          <w:sz w:val="24"/>
          <w:szCs w:val="24"/>
        </w:rPr>
        <w:t>根据论证结果，综合考虑规划排污口所在河段水</w:t>
      </w:r>
      <w:r>
        <w:rPr>
          <w:rFonts w:ascii="宋体" w:hAnsi="宋体" w:eastAsia="宋体" w:cs="宋体"/>
          <w:spacing w:val="-8"/>
          <w:sz w:val="24"/>
          <w:szCs w:val="24"/>
        </w:rPr>
        <w:t>文与河道形态、水功能区（水</w:t>
      </w:r>
      <w:r>
        <w:rPr>
          <w:rFonts w:ascii="宋体" w:hAnsi="宋体" w:eastAsia="宋体" w:cs="宋体"/>
          <w:sz w:val="24"/>
          <w:szCs w:val="24"/>
        </w:rPr>
        <w:t>域）水质和水生态保护要求、第三者权益等因素，分析</w:t>
      </w:r>
      <w:r>
        <w:rPr>
          <w:rFonts w:ascii="宋体" w:hAnsi="宋体" w:eastAsia="宋体" w:cs="宋体"/>
          <w:spacing w:val="-1"/>
          <w:sz w:val="24"/>
          <w:szCs w:val="24"/>
        </w:rPr>
        <w:t>入河排污口位置、污水排</w:t>
      </w:r>
      <w:r>
        <w:rPr>
          <w:rFonts w:ascii="宋体" w:hAnsi="宋体" w:eastAsia="宋体" w:cs="宋体"/>
          <w:sz w:val="24"/>
          <w:szCs w:val="24"/>
        </w:rPr>
        <w:t>放影响范围的相对关系；根据排放总量，对照所在水域</w:t>
      </w:r>
      <w:r>
        <w:rPr>
          <w:rFonts w:ascii="宋体" w:hAnsi="宋体" w:eastAsia="宋体" w:cs="宋体"/>
          <w:spacing w:val="-1"/>
          <w:sz w:val="24"/>
          <w:szCs w:val="24"/>
        </w:rPr>
        <w:t>纳污能力综合分析论证排污口设置的合理性，提出排污口设置的制约性因素。</w:t>
      </w:r>
    </w:p>
    <w:p w14:paraId="2BD2B9C8">
      <w:pPr>
        <w:spacing w:before="50" w:line="220" w:lineRule="auto"/>
        <w:ind w:left="19"/>
        <w:outlineLvl w:val="1"/>
        <w:rPr>
          <w:rFonts w:ascii="宋体" w:hAnsi="宋体" w:eastAsia="宋体" w:cs="宋体"/>
          <w:sz w:val="28"/>
          <w:szCs w:val="28"/>
        </w:rPr>
      </w:pPr>
      <w:bookmarkStart w:id="7" w:name="bookmark8"/>
      <w:bookmarkEnd w:id="7"/>
      <w:r>
        <w:rPr>
          <w:rFonts w:ascii="Times New Roman" w:hAnsi="Times New Roman" w:eastAsia="Times New Roman" w:cs="Times New Roman"/>
          <w:b/>
          <w:bCs/>
          <w:spacing w:val="-3"/>
          <w:sz w:val="28"/>
          <w:szCs w:val="28"/>
        </w:rPr>
        <w:t>1.6</w:t>
      </w:r>
      <w:r>
        <w:rPr>
          <w:rFonts w:ascii="宋体" w:hAnsi="宋体" w:eastAsia="宋体" w:cs="宋体"/>
          <w:b/>
          <w:bCs/>
          <w:spacing w:val="-3"/>
          <w:sz w:val="28"/>
          <w:szCs w:val="28"/>
        </w:rPr>
        <w:t>论证的主要内容</w:t>
      </w:r>
    </w:p>
    <w:p w14:paraId="125F810D">
      <w:pPr>
        <w:spacing w:before="234" w:line="360" w:lineRule="auto"/>
        <w:ind w:left="10" w:right="103" w:firstLine="484"/>
        <w:jc w:val="both"/>
        <w:rPr>
          <w:rFonts w:ascii="宋体" w:hAnsi="宋体" w:eastAsia="宋体" w:cs="宋体"/>
          <w:sz w:val="24"/>
          <w:szCs w:val="24"/>
        </w:rPr>
      </w:pPr>
      <w:r>
        <w:rPr>
          <w:rFonts w:ascii="宋体" w:hAnsi="宋体" w:eastAsia="宋体" w:cs="宋体"/>
          <w:spacing w:val="-1"/>
          <w:sz w:val="24"/>
          <w:szCs w:val="24"/>
        </w:rPr>
        <w:t>结合本项目污水处理厂建设情况、处理规模及所含污染物浓度、总量及对水</w:t>
      </w:r>
      <w:r>
        <w:rPr>
          <w:rFonts w:ascii="宋体" w:hAnsi="宋体" w:eastAsia="宋体" w:cs="宋体"/>
          <w:sz w:val="24"/>
          <w:szCs w:val="24"/>
        </w:rPr>
        <w:t>域和水功能区影响综合分析，根据《入河排污口监督</w:t>
      </w:r>
      <w:r>
        <w:rPr>
          <w:rFonts w:ascii="宋体" w:hAnsi="宋体" w:eastAsia="宋体" w:cs="宋体"/>
          <w:spacing w:val="-1"/>
          <w:sz w:val="24"/>
          <w:szCs w:val="24"/>
        </w:rPr>
        <w:t>管理办法》（生态环境部部</w:t>
      </w:r>
      <w:r>
        <w:rPr>
          <w:rFonts w:ascii="宋体" w:hAnsi="宋体" w:eastAsia="宋体" w:cs="宋体"/>
          <w:spacing w:val="-2"/>
          <w:sz w:val="24"/>
          <w:szCs w:val="24"/>
        </w:rPr>
        <w:t>令第</w:t>
      </w:r>
      <w:r>
        <w:rPr>
          <w:rFonts w:ascii="Times New Roman" w:hAnsi="Times New Roman" w:eastAsia="Times New Roman" w:cs="Times New Roman"/>
          <w:spacing w:val="-2"/>
          <w:sz w:val="24"/>
          <w:szCs w:val="24"/>
        </w:rPr>
        <w:t>35</w:t>
      </w:r>
      <w:r>
        <w:rPr>
          <w:rFonts w:ascii="宋体" w:hAnsi="宋体" w:eastAsia="宋体" w:cs="宋体"/>
          <w:spacing w:val="-2"/>
          <w:sz w:val="24"/>
          <w:szCs w:val="24"/>
        </w:rPr>
        <w:t>号）等相关文件要求，论证的主要内容如下：</w:t>
      </w:r>
    </w:p>
    <w:p w14:paraId="1256DDD9">
      <w:pPr>
        <w:spacing w:before="1" w:line="218" w:lineRule="auto"/>
        <w:ind w:left="50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）责任主体基本情况；</w:t>
      </w:r>
    </w:p>
    <w:p w14:paraId="138CDF7F">
      <w:pPr>
        <w:spacing w:before="184" w:line="219" w:lineRule="auto"/>
        <w:ind w:left="50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）入河排污口所在水域水生态环境现状；</w:t>
      </w:r>
    </w:p>
    <w:p w14:paraId="19D7BE68">
      <w:pPr>
        <w:spacing w:before="184" w:line="219" w:lineRule="auto"/>
        <w:ind w:left="50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）入河排污口设置地点，污水排放方式、排放去向；</w:t>
      </w:r>
    </w:p>
    <w:p w14:paraId="2A829F73">
      <w:pPr>
        <w:spacing w:before="184" w:line="290" w:lineRule="auto"/>
        <w:ind w:left="9" w:right="103" w:firstLine="491"/>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）入河排污口污水排放量，入河排污口重点污染物排放种类</w:t>
      </w:r>
      <w:r>
        <w:rPr>
          <w:rFonts w:ascii="宋体" w:hAnsi="宋体" w:eastAsia="宋体" w:cs="宋体"/>
          <w:spacing w:val="-5"/>
          <w:sz w:val="24"/>
          <w:szCs w:val="24"/>
        </w:rPr>
        <w:t>、排放浓度和</w:t>
      </w:r>
      <w:r>
        <w:rPr>
          <w:rFonts w:ascii="宋体" w:hAnsi="宋体" w:eastAsia="宋体" w:cs="宋体"/>
          <w:spacing w:val="-3"/>
          <w:sz w:val="24"/>
          <w:szCs w:val="24"/>
        </w:rPr>
        <w:t>排放量；</w:t>
      </w:r>
    </w:p>
    <w:p w14:paraId="7ABF1115">
      <w:pPr>
        <w:spacing w:before="181" w:line="220" w:lineRule="auto"/>
        <w:ind w:left="50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）入河排污口设置对周边环境影响以及相关环境风险分析；</w:t>
      </w:r>
    </w:p>
    <w:p w14:paraId="3BB02B90">
      <w:pPr>
        <w:spacing w:before="182" w:line="219" w:lineRule="auto"/>
        <w:ind w:left="50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）水生态环境保护措施以及效果分析；</w:t>
      </w:r>
    </w:p>
    <w:p w14:paraId="37E57CA9">
      <w:pPr>
        <w:spacing w:before="183" w:line="221" w:lineRule="auto"/>
        <w:ind w:left="501"/>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7</w:t>
      </w:r>
      <w:r>
        <w:rPr>
          <w:rFonts w:ascii="宋体" w:hAnsi="宋体" w:eastAsia="宋体" w:cs="宋体"/>
          <w:spacing w:val="-3"/>
          <w:sz w:val="24"/>
          <w:szCs w:val="24"/>
        </w:rPr>
        <w:t>）论证结论。</w:t>
      </w:r>
    </w:p>
    <w:p w14:paraId="1BCE8399">
      <w:pPr>
        <w:spacing w:line="221" w:lineRule="auto"/>
        <w:rPr>
          <w:rFonts w:ascii="宋体" w:hAnsi="宋体" w:eastAsia="宋体" w:cs="宋体"/>
          <w:sz w:val="24"/>
          <w:szCs w:val="24"/>
        </w:rPr>
        <w:sectPr>
          <w:footerReference r:id="rId17" w:type="default"/>
          <w:pgSz w:w="11906" w:h="16839"/>
          <w:pgMar w:top="1132" w:right="1700" w:bottom="1259" w:left="1701" w:header="829" w:footer="1097" w:gutter="0"/>
          <w:cols w:space="720" w:num="1"/>
        </w:sectPr>
      </w:pPr>
    </w:p>
    <w:p w14:paraId="52AD830A">
      <w:pPr>
        <w:spacing w:before="334" w:line="224" w:lineRule="auto"/>
        <w:ind w:left="3173"/>
        <w:outlineLvl w:val="0"/>
        <w:rPr>
          <w:rFonts w:ascii="宋体" w:hAnsi="宋体" w:eastAsia="宋体" w:cs="宋体"/>
          <w:sz w:val="31"/>
          <w:szCs w:val="31"/>
        </w:rPr>
      </w:pPr>
      <w:bookmarkStart w:id="8" w:name="bookmark9"/>
      <w:bookmarkEnd w:id="8"/>
      <w:r>
        <w:rPr>
          <w:rFonts w:ascii="Times New Roman" w:hAnsi="Times New Roman" w:eastAsia="Times New Roman" w:cs="Times New Roman"/>
          <w:b/>
          <w:bCs/>
          <w:spacing w:val="3"/>
          <w:sz w:val="31"/>
          <w:szCs w:val="31"/>
        </w:rPr>
        <w:t>2</w:t>
      </w:r>
      <w:r>
        <w:rPr>
          <w:rFonts w:ascii="宋体" w:hAnsi="宋体" w:eastAsia="宋体" w:cs="宋体"/>
          <w:b/>
          <w:bCs/>
          <w:spacing w:val="3"/>
          <w:sz w:val="31"/>
          <w:szCs w:val="31"/>
        </w:rPr>
        <w:t>责任主体基本情况</w:t>
      </w:r>
    </w:p>
    <w:p w14:paraId="0105036D">
      <w:pPr>
        <w:pStyle w:val="2"/>
        <w:spacing w:line="472" w:lineRule="auto"/>
      </w:pPr>
    </w:p>
    <w:p w14:paraId="11F94396">
      <w:pPr>
        <w:spacing w:before="91" w:line="220" w:lineRule="auto"/>
        <w:ind w:left="7"/>
        <w:outlineLvl w:val="1"/>
        <w:rPr>
          <w:rFonts w:ascii="宋体" w:hAnsi="宋体" w:eastAsia="宋体" w:cs="宋体"/>
          <w:sz w:val="28"/>
          <w:szCs w:val="28"/>
        </w:rPr>
      </w:pPr>
      <w:bookmarkStart w:id="9" w:name="bookmark10"/>
      <w:bookmarkEnd w:id="9"/>
      <w:r>
        <w:rPr>
          <w:rFonts w:ascii="Times New Roman" w:hAnsi="Times New Roman" w:eastAsia="Times New Roman" w:cs="Times New Roman"/>
          <w:b/>
          <w:bCs/>
          <w:spacing w:val="-4"/>
          <w:sz w:val="28"/>
          <w:szCs w:val="28"/>
        </w:rPr>
        <w:t>2.1</w:t>
      </w:r>
      <w:r>
        <w:rPr>
          <w:rFonts w:ascii="宋体" w:hAnsi="宋体" w:eastAsia="宋体" w:cs="宋体"/>
          <w:b/>
          <w:bCs/>
          <w:spacing w:val="-4"/>
          <w:sz w:val="28"/>
          <w:szCs w:val="28"/>
        </w:rPr>
        <w:t>责任主体名称、单位性质、地址</w:t>
      </w:r>
    </w:p>
    <w:p w14:paraId="7156E8A2">
      <w:pPr>
        <w:spacing w:before="200" w:line="359" w:lineRule="auto"/>
        <w:ind w:left="5" w:firstLine="480"/>
        <w:jc w:val="both"/>
        <w:rPr>
          <w:rFonts w:ascii="宋体" w:hAnsi="宋体" w:eastAsia="宋体" w:cs="宋体"/>
          <w:sz w:val="24"/>
          <w:szCs w:val="24"/>
        </w:rPr>
      </w:pPr>
      <w:r>
        <w:rPr>
          <w:rFonts w:ascii="Times New Roman" w:hAnsi="Times New Roman" w:eastAsia="Times New Roman" w:cs="Times New Roman"/>
          <w:spacing w:val="1"/>
          <w:sz w:val="24"/>
          <w:szCs w:val="24"/>
        </w:rPr>
        <w:t>2017</w:t>
      </w:r>
      <w:r>
        <w:rPr>
          <w:rFonts w:ascii="宋体" w:hAnsi="宋体" w:eastAsia="宋体" w:cs="宋体"/>
          <w:spacing w:val="1"/>
          <w:sz w:val="24"/>
          <w:szCs w:val="24"/>
        </w:rPr>
        <w:t>年</w:t>
      </w:r>
      <w:r>
        <w:rPr>
          <w:rFonts w:ascii="Times New Roman" w:hAnsi="Times New Roman" w:eastAsia="Times New Roman" w:cs="Times New Roman"/>
          <w:spacing w:val="1"/>
          <w:sz w:val="24"/>
          <w:szCs w:val="24"/>
        </w:rPr>
        <w:t>8</w:t>
      </w:r>
      <w:r>
        <w:rPr>
          <w:rFonts w:ascii="宋体" w:hAnsi="宋体" w:eastAsia="宋体" w:cs="宋体"/>
          <w:spacing w:val="1"/>
          <w:sz w:val="24"/>
          <w:szCs w:val="24"/>
        </w:rPr>
        <w:t>月，隆回县工业污水处理</w:t>
      </w:r>
      <w:r>
        <w:rPr>
          <w:rFonts w:ascii="宋体" w:hAnsi="宋体" w:eastAsia="宋体" w:cs="宋体"/>
          <w:sz w:val="24"/>
          <w:szCs w:val="24"/>
        </w:rPr>
        <w:t>厂建设单位委托长沙市玺成工程技术咨询</w:t>
      </w:r>
      <w:r>
        <w:rPr>
          <w:rFonts w:ascii="宋体" w:hAnsi="宋体" w:eastAsia="宋体" w:cs="宋体"/>
          <w:spacing w:val="-4"/>
          <w:sz w:val="24"/>
          <w:szCs w:val="24"/>
        </w:rPr>
        <w:t>有限责任公司编制《隆回县工业污水处理厂（一期）工程环境影响报告书》。</w:t>
      </w:r>
      <w:r>
        <w:rPr>
          <w:rFonts w:ascii="Times New Roman" w:hAnsi="Times New Roman" w:eastAsia="Times New Roman" w:cs="Times New Roman"/>
          <w:spacing w:val="-4"/>
          <w:sz w:val="24"/>
          <w:szCs w:val="24"/>
        </w:rPr>
        <w:t>2017</w:t>
      </w:r>
      <w:r>
        <w:rPr>
          <w:rFonts w:ascii="宋体" w:hAnsi="宋体" w:eastAsia="宋体" w:cs="宋体"/>
          <w:sz w:val="24"/>
          <w:szCs w:val="24"/>
        </w:rPr>
        <w:t>年</w:t>
      </w:r>
      <w:r>
        <w:rPr>
          <w:rFonts w:ascii="Times New Roman" w:hAnsi="Times New Roman" w:eastAsia="Times New Roman" w:cs="Times New Roman"/>
          <w:sz w:val="24"/>
          <w:szCs w:val="24"/>
        </w:rPr>
        <w:t>9</w:t>
      </w:r>
      <w:r>
        <w:rPr>
          <w:rFonts w:ascii="宋体" w:hAnsi="宋体" w:eastAsia="宋体" w:cs="宋体"/>
          <w:sz w:val="24"/>
          <w:szCs w:val="24"/>
        </w:rPr>
        <w:t>月</w:t>
      </w:r>
      <w:r>
        <w:rPr>
          <w:rFonts w:ascii="Times New Roman" w:hAnsi="Times New Roman" w:eastAsia="Times New Roman" w:cs="Times New Roman"/>
          <w:sz w:val="24"/>
          <w:szCs w:val="24"/>
        </w:rPr>
        <w:t>7</w:t>
      </w:r>
      <w:r>
        <w:rPr>
          <w:rFonts w:ascii="宋体" w:hAnsi="宋体" w:eastAsia="宋体" w:cs="宋体"/>
          <w:sz w:val="24"/>
          <w:szCs w:val="24"/>
        </w:rPr>
        <w:t>日，邵阳市环境保护局对该项目环境影响报告书进行了批复（邵市环评</w:t>
      </w:r>
      <w:r>
        <w:rPr>
          <w:rFonts w:ascii="Times New Roman" w:hAnsi="Times New Roman" w:eastAsia="Times New Roman" w:cs="Times New Roman"/>
          <w:spacing w:val="-2"/>
          <w:sz w:val="24"/>
          <w:szCs w:val="24"/>
        </w:rPr>
        <w:t>[2017]45</w:t>
      </w:r>
      <w:r>
        <w:rPr>
          <w:rFonts w:ascii="宋体" w:hAnsi="宋体" w:eastAsia="宋体" w:cs="宋体"/>
          <w:spacing w:val="-2"/>
          <w:sz w:val="24"/>
          <w:szCs w:val="24"/>
        </w:rPr>
        <w:t>号）。隆回县工业污水处理厂（一期）工程于</w:t>
      </w:r>
      <w:r>
        <w:rPr>
          <w:rFonts w:ascii="Times New Roman" w:hAnsi="Times New Roman" w:eastAsia="Times New Roman" w:cs="Times New Roman"/>
          <w:spacing w:val="-2"/>
          <w:sz w:val="24"/>
          <w:szCs w:val="24"/>
        </w:rPr>
        <w:t>2018</w:t>
      </w:r>
      <w:r>
        <w:rPr>
          <w:rFonts w:ascii="宋体" w:hAnsi="宋体" w:eastAsia="宋体" w:cs="宋体"/>
          <w:spacing w:val="-2"/>
          <w:sz w:val="24"/>
          <w:szCs w:val="24"/>
        </w:rPr>
        <w:t>年</w:t>
      </w:r>
      <w:r>
        <w:rPr>
          <w:rFonts w:ascii="Times New Roman" w:hAnsi="Times New Roman" w:eastAsia="Times New Roman" w:cs="Times New Roman"/>
          <w:spacing w:val="-2"/>
          <w:sz w:val="24"/>
          <w:szCs w:val="24"/>
        </w:rPr>
        <w:t>4</w:t>
      </w:r>
      <w:r>
        <w:rPr>
          <w:rFonts w:ascii="宋体" w:hAnsi="宋体" w:eastAsia="宋体" w:cs="宋体"/>
          <w:spacing w:val="-2"/>
          <w:sz w:val="24"/>
          <w:szCs w:val="24"/>
        </w:rPr>
        <w:t>月开工，</w:t>
      </w:r>
      <w:r>
        <w:rPr>
          <w:rFonts w:ascii="Times New Roman" w:hAnsi="Times New Roman" w:eastAsia="Times New Roman" w:cs="Times New Roman"/>
          <w:spacing w:val="-2"/>
          <w:sz w:val="24"/>
          <w:szCs w:val="24"/>
        </w:rPr>
        <w:t>2019</w:t>
      </w:r>
      <w:r>
        <w:rPr>
          <w:rFonts w:ascii="宋体" w:hAnsi="宋体" w:eastAsia="宋体" w:cs="宋体"/>
          <w:spacing w:val="-2"/>
          <w:sz w:val="24"/>
          <w:szCs w:val="24"/>
        </w:rPr>
        <w:t>年</w:t>
      </w:r>
      <w:r>
        <w:rPr>
          <w:rFonts w:ascii="Times New Roman" w:hAnsi="Times New Roman" w:eastAsia="Times New Roman" w:cs="Times New Roman"/>
          <w:spacing w:val="-1"/>
          <w:sz w:val="24"/>
          <w:szCs w:val="24"/>
        </w:rPr>
        <w:t>6</w:t>
      </w:r>
      <w:r>
        <w:rPr>
          <w:rFonts w:ascii="宋体" w:hAnsi="宋体" w:eastAsia="宋体" w:cs="宋体"/>
          <w:spacing w:val="-1"/>
          <w:sz w:val="24"/>
          <w:szCs w:val="24"/>
        </w:rPr>
        <w:t>月进入调整运营阶段。</w:t>
      </w:r>
      <w:r>
        <w:rPr>
          <w:rFonts w:ascii="Times New Roman" w:hAnsi="Times New Roman" w:eastAsia="Times New Roman" w:cs="Times New Roman"/>
          <w:spacing w:val="-1"/>
          <w:sz w:val="24"/>
          <w:szCs w:val="24"/>
        </w:rPr>
        <w:t>2020</w:t>
      </w:r>
      <w:r>
        <w:rPr>
          <w:rFonts w:ascii="宋体" w:hAnsi="宋体" w:eastAsia="宋体" w:cs="宋体"/>
          <w:spacing w:val="-1"/>
          <w:sz w:val="24"/>
          <w:szCs w:val="24"/>
        </w:rPr>
        <w:t>年</w:t>
      </w:r>
      <w:r>
        <w:rPr>
          <w:rFonts w:ascii="Times New Roman" w:hAnsi="Times New Roman" w:eastAsia="Times New Roman" w:cs="Times New Roman"/>
          <w:spacing w:val="-1"/>
          <w:sz w:val="24"/>
          <w:szCs w:val="24"/>
        </w:rPr>
        <w:t>6</w:t>
      </w:r>
      <w:r>
        <w:rPr>
          <w:rFonts w:ascii="宋体" w:hAnsi="宋体" w:eastAsia="宋体" w:cs="宋体"/>
          <w:spacing w:val="-1"/>
          <w:sz w:val="24"/>
          <w:szCs w:val="24"/>
        </w:rPr>
        <w:t>月</w:t>
      </w:r>
      <w:r>
        <w:rPr>
          <w:rFonts w:ascii="Times New Roman" w:hAnsi="Times New Roman" w:eastAsia="Times New Roman" w:cs="Times New Roman"/>
          <w:spacing w:val="-1"/>
          <w:sz w:val="24"/>
          <w:szCs w:val="24"/>
        </w:rPr>
        <w:t>4</w:t>
      </w:r>
      <w:r>
        <w:rPr>
          <w:rFonts w:ascii="宋体" w:hAnsi="宋体" w:eastAsia="宋体" w:cs="宋体"/>
          <w:spacing w:val="-1"/>
          <w:sz w:val="24"/>
          <w:szCs w:val="24"/>
        </w:rPr>
        <w:t>日完成自主环保验收并备案（邵生环隆分</w:t>
      </w:r>
      <w:r>
        <w:rPr>
          <w:rFonts w:ascii="宋体" w:hAnsi="宋体" w:eastAsia="宋体" w:cs="宋体"/>
          <w:sz w:val="24"/>
          <w:szCs w:val="24"/>
        </w:rPr>
        <w:t>自验备字</w:t>
      </w:r>
      <w:r>
        <w:rPr>
          <w:rFonts w:ascii="Times New Roman" w:hAnsi="Times New Roman" w:eastAsia="Times New Roman" w:cs="Times New Roman"/>
          <w:sz w:val="24"/>
          <w:szCs w:val="24"/>
        </w:rPr>
        <w:t>[2020]22</w:t>
      </w:r>
      <w:r>
        <w:rPr>
          <w:rFonts w:ascii="宋体" w:hAnsi="宋体" w:eastAsia="宋体" w:cs="宋体"/>
          <w:sz w:val="24"/>
          <w:szCs w:val="24"/>
        </w:rPr>
        <w:t>号）。</w:t>
      </w:r>
      <w:r>
        <w:rPr>
          <w:rFonts w:ascii="Times New Roman" w:hAnsi="Times New Roman" w:eastAsia="Times New Roman" w:cs="Times New Roman"/>
          <w:sz w:val="24"/>
          <w:szCs w:val="24"/>
        </w:rPr>
        <w:t>2022</w:t>
      </w:r>
      <w:r>
        <w:rPr>
          <w:rFonts w:ascii="宋体" w:hAnsi="宋体" w:eastAsia="宋体" w:cs="宋体"/>
          <w:sz w:val="24"/>
          <w:szCs w:val="24"/>
        </w:rPr>
        <w:t>年</w:t>
      </w:r>
      <w:r>
        <w:rPr>
          <w:rFonts w:ascii="Times New Roman" w:hAnsi="Times New Roman" w:eastAsia="Times New Roman" w:cs="Times New Roman"/>
          <w:sz w:val="24"/>
          <w:szCs w:val="24"/>
        </w:rPr>
        <w:t>6</w:t>
      </w:r>
      <w:r>
        <w:rPr>
          <w:rFonts w:ascii="宋体" w:hAnsi="宋体" w:eastAsia="宋体" w:cs="宋体"/>
          <w:sz w:val="24"/>
          <w:szCs w:val="24"/>
        </w:rPr>
        <w:t>月，隆回高新技术产业开发区管理委员会委托</w:t>
      </w:r>
      <w:r>
        <w:rPr>
          <w:rFonts w:ascii="宋体" w:hAnsi="宋体" w:eastAsia="宋体" w:cs="宋体"/>
          <w:spacing w:val="3"/>
          <w:sz w:val="24"/>
          <w:szCs w:val="24"/>
        </w:rPr>
        <w:t>编制了《隆回县工业污水处理厂（一期）工程入河排污口设置</w:t>
      </w:r>
      <w:r>
        <w:rPr>
          <w:rFonts w:ascii="宋体" w:hAnsi="宋体" w:eastAsia="宋体" w:cs="宋体"/>
          <w:spacing w:val="2"/>
          <w:sz w:val="24"/>
          <w:szCs w:val="24"/>
        </w:rPr>
        <w:t>论证报告》，并于</w:t>
      </w:r>
      <w:r>
        <w:rPr>
          <w:rFonts w:ascii="Times New Roman" w:hAnsi="Times New Roman" w:eastAsia="Times New Roman" w:cs="Times New Roman"/>
          <w:spacing w:val="-2"/>
          <w:sz w:val="24"/>
          <w:szCs w:val="24"/>
        </w:rPr>
        <w:t>2022</w:t>
      </w:r>
      <w:r>
        <w:rPr>
          <w:rFonts w:ascii="宋体" w:hAnsi="宋体" w:eastAsia="宋体" w:cs="宋体"/>
          <w:spacing w:val="-2"/>
          <w:sz w:val="24"/>
          <w:szCs w:val="24"/>
        </w:rPr>
        <w:t>年</w:t>
      </w:r>
      <w:r>
        <w:rPr>
          <w:rFonts w:ascii="Times New Roman" w:hAnsi="Times New Roman" w:eastAsia="Times New Roman" w:cs="Times New Roman"/>
          <w:spacing w:val="-2"/>
          <w:sz w:val="24"/>
          <w:szCs w:val="24"/>
        </w:rPr>
        <w:t>11</w:t>
      </w:r>
      <w:r>
        <w:rPr>
          <w:rFonts w:ascii="宋体" w:hAnsi="宋体" w:eastAsia="宋体" w:cs="宋体"/>
          <w:spacing w:val="-2"/>
          <w:sz w:val="24"/>
          <w:szCs w:val="24"/>
        </w:rPr>
        <w:t>月</w:t>
      </w:r>
      <w:r>
        <w:rPr>
          <w:rFonts w:ascii="Times New Roman" w:hAnsi="Times New Roman" w:eastAsia="Times New Roman" w:cs="Times New Roman"/>
          <w:spacing w:val="-2"/>
          <w:sz w:val="24"/>
          <w:szCs w:val="24"/>
        </w:rPr>
        <w:t>14</w:t>
      </w:r>
      <w:r>
        <w:rPr>
          <w:rFonts w:ascii="宋体" w:hAnsi="宋体" w:eastAsia="宋体" w:cs="宋体"/>
          <w:spacing w:val="-2"/>
          <w:sz w:val="24"/>
          <w:szCs w:val="24"/>
        </w:rPr>
        <w:t>日取得邵阳市生态环境局《关于</w:t>
      </w:r>
      <w:r>
        <w:rPr>
          <w:rFonts w:ascii="宋体" w:hAnsi="宋体" w:eastAsia="宋体" w:cs="宋体"/>
          <w:spacing w:val="-3"/>
          <w:sz w:val="24"/>
          <w:szCs w:val="24"/>
        </w:rPr>
        <w:t>隆回县工业污水处理厂（一期）</w:t>
      </w:r>
      <w:r>
        <w:rPr>
          <w:rFonts w:ascii="宋体" w:hAnsi="宋体" w:eastAsia="宋体" w:cs="宋体"/>
          <w:sz w:val="24"/>
          <w:szCs w:val="24"/>
        </w:rPr>
        <w:t>工程入河排污口设置的批复》（邵市环评（</w:t>
      </w:r>
      <w:r>
        <w:rPr>
          <w:rFonts w:ascii="Times New Roman" w:hAnsi="Times New Roman" w:eastAsia="Times New Roman" w:cs="Times New Roman"/>
          <w:sz w:val="24"/>
          <w:szCs w:val="24"/>
        </w:rPr>
        <w:t>4</w:t>
      </w:r>
      <w:r>
        <w:rPr>
          <w:rFonts w:ascii="宋体" w:hAnsi="宋体" w:eastAsia="宋体" w:cs="宋体"/>
          <w:sz w:val="24"/>
          <w:szCs w:val="24"/>
        </w:rPr>
        <w:t>）</w:t>
      </w:r>
      <w:r>
        <w:rPr>
          <w:rFonts w:ascii="Times New Roman" w:hAnsi="Times New Roman" w:eastAsia="Times New Roman" w:cs="Times New Roman"/>
          <w:sz w:val="24"/>
          <w:szCs w:val="24"/>
        </w:rPr>
        <w:t>[202</w:t>
      </w:r>
      <w:r>
        <w:rPr>
          <w:rFonts w:ascii="Times New Roman" w:hAnsi="Times New Roman" w:eastAsia="Times New Roman" w:cs="Times New Roman"/>
          <w:spacing w:val="-1"/>
          <w:sz w:val="24"/>
          <w:szCs w:val="24"/>
        </w:rPr>
        <w:t>2]22</w:t>
      </w:r>
      <w:r>
        <w:rPr>
          <w:rFonts w:ascii="宋体" w:hAnsi="宋体" w:eastAsia="宋体" w:cs="宋体"/>
          <w:spacing w:val="-1"/>
          <w:sz w:val="24"/>
          <w:szCs w:val="24"/>
        </w:rPr>
        <w:t>号）。</w:t>
      </w:r>
    </w:p>
    <w:p w14:paraId="0C7B4CDC">
      <w:pPr>
        <w:spacing w:before="6" w:line="359" w:lineRule="auto"/>
        <w:ind w:left="9" w:right="105" w:firstLine="507"/>
        <w:rPr>
          <w:rFonts w:ascii="宋体" w:hAnsi="宋体" w:eastAsia="宋体" w:cs="宋体"/>
          <w:sz w:val="24"/>
          <w:szCs w:val="24"/>
        </w:rPr>
      </w:pPr>
      <w:r>
        <w:rPr>
          <w:rFonts w:ascii="宋体" w:hAnsi="宋体" w:eastAsia="宋体" w:cs="宋体"/>
          <w:spacing w:val="-1"/>
          <w:sz w:val="24"/>
          <w:szCs w:val="24"/>
        </w:rPr>
        <w:t>以满足现状隆回县工业园区污水处理的要求，改善企业周边的水</w:t>
      </w:r>
      <w:r>
        <w:rPr>
          <w:rFonts w:ascii="宋体" w:hAnsi="宋体" w:eastAsia="宋体" w:cs="宋体"/>
          <w:spacing w:val="-2"/>
          <w:sz w:val="24"/>
          <w:szCs w:val="24"/>
        </w:rPr>
        <w:t>环境，降低</w:t>
      </w:r>
      <w:r>
        <w:rPr>
          <w:rFonts w:ascii="宋体" w:hAnsi="宋体" w:eastAsia="宋体" w:cs="宋体"/>
          <w:sz w:val="24"/>
          <w:szCs w:val="24"/>
        </w:rPr>
        <w:t>环境污染的风险，提升伏龙江、赧水流域生态环境，隆</w:t>
      </w:r>
      <w:r>
        <w:rPr>
          <w:rFonts w:ascii="宋体" w:hAnsi="宋体" w:eastAsia="宋体" w:cs="宋体"/>
          <w:spacing w:val="-1"/>
          <w:sz w:val="24"/>
          <w:szCs w:val="24"/>
        </w:rPr>
        <w:t>回县工业园开发建设投资</w:t>
      </w:r>
      <w:r>
        <w:rPr>
          <w:rFonts w:ascii="宋体" w:hAnsi="宋体" w:eastAsia="宋体" w:cs="宋体"/>
          <w:sz w:val="24"/>
          <w:szCs w:val="24"/>
        </w:rPr>
        <w:t>有限公司拟在现有工业污水处理厂厂内建设隆回工业</w:t>
      </w:r>
      <w:r>
        <w:rPr>
          <w:rFonts w:ascii="宋体" w:hAnsi="宋体" w:eastAsia="宋体" w:cs="宋体"/>
          <w:spacing w:val="-1"/>
          <w:sz w:val="24"/>
          <w:szCs w:val="24"/>
        </w:rPr>
        <w:t>污水处理厂提标扩容改造</w:t>
      </w:r>
    </w:p>
    <w:p w14:paraId="04E7BA95">
      <w:pPr>
        <w:spacing w:line="218" w:lineRule="auto"/>
        <w:ind w:left="21"/>
        <w:rPr>
          <w:rFonts w:ascii="宋体" w:hAnsi="宋体" w:eastAsia="宋体" w:cs="宋体"/>
          <w:sz w:val="24"/>
          <w:szCs w:val="24"/>
        </w:rPr>
      </w:pPr>
      <w:r>
        <w:rPr>
          <w:rFonts w:ascii="宋体" w:hAnsi="宋体" w:eastAsia="宋体" w:cs="宋体"/>
          <w:spacing w:val="-1"/>
          <w:sz w:val="24"/>
          <w:szCs w:val="24"/>
        </w:rPr>
        <w:t>（二期）工程，拟利用隆回县工业污水处理厂（一期）工程现有排污口。</w:t>
      </w:r>
    </w:p>
    <w:p w14:paraId="42C267DA">
      <w:pPr>
        <w:spacing w:before="182" w:line="359" w:lineRule="auto"/>
        <w:ind w:left="12" w:firstLine="478"/>
        <w:jc w:val="both"/>
        <w:rPr>
          <w:rFonts w:ascii="宋体" w:hAnsi="宋体" w:eastAsia="宋体" w:cs="宋体"/>
          <w:sz w:val="24"/>
          <w:szCs w:val="24"/>
        </w:rPr>
      </w:pPr>
      <w:r>
        <w:rPr>
          <w:rFonts w:ascii="宋体" w:hAnsi="宋体" w:eastAsia="宋体" w:cs="宋体"/>
          <w:spacing w:val="3"/>
          <w:sz w:val="24"/>
          <w:szCs w:val="24"/>
        </w:rPr>
        <w:t>本次审批入河排污口的责任主体为隆回县工业园开发建设投资有</w:t>
      </w:r>
      <w:r>
        <w:rPr>
          <w:rFonts w:ascii="宋体" w:hAnsi="宋体" w:eastAsia="宋体" w:cs="宋体"/>
          <w:spacing w:val="2"/>
          <w:sz w:val="24"/>
          <w:szCs w:val="24"/>
        </w:rPr>
        <w:t>限公司。本</w:t>
      </w:r>
      <w:r>
        <w:rPr>
          <w:rFonts w:ascii="宋体" w:hAnsi="宋体" w:eastAsia="宋体" w:cs="宋体"/>
          <w:spacing w:val="3"/>
          <w:sz w:val="24"/>
          <w:szCs w:val="24"/>
        </w:rPr>
        <w:t>次由隆回县工业园开发建设投资有限公司负责隆回</w:t>
      </w:r>
      <w:r>
        <w:rPr>
          <w:rFonts w:ascii="宋体" w:hAnsi="宋体" w:eastAsia="宋体" w:cs="宋体"/>
          <w:spacing w:val="2"/>
          <w:sz w:val="24"/>
          <w:szCs w:val="24"/>
        </w:rPr>
        <w:t>县工业污水处理厂进行提标扩</w:t>
      </w:r>
      <w:r>
        <w:rPr>
          <w:rFonts w:ascii="宋体" w:hAnsi="宋体" w:eastAsia="宋体" w:cs="宋体"/>
          <w:spacing w:val="-1"/>
          <w:sz w:val="24"/>
          <w:szCs w:val="24"/>
        </w:rPr>
        <w:t>容改造（二期）工程入河排污口设置论证报告工作。</w:t>
      </w:r>
    </w:p>
    <w:p w14:paraId="1693CB24">
      <w:pPr>
        <w:spacing w:before="1" w:line="219" w:lineRule="auto"/>
        <w:ind w:left="498"/>
        <w:rPr>
          <w:rFonts w:ascii="宋体" w:hAnsi="宋体" w:eastAsia="宋体" w:cs="宋体"/>
          <w:sz w:val="24"/>
          <w:szCs w:val="24"/>
        </w:rPr>
      </w:pPr>
      <w:r>
        <w:rPr>
          <w:rFonts w:ascii="宋体" w:hAnsi="宋体" w:eastAsia="宋体" w:cs="宋体"/>
          <w:spacing w:val="-1"/>
          <w:sz w:val="24"/>
          <w:szCs w:val="24"/>
        </w:rPr>
        <w:t>责任主体名称：隆回县工业园开发建设投资有限公司</w:t>
      </w:r>
    </w:p>
    <w:p w14:paraId="255786EB">
      <w:pPr>
        <w:spacing w:before="180" w:line="212" w:lineRule="auto"/>
        <w:ind w:left="498"/>
        <w:rPr>
          <w:rFonts w:ascii="Times New Roman" w:hAnsi="Times New Roman" w:eastAsia="Times New Roman" w:cs="Times New Roman"/>
          <w:sz w:val="24"/>
          <w:szCs w:val="24"/>
        </w:rPr>
      </w:pPr>
      <w:r>
        <w:rPr>
          <w:rFonts w:ascii="宋体" w:hAnsi="宋体" w:eastAsia="宋体" w:cs="宋体"/>
          <w:spacing w:val="-1"/>
          <w:sz w:val="24"/>
          <w:szCs w:val="24"/>
        </w:rPr>
        <w:t>责任主体单位性质：有限责任公司</w:t>
      </w:r>
      <w:r>
        <w:rPr>
          <w:rFonts w:ascii="Times New Roman" w:hAnsi="Times New Roman" w:eastAsia="Times New Roman" w:cs="Times New Roman"/>
          <w:spacing w:val="-1"/>
          <w:sz w:val="24"/>
          <w:szCs w:val="24"/>
        </w:rPr>
        <w:t>(</w:t>
      </w:r>
      <w:r>
        <w:rPr>
          <w:rFonts w:ascii="宋体" w:hAnsi="宋体" w:eastAsia="宋体" w:cs="宋体"/>
          <w:spacing w:val="-1"/>
          <w:sz w:val="24"/>
          <w:szCs w:val="24"/>
        </w:rPr>
        <w:t>国有独资</w:t>
      </w:r>
      <w:r>
        <w:rPr>
          <w:rFonts w:ascii="Times New Roman" w:hAnsi="Times New Roman" w:eastAsia="Times New Roman" w:cs="Times New Roman"/>
          <w:spacing w:val="-1"/>
          <w:sz w:val="24"/>
          <w:szCs w:val="24"/>
        </w:rPr>
        <w:t>)</w:t>
      </w:r>
    </w:p>
    <w:p w14:paraId="6F75DE19">
      <w:pPr>
        <w:spacing w:before="193" w:line="219" w:lineRule="auto"/>
        <w:jc w:val="right"/>
        <w:rPr>
          <w:rFonts w:ascii="宋体" w:hAnsi="宋体" w:eastAsia="宋体" w:cs="宋体"/>
          <w:sz w:val="24"/>
          <w:szCs w:val="24"/>
        </w:rPr>
      </w:pPr>
      <w:r>
        <w:rPr>
          <w:rFonts w:ascii="宋体" w:hAnsi="宋体" w:eastAsia="宋体" w:cs="宋体"/>
          <w:spacing w:val="3"/>
          <w:sz w:val="24"/>
          <w:szCs w:val="24"/>
        </w:rPr>
        <w:t>责任主体地址：湖南省隆回县桃花坪街道江湾</w:t>
      </w:r>
      <w:r>
        <w:rPr>
          <w:rFonts w:ascii="宋体" w:hAnsi="宋体" w:eastAsia="宋体" w:cs="宋体"/>
          <w:spacing w:val="2"/>
          <w:sz w:val="24"/>
          <w:szCs w:val="24"/>
        </w:rPr>
        <w:t>社区恒祥国际六楼（隆回县恒</w:t>
      </w:r>
    </w:p>
    <w:p w14:paraId="7E85DD31">
      <w:pPr>
        <w:spacing w:before="183" w:line="219" w:lineRule="auto"/>
        <w:ind w:left="10"/>
        <w:rPr>
          <w:rFonts w:ascii="宋体" w:hAnsi="宋体" w:eastAsia="宋体" w:cs="宋体"/>
          <w:sz w:val="24"/>
          <w:szCs w:val="24"/>
        </w:rPr>
      </w:pPr>
      <w:r>
        <w:rPr>
          <w:rFonts w:ascii="宋体" w:hAnsi="宋体" w:eastAsia="宋体" w:cs="宋体"/>
          <w:spacing w:val="-2"/>
          <w:sz w:val="24"/>
          <w:szCs w:val="24"/>
        </w:rPr>
        <w:t>祥彩印有限公司）</w:t>
      </w:r>
    </w:p>
    <w:p w14:paraId="09227E3E">
      <w:pPr>
        <w:spacing w:before="306" w:line="220" w:lineRule="auto"/>
        <w:ind w:left="7"/>
        <w:outlineLvl w:val="0"/>
        <w:rPr>
          <w:rFonts w:ascii="宋体" w:hAnsi="宋体" w:eastAsia="宋体" w:cs="宋体"/>
          <w:sz w:val="28"/>
          <w:szCs w:val="28"/>
        </w:rPr>
      </w:pPr>
      <w:bookmarkStart w:id="10" w:name="bookmark11"/>
      <w:bookmarkEnd w:id="10"/>
      <w:r>
        <w:rPr>
          <w:rFonts w:ascii="Times New Roman" w:hAnsi="Times New Roman" w:eastAsia="Times New Roman" w:cs="Times New Roman"/>
          <w:b/>
          <w:bCs/>
          <w:spacing w:val="-4"/>
          <w:sz w:val="28"/>
          <w:szCs w:val="28"/>
        </w:rPr>
        <w:t>2.2</w:t>
      </w:r>
      <w:r>
        <w:rPr>
          <w:rFonts w:ascii="宋体" w:hAnsi="宋体" w:eastAsia="宋体" w:cs="宋体"/>
          <w:b/>
          <w:bCs/>
          <w:spacing w:val="-4"/>
          <w:sz w:val="28"/>
          <w:szCs w:val="28"/>
        </w:rPr>
        <w:t>责任主体生产经营状况</w:t>
      </w:r>
    </w:p>
    <w:p w14:paraId="60636342">
      <w:pPr>
        <w:spacing w:before="206" w:line="360" w:lineRule="auto"/>
        <w:ind w:left="5" w:firstLine="499"/>
        <w:jc w:val="both"/>
        <w:rPr>
          <w:rFonts w:ascii="宋体" w:hAnsi="宋体" w:eastAsia="宋体" w:cs="宋体"/>
          <w:sz w:val="24"/>
          <w:szCs w:val="24"/>
        </w:rPr>
      </w:pPr>
      <w:r>
        <w:rPr>
          <w:rFonts w:ascii="宋体" w:hAnsi="宋体" w:eastAsia="宋体" w:cs="宋体"/>
          <w:spacing w:val="2"/>
          <w:sz w:val="24"/>
          <w:szCs w:val="24"/>
        </w:rPr>
        <w:t>隆回县工业园开发建设投资有限公司会目前正常运营，为隆回高新技术产业</w:t>
      </w:r>
      <w:r>
        <w:rPr>
          <w:rFonts w:ascii="宋体" w:hAnsi="宋体" w:eastAsia="宋体" w:cs="宋体"/>
          <w:spacing w:val="10"/>
          <w:sz w:val="24"/>
          <w:szCs w:val="24"/>
        </w:rPr>
        <w:t>开发区管理委员会的全资子公司。隆回县工业园开发建设投资有限公司</w:t>
      </w:r>
      <w:r>
        <w:rPr>
          <w:rFonts w:ascii="宋体" w:hAnsi="宋体" w:eastAsia="宋体" w:cs="宋体"/>
          <w:spacing w:val="9"/>
          <w:sz w:val="24"/>
          <w:szCs w:val="24"/>
        </w:rPr>
        <w:t>成立于</w:t>
      </w:r>
      <w:r>
        <w:rPr>
          <w:rFonts w:ascii="Times New Roman" w:hAnsi="Times New Roman" w:eastAsia="Times New Roman" w:cs="Times New Roman"/>
          <w:spacing w:val="-2"/>
          <w:sz w:val="24"/>
          <w:szCs w:val="24"/>
        </w:rPr>
        <w:t>2006</w:t>
      </w:r>
      <w:r>
        <w:rPr>
          <w:rFonts w:ascii="宋体" w:hAnsi="宋体" w:eastAsia="宋体" w:cs="宋体"/>
          <w:spacing w:val="-2"/>
          <w:sz w:val="24"/>
          <w:szCs w:val="24"/>
        </w:rPr>
        <w:t>年</w:t>
      </w:r>
      <w:r>
        <w:rPr>
          <w:rFonts w:ascii="Times New Roman" w:hAnsi="Times New Roman" w:eastAsia="Times New Roman" w:cs="Times New Roman"/>
          <w:spacing w:val="-2"/>
          <w:sz w:val="24"/>
          <w:szCs w:val="24"/>
        </w:rPr>
        <w:t>03</w:t>
      </w:r>
      <w:r>
        <w:rPr>
          <w:rFonts w:ascii="宋体" w:hAnsi="宋体" w:eastAsia="宋体" w:cs="宋体"/>
          <w:spacing w:val="-2"/>
          <w:sz w:val="24"/>
          <w:szCs w:val="24"/>
        </w:rPr>
        <w:t>月</w:t>
      </w:r>
      <w:r>
        <w:rPr>
          <w:rFonts w:ascii="Times New Roman" w:hAnsi="Times New Roman" w:eastAsia="Times New Roman" w:cs="Times New Roman"/>
          <w:spacing w:val="-2"/>
          <w:sz w:val="24"/>
          <w:szCs w:val="24"/>
        </w:rPr>
        <w:t>15</w:t>
      </w:r>
      <w:r>
        <w:rPr>
          <w:rFonts w:ascii="宋体" w:hAnsi="宋体" w:eastAsia="宋体" w:cs="宋体"/>
          <w:spacing w:val="-2"/>
          <w:sz w:val="24"/>
          <w:szCs w:val="24"/>
        </w:rPr>
        <w:t>日。企业的经营范围主要为：产业园区及配套设施项目的建设与</w:t>
      </w:r>
      <w:r>
        <w:rPr>
          <w:rFonts w:ascii="宋体" w:hAnsi="宋体" w:eastAsia="宋体" w:cs="宋体"/>
          <w:spacing w:val="1"/>
          <w:sz w:val="24"/>
          <w:szCs w:val="24"/>
        </w:rPr>
        <w:t>管理；物业管理；项目投资、公共基础设施建设；自有厂房租赁、出售；污水处</w:t>
      </w:r>
      <w:r>
        <w:rPr>
          <w:rFonts w:ascii="宋体" w:hAnsi="宋体" w:eastAsia="宋体" w:cs="宋体"/>
          <w:spacing w:val="-1"/>
          <w:sz w:val="24"/>
          <w:szCs w:val="24"/>
        </w:rPr>
        <w:t>理及再生利用。</w:t>
      </w:r>
    </w:p>
    <w:p w14:paraId="57C186F1">
      <w:pPr>
        <w:spacing w:line="360" w:lineRule="auto"/>
        <w:rPr>
          <w:rFonts w:ascii="宋体" w:hAnsi="宋体" w:eastAsia="宋体" w:cs="宋体"/>
          <w:sz w:val="24"/>
          <w:szCs w:val="24"/>
        </w:rPr>
        <w:sectPr>
          <w:headerReference r:id="rId18" w:type="default"/>
          <w:footerReference r:id="rId19" w:type="default"/>
          <w:pgSz w:w="11907" w:h="16840"/>
          <w:pgMar w:top="1132" w:right="1699" w:bottom="1259" w:left="1701" w:header="829" w:footer="1097" w:gutter="0"/>
          <w:cols w:space="720" w:num="1"/>
        </w:sectPr>
      </w:pPr>
    </w:p>
    <w:p w14:paraId="5239108B">
      <w:pPr>
        <w:spacing w:before="334" w:line="224" w:lineRule="auto"/>
        <w:ind w:left="2208"/>
        <w:rPr>
          <w:rFonts w:ascii="宋体" w:hAnsi="宋体" w:eastAsia="宋体" w:cs="宋体"/>
          <w:sz w:val="31"/>
          <w:szCs w:val="31"/>
        </w:rPr>
      </w:pPr>
      <w:bookmarkStart w:id="11" w:name="bookmark12"/>
      <w:bookmarkEnd w:id="11"/>
      <w:r>
        <w:rPr>
          <w:rFonts w:ascii="Times New Roman" w:hAnsi="Times New Roman" w:eastAsia="Times New Roman" w:cs="Times New Roman"/>
          <w:b/>
          <w:bCs/>
          <w:spacing w:val="6"/>
          <w:sz w:val="31"/>
          <w:szCs w:val="31"/>
        </w:rPr>
        <w:t>3</w:t>
      </w:r>
      <w:r>
        <w:rPr>
          <w:rFonts w:ascii="宋体" w:hAnsi="宋体" w:eastAsia="宋体" w:cs="宋体"/>
          <w:b/>
          <w:bCs/>
          <w:spacing w:val="6"/>
          <w:sz w:val="31"/>
          <w:szCs w:val="31"/>
        </w:rPr>
        <w:t>建设项目基本情况及产排污分析</w:t>
      </w:r>
    </w:p>
    <w:p w14:paraId="2547F841">
      <w:pPr>
        <w:pStyle w:val="2"/>
        <w:spacing w:line="353" w:lineRule="auto"/>
      </w:pPr>
    </w:p>
    <w:p w14:paraId="15C1B078">
      <w:pPr>
        <w:spacing w:before="91" w:line="219" w:lineRule="auto"/>
        <w:ind w:left="5"/>
        <w:outlineLvl w:val="1"/>
        <w:rPr>
          <w:rFonts w:ascii="宋体" w:hAnsi="宋体" w:eastAsia="宋体" w:cs="宋体"/>
          <w:sz w:val="28"/>
          <w:szCs w:val="28"/>
        </w:rPr>
      </w:pPr>
      <w:bookmarkStart w:id="12" w:name="bookmark13"/>
      <w:bookmarkEnd w:id="12"/>
      <w:r>
        <w:rPr>
          <w:rFonts w:ascii="Times New Roman" w:hAnsi="Times New Roman" w:eastAsia="Times New Roman" w:cs="Times New Roman"/>
          <w:b/>
          <w:bCs/>
          <w:spacing w:val="-3"/>
          <w:sz w:val="28"/>
          <w:szCs w:val="28"/>
        </w:rPr>
        <w:t>3.1</w:t>
      </w:r>
      <w:r>
        <w:rPr>
          <w:rFonts w:ascii="宋体" w:hAnsi="宋体" w:eastAsia="宋体" w:cs="宋体"/>
          <w:b/>
          <w:bCs/>
          <w:spacing w:val="-3"/>
          <w:sz w:val="28"/>
          <w:szCs w:val="28"/>
        </w:rPr>
        <w:t>隆回县工业污水处理厂（二期）工程</w:t>
      </w:r>
      <w:r>
        <w:rPr>
          <w:rFonts w:ascii="宋体" w:hAnsi="宋体" w:eastAsia="宋体" w:cs="宋体"/>
          <w:b/>
          <w:bCs/>
          <w:spacing w:val="-4"/>
          <w:sz w:val="28"/>
          <w:szCs w:val="28"/>
        </w:rPr>
        <w:t>基本情况</w:t>
      </w:r>
    </w:p>
    <w:p w14:paraId="34EE1BC2">
      <w:pPr>
        <w:spacing w:before="209" w:line="220" w:lineRule="auto"/>
        <w:ind w:left="5"/>
        <w:outlineLvl w:val="2"/>
        <w:rPr>
          <w:rFonts w:ascii="宋体" w:hAnsi="宋体" w:eastAsia="宋体" w:cs="宋体"/>
          <w:sz w:val="28"/>
          <w:szCs w:val="28"/>
        </w:rPr>
      </w:pPr>
      <w:r>
        <w:rPr>
          <w:rFonts w:ascii="Times New Roman" w:hAnsi="Times New Roman" w:eastAsia="Times New Roman" w:cs="Times New Roman"/>
          <w:b/>
          <w:bCs/>
          <w:spacing w:val="-2"/>
          <w:sz w:val="28"/>
          <w:szCs w:val="28"/>
        </w:rPr>
        <w:t>3.1.1</w:t>
      </w:r>
      <w:r>
        <w:rPr>
          <w:rFonts w:ascii="宋体" w:hAnsi="宋体" w:eastAsia="宋体" w:cs="宋体"/>
          <w:b/>
          <w:bCs/>
          <w:spacing w:val="-2"/>
          <w:sz w:val="28"/>
          <w:szCs w:val="28"/>
        </w:rPr>
        <w:t>工程概况</w:t>
      </w:r>
    </w:p>
    <w:p w14:paraId="7CD1F93E">
      <w:pPr>
        <w:spacing w:before="205" w:line="219" w:lineRule="auto"/>
        <w:ind w:left="493"/>
        <w:rPr>
          <w:rFonts w:ascii="宋体" w:hAnsi="宋体" w:eastAsia="宋体" w:cs="宋体"/>
          <w:sz w:val="24"/>
          <w:szCs w:val="24"/>
        </w:rPr>
      </w:pPr>
      <w:r>
        <w:rPr>
          <w:rFonts w:ascii="宋体" w:hAnsi="宋体" w:eastAsia="宋体" w:cs="宋体"/>
          <w:spacing w:val="-1"/>
          <w:sz w:val="24"/>
          <w:szCs w:val="24"/>
        </w:rPr>
        <w:t>项目名称：隆回县工业污水处理厂进行提标扩容改造（二期）工程；</w:t>
      </w:r>
    </w:p>
    <w:p w14:paraId="688EC5DF">
      <w:pPr>
        <w:spacing w:before="183" w:line="220" w:lineRule="auto"/>
        <w:ind w:left="493"/>
        <w:rPr>
          <w:rFonts w:ascii="宋体" w:hAnsi="宋体" w:eastAsia="宋体" w:cs="宋体"/>
          <w:sz w:val="24"/>
          <w:szCs w:val="24"/>
        </w:rPr>
      </w:pPr>
      <w:r>
        <w:rPr>
          <w:rFonts w:ascii="宋体" w:hAnsi="宋体" w:eastAsia="宋体" w:cs="宋体"/>
          <w:spacing w:val="-2"/>
          <w:sz w:val="24"/>
          <w:szCs w:val="24"/>
        </w:rPr>
        <w:t>项目性质：扩建；</w:t>
      </w:r>
    </w:p>
    <w:p w14:paraId="685B92A2">
      <w:pPr>
        <w:spacing w:before="182" w:line="219" w:lineRule="auto"/>
        <w:ind w:left="493"/>
        <w:rPr>
          <w:rFonts w:ascii="宋体" w:hAnsi="宋体" w:eastAsia="宋体" w:cs="宋体"/>
          <w:sz w:val="24"/>
          <w:szCs w:val="24"/>
        </w:rPr>
      </w:pPr>
      <w:r>
        <w:rPr>
          <w:rFonts w:ascii="宋体" w:hAnsi="宋体" w:eastAsia="宋体" w:cs="宋体"/>
          <w:spacing w:val="10"/>
          <w:sz w:val="24"/>
          <w:szCs w:val="24"/>
        </w:rPr>
        <w:t>项目地点：隆回工业集中区沿江北路与寺山三路交汇处，中心点坐标：</w:t>
      </w:r>
    </w:p>
    <w:p w14:paraId="5CBC0465">
      <w:pPr>
        <w:spacing w:before="181" w:line="359" w:lineRule="auto"/>
        <w:ind w:left="5" w:right="119"/>
        <w:rPr>
          <w:rFonts w:ascii="宋体" w:hAnsi="宋体" w:eastAsia="宋体" w:cs="宋体"/>
          <w:sz w:val="24"/>
          <w:szCs w:val="24"/>
        </w:rPr>
      </w:pPr>
      <w:r>
        <w:rPr>
          <w:rFonts w:ascii="Times New Roman" w:hAnsi="Times New Roman" w:eastAsia="Times New Roman" w:cs="Times New Roman"/>
          <w:sz w:val="24"/>
          <w:szCs w:val="24"/>
        </w:rPr>
        <w:t>EE</w:t>
      </w:r>
      <w:r>
        <w:rPr>
          <w:rFonts w:ascii="Times New Roman" w:hAnsi="Times New Roman" w:eastAsia="Times New Roman" w:cs="Times New Roman"/>
          <w:spacing w:val="1"/>
          <w:sz w:val="24"/>
          <w:szCs w:val="24"/>
        </w:rPr>
        <w:t>111°3′7.40″</w:t>
      </w:r>
      <w:r>
        <w:rPr>
          <w:rFonts w:ascii="宋体" w:hAnsi="宋体" w:eastAsia="宋体" w:cs="宋体"/>
          <w:spacing w:val="1"/>
          <w:sz w:val="24"/>
          <w:szCs w:val="24"/>
        </w:rPr>
        <w:t>，</w:t>
      </w:r>
      <w:r>
        <w:rPr>
          <w:rFonts w:ascii="Times New Roman" w:hAnsi="Times New Roman" w:eastAsia="Times New Roman" w:cs="Times New Roman"/>
          <w:spacing w:val="1"/>
          <w:sz w:val="24"/>
          <w:szCs w:val="24"/>
        </w:rPr>
        <w:t>N27°5′22.16″</w:t>
      </w:r>
      <w:r>
        <w:rPr>
          <w:rFonts w:ascii="宋体" w:hAnsi="宋体" w:eastAsia="宋体" w:cs="宋体"/>
          <w:spacing w:val="1"/>
          <w:sz w:val="24"/>
          <w:szCs w:val="24"/>
        </w:rPr>
        <w:t>。入河排</w:t>
      </w:r>
      <w:r>
        <w:rPr>
          <w:rFonts w:ascii="宋体" w:hAnsi="宋体" w:eastAsia="宋体" w:cs="宋体"/>
          <w:sz w:val="24"/>
          <w:szCs w:val="24"/>
        </w:rPr>
        <w:t>污口（元木山电站下游</w:t>
      </w:r>
      <w:r>
        <w:rPr>
          <w:rFonts w:ascii="Times New Roman" w:hAnsi="Times New Roman" w:eastAsia="Times New Roman" w:cs="Times New Roman"/>
          <w:sz w:val="24"/>
          <w:szCs w:val="24"/>
        </w:rPr>
        <w:t>2.8m</w:t>
      </w:r>
      <w:r>
        <w:rPr>
          <w:rFonts w:ascii="宋体" w:hAnsi="宋体" w:eastAsia="宋体" w:cs="宋体"/>
          <w:sz w:val="24"/>
          <w:szCs w:val="24"/>
        </w:rPr>
        <w:t>处）坐标：</w:t>
      </w:r>
      <w:r>
        <w:rPr>
          <w:rFonts w:ascii="Times New Roman" w:hAnsi="Times New Roman" w:eastAsia="Times New Roman" w:cs="Times New Roman"/>
          <w:spacing w:val="-3"/>
          <w:sz w:val="24"/>
          <w:szCs w:val="24"/>
        </w:rPr>
        <w:t>E111°3′22.36752″</w:t>
      </w:r>
      <w:r>
        <w:rPr>
          <w:rFonts w:ascii="宋体" w:hAnsi="宋体" w:eastAsia="宋体" w:cs="宋体"/>
          <w:spacing w:val="-3"/>
          <w:sz w:val="24"/>
          <w:szCs w:val="24"/>
        </w:rPr>
        <w:t>，</w:t>
      </w:r>
      <w:r>
        <w:rPr>
          <w:rFonts w:ascii="Times New Roman" w:hAnsi="Times New Roman" w:eastAsia="Times New Roman" w:cs="Times New Roman"/>
          <w:spacing w:val="-3"/>
          <w:sz w:val="24"/>
          <w:szCs w:val="24"/>
        </w:rPr>
        <w:t>N27°4′46.315056″</w:t>
      </w:r>
      <w:r>
        <w:rPr>
          <w:rFonts w:ascii="宋体" w:hAnsi="宋体" w:eastAsia="宋体" w:cs="宋体"/>
          <w:spacing w:val="-3"/>
          <w:sz w:val="24"/>
          <w:szCs w:val="24"/>
        </w:rPr>
        <w:t>；</w:t>
      </w:r>
    </w:p>
    <w:p w14:paraId="2A00F8CA">
      <w:pPr>
        <w:spacing w:line="219" w:lineRule="auto"/>
        <w:ind w:left="492"/>
        <w:rPr>
          <w:rFonts w:ascii="宋体" w:hAnsi="宋体" w:eastAsia="宋体" w:cs="宋体"/>
          <w:sz w:val="24"/>
          <w:szCs w:val="24"/>
        </w:rPr>
      </w:pPr>
      <w:r>
        <w:rPr>
          <w:rFonts w:ascii="宋体" w:hAnsi="宋体" w:eastAsia="宋体" w:cs="宋体"/>
          <w:spacing w:val="-1"/>
          <w:sz w:val="24"/>
          <w:szCs w:val="24"/>
        </w:rPr>
        <w:t>建设单位：隆回县工业园开发建设投资有限公司；</w:t>
      </w:r>
    </w:p>
    <w:p w14:paraId="4B83B3C3">
      <w:pPr>
        <w:spacing w:before="181" w:line="360" w:lineRule="auto"/>
        <w:ind w:left="11" w:right="59" w:firstLine="481"/>
        <w:rPr>
          <w:rFonts w:ascii="宋体" w:hAnsi="宋体" w:eastAsia="宋体" w:cs="宋体"/>
          <w:sz w:val="24"/>
          <w:szCs w:val="24"/>
        </w:rPr>
      </w:pPr>
      <w:r>
        <w:rPr>
          <w:rFonts w:ascii="宋体" w:hAnsi="宋体" w:eastAsia="宋体" w:cs="宋体"/>
          <w:spacing w:val="3"/>
          <w:sz w:val="24"/>
          <w:szCs w:val="24"/>
        </w:rPr>
        <w:t>项目占地：本工程将在隆回县工业园污水处理厂现</w:t>
      </w:r>
      <w:r>
        <w:rPr>
          <w:rFonts w:ascii="宋体" w:hAnsi="宋体" w:eastAsia="宋体" w:cs="宋体"/>
          <w:spacing w:val="2"/>
          <w:sz w:val="24"/>
          <w:szCs w:val="24"/>
        </w:rPr>
        <w:t>状预留用地上建设，预留</w:t>
      </w:r>
      <w:r>
        <w:rPr>
          <w:rFonts w:ascii="宋体" w:hAnsi="宋体" w:eastAsia="宋体" w:cs="宋体"/>
          <w:spacing w:val="-1"/>
          <w:sz w:val="24"/>
          <w:szCs w:val="24"/>
        </w:rPr>
        <w:t>用地基本满足扩建要求，厂区部分无需新征土地；</w:t>
      </w:r>
    </w:p>
    <w:p w14:paraId="42CBBCCB">
      <w:pPr>
        <w:spacing w:line="359" w:lineRule="auto"/>
        <w:ind w:left="12" w:right="58" w:firstLine="480"/>
        <w:rPr>
          <w:rFonts w:ascii="宋体" w:hAnsi="宋体" w:eastAsia="宋体" w:cs="宋体"/>
          <w:sz w:val="24"/>
          <w:szCs w:val="24"/>
        </w:rPr>
      </w:pPr>
      <w:r>
        <w:rPr>
          <w:rFonts w:ascii="宋体" w:hAnsi="宋体" w:eastAsia="宋体" w:cs="宋体"/>
          <w:spacing w:val="3"/>
          <w:sz w:val="24"/>
          <w:szCs w:val="24"/>
        </w:rPr>
        <w:t>项目工艺：厂外污水→粗格栅及提升泵站→细格栅及</w:t>
      </w:r>
      <w:r>
        <w:rPr>
          <w:rFonts w:ascii="宋体" w:hAnsi="宋体" w:eastAsia="宋体" w:cs="宋体"/>
          <w:spacing w:val="2"/>
          <w:sz w:val="24"/>
          <w:szCs w:val="24"/>
        </w:rPr>
        <w:t>旋流沉砂池→调节池→</w:t>
      </w:r>
      <w:r>
        <w:rPr>
          <w:rFonts w:ascii="宋体" w:hAnsi="宋体" w:eastAsia="宋体" w:cs="宋体"/>
          <w:spacing w:val="-2"/>
          <w:sz w:val="24"/>
          <w:szCs w:val="24"/>
        </w:rPr>
        <w:t>水解酸化池→</w:t>
      </w:r>
      <w:r>
        <w:rPr>
          <w:rFonts w:ascii="Times New Roman" w:hAnsi="Times New Roman" w:eastAsia="Times New Roman" w:cs="Times New Roman"/>
          <w:spacing w:val="-2"/>
          <w:sz w:val="24"/>
          <w:szCs w:val="24"/>
        </w:rPr>
        <w:t>AAO</w:t>
      </w:r>
      <w:r>
        <w:rPr>
          <w:rFonts w:ascii="宋体" w:hAnsi="宋体" w:eastAsia="宋体" w:cs="宋体"/>
          <w:spacing w:val="-2"/>
          <w:sz w:val="24"/>
          <w:szCs w:val="24"/>
        </w:rPr>
        <w:t>生化池→二沉池→</w:t>
      </w:r>
      <w:r>
        <w:rPr>
          <w:rFonts w:ascii="Times New Roman" w:hAnsi="Times New Roman" w:eastAsia="Times New Roman" w:cs="Times New Roman"/>
          <w:spacing w:val="-2"/>
          <w:sz w:val="24"/>
          <w:szCs w:val="24"/>
        </w:rPr>
        <w:t>V</w:t>
      </w:r>
      <w:r>
        <w:rPr>
          <w:rFonts w:ascii="宋体" w:hAnsi="宋体" w:eastAsia="宋体" w:cs="宋体"/>
          <w:spacing w:val="-2"/>
          <w:sz w:val="24"/>
          <w:szCs w:val="24"/>
        </w:rPr>
        <w:t>型滤池→紫外光消毒池→出水；</w:t>
      </w:r>
    </w:p>
    <w:p w14:paraId="17F83ADB">
      <w:pPr>
        <w:spacing w:line="219" w:lineRule="auto"/>
        <w:ind w:left="492"/>
        <w:rPr>
          <w:rFonts w:ascii="宋体" w:hAnsi="宋体" w:eastAsia="宋体" w:cs="宋体"/>
          <w:sz w:val="24"/>
          <w:szCs w:val="24"/>
        </w:rPr>
      </w:pPr>
      <w:r>
        <w:rPr>
          <w:rFonts w:ascii="宋体" w:hAnsi="宋体" w:eastAsia="宋体" w:cs="宋体"/>
          <w:spacing w:val="-3"/>
          <w:sz w:val="24"/>
          <w:szCs w:val="24"/>
        </w:rPr>
        <w:t>建设规模：扩建工程处理规模为</w:t>
      </w:r>
      <w:r>
        <w:rPr>
          <w:rFonts w:ascii="Times New Roman" w:hAnsi="Times New Roman" w:eastAsia="Times New Roman" w:cs="Times New Roman"/>
          <w:spacing w:val="-3"/>
          <w:sz w:val="24"/>
          <w:szCs w:val="24"/>
        </w:rPr>
        <w:t>1.5</w:t>
      </w:r>
      <w:r>
        <w:rPr>
          <w:rFonts w:ascii="宋体" w:hAnsi="宋体" w:eastAsia="宋体" w:cs="宋体"/>
          <w:spacing w:val="-3"/>
          <w:sz w:val="24"/>
          <w:szCs w:val="24"/>
        </w:rPr>
        <w:t>万</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sz w:val="24"/>
          <w:szCs w:val="24"/>
        </w:rPr>
        <w:t>/d</w:t>
      </w:r>
      <w:r>
        <w:rPr>
          <w:rFonts w:ascii="宋体" w:hAnsi="宋体" w:eastAsia="宋体" w:cs="宋体"/>
          <w:spacing w:val="-3"/>
          <w:sz w:val="24"/>
          <w:szCs w:val="24"/>
        </w:rPr>
        <w:t>，扩建后处理规模为</w:t>
      </w:r>
      <w:r>
        <w:rPr>
          <w:rFonts w:ascii="Times New Roman" w:hAnsi="Times New Roman" w:eastAsia="Times New Roman" w:cs="Times New Roman"/>
          <w:spacing w:val="-3"/>
          <w:sz w:val="24"/>
          <w:szCs w:val="24"/>
        </w:rPr>
        <w:t>3</w:t>
      </w:r>
      <w:r>
        <w:rPr>
          <w:rFonts w:ascii="宋体" w:hAnsi="宋体" w:eastAsia="宋体" w:cs="宋体"/>
          <w:spacing w:val="-3"/>
          <w:sz w:val="24"/>
          <w:szCs w:val="24"/>
        </w:rPr>
        <w:t>万</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sz w:val="24"/>
          <w:szCs w:val="24"/>
        </w:rPr>
        <w:t>/d</w:t>
      </w:r>
      <w:r>
        <w:rPr>
          <w:rFonts w:ascii="宋体" w:hAnsi="宋体" w:eastAsia="宋体" w:cs="宋体"/>
          <w:spacing w:val="-3"/>
          <w:sz w:val="24"/>
          <w:szCs w:val="24"/>
        </w:rPr>
        <w:t>。</w:t>
      </w:r>
    </w:p>
    <w:p w14:paraId="325060B3">
      <w:pPr>
        <w:spacing w:before="181" w:line="359" w:lineRule="auto"/>
        <w:ind w:left="9" w:firstLine="480"/>
        <w:rPr>
          <w:rFonts w:ascii="宋体" w:hAnsi="宋体" w:eastAsia="宋体" w:cs="宋体"/>
          <w:sz w:val="24"/>
          <w:szCs w:val="24"/>
        </w:rPr>
      </w:pPr>
      <w:r>
        <w:rPr>
          <w:rFonts w:ascii="宋体" w:hAnsi="宋体" w:eastAsia="宋体" w:cs="宋体"/>
          <w:spacing w:val="-3"/>
          <w:sz w:val="24"/>
          <w:szCs w:val="24"/>
        </w:rPr>
        <w:t>服务范围：城东南工业主园区的寺山片区、集南片区和北山片区的工业废水；</w:t>
      </w:r>
      <w:r>
        <w:rPr>
          <w:rFonts w:ascii="宋体" w:hAnsi="宋体" w:eastAsia="宋体" w:cs="宋体"/>
          <w:spacing w:val="-1"/>
          <w:sz w:val="24"/>
          <w:szCs w:val="24"/>
        </w:rPr>
        <w:t>城东南小区生活污水。</w:t>
      </w:r>
    </w:p>
    <w:p w14:paraId="06F3D329">
      <w:pPr>
        <w:spacing w:before="2" w:line="360" w:lineRule="auto"/>
        <w:ind w:left="148" w:right="277" w:firstLine="480"/>
        <w:rPr>
          <w:rFonts w:ascii="宋体" w:hAnsi="宋体" w:eastAsia="宋体" w:cs="宋体"/>
          <w:sz w:val="24"/>
          <w:szCs w:val="24"/>
        </w:rPr>
      </w:pPr>
      <w:r>
        <w:rPr>
          <w:rFonts w:ascii="宋体" w:hAnsi="宋体" w:eastAsia="宋体" w:cs="宋体"/>
          <w:spacing w:val="-1"/>
          <w:sz w:val="24"/>
          <w:szCs w:val="24"/>
        </w:rPr>
        <w:t>尾水排放：本工程处理后的尾水达《城镇污水处理厂污染物排放标准》中</w:t>
      </w:r>
      <w:r>
        <w:rPr>
          <w:rFonts w:ascii="宋体" w:hAnsi="宋体" w:eastAsia="宋体" w:cs="宋体"/>
          <w:spacing w:val="-2"/>
          <w:sz w:val="24"/>
          <w:szCs w:val="24"/>
        </w:rPr>
        <w:t>一级标准</w:t>
      </w:r>
      <w:r>
        <w:rPr>
          <w:rFonts w:ascii="Times New Roman" w:hAnsi="Times New Roman" w:eastAsia="Times New Roman" w:cs="Times New Roman"/>
          <w:spacing w:val="-2"/>
          <w:sz w:val="24"/>
          <w:szCs w:val="24"/>
        </w:rPr>
        <w:t>A</w:t>
      </w:r>
      <w:r>
        <w:rPr>
          <w:rFonts w:ascii="宋体" w:hAnsi="宋体" w:eastAsia="宋体" w:cs="宋体"/>
          <w:spacing w:val="-2"/>
          <w:sz w:val="24"/>
          <w:szCs w:val="24"/>
        </w:rPr>
        <w:t>标准后，沿用一期工程已建好尾水排放管，</w:t>
      </w:r>
      <w:r>
        <w:rPr>
          <w:rFonts w:ascii="宋体" w:hAnsi="宋体" w:eastAsia="宋体" w:cs="宋体"/>
          <w:spacing w:val="-3"/>
          <w:sz w:val="24"/>
          <w:szCs w:val="24"/>
        </w:rPr>
        <w:t>与县城生活污水处理厂</w:t>
      </w:r>
      <w:r>
        <w:rPr>
          <w:rFonts w:ascii="宋体" w:hAnsi="宋体" w:eastAsia="宋体" w:cs="宋体"/>
          <w:spacing w:val="2"/>
          <w:sz w:val="24"/>
          <w:szCs w:val="24"/>
        </w:rPr>
        <w:t>尾水一起通过沿江北路敷设的排水管，排往赧水元木山电站下游约</w:t>
      </w:r>
      <w:r>
        <w:rPr>
          <w:rFonts w:ascii="Times New Roman" w:hAnsi="Times New Roman" w:eastAsia="Times New Roman" w:cs="Times New Roman"/>
          <w:spacing w:val="1"/>
          <w:sz w:val="24"/>
          <w:szCs w:val="24"/>
        </w:rPr>
        <w:t>2.8m</w:t>
      </w:r>
      <w:r>
        <w:rPr>
          <w:rFonts w:ascii="宋体" w:hAnsi="宋体" w:eastAsia="宋体" w:cs="宋体"/>
          <w:spacing w:val="1"/>
          <w:sz w:val="24"/>
          <w:szCs w:val="24"/>
        </w:rPr>
        <w:t>处。</w:t>
      </w:r>
      <w:r>
        <w:rPr>
          <w:rFonts w:ascii="宋体" w:hAnsi="宋体" w:eastAsia="宋体" w:cs="宋体"/>
          <w:spacing w:val="-1"/>
          <w:sz w:val="24"/>
          <w:szCs w:val="24"/>
        </w:rPr>
        <w:t>入河排污口设置在赧水左岸。</w:t>
      </w:r>
    </w:p>
    <w:p w14:paraId="0485ED0A">
      <w:pPr>
        <w:spacing w:line="360" w:lineRule="auto"/>
        <w:rPr>
          <w:rFonts w:ascii="宋体" w:hAnsi="宋体" w:eastAsia="宋体" w:cs="宋体"/>
          <w:sz w:val="24"/>
          <w:szCs w:val="24"/>
        </w:rPr>
        <w:sectPr>
          <w:headerReference r:id="rId20" w:type="default"/>
          <w:footerReference r:id="rId21" w:type="default"/>
          <w:pgSz w:w="11907" w:h="16840"/>
          <w:pgMar w:top="1132" w:right="1643" w:bottom="1259" w:left="1701" w:header="829" w:footer="1096" w:gutter="0"/>
          <w:cols w:space="720" w:num="1"/>
        </w:sectPr>
      </w:pPr>
    </w:p>
    <w:p w14:paraId="2C5DD6C9">
      <w:pPr>
        <w:pStyle w:val="2"/>
        <w:spacing w:line="281" w:lineRule="auto"/>
      </w:pPr>
    </w:p>
    <w:p w14:paraId="4C28CDCB">
      <w:pPr>
        <w:spacing w:line="6439" w:lineRule="exact"/>
      </w:pPr>
      <w:r>
        <w:rPr>
          <w:position w:val="-128"/>
        </w:rPr>
        <w:drawing>
          <wp:inline distT="0" distB="0" distL="0" distR="0">
            <wp:extent cx="5407025" cy="408876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98"/>
                    <a:stretch>
                      <a:fillRect/>
                    </a:stretch>
                  </pic:blipFill>
                  <pic:spPr>
                    <a:xfrm>
                      <a:off x="0" y="0"/>
                      <a:ext cx="5407152" cy="4088891"/>
                    </a:xfrm>
                    <a:prstGeom prst="rect">
                      <a:avLst/>
                    </a:prstGeom>
                  </pic:spPr>
                </pic:pic>
              </a:graphicData>
            </a:graphic>
          </wp:inline>
        </w:drawing>
      </w:r>
    </w:p>
    <w:p w14:paraId="6F1DD746">
      <w:pPr>
        <w:spacing w:before="174" w:line="213" w:lineRule="auto"/>
        <w:ind w:left="1624"/>
        <w:rPr>
          <w:rFonts w:ascii="宋体" w:hAnsi="宋体" w:eastAsia="宋体" w:cs="宋体"/>
          <w:sz w:val="24"/>
          <w:szCs w:val="24"/>
        </w:rPr>
      </w:pPr>
      <w:r>
        <w:rPr>
          <w:rFonts w:ascii="宋体" w:hAnsi="宋体" w:eastAsia="宋体" w:cs="宋体"/>
          <w:b/>
          <w:bCs/>
          <w:spacing w:val="-3"/>
          <w:sz w:val="24"/>
          <w:szCs w:val="24"/>
        </w:rPr>
        <w:t>图</w:t>
      </w:r>
      <w:r>
        <w:rPr>
          <w:rFonts w:ascii="Times New Roman" w:hAnsi="Times New Roman" w:eastAsia="Times New Roman" w:cs="Times New Roman"/>
          <w:b/>
          <w:bCs/>
          <w:spacing w:val="-3"/>
          <w:sz w:val="24"/>
          <w:szCs w:val="24"/>
        </w:rPr>
        <w:t>3.1-1</w:t>
      </w:r>
      <w:r>
        <w:rPr>
          <w:rFonts w:ascii="宋体" w:hAnsi="宋体" w:eastAsia="宋体" w:cs="宋体"/>
          <w:b/>
          <w:bCs/>
          <w:spacing w:val="-3"/>
          <w:sz w:val="24"/>
          <w:szCs w:val="24"/>
        </w:rPr>
        <w:t>工业污水处理厂现状纳污范围（黄色线）</w:t>
      </w:r>
    </w:p>
    <w:p w14:paraId="25727572">
      <w:pPr>
        <w:spacing w:line="6477" w:lineRule="exact"/>
      </w:pPr>
      <w:r>
        <w:rPr>
          <w:position w:val="-129"/>
        </w:rPr>
        <w:drawing>
          <wp:inline distT="0" distB="0" distL="0" distR="0">
            <wp:extent cx="5388610" cy="411289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99"/>
                    <a:stretch>
                      <a:fillRect/>
                    </a:stretch>
                  </pic:blipFill>
                  <pic:spPr>
                    <a:xfrm>
                      <a:off x="0" y="0"/>
                      <a:ext cx="5388863" cy="4113275"/>
                    </a:xfrm>
                    <a:prstGeom prst="rect">
                      <a:avLst/>
                    </a:prstGeom>
                  </pic:spPr>
                </pic:pic>
              </a:graphicData>
            </a:graphic>
          </wp:inline>
        </w:drawing>
      </w:r>
    </w:p>
    <w:p w14:paraId="5AA1B376">
      <w:pPr>
        <w:spacing w:before="191" w:line="219" w:lineRule="auto"/>
        <w:ind w:left="1864"/>
        <w:rPr>
          <w:rFonts w:ascii="宋体" w:hAnsi="宋体" w:eastAsia="宋体" w:cs="宋体"/>
          <w:sz w:val="24"/>
          <w:szCs w:val="24"/>
        </w:rPr>
      </w:pPr>
      <w:r>
        <w:rPr>
          <w:rFonts w:ascii="宋体" w:hAnsi="宋体" w:eastAsia="宋体" w:cs="宋体"/>
          <w:b/>
          <w:bCs/>
          <w:spacing w:val="-3"/>
          <w:sz w:val="24"/>
          <w:szCs w:val="24"/>
        </w:rPr>
        <w:t>图</w:t>
      </w:r>
      <w:r>
        <w:rPr>
          <w:rFonts w:ascii="Times New Roman" w:hAnsi="Times New Roman" w:eastAsia="Times New Roman" w:cs="Times New Roman"/>
          <w:b/>
          <w:bCs/>
          <w:spacing w:val="-3"/>
          <w:sz w:val="24"/>
          <w:szCs w:val="24"/>
        </w:rPr>
        <w:t>3.1-2</w:t>
      </w:r>
      <w:r>
        <w:rPr>
          <w:rFonts w:ascii="宋体" w:hAnsi="宋体" w:eastAsia="宋体" w:cs="宋体"/>
          <w:b/>
          <w:bCs/>
          <w:spacing w:val="-3"/>
          <w:sz w:val="24"/>
          <w:szCs w:val="24"/>
        </w:rPr>
        <w:t>工业污水处理厂远期纳污范围（黄色线）</w:t>
      </w:r>
    </w:p>
    <w:p w14:paraId="3AF52CB4">
      <w:pPr>
        <w:spacing w:line="219" w:lineRule="auto"/>
        <w:rPr>
          <w:rFonts w:ascii="宋体" w:hAnsi="宋体" w:eastAsia="宋体" w:cs="宋体"/>
          <w:sz w:val="24"/>
          <w:szCs w:val="24"/>
        </w:rPr>
        <w:sectPr>
          <w:headerReference r:id="rId22" w:type="default"/>
          <w:footerReference r:id="rId23" w:type="default"/>
          <w:pgSz w:w="11907" w:h="16840"/>
          <w:pgMar w:top="1132" w:right="1690" w:bottom="1259" w:left="1701" w:header="829" w:footer="1096" w:gutter="0"/>
          <w:cols w:space="720" w:num="1"/>
        </w:sectPr>
      </w:pPr>
    </w:p>
    <w:p w14:paraId="3E35ABE4">
      <w:pPr>
        <w:spacing w:before="325" w:line="220" w:lineRule="auto"/>
        <w:ind w:left="117"/>
        <w:outlineLvl w:val="2"/>
        <w:rPr>
          <w:rFonts w:ascii="宋体" w:hAnsi="宋体" w:eastAsia="宋体" w:cs="宋体"/>
          <w:sz w:val="28"/>
          <w:szCs w:val="28"/>
        </w:rPr>
      </w:pPr>
      <w:r>
        <w:rPr>
          <w:rFonts w:ascii="Times New Roman" w:hAnsi="Times New Roman" w:eastAsia="Times New Roman" w:cs="Times New Roman"/>
          <w:b/>
          <w:bCs/>
          <w:spacing w:val="-2"/>
          <w:sz w:val="28"/>
          <w:szCs w:val="28"/>
        </w:rPr>
        <w:t>3.1.2</w:t>
      </w:r>
      <w:r>
        <w:rPr>
          <w:rFonts w:ascii="宋体" w:hAnsi="宋体" w:eastAsia="宋体" w:cs="宋体"/>
          <w:b/>
          <w:bCs/>
          <w:spacing w:val="-2"/>
          <w:sz w:val="28"/>
          <w:szCs w:val="28"/>
        </w:rPr>
        <w:t>扩建项目建设内容</w:t>
      </w:r>
    </w:p>
    <w:p w14:paraId="1A3709D4">
      <w:pPr>
        <w:spacing w:before="204" w:line="359" w:lineRule="auto"/>
        <w:ind w:left="141" w:right="111" w:firstLine="476"/>
        <w:jc w:val="both"/>
        <w:rPr>
          <w:rFonts w:ascii="宋体" w:hAnsi="宋体" w:eastAsia="宋体" w:cs="宋体"/>
          <w:sz w:val="24"/>
          <w:szCs w:val="24"/>
        </w:rPr>
      </w:pPr>
      <w:r>
        <w:rPr>
          <w:rFonts w:ascii="宋体" w:hAnsi="宋体" w:eastAsia="宋体" w:cs="宋体"/>
          <w:sz w:val="24"/>
          <w:szCs w:val="24"/>
        </w:rPr>
        <w:t>隆回县工业园污水处理厂已建规模为</w:t>
      </w:r>
      <w:r>
        <w:rPr>
          <w:rFonts w:ascii="Times New Roman" w:hAnsi="Times New Roman" w:eastAsia="Times New Roman" w:cs="Times New Roman"/>
          <w:sz w:val="24"/>
          <w:szCs w:val="24"/>
        </w:rPr>
        <w:t>1.5</w:t>
      </w:r>
      <w:r>
        <w:rPr>
          <w:rFonts w:ascii="宋体" w:hAnsi="宋体" w:eastAsia="宋体" w:cs="宋体"/>
          <w:sz w:val="24"/>
          <w:szCs w:val="24"/>
        </w:rPr>
        <w:t>万</w:t>
      </w:r>
      <w:r>
        <w:rPr>
          <w:rFonts w:ascii="Times New Roman" w:hAnsi="Times New Roman" w:eastAsia="Times New Roman" w:cs="Times New Roman"/>
          <w:sz w:val="24"/>
          <w:szCs w:val="24"/>
        </w:rPr>
        <w:t>m</w:t>
      </w:r>
      <w:r>
        <w:rPr>
          <w:rFonts w:ascii="Times New Roman" w:hAnsi="Times New Roman" w:eastAsia="Times New Roman" w:cs="Times New Roman"/>
          <w:position w:val="7"/>
          <w:sz w:val="15"/>
          <w:szCs w:val="15"/>
        </w:rPr>
        <w:t>3</w:t>
      </w:r>
      <w:r>
        <w:rPr>
          <w:rFonts w:ascii="Times New Roman" w:hAnsi="Times New Roman" w:eastAsia="Times New Roman" w:cs="Times New Roman"/>
          <w:sz w:val="24"/>
          <w:szCs w:val="24"/>
        </w:rPr>
        <w:t>/d</w:t>
      </w:r>
      <w:r>
        <w:rPr>
          <w:rFonts w:ascii="宋体" w:hAnsi="宋体" w:eastAsia="宋体" w:cs="宋体"/>
          <w:sz w:val="24"/>
          <w:szCs w:val="24"/>
        </w:rPr>
        <w:t>，本工程拟在现状厂址扩建</w:t>
      </w:r>
      <w:r>
        <w:rPr>
          <w:rFonts w:ascii="Times New Roman" w:hAnsi="Times New Roman" w:eastAsia="Times New Roman" w:cs="Times New Roman"/>
          <w:spacing w:val="-10"/>
          <w:sz w:val="24"/>
          <w:szCs w:val="24"/>
        </w:rPr>
        <w:t>1.5</w:t>
      </w:r>
      <w:r>
        <w:rPr>
          <w:rFonts w:ascii="宋体" w:hAnsi="宋体" w:eastAsia="宋体" w:cs="宋体"/>
          <w:spacing w:val="-10"/>
          <w:sz w:val="24"/>
          <w:szCs w:val="24"/>
        </w:rPr>
        <w:t>万</w:t>
      </w:r>
      <w:r>
        <w:rPr>
          <w:rFonts w:ascii="Times New Roman" w:hAnsi="Times New Roman" w:eastAsia="Times New Roman" w:cs="Times New Roman"/>
          <w:spacing w:val="-10"/>
          <w:sz w:val="24"/>
          <w:szCs w:val="24"/>
        </w:rPr>
        <w:t>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sz w:val="24"/>
          <w:szCs w:val="24"/>
        </w:rPr>
        <w:t>/d</w:t>
      </w:r>
      <w:r>
        <w:rPr>
          <w:rFonts w:ascii="宋体" w:hAnsi="宋体" w:eastAsia="宋体" w:cs="宋体"/>
          <w:spacing w:val="-3"/>
          <w:sz w:val="24"/>
          <w:szCs w:val="24"/>
        </w:rPr>
        <w:t>的工业污水处理系统，扩建后总规模达</w:t>
      </w:r>
      <w:r>
        <w:rPr>
          <w:rFonts w:ascii="Times New Roman" w:hAnsi="Times New Roman" w:eastAsia="Times New Roman" w:cs="Times New Roman"/>
          <w:spacing w:val="-3"/>
          <w:sz w:val="24"/>
          <w:szCs w:val="24"/>
        </w:rPr>
        <w:t>3.0</w:t>
      </w:r>
      <w:r>
        <w:rPr>
          <w:rFonts w:ascii="宋体" w:hAnsi="宋体" w:eastAsia="宋体" w:cs="宋体"/>
          <w:spacing w:val="-3"/>
          <w:sz w:val="24"/>
          <w:szCs w:val="24"/>
        </w:rPr>
        <w:t>万</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sz w:val="24"/>
          <w:szCs w:val="24"/>
        </w:rPr>
        <w:t>/d</w:t>
      </w:r>
      <w:r>
        <w:rPr>
          <w:rFonts w:ascii="宋体" w:hAnsi="宋体" w:eastAsia="宋体" w:cs="宋体"/>
          <w:spacing w:val="-4"/>
          <w:sz w:val="24"/>
          <w:szCs w:val="24"/>
        </w:rPr>
        <w:t>。扩建工程主要建设</w:t>
      </w:r>
      <w:r>
        <w:rPr>
          <w:rFonts w:ascii="宋体" w:hAnsi="宋体" w:eastAsia="宋体" w:cs="宋体"/>
          <w:spacing w:val="-6"/>
          <w:sz w:val="24"/>
          <w:szCs w:val="24"/>
        </w:rPr>
        <w:t>内容如下。</w:t>
      </w:r>
    </w:p>
    <w:p w14:paraId="25D629D8">
      <w:pPr>
        <w:spacing w:before="1" w:line="212" w:lineRule="auto"/>
        <w:ind w:left="2888"/>
        <w:rPr>
          <w:rFonts w:ascii="宋体" w:hAnsi="宋体" w:eastAsia="宋体" w:cs="宋体"/>
          <w:sz w:val="24"/>
          <w:szCs w:val="24"/>
        </w:rPr>
      </w:pPr>
      <w:r>
        <w:rPr>
          <w:rFonts w:ascii="宋体" w:hAnsi="宋体" w:eastAsia="宋体" w:cs="宋体"/>
          <w:b/>
          <w:bCs/>
          <w:spacing w:val="-2"/>
          <w:sz w:val="24"/>
          <w:szCs w:val="24"/>
        </w:rPr>
        <w:t>表</w:t>
      </w:r>
      <w:r>
        <w:rPr>
          <w:rFonts w:ascii="Times New Roman" w:hAnsi="Times New Roman" w:eastAsia="Times New Roman" w:cs="Times New Roman"/>
          <w:b/>
          <w:bCs/>
          <w:spacing w:val="-2"/>
          <w:sz w:val="24"/>
          <w:szCs w:val="24"/>
        </w:rPr>
        <w:t>3.1-1</w:t>
      </w:r>
      <w:r>
        <w:rPr>
          <w:rFonts w:ascii="宋体" w:hAnsi="宋体" w:eastAsia="宋体" w:cs="宋体"/>
          <w:b/>
          <w:bCs/>
          <w:spacing w:val="-2"/>
          <w:sz w:val="24"/>
          <w:szCs w:val="24"/>
        </w:rPr>
        <w:t>扩建工程建设内容</w:t>
      </w:r>
    </w:p>
    <w:tbl>
      <w:tblPr>
        <w:tblStyle w:val="5"/>
        <w:tblW w:w="87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8"/>
        <w:gridCol w:w="1337"/>
        <w:gridCol w:w="2906"/>
        <w:gridCol w:w="2727"/>
        <w:gridCol w:w="1164"/>
      </w:tblGrid>
      <w:tr w14:paraId="04282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88" w:type="dxa"/>
            <w:textDirection w:val="tbRlV"/>
            <w:vAlign w:val="top"/>
          </w:tcPr>
          <w:p w14:paraId="3E165130">
            <w:pPr>
              <w:pStyle w:val="6"/>
              <w:spacing w:before="188" w:line="218" w:lineRule="auto"/>
              <w:ind w:left="35"/>
            </w:pPr>
            <w:r>
              <w:rPr>
                <w:b/>
                <w:bCs/>
                <w:spacing w:val="6"/>
              </w:rPr>
              <w:t>序号</w:t>
            </w:r>
          </w:p>
        </w:tc>
        <w:tc>
          <w:tcPr>
            <w:tcW w:w="1337" w:type="dxa"/>
            <w:vAlign w:val="top"/>
          </w:tcPr>
          <w:p w14:paraId="41CBF3F1">
            <w:pPr>
              <w:pStyle w:val="6"/>
              <w:spacing w:before="170" w:line="228" w:lineRule="auto"/>
              <w:ind w:left="255"/>
            </w:pPr>
            <w:r>
              <w:rPr>
                <w:b/>
                <w:bCs/>
                <w:spacing w:val="5"/>
              </w:rPr>
              <w:t>处理单元</w:t>
            </w:r>
          </w:p>
        </w:tc>
        <w:tc>
          <w:tcPr>
            <w:tcW w:w="2906" w:type="dxa"/>
            <w:vAlign w:val="top"/>
          </w:tcPr>
          <w:p w14:paraId="6B116C48">
            <w:pPr>
              <w:pStyle w:val="6"/>
              <w:spacing w:before="169" w:line="228" w:lineRule="auto"/>
              <w:ind w:left="1248"/>
            </w:pPr>
            <w:r>
              <w:rPr>
                <w:b/>
                <w:bCs/>
                <w:spacing w:val="3"/>
              </w:rPr>
              <w:t>现状</w:t>
            </w:r>
          </w:p>
        </w:tc>
        <w:tc>
          <w:tcPr>
            <w:tcW w:w="2727" w:type="dxa"/>
            <w:vAlign w:val="top"/>
          </w:tcPr>
          <w:p w14:paraId="00C278EA">
            <w:pPr>
              <w:pStyle w:val="6"/>
              <w:spacing w:before="35" w:line="227" w:lineRule="auto"/>
              <w:ind w:left="1053"/>
            </w:pPr>
            <w:r>
              <w:rPr>
                <w:b/>
                <w:bCs/>
                <w:spacing w:val="5"/>
              </w:rPr>
              <w:t>本工程</w:t>
            </w:r>
          </w:p>
          <w:p w14:paraId="385EC8F0">
            <w:pPr>
              <w:pStyle w:val="6"/>
              <w:spacing w:before="25" w:line="218" w:lineRule="auto"/>
              <w:ind w:left="642"/>
            </w:pPr>
            <w:r>
              <w:rPr>
                <w:b/>
                <w:bCs/>
                <w:spacing w:val="4"/>
              </w:rPr>
              <w:t>（改造或新建）</w:t>
            </w:r>
          </w:p>
        </w:tc>
        <w:tc>
          <w:tcPr>
            <w:tcW w:w="1164" w:type="dxa"/>
            <w:vAlign w:val="top"/>
          </w:tcPr>
          <w:p w14:paraId="6A78BAFD">
            <w:pPr>
              <w:pStyle w:val="6"/>
              <w:spacing w:before="169" w:line="229" w:lineRule="auto"/>
              <w:ind w:left="380"/>
            </w:pPr>
            <w:r>
              <w:rPr>
                <w:b/>
                <w:bCs/>
                <w:spacing w:val="2"/>
              </w:rPr>
              <w:t>备注</w:t>
            </w:r>
          </w:p>
        </w:tc>
      </w:tr>
      <w:tr w14:paraId="68CB9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588" w:type="dxa"/>
            <w:vAlign w:val="top"/>
          </w:tcPr>
          <w:p w14:paraId="5075CEAA">
            <w:pPr>
              <w:spacing w:line="415" w:lineRule="auto"/>
              <w:rPr>
                <w:rFonts w:ascii="Arial"/>
                <w:sz w:val="21"/>
              </w:rPr>
            </w:pPr>
          </w:p>
          <w:p w14:paraId="7CE6FB09">
            <w:pPr>
              <w:spacing w:before="58" w:line="195" w:lineRule="auto"/>
              <w:ind w:left="26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337" w:type="dxa"/>
            <w:vAlign w:val="top"/>
          </w:tcPr>
          <w:p w14:paraId="384A56E1">
            <w:pPr>
              <w:pStyle w:val="6"/>
              <w:spacing w:before="168" w:line="228" w:lineRule="auto"/>
              <w:ind w:left="147"/>
            </w:pPr>
            <w:r>
              <w:rPr>
                <w:spacing w:val="8"/>
              </w:rPr>
              <w:t>粗格栅及提</w:t>
            </w:r>
          </w:p>
          <w:p w14:paraId="386136D4">
            <w:pPr>
              <w:pStyle w:val="6"/>
              <w:spacing w:before="24" w:line="228" w:lineRule="auto"/>
              <w:ind w:left="149"/>
            </w:pPr>
            <w:r>
              <w:rPr>
                <w:spacing w:val="7"/>
              </w:rPr>
              <w:t>升泵站（改</w:t>
            </w:r>
          </w:p>
          <w:p w14:paraId="1F1E2843">
            <w:pPr>
              <w:pStyle w:val="6"/>
              <w:spacing w:before="24" w:line="234" w:lineRule="auto"/>
              <w:ind w:left="461"/>
            </w:pPr>
            <w:r>
              <w:t>造）</w:t>
            </w:r>
          </w:p>
        </w:tc>
        <w:tc>
          <w:tcPr>
            <w:tcW w:w="2906" w:type="dxa"/>
            <w:vAlign w:val="top"/>
          </w:tcPr>
          <w:p w14:paraId="15F00636">
            <w:pPr>
              <w:pStyle w:val="6"/>
              <w:spacing w:before="31" w:line="228" w:lineRule="auto"/>
              <w:ind w:left="124"/>
            </w:pPr>
            <w:r>
              <w:rPr>
                <w:spacing w:val="4"/>
              </w:rPr>
              <w:t>土建规模</w:t>
            </w:r>
            <w:r>
              <w:rPr>
                <w:rFonts w:ascii="Times New Roman" w:hAnsi="Times New Roman" w:eastAsia="Times New Roman" w:cs="Times New Roman"/>
                <w:spacing w:val="4"/>
              </w:rPr>
              <w:t>3.0</w:t>
            </w:r>
            <w:r>
              <w:rPr>
                <w:spacing w:val="4"/>
              </w:rPr>
              <w:t>×</w:t>
            </w:r>
            <w:r>
              <w:rPr>
                <w:rFonts w:ascii="Times New Roman" w:hAnsi="Times New Roman" w:eastAsia="Times New Roman" w:cs="Times New Roman"/>
                <w:spacing w:val="4"/>
              </w:rPr>
              <w:t>10</w:t>
            </w:r>
            <w:r>
              <w:rPr>
                <w:rFonts w:ascii="Times New Roman" w:hAnsi="Times New Roman" w:eastAsia="Times New Roman" w:cs="Times New Roman"/>
                <w:spacing w:val="4"/>
                <w:position w:val="6"/>
                <w:sz w:val="13"/>
                <w:szCs w:val="13"/>
              </w:rPr>
              <w:t>4</w:t>
            </w:r>
            <w:r>
              <w:rPr>
                <w:rFonts w:ascii="Times New Roman" w:hAnsi="Times New Roman" w:eastAsia="Times New Roman" w:cs="Times New Roman"/>
                <w:spacing w:val="4"/>
              </w:rPr>
              <w:t>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rPr>
              <w:t>/d</w:t>
            </w:r>
            <w:r>
              <w:rPr>
                <w:spacing w:val="4"/>
              </w:rPr>
              <w:t>，粗格</w:t>
            </w:r>
          </w:p>
          <w:p w14:paraId="4E796DE0">
            <w:pPr>
              <w:pStyle w:val="6"/>
              <w:spacing w:before="26" w:line="228" w:lineRule="auto"/>
              <w:ind w:left="459"/>
            </w:pPr>
            <w:r>
              <w:rPr>
                <w:spacing w:val="4"/>
              </w:rPr>
              <w:t>栅设备安装规模</w:t>
            </w:r>
            <w:r>
              <w:rPr>
                <w:rFonts w:ascii="Times New Roman" w:hAnsi="Times New Roman" w:eastAsia="Times New Roman" w:cs="Times New Roman"/>
                <w:spacing w:val="4"/>
              </w:rPr>
              <w:t>1.5</w:t>
            </w:r>
            <w:r>
              <w:rPr>
                <w:spacing w:val="4"/>
              </w:rPr>
              <w:t>×</w:t>
            </w:r>
          </w:p>
          <w:p w14:paraId="35F3E002">
            <w:pPr>
              <w:pStyle w:val="6"/>
              <w:spacing w:before="24" w:line="228" w:lineRule="auto"/>
              <w:ind w:left="127"/>
            </w:pPr>
            <w:r>
              <w:rPr>
                <w:rFonts w:ascii="Times New Roman" w:hAnsi="Times New Roman" w:eastAsia="Times New Roman" w:cs="Times New Roman"/>
                <w:spacing w:val="1"/>
              </w:rPr>
              <w:t>10</w:t>
            </w:r>
            <w:r>
              <w:rPr>
                <w:rFonts w:ascii="Times New Roman" w:hAnsi="Times New Roman" w:eastAsia="Times New Roman" w:cs="Times New Roman"/>
                <w:spacing w:val="1"/>
                <w:position w:val="6"/>
                <w:sz w:val="13"/>
                <w:szCs w:val="13"/>
              </w:rPr>
              <w:t>4</w:t>
            </w:r>
            <w:r>
              <w:rPr>
                <w:rFonts w:ascii="Times New Roman" w:hAnsi="Times New Roman" w:eastAsia="Times New Roman" w:cs="Times New Roman"/>
                <w:spacing w:val="1"/>
              </w:rPr>
              <w:t>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
              </w:rPr>
              <w:t>/d</w:t>
            </w:r>
            <w:r>
              <w:rPr>
                <w:spacing w:val="1"/>
              </w:rPr>
              <w:t>，提升泵站设备安装规</w:t>
            </w:r>
          </w:p>
          <w:p w14:paraId="17031AF5">
            <w:pPr>
              <w:pStyle w:val="6"/>
              <w:spacing w:before="26" w:line="216" w:lineRule="auto"/>
              <w:ind w:left="753"/>
              <w:rPr>
                <w:rFonts w:ascii="Times New Roman" w:hAnsi="Times New Roman" w:eastAsia="Times New Roman" w:cs="Times New Roman"/>
              </w:rPr>
            </w:pPr>
            <w:r>
              <w:rPr>
                <w:spacing w:val="2"/>
              </w:rPr>
              <w:t>模</w:t>
            </w:r>
            <w:r>
              <w:rPr>
                <w:rFonts w:ascii="Times New Roman" w:hAnsi="Times New Roman" w:eastAsia="Times New Roman" w:cs="Times New Roman"/>
                <w:spacing w:val="2"/>
              </w:rPr>
              <w:t>1.5</w:t>
            </w:r>
            <w:r>
              <w:rPr>
                <w:spacing w:val="2"/>
              </w:rPr>
              <w:t>×</w:t>
            </w:r>
            <w:r>
              <w:rPr>
                <w:rFonts w:ascii="Times New Roman" w:hAnsi="Times New Roman" w:eastAsia="Times New Roman" w:cs="Times New Roman"/>
                <w:spacing w:val="2"/>
              </w:rPr>
              <w:t>10</w:t>
            </w:r>
            <w:r>
              <w:rPr>
                <w:rFonts w:ascii="Times New Roman" w:hAnsi="Times New Roman" w:eastAsia="Times New Roman" w:cs="Times New Roman"/>
                <w:spacing w:val="2"/>
                <w:position w:val="6"/>
                <w:sz w:val="13"/>
                <w:szCs w:val="13"/>
              </w:rPr>
              <w:t>4</w:t>
            </w:r>
            <w:r>
              <w:rPr>
                <w:rFonts w:ascii="Times New Roman" w:hAnsi="Times New Roman" w:eastAsia="Times New Roman" w:cs="Times New Roman"/>
                <w:spacing w:val="2"/>
              </w:rPr>
              <w:t>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rPr>
              <w:t>/d</w:t>
            </w:r>
          </w:p>
        </w:tc>
        <w:tc>
          <w:tcPr>
            <w:tcW w:w="2727" w:type="dxa"/>
            <w:vAlign w:val="top"/>
          </w:tcPr>
          <w:p w14:paraId="16790CDC">
            <w:pPr>
              <w:pStyle w:val="6"/>
              <w:spacing w:before="31" w:line="243" w:lineRule="auto"/>
              <w:ind w:left="130" w:right="105" w:hanging="15"/>
              <w:jc w:val="both"/>
              <w:rPr>
                <w:rFonts w:ascii="Times New Roman" w:hAnsi="Times New Roman" w:eastAsia="Times New Roman" w:cs="Times New Roman"/>
              </w:rPr>
            </w:pPr>
            <w:r>
              <w:rPr>
                <w:spacing w:val="3"/>
              </w:rPr>
              <w:t>新增</w:t>
            </w:r>
            <w:r>
              <w:rPr>
                <w:rFonts w:ascii="Times New Roman" w:hAnsi="Times New Roman" w:eastAsia="Times New Roman" w:cs="Times New Roman"/>
                <w:spacing w:val="3"/>
              </w:rPr>
              <w:t>1</w:t>
            </w:r>
            <w:r>
              <w:rPr>
                <w:spacing w:val="3"/>
              </w:rPr>
              <w:t>台粗格栅，安装规模</w:t>
            </w:r>
            <w:r>
              <w:rPr>
                <w:rFonts w:ascii="Times New Roman" w:hAnsi="Times New Roman" w:eastAsia="Times New Roman" w:cs="Times New Roman"/>
                <w:spacing w:val="-1"/>
              </w:rPr>
              <w:t>1.5</w:t>
            </w:r>
            <w:r>
              <w:rPr>
                <w:spacing w:val="-1"/>
              </w:rPr>
              <w:t>×</w:t>
            </w:r>
            <w:r>
              <w:rPr>
                <w:rFonts w:ascii="Times New Roman" w:hAnsi="Times New Roman" w:eastAsia="Times New Roman" w:cs="Times New Roman"/>
                <w:spacing w:val="-1"/>
              </w:rPr>
              <w:t>10</w:t>
            </w:r>
            <w:r>
              <w:rPr>
                <w:rFonts w:ascii="Times New Roman" w:hAnsi="Times New Roman" w:eastAsia="Times New Roman" w:cs="Times New Roman"/>
                <w:spacing w:val="-1"/>
                <w:position w:val="6"/>
                <w:sz w:val="13"/>
                <w:szCs w:val="13"/>
              </w:rPr>
              <w:t>4</w:t>
            </w:r>
            <w:r>
              <w:rPr>
                <w:rFonts w:ascii="Times New Roman" w:hAnsi="Times New Roman" w:eastAsia="Times New Roman" w:cs="Times New Roman"/>
                <w:spacing w:val="-1"/>
              </w:rPr>
              <w:t>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
              </w:rPr>
              <w:t>/d</w:t>
            </w:r>
            <w:r>
              <w:rPr>
                <w:spacing w:val="-1"/>
              </w:rPr>
              <w:t>；提升泵站拆除</w:t>
            </w:r>
            <w:r>
              <w:rPr>
                <w:rFonts w:ascii="Times New Roman" w:hAnsi="Times New Roman" w:eastAsia="Times New Roman" w:cs="Times New Roman"/>
                <w:spacing w:val="4"/>
              </w:rPr>
              <w:t>1</w:t>
            </w:r>
            <w:r>
              <w:rPr>
                <w:spacing w:val="4"/>
              </w:rPr>
              <w:t>台现状水泵，新增</w:t>
            </w:r>
            <w:r>
              <w:rPr>
                <w:rFonts w:ascii="Times New Roman" w:hAnsi="Times New Roman" w:eastAsia="Times New Roman" w:cs="Times New Roman"/>
                <w:spacing w:val="4"/>
              </w:rPr>
              <w:t>2</w:t>
            </w:r>
            <w:r>
              <w:rPr>
                <w:spacing w:val="4"/>
              </w:rPr>
              <w:t>台水</w:t>
            </w:r>
            <w:r>
              <w:rPr>
                <w:spacing w:val="5"/>
              </w:rPr>
              <w:t>泵，安装规模</w:t>
            </w:r>
            <w:r>
              <w:rPr>
                <w:rFonts w:ascii="Times New Roman" w:hAnsi="Times New Roman" w:eastAsia="Times New Roman" w:cs="Times New Roman"/>
                <w:spacing w:val="5"/>
              </w:rPr>
              <w:t>1.5</w:t>
            </w:r>
            <w:r>
              <w:rPr>
                <w:spacing w:val="5"/>
              </w:rPr>
              <w:t>×</w:t>
            </w:r>
            <w:r>
              <w:rPr>
                <w:rFonts w:ascii="Times New Roman" w:hAnsi="Times New Roman" w:eastAsia="Times New Roman" w:cs="Times New Roman"/>
                <w:spacing w:val="5"/>
              </w:rPr>
              <w:t>10</w:t>
            </w:r>
            <w:r>
              <w:rPr>
                <w:rFonts w:ascii="Times New Roman" w:hAnsi="Times New Roman" w:eastAsia="Times New Roman" w:cs="Times New Roman"/>
                <w:spacing w:val="5"/>
                <w:position w:val="6"/>
                <w:sz w:val="13"/>
                <w:szCs w:val="13"/>
              </w:rPr>
              <w:t>4</w:t>
            </w:r>
            <w:r>
              <w:rPr>
                <w:rFonts w:ascii="Times New Roman" w:hAnsi="Times New Roman" w:eastAsia="Times New Roman" w:cs="Times New Roman"/>
                <w:spacing w:val="5"/>
              </w:rPr>
              <w:t>m</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5"/>
              </w:rPr>
              <w:t>/d</w:t>
            </w:r>
          </w:p>
        </w:tc>
        <w:tc>
          <w:tcPr>
            <w:tcW w:w="1164" w:type="dxa"/>
            <w:vAlign w:val="top"/>
          </w:tcPr>
          <w:p w14:paraId="384F9826">
            <w:pPr>
              <w:pStyle w:val="6"/>
              <w:spacing w:before="168" w:line="228" w:lineRule="auto"/>
              <w:ind w:left="172"/>
            </w:pPr>
            <w:r>
              <w:rPr>
                <w:spacing w:val="6"/>
              </w:rPr>
              <w:t>一期工程</w:t>
            </w:r>
          </w:p>
          <w:p w14:paraId="398BB472">
            <w:pPr>
              <w:pStyle w:val="6"/>
              <w:spacing w:before="24" w:line="228" w:lineRule="auto"/>
              <w:ind w:left="170"/>
            </w:pPr>
            <w:r>
              <w:rPr>
                <w:spacing w:val="6"/>
              </w:rPr>
              <w:t>预留位置</w:t>
            </w:r>
          </w:p>
          <w:p w14:paraId="1257E86B">
            <w:pPr>
              <w:pStyle w:val="6"/>
              <w:spacing w:before="24" w:line="228" w:lineRule="auto"/>
              <w:ind w:left="381"/>
            </w:pPr>
            <w:r>
              <w:rPr>
                <w:spacing w:val="2"/>
              </w:rPr>
              <w:t>安装</w:t>
            </w:r>
          </w:p>
        </w:tc>
      </w:tr>
      <w:tr w14:paraId="07A80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588" w:type="dxa"/>
            <w:vAlign w:val="top"/>
          </w:tcPr>
          <w:p w14:paraId="1286F7F6">
            <w:pPr>
              <w:spacing w:line="415" w:lineRule="auto"/>
              <w:rPr>
                <w:rFonts w:ascii="Arial"/>
                <w:sz w:val="21"/>
              </w:rPr>
            </w:pPr>
          </w:p>
          <w:p w14:paraId="5343B476">
            <w:pPr>
              <w:spacing w:before="58" w:line="195" w:lineRule="auto"/>
              <w:ind w:left="24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37" w:type="dxa"/>
            <w:vAlign w:val="top"/>
          </w:tcPr>
          <w:p w14:paraId="6279392A">
            <w:pPr>
              <w:pStyle w:val="6"/>
              <w:spacing w:before="165" w:line="228" w:lineRule="auto"/>
              <w:ind w:left="148"/>
            </w:pPr>
            <w:r>
              <w:rPr>
                <w:spacing w:val="7"/>
              </w:rPr>
              <w:t>细格栅及旋</w:t>
            </w:r>
          </w:p>
          <w:p w14:paraId="2270CFA2">
            <w:pPr>
              <w:pStyle w:val="6"/>
              <w:spacing w:before="27" w:line="228" w:lineRule="auto"/>
              <w:ind w:left="357"/>
            </w:pPr>
            <w:r>
              <w:rPr>
                <w:spacing w:val="6"/>
              </w:rPr>
              <w:t>流沉沙</w:t>
            </w:r>
          </w:p>
          <w:p w14:paraId="44961386">
            <w:pPr>
              <w:pStyle w:val="6"/>
              <w:spacing w:before="23" w:line="228" w:lineRule="auto"/>
              <w:ind w:left="147"/>
            </w:pPr>
            <w:r>
              <w:rPr>
                <w:spacing w:val="5"/>
              </w:rPr>
              <w:t>池（改造）</w:t>
            </w:r>
          </w:p>
        </w:tc>
        <w:tc>
          <w:tcPr>
            <w:tcW w:w="2906" w:type="dxa"/>
            <w:vAlign w:val="top"/>
          </w:tcPr>
          <w:p w14:paraId="06911C1E">
            <w:pPr>
              <w:pStyle w:val="6"/>
              <w:spacing w:before="31" w:line="228" w:lineRule="auto"/>
              <w:ind w:left="124"/>
            </w:pPr>
            <w:r>
              <w:rPr>
                <w:spacing w:val="4"/>
              </w:rPr>
              <w:t>土建规模</w:t>
            </w:r>
            <w:r>
              <w:rPr>
                <w:rFonts w:ascii="Times New Roman" w:hAnsi="Times New Roman" w:eastAsia="Times New Roman" w:cs="Times New Roman"/>
                <w:spacing w:val="4"/>
              </w:rPr>
              <w:t>3.0</w:t>
            </w:r>
            <w:r>
              <w:rPr>
                <w:spacing w:val="4"/>
              </w:rPr>
              <w:t>×</w:t>
            </w:r>
            <w:r>
              <w:rPr>
                <w:rFonts w:ascii="Times New Roman" w:hAnsi="Times New Roman" w:eastAsia="Times New Roman" w:cs="Times New Roman"/>
                <w:spacing w:val="4"/>
              </w:rPr>
              <w:t>10</w:t>
            </w:r>
            <w:r>
              <w:rPr>
                <w:rFonts w:ascii="Times New Roman" w:hAnsi="Times New Roman" w:eastAsia="Times New Roman" w:cs="Times New Roman"/>
                <w:spacing w:val="4"/>
                <w:position w:val="6"/>
                <w:sz w:val="13"/>
                <w:szCs w:val="13"/>
              </w:rPr>
              <w:t>4</w:t>
            </w:r>
            <w:r>
              <w:rPr>
                <w:rFonts w:ascii="Times New Roman" w:hAnsi="Times New Roman" w:eastAsia="Times New Roman" w:cs="Times New Roman"/>
                <w:spacing w:val="4"/>
              </w:rPr>
              <w:t>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rPr>
              <w:t>/d</w:t>
            </w:r>
            <w:r>
              <w:rPr>
                <w:spacing w:val="4"/>
              </w:rPr>
              <w:t>，细格</w:t>
            </w:r>
          </w:p>
          <w:p w14:paraId="553AB24B">
            <w:pPr>
              <w:pStyle w:val="6"/>
              <w:spacing w:before="26" w:line="228" w:lineRule="auto"/>
              <w:ind w:left="459"/>
            </w:pPr>
            <w:r>
              <w:rPr>
                <w:spacing w:val="4"/>
              </w:rPr>
              <w:t>栅设备安装规模</w:t>
            </w:r>
            <w:r>
              <w:rPr>
                <w:rFonts w:ascii="Times New Roman" w:hAnsi="Times New Roman" w:eastAsia="Times New Roman" w:cs="Times New Roman"/>
                <w:spacing w:val="4"/>
              </w:rPr>
              <w:t>1.5</w:t>
            </w:r>
            <w:r>
              <w:rPr>
                <w:spacing w:val="4"/>
              </w:rPr>
              <w:t>×</w:t>
            </w:r>
          </w:p>
          <w:p w14:paraId="08D9AF10">
            <w:pPr>
              <w:pStyle w:val="6"/>
              <w:spacing w:before="24" w:line="228" w:lineRule="auto"/>
              <w:ind w:left="127"/>
            </w:pPr>
            <w:r>
              <w:rPr>
                <w:rFonts w:ascii="Times New Roman" w:hAnsi="Times New Roman" w:eastAsia="Times New Roman" w:cs="Times New Roman"/>
                <w:spacing w:val="1"/>
              </w:rPr>
              <w:t>10</w:t>
            </w:r>
            <w:r>
              <w:rPr>
                <w:rFonts w:ascii="Times New Roman" w:hAnsi="Times New Roman" w:eastAsia="Times New Roman" w:cs="Times New Roman"/>
                <w:spacing w:val="1"/>
                <w:position w:val="6"/>
                <w:sz w:val="13"/>
                <w:szCs w:val="13"/>
              </w:rPr>
              <w:t>4</w:t>
            </w:r>
            <w:r>
              <w:rPr>
                <w:rFonts w:ascii="Times New Roman" w:hAnsi="Times New Roman" w:eastAsia="Times New Roman" w:cs="Times New Roman"/>
                <w:spacing w:val="1"/>
              </w:rPr>
              <w:t>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
              </w:rPr>
              <w:t>/d</w:t>
            </w:r>
            <w:r>
              <w:rPr>
                <w:spacing w:val="1"/>
              </w:rPr>
              <w:t>；旋流沉砂池设备安装</w:t>
            </w:r>
          </w:p>
          <w:p w14:paraId="461F551C">
            <w:pPr>
              <w:pStyle w:val="6"/>
              <w:spacing w:before="26" w:line="215" w:lineRule="auto"/>
              <w:ind w:left="649"/>
              <w:rPr>
                <w:rFonts w:ascii="Times New Roman" w:hAnsi="Times New Roman" w:eastAsia="Times New Roman" w:cs="Times New Roman"/>
              </w:rPr>
            </w:pPr>
            <w:r>
              <w:rPr>
                <w:spacing w:val="2"/>
              </w:rPr>
              <w:t>规模</w:t>
            </w:r>
            <w:r>
              <w:rPr>
                <w:rFonts w:ascii="Times New Roman" w:hAnsi="Times New Roman" w:eastAsia="Times New Roman" w:cs="Times New Roman"/>
                <w:spacing w:val="2"/>
              </w:rPr>
              <w:t>1.5</w:t>
            </w:r>
            <w:r>
              <w:rPr>
                <w:spacing w:val="2"/>
              </w:rPr>
              <w:t>×</w:t>
            </w:r>
            <w:r>
              <w:rPr>
                <w:rFonts w:ascii="Times New Roman" w:hAnsi="Times New Roman" w:eastAsia="Times New Roman" w:cs="Times New Roman"/>
                <w:spacing w:val="2"/>
              </w:rPr>
              <w:t>10</w:t>
            </w:r>
            <w:r>
              <w:rPr>
                <w:rFonts w:ascii="Times New Roman" w:hAnsi="Times New Roman" w:eastAsia="Times New Roman" w:cs="Times New Roman"/>
                <w:spacing w:val="2"/>
                <w:position w:val="6"/>
                <w:sz w:val="13"/>
                <w:szCs w:val="13"/>
              </w:rPr>
              <w:t>4</w:t>
            </w:r>
            <w:r>
              <w:rPr>
                <w:rFonts w:ascii="Times New Roman" w:hAnsi="Times New Roman" w:eastAsia="Times New Roman" w:cs="Times New Roman"/>
                <w:spacing w:val="2"/>
              </w:rPr>
              <w:t>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rPr>
              <w:t>/d</w:t>
            </w:r>
          </w:p>
        </w:tc>
        <w:tc>
          <w:tcPr>
            <w:tcW w:w="2727" w:type="dxa"/>
            <w:vAlign w:val="top"/>
          </w:tcPr>
          <w:p w14:paraId="19184C44">
            <w:pPr>
              <w:pStyle w:val="6"/>
              <w:spacing w:before="182" w:line="228" w:lineRule="auto"/>
              <w:ind w:left="136"/>
            </w:pPr>
            <w:r>
              <w:rPr>
                <w:spacing w:val="2"/>
              </w:rPr>
              <w:t>新增</w:t>
            </w:r>
            <w:r>
              <w:rPr>
                <w:rFonts w:ascii="Times New Roman" w:hAnsi="Times New Roman" w:eastAsia="Times New Roman" w:cs="Times New Roman"/>
                <w:spacing w:val="2"/>
              </w:rPr>
              <w:t>1</w:t>
            </w:r>
            <w:r>
              <w:rPr>
                <w:spacing w:val="2"/>
              </w:rPr>
              <w:t>台细格栅，</w:t>
            </w:r>
            <w:r>
              <w:rPr>
                <w:rFonts w:ascii="Times New Roman" w:hAnsi="Times New Roman" w:eastAsia="Times New Roman" w:cs="Times New Roman"/>
                <w:spacing w:val="2"/>
              </w:rPr>
              <w:t>1</w:t>
            </w:r>
            <w:r>
              <w:rPr>
                <w:spacing w:val="2"/>
              </w:rPr>
              <w:t>台旋流</w:t>
            </w:r>
          </w:p>
          <w:p w14:paraId="1EF3304D">
            <w:pPr>
              <w:pStyle w:val="6"/>
              <w:spacing w:before="24" w:line="227" w:lineRule="auto"/>
              <w:ind w:left="280"/>
            </w:pPr>
            <w:r>
              <w:rPr>
                <w:spacing w:val="4"/>
              </w:rPr>
              <w:t>除砂机，安装规模</w:t>
            </w:r>
            <w:r>
              <w:rPr>
                <w:rFonts w:ascii="Times New Roman" w:hAnsi="Times New Roman" w:eastAsia="Times New Roman" w:cs="Times New Roman"/>
                <w:spacing w:val="4"/>
              </w:rPr>
              <w:t>1.5</w:t>
            </w:r>
            <w:r>
              <w:rPr>
                <w:spacing w:val="4"/>
              </w:rPr>
              <w:t>×</w:t>
            </w:r>
          </w:p>
          <w:p w14:paraId="3F5C7A85">
            <w:pPr>
              <w:spacing w:before="29" w:line="216" w:lineRule="auto"/>
              <w:ind w:left="104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10</w:t>
            </w:r>
            <w:r>
              <w:rPr>
                <w:rFonts w:ascii="Times New Roman" w:hAnsi="Times New Roman" w:eastAsia="Times New Roman" w:cs="Times New Roman"/>
                <w:position w:val="5"/>
                <w:sz w:val="13"/>
                <w:szCs w:val="13"/>
              </w:rPr>
              <w:t>4</w:t>
            </w:r>
            <w:r>
              <w:rPr>
                <w:rFonts w:ascii="Times New Roman" w:hAnsi="Times New Roman" w:eastAsia="Times New Roman" w:cs="Times New Roman"/>
                <w:position w:val="-1"/>
                <w:sz w:val="20"/>
                <w:szCs w:val="20"/>
              </w:rPr>
              <w:t>m</w:t>
            </w:r>
            <w:r>
              <w:rPr>
                <w:rFonts w:ascii="Times New Roman" w:hAnsi="Times New Roman" w:eastAsia="Times New Roman" w:cs="Times New Roman"/>
                <w:position w:val="5"/>
                <w:sz w:val="13"/>
                <w:szCs w:val="13"/>
              </w:rPr>
              <w:t>3</w:t>
            </w:r>
            <w:r>
              <w:rPr>
                <w:rFonts w:ascii="Times New Roman" w:hAnsi="Times New Roman" w:eastAsia="Times New Roman" w:cs="Times New Roman"/>
                <w:position w:val="-1"/>
                <w:sz w:val="20"/>
                <w:szCs w:val="20"/>
              </w:rPr>
              <w:t>/d</w:t>
            </w:r>
          </w:p>
        </w:tc>
        <w:tc>
          <w:tcPr>
            <w:tcW w:w="1164" w:type="dxa"/>
            <w:vAlign w:val="top"/>
          </w:tcPr>
          <w:p w14:paraId="3A60520C">
            <w:pPr>
              <w:pStyle w:val="6"/>
              <w:spacing w:before="166" w:line="228" w:lineRule="auto"/>
              <w:ind w:left="172"/>
            </w:pPr>
            <w:r>
              <w:rPr>
                <w:spacing w:val="6"/>
              </w:rPr>
              <w:t>一期工程</w:t>
            </w:r>
          </w:p>
          <w:p w14:paraId="056D0C8A">
            <w:pPr>
              <w:pStyle w:val="6"/>
              <w:spacing w:before="26" w:line="228" w:lineRule="auto"/>
              <w:ind w:left="170"/>
            </w:pPr>
            <w:r>
              <w:rPr>
                <w:spacing w:val="6"/>
              </w:rPr>
              <w:t>预留位置</w:t>
            </w:r>
          </w:p>
          <w:p w14:paraId="73A1D4F7">
            <w:pPr>
              <w:pStyle w:val="6"/>
              <w:spacing w:before="24" w:line="228" w:lineRule="auto"/>
              <w:ind w:left="381"/>
            </w:pPr>
            <w:r>
              <w:rPr>
                <w:spacing w:val="2"/>
              </w:rPr>
              <w:t>安装</w:t>
            </w:r>
          </w:p>
        </w:tc>
      </w:tr>
      <w:tr w14:paraId="085E5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588" w:type="dxa"/>
            <w:vAlign w:val="top"/>
          </w:tcPr>
          <w:p w14:paraId="13C17264">
            <w:pPr>
              <w:spacing w:line="283" w:lineRule="auto"/>
              <w:rPr>
                <w:rFonts w:ascii="Arial"/>
                <w:sz w:val="21"/>
              </w:rPr>
            </w:pPr>
          </w:p>
          <w:p w14:paraId="0FE39F18">
            <w:pPr>
              <w:spacing w:before="57"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37" w:type="dxa"/>
            <w:vAlign w:val="top"/>
          </w:tcPr>
          <w:p w14:paraId="0175375F">
            <w:pPr>
              <w:pStyle w:val="6"/>
              <w:spacing w:before="170" w:line="228" w:lineRule="auto"/>
              <w:ind w:left="147"/>
            </w:pPr>
            <w:r>
              <w:rPr>
                <w:spacing w:val="8"/>
              </w:rPr>
              <w:t>事故调节池</w:t>
            </w:r>
          </w:p>
          <w:p w14:paraId="3D1D3B73">
            <w:pPr>
              <w:pStyle w:val="6"/>
              <w:spacing w:before="25" w:line="228" w:lineRule="auto"/>
              <w:ind w:left="261"/>
            </w:pPr>
            <w:r>
              <w:rPr>
                <w:spacing w:val="2"/>
              </w:rPr>
              <w:t>（改造）</w:t>
            </w:r>
          </w:p>
        </w:tc>
        <w:tc>
          <w:tcPr>
            <w:tcW w:w="2906" w:type="dxa"/>
            <w:vAlign w:val="top"/>
          </w:tcPr>
          <w:p w14:paraId="7D0847FA">
            <w:pPr>
              <w:pStyle w:val="6"/>
              <w:spacing w:before="169" w:line="254" w:lineRule="auto"/>
              <w:ind w:left="441" w:right="119" w:hanging="317"/>
              <w:rPr>
                <w:rFonts w:ascii="Times New Roman" w:hAnsi="Times New Roman" w:eastAsia="Times New Roman" w:cs="Times New Roman"/>
              </w:rPr>
            </w:pPr>
            <w:r>
              <w:rPr>
                <w:spacing w:val="4"/>
              </w:rPr>
              <w:t>土建规模</w:t>
            </w:r>
            <w:r>
              <w:rPr>
                <w:rFonts w:ascii="Times New Roman" w:hAnsi="Times New Roman" w:eastAsia="Times New Roman" w:cs="Times New Roman"/>
                <w:spacing w:val="4"/>
              </w:rPr>
              <w:t>3.0</w:t>
            </w:r>
            <w:r>
              <w:rPr>
                <w:spacing w:val="4"/>
              </w:rPr>
              <w:t>×</w:t>
            </w:r>
            <w:r>
              <w:rPr>
                <w:rFonts w:ascii="Times New Roman" w:hAnsi="Times New Roman" w:eastAsia="Times New Roman" w:cs="Times New Roman"/>
                <w:spacing w:val="4"/>
              </w:rPr>
              <w:t>10</w:t>
            </w:r>
            <w:r>
              <w:rPr>
                <w:rFonts w:ascii="Times New Roman" w:hAnsi="Times New Roman" w:eastAsia="Times New Roman" w:cs="Times New Roman"/>
                <w:spacing w:val="4"/>
                <w:position w:val="6"/>
                <w:sz w:val="13"/>
                <w:szCs w:val="13"/>
              </w:rPr>
              <w:t>4</w:t>
            </w:r>
            <w:r>
              <w:rPr>
                <w:rFonts w:ascii="Times New Roman" w:hAnsi="Times New Roman" w:eastAsia="Times New Roman" w:cs="Times New Roman"/>
                <w:spacing w:val="4"/>
              </w:rPr>
              <w:t>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rPr>
              <w:t>/d</w:t>
            </w:r>
            <w:r>
              <w:rPr>
                <w:spacing w:val="4"/>
              </w:rPr>
              <w:t>，设备</w:t>
            </w:r>
            <w:r>
              <w:rPr>
                <w:spacing w:val="-1"/>
              </w:rPr>
              <w:t>安装规模</w:t>
            </w:r>
            <w:r>
              <w:rPr>
                <w:rFonts w:ascii="Times New Roman" w:hAnsi="Times New Roman" w:eastAsia="Times New Roman" w:cs="Times New Roman"/>
                <w:spacing w:val="-1"/>
              </w:rPr>
              <w:t>1.5</w:t>
            </w:r>
            <w:r>
              <w:rPr>
                <w:spacing w:val="-1"/>
              </w:rPr>
              <w:t>×</w:t>
            </w:r>
            <w:r>
              <w:rPr>
                <w:rFonts w:ascii="Times New Roman" w:hAnsi="Times New Roman" w:eastAsia="Times New Roman" w:cs="Times New Roman"/>
                <w:spacing w:val="-1"/>
              </w:rPr>
              <w:t>10</w:t>
            </w:r>
            <w:r>
              <w:rPr>
                <w:rFonts w:ascii="Times New Roman" w:hAnsi="Times New Roman" w:eastAsia="Times New Roman" w:cs="Times New Roman"/>
                <w:spacing w:val="-1"/>
                <w:position w:val="6"/>
                <w:sz w:val="13"/>
                <w:szCs w:val="13"/>
              </w:rPr>
              <w:t>4</w:t>
            </w:r>
            <w:r>
              <w:rPr>
                <w:rFonts w:ascii="Times New Roman" w:hAnsi="Times New Roman" w:eastAsia="Times New Roman" w:cs="Times New Roman"/>
                <w:spacing w:val="-1"/>
              </w:rPr>
              <w:t>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
              </w:rPr>
              <w:t>/d</w:t>
            </w:r>
          </w:p>
        </w:tc>
        <w:tc>
          <w:tcPr>
            <w:tcW w:w="2727" w:type="dxa"/>
            <w:vAlign w:val="top"/>
          </w:tcPr>
          <w:p w14:paraId="7B04DAA4">
            <w:pPr>
              <w:pStyle w:val="6"/>
              <w:spacing w:before="306" w:line="228" w:lineRule="auto"/>
              <w:ind w:left="741"/>
            </w:pPr>
            <w:r>
              <w:rPr>
                <w:spacing w:val="1"/>
              </w:rPr>
              <w:t>新增</w:t>
            </w:r>
            <w:r>
              <w:rPr>
                <w:rFonts w:ascii="Times New Roman" w:hAnsi="Times New Roman" w:eastAsia="Times New Roman" w:cs="Times New Roman"/>
                <w:spacing w:val="1"/>
              </w:rPr>
              <w:t>3</w:t>
            </w:r>
            <w:r>
              <w:rPr>
                <w:spacing w:val="1"/>
              </w:rPr>
              <w:t>台水泵</w:t>
            </w:r>
          </w:p>
        </w:tc>
        <w:tc>
          <w:tcPr>
            <w:tcW w:w="1164" w:type="dxa"/>
            <w:vAlign w:val="top"/>
          </w:tcPr>
          <w:p w14:paraId="458B3662">
            <w:pPr>
              <w:pStyle w:val="6"/>
              <w:spacing w:before="35" w:line="228" w:lineRule="auto"/>
              <w:ind w:left="172"/>
            </w:pPr>
            <w:r>
              <w:rPr>
                <w:spacing w:val="6"/>
              </w:rPr>
              <w:t>一期工程</w:t>
            </w:r>
          </w:p>
          <w:p w14:paraId="3331BA74">
            <w:pPr>
              <w:pStyle w:val="6"/>
              <w:spacing w:before="24" w:line="228" w:lineRule="auto"/>
              <w:ind w:left="170"/>
            </w:pPr>
            <w:r>
              <w:rPr>
                <w:spacing w:val="6"/>
              </w:rPr>
              <w:t>预留位置</w:t>
            </w:r>
          </w:p>
          <w:p w14:paraId="5D3FF7A7">
            <w:pPr>
              <w:pStyle w:val="6"/>
              <w:spacing w:before="23" w:line="216" w:lineRule="auto"/>
              <w:ind w:left="381"/>
            </w:pPr>
            <w:r>
              <w:rPr>
                <w:spacing w:val="2"/>
              </w:rPr>
              <w:t>安装</w:t>
            </w:r>
          </w:p>
        </w:tc>
      </w:tr>
      <w:tr w14:paraId="781237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88" w:type="dxa"/>
            <w:vAlign w:val="top"/>
          </w:tcPr>
          <w:p w14:paraId="69C05A56">
            <w:pPr>
              <w:spacing w:before="206" w:line="195" w:lineRule="auto"/>
              <w:ind w:left="2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337" w:type="dxa"/>
            <w:vAlign w:val="top"/>
          </w:tcPr>
          <w:p w14:paraId="3B90627C">
            <w:pPr>
              <w:pStyle w:val="6"/>
              <w:spacing w:before="168" w:line="228" w:lineRule="auto"/>
              <w:ind w:left="356"/>
            </w:pPr>
            <w:r>
              <w:rPr>
                <w:spacing w:val="6"/>
              </w:rPr>
              <w:t>事故池</w:t>
            </w:r>
          </w:p>
        </w:tc>
        <w:tc>
          <w:tcPr>
            <w:tcW w:w="2906" w:type="dxa"/>
            <w:vAlign w:val="top"/>
          </w:tcPr>
          <w:p w14:paraId="604C4968">
            <w:pPr>
              <w:pStyle w:val="6"/>
              <w:spacing w:before="32" w:line="234" w:lineRule="auto"/>
              <w:ind w:left="853" w:right="119" w:hanging="729"/>
              <w:rPr>
                <w:rFonts w:ascii="Times New Roman" w:hAnsi="Times New Roman" w:eastAsia="Times New Roman" w:cs="Times New Roman"/>
              </w:rPr>
            </w:pPr>
            <w:r>
              <w:rPr>
                <w:spacing w:val="4"/>
              </w:rPr>
              <w:t>土建规模</w:t>
            </w:r>
            <w:r>
              <w:rPr>
                <w:rFonts w:ascii="Times New Roman" w:hAnsi="Times New Roman" w:eastAsia="Times New Roman" w:cs="Times New Roman"/>
                <w:spacing w:val="4"/>
              </w:rPr>
              <w:t>3.0</w:t>
            </w:r>
            <w:r>
              <w:rPr>
                <w:spacing w:val="4"/>
              </w:rPr>
              <w:t>×</w:t>
            </w:r>
            <w:r>
              <w:rPr>
                <w:rFonts w:ascii="Times New Roman" w:hAnsi="Times New Roman" w:eastAsia="Times New Roman" w:cs="Times New Roman"/>
                <w:spacing w:val="4"/>
              </w:rPr>
              <w:t>10</w:t>
            </w:r>
            <w:r>
              <w:rPr>
                <w:rFonts w:ascii="Times New Roman" w:hAnsi="Times New Roman" w:eastAsia="Times New Roman" w:cs="Times New Roman"/>
                <w:spacing w:val="4"/>
                <w:position w:val="6"/>
                <w:sz w:val="13"/>
                <w:szCs w:val="13"/>
              </w:rPr>
              <w:t>4</w:t>
            </w:r>
            <w:r>
              <w:rPr>
                <w:rFonts w:ascii="Times New Roman" w:hAnsi="Times New Roman" w:eastAsia="Times New Roman" w:cs="Times New Roman"/>
                <w:spacing w:val="4"/>
              </w:rPr>
              <w:t>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rPr>
              <w:t>/d</w:t>
            </w:r>
            <w:r>
              <w:rPr>
                <w:spacing w:val="4"/>
              </w:rPr>
              <w:t>，设计</w:t>
            </w:r>
            <w:r>
              <w:rPr>
                <w:spacing w:val="2"/>
              </w:rPr>
              <w:t>停留时间</w:t>
            </w:r>
            <w:r>
              <w:rPr>
                <w:rFonts w:ascii="Times New Roman" w:hAnsi="Times New Roman" w:eastAsia="Times New Roman" w:cs="Times New Roman"/>
                <w:spacing w:val="2"/>
              </w:rPr>
              <w:t>12h</w:t>
            </w:r>
          </w:p>
        </w:tc>
        <w:tc>
          <w:tcPr>
            <w:tcW w:w="2727" w:type="dxa"/>
            <w:vAlign w:val="top"/>
          </w:tcPr>
          <w:p w14:paraId="4FBDDA08">
            <w:pPr>
              <w:pStyle w:val="6"/>
              <w:spacing w:before="168" w:line="228" w:lineRule="auto"/>
              <w:ind w:left="741"/>
            </w:pPr>
            <w:r>
              <w:rPr>
                <w:spacing w:val="1"/>
              </w:rPr>
              <w:t>新增</w:t>
            </w:r>
            <w:r>
              <w:rPr>
                <w:rFonts w:ascii="Times New Roman" w:hAnsi="Times New Roman" w:eastAsia="Times New Roman" w:cs="Times New Roman"/>
                <w:spacing w:val="1"/>
              </w:rPr>
              <w:t>6</w:t>
            </w:r>
            <w:r>
              <w:rPr>
                <w:spacing w:val="1"/>
              </w:rPr>
              <w:t>台水泵</w:t>
            </w:r>
          </w:p>
        </w:tc>
        <w:tc>
          <w:tcPr>
            <w:tcW w:w="1164" w:type="dxa"/>
            <w:vAlign w:val="top"/>
          </w:tcPr>
          <w:p w14:paraId="2D56B952">
            <w:pPr>
              <w:rPr>
                <w:rFonts w:ascii="Arial"/>
                <w:sz w:val="21"/>
              </w:rPr>
            </w:pPr>
          </w:p>
        </w:tc>
      </w:tr>
      <w:tr w14:paraId="780A99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588" w:type="dxa"/>
            <w:vAlign w:val="top"/>
          </w:tcPr>
          <w:p w14:paraId="30F95905">
            <w:pPr>
              <w:spacing w:line="269" w:lineRule="auto"/>
              <w:rPr>
                <w:rFonts w:ascii="Arial"/>
                <w:sz w:val="21"/>
              </w:rPr>
            </w:pPr>
          </w:p>
          <w:p w14:paraId="1EA47D90">
            <w:pPr>
              <w:spacing w:before="58" w:line="192" w:lineRule="auto"/>
              <w:ind w:left="24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337" w:type="dxa"/>
            <w:vAlign w:val="top"/>
          </w:tcPr>
          <w:p w14:paraId="3DA8D35B">
            <w:pPr>
              <w:pStyle w:val="6"/>
              <w:spacing w:before="289" w:line="228" w:lineRule="auto"/>
              <w:ind w:left="150"/>
            </w:pPr>
            <w:r>
              <w:rPr>
                <w:spacing w:val="7"/>
              </w:rPr>
              <w:t>水解酸化池</w:t>
            </w:r>
          </w:p>
        </w:tc>
        <w:tc>
          <w:tcPr>
            <w:tcW w:w="2906" w:type="dxa"/>
            <w:vAlign w:val="top"/>
          </w:tcPr>
          <w:p w14:paraId="6DB47B1E">
            <w:pPr>
              <w:pStyle w:val="6"/>
              <w:spacing w:before="153" w:line="228" w:lineRule="auto"/>
              <w:ind w:left="513"/>
            </w:pPr>
            <w:r>
              <w:rPr>
                <w:spacing w:val="8"/>
              </w:rPr>
              <w:t>土建及设备安装规模</w:t>
            </w:r>
          </w:p>
          <w:p w14:paraId="36342820">
            <w:pPr>
              <w:pStyle w:val="6"/>
              <w:spacing w:before="24" w:line="264" w:lineRule="exact"/>
              <w:ind w:left="900"/>
              <w:rPr>
                <w:rFonts w:ascii="Times New Roman" w:hAnsi="Times New Roman" w:eastAsia="Times New Roman" w:cs="Times New Roman"/>
              </w:rPr>
            </w:pPr>
            <w:r>
              <w:rPr>
                <w:rFonts w:ascii="Times New Roman" w:hAnsi="Times New Roman" w:eastAsia="Times New Roman" w:cs="Times New Roman"/>
                <w:spacing w:val="2"/>
                <w:position w:val="1"/>
              </w:rPr>
              <w:t>1.5</w:t>
            </w:r>
            <w:r>
              <w:rPr>
                <w:spacing w:val="2"/>
                <w:position w:val="1"/>
              </w:rPr>
              <w:t>×</w:t>
            </w:r>
            <w:r>
              <w:rPr>
                <w:rFonts w:ascii="Times New Roman" w:hAnsi="Times New Roman" w:eastAsia="Times New Roman" w:cs="Times New Roman"/>
                <w:spacing w:val="2"/>
                <w:position w:val="1"/>
              </w:rPr>
              <w:t>10</w:t>
            </w:r>
            <w:r>
              <w:rPr>
                <w:rFonts w:ascii="Times New Roman" w:hAnsi="Times New Roman" w:eastAsia="Times New Roman" w:cs="Times New Roman"/>
                <w:spacing w:val="2"/>
                <w:position w:val="7"/>
                <w:sz w:val="13"/>
                <w:szCs w:val="13"/>
              </w:rPr>
              <w:t>4</w:t>
            </w:r>
            <w:r>
              <w:rPr>
                <w:rFonts w:ascii="Times New Roman" w:hAnsi="Times New Roman" w:eastAsia="Times New Roman" w:cs="Times New Roman"/>
                <w:spacing w:val="2"/>
                <w:position w:val="1"/>
              </w:rPr>
              <w:t>m</w:t>
            </w:r>
            <w:r>
              <w:rPr>
                <w:rFonts w:ascii="Times New Roman" w:hAnsi="Times New Roman" w:eastAsia="Times New Roman" w:cs="Times New Roman"/>
                <w:spacing w:val="2"/>
                <w:position w:val="7"/>
                <w:sz w:val="13"/>
                <w:szCs w:val="13"/>
              </w:rPr>
              <w:t>3</w:t>
            </w:r>
            <w:r>
              <w:rPr>
                <w:rFonts w:ascii="Times New Roman" w:hAnsi="Times New Roman" w:eastAsia="Times New Roman" w:cs="Times New Roman"/>
                <w:spacing w:val="2"/>
                <w:position w:val="1"/>
              </w:rPr>
              <w:t>/d</w:t>
            </w:r>
          </w:p>
        </w:tc>
        <w:tc>
          <w:tcPr>
            <w:tcW w:w="2727" w:type="dxa"/>
            <w:vAlign w:val="top"/>
          </w:tcPr>
          <w:p w14:paraId="72E71A6F">
            <w:pPr>
              <w:pStyle w:val="6"/>
              <w:spacing w:before="33" w:line="228" w:lineRule="auto"/>
              <w:ind w:left="115"/>
            </w:pPr>
            <w:r>
              <w:rPr>
                <w:spacing w:val="5"/>
              </w:rPr>
              <w:t>新建</w:t>
            </w:r>
            <w:r>
              <w:rPr>
                <w:rFonts w:ascii="Times New Roman" w:hAnsi="Times New Roman" w:eastAsia="Times New Roman" w:cs="Times New Roman"/>
                <w:spacing w:val="5"/>
              </w:rPr>
              <w:t>1</w:t>
            </w:r>
            <w:r>
              <w:rPr>
                <w:spacing w:val="5"/>
              </w:rPr>
              <w:t>座水解酸化池，土建</w:t>
            </w:r>
          </w:p>
          <w:p w14:paraId="54B2C6E1">
            <w:pPr>
              <w:pStyle w:val="6"/>
              <w:spacing w:before="24" w:line="228" w:lineRule="auto"/>
              <w:ind w:left="372"/>
            </w:pPr>
            <w:r>
              <w:rPr>
                <w:spacing w:val="5"/>
              </w:rPr>
              <w:t>及设备安装规模</w:t>
            </w:r>
            <w:r>
              <w:rPr>
                <w:rFonts w:ascii="Times New Roman" w:hAnsi="Times New Roman" w:eastAsia="Times New Roman" w:cs="Times New Roman"/>
                <w:spacing w:val="5"/>
              </w:rPr>
              <w:t>1.5</w:t>
            </w:r>
            <w:r>
              <w:rPr>
                <w:spacing w:val="5"/>
              </w:rPr>
              <w:t>×</w:t>
            </w:r>
          </w:p>
          <w:p w14:paraId="5F908160">
            <w:pPr>
              <w:spacing w:before="28" w:line="210" w:lineRule="auto"/>
              <w:ind w:left="104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10</w:t>
            </w:r>
            <w:r>
              <w:rPr>
                <w:rFonts w:ascii="Times New Roman" w:hAnsi="Times New Roman" w:eastAsia="Times New Roman" w:cs="Times New Roman"/>
                <w:position w:val="5"/>
                <w:sz w:val="13"/>
                <w:szCs w:val="13"/>
              </w:rPr>
              <w:t>4</w:t>
            </w:r>
            <w:r>
              <w:rPr>
                <w:rFonts w:ascii="Times New Roman" w:hAnsi="Times New Roman" w:eastAsia="Times New Roman" w:cs="Times New Roman"/>
                <w:position w:val="-1"/>
                <w:sz w:val="20"/>
                <w:szCs w:val="20"/>
              </w:rPr>
              <w:t>m</w:t>
            </w:r>
            <w:r>
              <w:rPr>
                <w:rFonts w:ascii="Times New Roman" w:hAnsi="Times New Roman" w:eastAsia="Times New Roman" w:cs="Times New Roman"/>
                <w:position w:val="5"/>
                <w:sz w:val="13"/>
                <w:szCs w:val="13"/>
              </w:rPr>
              <w:t>3</w:t>
            </w:r>
            <w:r>
              <w:rPr>
                <w:rFonts w:ascii="Times New Roman" w:hAnsi="Times New Roman" w:eastAsia="Times New Roman" w:cs="Times New Roman"/>
                <w:position w:val="-1"/>
                <w:sz w:val="20"/>
                <w:szCs w:val="20"/>
              </w:rPr>
              <w:t>/d</w:t>
            </w:r>
          </w:p>
        </w:tc>
        <w:tc>
          <w:tcPr>
            <w:tcW w:w="1164" w:type="dxa"/>
            <w:vAlign w:val="top"/>
          </w:tcPr>
          <w:p w14:paraId="11A01908">
            <w:pPr>
              <w:rPr>
                <w:rFonts w:ascii="Arial"/>
                <w:sz w:val="21"/>
              </w:rPr>
            </w:pPr>
          </w:p>
        </w:tc>
      </w:tr>
      <w:tr w14:paraId="53AAFD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588" w:type="dxa"/>
            <w:vAlign w:val="top"/>
          </w:tcPr>
          <w:p w14:paraId="63494340">
            <w:pPr>
              <w:spacing w:line="267" w:lineRule="auto"/>
              <w:rPr>
                <w:rFonts w:ascii="Arial"/>
                <w:sz w:val="21"/>
              </w:rPr>
            </w:pPr>
          </w:p>
          <w:p w14:paraId="7C28F63D">
            <w:pPr>
              <w:spacing w:before="58"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337" w:type="dxa"/>
            <w:vAlign w:val="top"/>
          </w:tcPr>
          <w:p w14:paraId="29920F01">
            <w:pPr>
              <w:pStyle w:val="6"/>
              <w:spacing w:before="288" w:line="229" w:lineRule="auto"/>
              <w:ind w:left="105"/>
            </w:pPr>
            <w:r>
              <w:rPr>
                <w:rFonts w:ascii="Times New Roman" w:hAnsi="Times New Roman" w:eastAsia="Times New Roman" w:cs="Times New Roman"/>
              </w:rPr>
              <w:t>AAO</w:t>
            </w:r>
            <w:r>
              <w:rPr>
                <w:spacing w:val="9"/>
              </w:rPr>
              <w:t>生化池</w:t>
            </w:r>
          </w:p>
        </w:tc>
        <w:tc>
          <w:tcPr>
            <w:tcW w:w="2906" w:type="dxa"/>
            <w:vAlign w:val="top"/>
          </w:tcPr>
          <w:p w14:paraId="55717EB2">
            <w:pPr>
              <w:pStyle w:val="6"/>
              <w:spacing w:before="153" w:line="228" w:lineRule="auto"/>
              <w:ind w:left="513"/>
            </w:pPr>
            <w:r>
              <w:rPr>
                <w:spacing w:val="8"/>
              </w:rPr>
              <w:t>土建及设备安装规模</w:t>
            </w:r>
          </w:p>
          <w:p w14:paraId="08CAA50A">
            <w:pPr>
              <w:pStyle w:val="6"/>
              <w:spacing w:before="24" w:line="264" w:lineRule="exact"/>
              <w:ind w:left="900"/>
              <w:rPr>
                <w:rFonts w:ascii="Times New Roman" w:hAnsi="Times New Roman" w:eastAsia="Times New Roman" w:cs="Times New Roman"/>
              </w:rPr>
            </w:pPr>
            <w:r>
              <w:rPr>
                <w:rFonts w:ascii="Times New Roman" w:hAnsi="Times New Roman" w:eastAsia="Times New Roman" w:cs="Times New Roman"/>
                <w:spacing w:val="2"/>
                <w:position w:val="1"/>
              </w:rPr>
              <w:t>1.5</w:t>
            </w:r>
            <w:r>
              <w:rPr>
                <w:spacing w:val="2"/>
                <w:position w:val="1"/>
              </w:rPr>
              <w:t>×</w:t>
            </w:r>
            <w:r>
              <w:rPr>
                <w:rFonts w:ascii="Times New Roman" w:hAnsi="Times New Roman" w:eastAsia="Times New Roman" w:cs="Times New Roman"/>
                <w:spacing w:val="2"/>
                <w:position w:val="1"/>
              </w:rPr>
              <w:t>10</w:t>
            </w:r>
            <w:r>
              <w:rPr>
                <w:rFonts w:ascii="Times New Roman" w:hAnsi="Times New Roman" w:eastAsia="Times New Roman" w:cs="Times New Roman"/>
                <w:spacing w:val="2"/>
                <w:position w:val="7"/>
                <w:sz w:val="13"/>
                <w:szCs w:val="13"/>
              </w:rPr>
              <w:t>4</w:t>
            </w:r>
            <w:r>
              <w:rPr>
                <w:rFonts w:ascii="Times New Roman" w:hAnsi="Times New Roman" w:eastAsia="Times New Roman" w:cs="Times New Roman"/>
                <w:spacing w:val="2"/>
                <w:position w:val="1"/>
              </w:rPr>
              <w:t>m</w:t>
            </w:r>
            <w:r>
              <w:rPr>
                <w:rFonts w:ascii="Times New Roman" w:hAnsi="Times New Roman" w:eastAsia="Times New Roman" w:cs="Times New Roman"/>
                <w:spacing w:val="2"/>
                <w:position w:val="7"/>
                <w:sz w:val="13"/>
                <w:szCs w:val="13"/>
              </w:rPr>
              <w:t>3</w:t>
            </w:r>
            <w:r>
              <w:rPr>
                <w:rFonts w:ascii="Times New Roman" w:hAnsi="Times New Roman" w:eastAsia="Times New Roman" w:cs="Times New Roman"/>
                <w:spacing w:val="2"/>
                <w:position w:val="1"/>
              </w:rPr>
              <w:t>/d</w:t>
            </w:r>
          </w:p>
        </w:tc>
        <w:tc>
          <w:tcPr>
            <w:tcW w:w="2727" w:type="dxa"/>
            <w:vAlign w:val="top"/>
          </w:tcPr>
          <w:p w14:paraId="542121A3">
            <w:pPr>
              <w:pStyle w:val="6"/>
              <w:spacing w:before="34" w:line="228" w:lineRule="auto"/>
              <w:ind w:left="146"/>
            </w:pPr>
            <w:r>
              <w:rPr>
                <w:spacing w:val="5"/>
              </w:rPr>
              <w:t>新建</w:t>
            </w:r>
            <w:r>
              <w:rPr>
                <w:rFonts w:ascii="Times New Roman" w:hAnsi="Times New Roman" w:eastAsia="Times New Roman" w:cs="Times New Roman"/>
                <w:spacing w:val="5"/>
              </w:rPr>
              <w:t>1</w:t>
            </w:r>
            <w:r>
              <w:rPr>
                <w:spacing w:val="5"/>
              </w:rPr>
              <w:t>座</w:t>
            </w:r>
            <w:r>
              <w:rPr>
                <w:rFonts w:ascii="Times New Roman" w:hAnsi="Times New Roman" w:eastAsia="Times New Roman" w:cs="Times New Roman"/>
              </w:rPr>
              <w:t>AAO</w:t>
            </w:r>
            <w:r>
              <w:rPr>
                <w:spacing w:val="5"/>
              </w:rPr>
              <w:t>生化池，土</w:t>
            </w:r>
          </w:p>
          <w:p w14:paraId="2C2496A5">
            <w:pPr>
              <w:pStyle w:val="6"/>
              <w:spacing w:before="23" w:line="228" w:lineRule="auto"/>
              <w:ind w:left="164"/>
              <w:rPr>
                <w:rFonts w:ascii="Times New Roman" w:hAnsi="Times New Roman" w:eastAsia="Times New Roman" w:cs="Times New Roman"/>
              </w:rPr>
            </w:pPr>
            <w:r>
              <w:rPr>
                <w:spacing w:val="5"/>
              </w:rPr>
              <w:t>建及设备安装规模</w:t>
            </w:r>
            <w:r>
              <w:rPr>
                <w:rFonts w:ascii="Times New Roman" w:hAnsi="Times New Roman" w:eastAsia="Times New Roman" w:cs="Times New Roman"/>
                <w:spacing w:val="5"/>
              </w:rPr>
              <w:t>1.5</w:t>
            </w:r>
            <w:r>
              <w:rPr>
                <w:spacing w:val="5"/>
              </w:rPr>
              <w:t>×</w:t>
            </w:r>
            <w:r>
              <w:rPr>
                <w:rFonts w:ascii="Times New Roman" w:hAnsi="Times New Roman" w:eastAsia="Times New Roman" w:cs="Times New Roman"/>
                <w:spacing w:val="5"/>
              </w:rPr>
              <w:t>10</w:t>
            </w:r>
          </w:p>
          <w:p w14:paraId="73B52168">
            <w:pPr>
              <w:spacing w:before="25" w:line="212" w:lineRule="auto"/>
              <w:ind w:left="1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
                <w:sz w:val="20"/>
                <w:szCs w:val="20"/>
              </w:rPr>
              <w:t>/d</w:t>
            </w:r>
          </w:p>
        </w:tc>
        <w:tc>
          <w:tcPr>
            <w:tcW w:w="1164" w:type="dxa"/>
            <w:vAlign w:val="top"/>
          </w:tcPr>
          <w:p w14:paraId="469FE900">
            <w:pPr>
              <w:rPr>
                <w:rFonts w:ascii="Arial"/>
                <w:sz w:val="21"/>
              </w:rPr>
            </w:pPr>
          </w:p>
        </w:tc>
      </w:tr>
      <w:tr w14:paraId="5055AA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88" w:type="dxa"/>
            <w:vAlign w:val="top"/>
          </w:tcPr>
          <w:p w14:paraId="1BEF8C8A">
            <w:pPr>
              <w:spacing w:before="208" w:line="192" w:lineRule="auto"/>
              <w:ind w:left="24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337" w:type="dxa"/>
            <w:vAlign w:val="top"/>
          </w:tcPr>
          <w:p w14:paraId="17119C5B">
            <w:pPr>
              <w:pStyle w:val="6"/>
              <w:spacing w:before="169" w:line="228" w:lineRule="auto"/>
              <w:ind w:left="359"/>
            </w:pPr>
            <w:r>
              <w:rPr>
                <w:spacing w:val="5"/>
              </w:rPr>
              <w:t>二沉池</w:t>
            </w:r>
          </w:p>
        </w:tc>
        <w:tc>
          <w:tcPr>
            <w:tcW w:w="2906" w:type="dxa"/>
            <w:vAlign w:val="top"/>
          </w:tcPr>
          <w:p w14:paraId="6C2F306B">
            <w:pPr>
              <w:pStyle w:val="6"/>
              <w:spacing w:before="35" w:line="233" w:lineRule="auto"/>
              <w:ind w:left="752" w:right="116" w:hanging="638"/>
              <w:rPr>
                <w:rFonts w:ascii="Times New Roman" w:hAnsi="Times New Roman" w:eastAsia="Times New Roman" w:cs="Times New Roman"/>
              </w:rPr>
            </w:pPr>
            <w:r>
              <w:rPr>
                <w:rFonts w:ascii="Times New Roman" w:hAnsi="Times New Roman" w:eastAsia="Times New Roman" w:cs="Times New Roman"/>
                <w:spacing w:val="8"/>
              </w:rPr>
              <w:t>2</w:t>
            </w:r>
            <w:r>
              <w:rPr>
                <w:spacing w:val="8"/>
              </w:rPr>
              <w:t>座，单座土建及设备安装规</w:t>
            </w:r>
            <w:r>
              <w:rPr>
                <w:spacing w:val="2"/>
              </w:rPr>
              <w:t>模</w:t>
            </w:r>
            <w:r>
              <w:rPr>
                <w:rFonts w:ascii="Times New Roman" w:hAnsi="Times New Roman" w:eastAsia="Times New Roman" w:cs="Times New Roman"/>
                <w:spacing w:val="2"/>
              </w:rPr>
              <w:t>1.5</w:t>
            </w:r>
            <w:r>
              <w:rPr>
                <w:spacing w:val="2"/>
              </w:rPr>
              <w:t>×</w:t>
            </w:r>
            <w:r>
              <w:rPr>
                <w:rFonts w:ascii="Times New Roman" w:hAnsi="Times New Roman" w:eastAsia="Times New Roman" w:cs="Times New Roman"/>
                <w:spacing w:val="2"/>
              </w:rPr>
              <w:t>10</w:t>
            </w:r>
            <w:r>
              <w:rPr>
                <w:rFonts w:ascii="Times New Roman" w:hAnsi="Times New Roman" w:eastAsia="Times New Roman" w:cs="Times New Roman"/>
                <w:spacing w:val="2"/>
                <w:position w:val="6"/>
                <w:sz w:val="13"/>
                <w:szCs w:val="13"/>
              </w:rPr>
              <w:t>4</w:t>
            </w:r>
            <w:r>
              <w:rPr>
                <w:rFonts w:ascii="Times New Roman" w:hAnsi="Times New Roman" w:eastAsia="Times New Roman" w:cs="Times New Roman"/>
                <w:spacing w:val="2"/>
              </w:rPr>
              <w:t>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rPr>
              <w:t>/d</w:t>
            </w:r>
          </w:p>
        </w:tc>
        <w:tc>
          <w:tcPr>
            <w:tcW w:w="2727" w:type="dxa"/>
            <w:vAlign w:val="top"/>
          </w:tcPr>
          <w:p w14:paraId="062BB8C5">
            <w:pPr>
              <w:pStyle w:val="6"/>
              <w:spacing w:before="35" w:line="233" w:lineRule="auto"/>
              <w:ind w:left="561" w:right="105" w:hanging="446"/>
              <w:rPr>
                <w:rFonts w:ascii="Times New Roman" w:hAnsi="Times New Roman" w:eastAsia="Times New Roman" w:cs="Times New Roman"/>
              </w:rPr>
            </w:pPr>
            <w:r>
              <w:rPr>
                <w:spacing w:val="7"/>
              </w:rPr>
              <w:t>新建</w:t>
            </w:r>
            <w:r>
              <w:rPr>
                <w:rFonts w:ascii="Times New Roman" w:hAnsi="Times New Roman" w:eastAsia="Times New Roman" w:cs="Times New Roman"/>
                <w:spacing w:val="7"/>
              </w:rPr>
              <w:t>2</w:t>
            </w:r>
            <w:r>
              <w:rPr>
                <w:spacing w:val="7"/>
              </w:rPr>
              <w:t>座二沉池，单座设计</w:t>
            </w:r>
            <w:r>
              <w:rPr>
                <w:spacing w:val="2"/>
              </w:rPr>
              <w:t>规模</w:t>
            </w:r>
            <w:r>
              <w:rPr>
                <w:rFonts w:ascii="Times New Roman" w:hAnsi="Times New Roman" w:eastAsia="Times New Roman" w:cs="Times New Roman"/>
                <w:spacing w:val="2"/>
              </w:rPr>
              <w:t>1.5</w:t>
            </w:r>
            <w:r>
              <w:rPr>
                <w:spacing w:val="2"/>
              </w:rPr>
              <w:t>×</w:t>
            </w:r>
            <w:r>
              <w:rPr>
                <w:rFonts w:ascii="Times New Roman" w:hAnsi="Times New Roman" w:eastAsia="Times New Roman" w:cs="Times New Roman"/>
                <w:spacing w:val="2"/>
              </w:rPr>
              <w:t>10</w:t>
            </w:r>
            <w:r>
              <w:rPr>
                <w:rFonts w:ascii="Times New Roman" w:hAnsi="Times New Roman" w:eastAsia="Times New Roman" w:cs="Times New Roman"/>
                <w:spacing w:val="2"/>
                <w:position w:val="6"/>
                <w:sz w:val="13"/>
                <w:szCs w:val="13"/>
              </w:rPr>
              <w:t>4</w:t>
            </w:r>
            <w:r>
              <w:rPr>
                <w:rFonts w:ascii="Times New Roman" w:hAnsi="Times New Roman" w:eastAsia="Times New Roman" w:cs="Times New Roman"/>
                <w:spacing w:val="2"/>
              </w:rPr>
              <w:t>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rPr>
              <w:t>/d</w:t>
            </w:r>
          </w:p>
        </w:tc>
        <w:tc>
          <w:tcPr>
            <w:tcW w:w="1164" w:type="dxa"/>
            <w:vAlign w:val="top"/>
          </w:tcPr>
          <w:p w14:paraId="70F00C9C">
            <w:pPr>
              <w:rPr>
                <w:rFonts w:ascii="Arial"/>
                <w:sz w:val="21"/>
              </w:rPr>
            </w:pPr>
          </w:p>
        </w:tc>
      </w:tr>
      <w:tr w14:paraId="762350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88" w:type="dxa"/>
            <w:vAlign w:val="top"/>
          </w:tcPr>
          <w:p w14:paraId="5BA3835A">
            <w:pPr>
              <w:spacing w:before="204" w:line="195" w:lineRule="auto"/>
              <w:ind w:left="250"/>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337" w:type="dxa"/>
            <w:vAlign w:val="top"/>
          </w:tcPr>
          <w:p w14:paraId="4A36CFBD">
            <w:pPr>
              <w:pStyle w:val="6"/>
              <w:spacing w:before="168" w:line="228" w:lineRule="auto"/>
              <w:ind w:left="252"/>
            </w:pPr>
            <w:r>
              <w:rPr>
                <w:spacing w:val="6"/>
              </w:rPr>
              <w:t>污泥泵站</w:t>
            </w:r>
          </w:p>
        </w:tc>
        <w:tc>
          <w:tcPr>
            <w:tcW w:w="2906" w:type="dxa"/>
            <w:vAlign w:val="top"/>
          </w:tcPr>
          <w:p w14:paraId="778C193D">
            <w:pPr>
              <w:pStyle w:val="6"/>
              <w:spacing w:before="48" w:line="228" w:lineRule="auto"/>
              <w:ind w:left="251"/>
            </w:pPr>
            <w:r>
              <w:rPr>
                <w:spacing w:val="5"/>
              </w:rPr>
              <w:t>土建及设备安装规模</w:t>
            </w:r>
            <w:r>
              <w:rPr>
                <w:rFonts w:ascii="Times New Roman" w:hAnsi="Times New Roman" w:eastAsia="Times New Roman" w:cs="Times New Roman"/>
                <w:spacing w:val="5"/>
              </w:rPr>
              <w:t>1.5</w:t>
            </w:r>
            <w:r>
              <w:rPr>
                <w:spacing w:val="5"/>
              </w:rPr>
              <w:t>×</w:t>
            </w:r>
          </w:p>
          <w:p w14:paraId="5A7F9947">
            <w:pPr>
              <w:spacing w:before="25" w:line="216" w:lineRule="auto"/>
              <w:ind w:left="113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10</w:t>
            </w:r>
            <w:r>
              <w:rPr>
                <w:rFonts w:ascii="Times New Roman" w:hAnsi="Times New Roman" w:eastAsia="Times New Roman" w:cs="Times New Roman"/>
                <w:position w:val="5"/>
                <w:sz w:val="13"/>
                <w:szCs w:val="13"/>
              </w:rPr>
              <w:t>4</w:t>
            </w:r>
            <w:r>
              <w:rPr>
                <w:rFonts w:ascii="Times New Roman" w:hAnsi="Times New Roman" w:eastAsia="Times New Roman" w:cs="Times New Roman"/>
                <w:position w:val="-1"/>
                <w:sz w:val="20"/>
                <w:szCs w:val="20"/>
              </w:rPr>
              <w:t>m</w:t>
            </w:r>
            <w:r>
              <w:rPr>
                <w:rFonts w:ascii="Times New Roman" w:hAnsi="Times New Roman" w:eastAsia="Times New Roman" w:cs="Times New Roman"/>
                <w:position w:val="5"/>
                <w:sz w:val="13"/>
                <w:szCs w:val="13"/>
              </w:rPr>
              <w:t>3</w:t>
            </w:r>
            <w:r>
              <w:rPr>
                <w:rFonts w:ascii="Times New Roman" w:hAnsi="Times New Roman" w:eastAsia="Times New Roman" w:cs="Times New Roman"/>
                <w:position w:val="-1"/>
                <w:sz w:val="20"/>
                <w:szCs w:val="20"/>
              </w:rPr>
              <w:t>/d</w:t>
            </w:r>
          </w:p>
        </w:tc>
        <w:tc>
          <w:tcPr>
            <w:tcW w:w="2727" w:type="dxa"/>
            <w:vAlign w:val="top"/>
          </w:tcPr>
          <w:p w14:paraId="055DBED2">
            <w:pPr>
              <w:pStyle w:val="6"/>
              <w:spacing w:before="34" w:line="233" w:lineRule="auto"/>
              <w:ind w:left="665" w:right="105" w:hanging="550"/>
              <w:rPr>
                <w:rFonts w:ascii="Times New Roman" w:hAnsi="Times New Roman" w:eastAsia="Times New Roman" w:cs="Times New Roman"/>
              </w:rPr>
            </w:pPr>
            <w:r>
              <w:rPr>
                <w:spacing w:val="5"/>
              </w:rPr>
              <w:t>新建</w:t>
            </w:r>
            <w:r>
              <w:rPr>
                <w:rFonts w:ascii="Times New Roman" w:hAnsi="Times New Roman" w:eastAsia="Times New Roman" w:cs="Times New Roman"/>
                <w:spacing w:val="5"/>
              </w:rPr>
              <w:t>1</w:t>
            </w:r>
            <w:r>
              <w:rPr>
                <w:spacing w:val="5"/>
              </w:rPr>
              <w:t>座污泥泵站，设计规</w:t>
            </w:r>
            <w:r>
              <w:rPr>
                <w:spacing w:val="-8"/>
              </w:rPr>
              <w:t>模</w:t>
            </w:r>
            <w:r>
              <w:rPr>
                <w:rFonts w:ascii="Times New Roman" w:hAnsi="Times New Roman" w:eastAsia="Times New Roman" w:cs="Times New Roman"/>
                <w:spacing w:val="-8"/>
              </w:rPr>
              <w:t>1.5</w:t>
            </w:r>
            <w:r>
              <w:rPr>
                <w:spacing w:val="-8"/>
              </w:rPr>
              <w:t>×</w:t>
            </w:r>
            <w:r>
              <w:rPr>
                <w:rFonts w:ascii="Times New Roman" w:hAnsi="Times New Roman" w:eastAsia="Times New Roman" w:cs="Times New Roman"/>
                <w:spacing w:val="-8"/>
              </w:rPr>
              <w:t>10</w:t>
            </w:r>
            <w:r>
              <w:rPr>
                <w:rFonts w:ascii="Times New Roman" w:hAnsi="Times New Roman" w:eastAsia="Times New Roman" w:cs="Times New Roman"/>
                <w:spacing w:val="4"/>
                <w:position w:val="6"/>
                <w:sz w:val="13"/>
                <w:szCs w:val="13"/>
              </w:rPr>
              <w:t>4</w:t>
            </w:r>
            <w:r>
              <w:rPr>
                <w:rFonts w:ascii="Times New Roman" w:hAnsi="Times New Roman" w:eastAsia="Times New Roman" w:cs="Times New Roman"/>
                <w:spacing w:val="4"/>
              </w:rPr>
              <w:t>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rPr>
              <w:t>/d</w:t>
            </w:r>
          </w:p>
        </w:tc>
        <w:tc>
          <w:tcPr>
            <w:tcW w:w="1164" w:type="dxa"/>
            <w:vAlign w:val="top"/>
          </w:tcPr>
          <w:p w14:paraId="0E134C20">
            <w:pPr>
              <w:rPr>
                <w:rFonts w:ascii="Arial"/>
                <w:sz w:val="21"/>
              </w:rPr>
            </w:pPr>
          </w:p>
        </w:tc>
      </w:tr>
      <w:tr w14:paraId="0503A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88" w:type="dxa"/>
            <w:vAlign w:val="top"/>
          </w:tcPr>
          <w:p w14:paraId="524C3426">
            <w:pPr>
              <w:spacing w:before="205"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337" w:type="dxa"/>
            <w:vAlign w:val="top"/>
          </w:tcPr>
          <w:p w14:paraId="0A1008DC">
            <w:pPr>
              <w:pStyle w:val="6"/>
              <w:spacing w:before="169" w:line="227" w:lineRule="auto"/>
              <w:ind w:left="149"/>
            </w:pPr>
            <w:r>
              <w:rPr>
                <w:spacing w:val="7"/>
              </w:rPr>
              <w:t>污泥浓缩池</w:t>
            </w:r>
          </w:p>
        </w:tc>
        <w:tc>
          <w:tcPr>
            <w:tcW w:w="2906" w:type="dxa"/>
            <w:vAlign w:val="top"/>
          </w:tcPr>
          <w:p w14:paraId="0DCBB7D1">
            <w:pPr>
              <w:spacing w:before="201" w:line="199" w:lineRule="auto"/>
              <w:ind w:left="14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727" w:type="dxa"/>
            <w:vAlign w:val="top"/>
          </w:tcPr>
          <w:p w14:paraId="6B899B06">
            <w:pPr>
              <w:pStyle w:val="6"/>
              <w:spacing w:before="35" w:line="233" w:lineRule="auto"/>
              <w:ind w:left="561" w:right="105" w:hanging="446"/>
              <w:rPr>
                <w:rFonts w:ascii="Times New Roman" w:hAnsi="Times New Roman" w:eastAsia="Times New Roman" w:cs="Times New Roman"/>
              </w:rPr>
            </w:pPr>
            <w:r>
              <w:rPr>
                <w:spacing w:val="7"/>
              </w:rPr>
              <w:t>新建</w:t>
            </w:r>
            <w:r>
              <w:rPr>
                <w:rFonts w:ascii="Times New Roman" w:hAnsi="Times New Roman" w:eastAsia="Times New Roman" w:cs="Times New Roman"/>
                <w:spacing w:val="7"/>
              </w:rPr>
              <w:t>2</w:t>
            </w:r>
            <w:r>
              <w:rPr>
                <w:spacing w:val="7"/>
              </w:rPr>
              <w:t>座污泥浓缩池，设计</w:t>
            </w:r>
            <w:r>
              <w:rPr>
                <w:spacing w:val="4"/>
              </w:rPr>
              <w:t>规模</w:t>
            </w:r>
            <w:r>
              <w:rPr>
                <w:rFonts w:ascii="Times New Roman" w:hAnsi="Times New Roman" w:eastAsia="Times New Roman" w:cs="Times New Roman"/>
                <w:spacing w:val="4"/>
              </w:rPr>
              <w:t>3.0</w:t>
            </w:r>
            <w:r>
              <w:rPr>
                <w:spacing w:val="4"/>
              </w:rPr>
              <w:t>×</w:t>
            </w:r>
            <w:r>
              <w:rPr>
                <w:rFonts w:ascii="Times New Roman" w:hAnsi="Times New Roman" w:eastAsia="Times New Roman" w:cs="Times New Roman"/>
                <w:spacing w:val="4"/>
              </w:rPr>
              <w:t>10</w:t>
            </w:r>
            <w:r>
              <w:rPr>
                <w:rFonts w:ascii="Times New Roman" w:hAnsi="Times New Roman" w:eastAsia="Times New Roman" w:cs="Times New Roman"/>
                <w:spacing w:val="4"/>
                <w:position w:val="6"/>
                <w:sz w:val="13"/>
                <w:szCs w:val="13"/>
              </w:rPr>
              <w:t>4</w:t>
            </w:r>
            <w:r>
              <w:rPr>
                <w:rFonts w:ascii="Times New Roman" w:hAnsi="Times New Roman" w:eastAsia="Times New Roman" w:cs="Times New Roman"/>
                <w:spacing w:val="4"/>
              </w:rPr>
              <w:t>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rPr>
              <w:t>/d</w:t>
            </w:r>
          </w:p>
        </w:tc>
        <w:tc>
          <w:tcPr>
            <w:tcW w:w="1164" w:type="dxa"/>
            <w:vAlign w:val="top"/>
          </w:tcPr>
          <w:p w14:paraId="75A4C52A">
            <w:pPr>
              <w:rPr>
                <w:rFonts w:ascii="Arial"/>
                <w:sz w:val="21"/>
              </w:rPr>
            </w:pPr>
          </w:p>
        </w:tc>
      </w:tr>
      <w:tr w14:paraId="27417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588" w:type="dxa"/>
            <w:vAlign w:val="top"/>
          </w:tcPr>
          <w:p w14:paraId="3BB01FF8">
            <w:pPr>
              <w:spacing w:before="206"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337" w:type="dxa"/>
            <w:vAlign w:val="top"/>
          </w:tcPr>
          <w:p w14:paraId="1A48D2A8">
            <w:pPr>
              <w:pStyle w:val="6"/>
              <w:spacing w:before="168" w:line="230" w:lineRule="auto"/>
              <w:ind w:left="249"/>
            </w:pPr>
            <w:r>
              <w:rPr>
                <w:rFonts w:ascii="Times New Roman" w:hAnsi="Times New Roman" w:eastAsia="Times New Roman" w:cs="Times New Roman"/>
                <w:spacing w:val="4"/>
              </w:rPr>
              <w:t>V</w:t>
            </w:r>
            <w:r>
              <w:rPr>
                <w:spacing w:val="4"/>
              </w:rPr>
              <w:t>型滤池</w:t>
            </w:r>
          </w:p>
        </w:tc>
        <w:tc>
          <w:tcPr>
            <w:tcW w:w="2906" w:type="dxa"/>
            <w:vAlign w:val="top"/>
          </w:tcPr>
          <w:p w14:paraId="3059D885">
            <w:pPr>
              <w:pStyle w:val="6"/>
              <w:spacing w:before="33" w:line="228" w:lineRule="auto"/>
              <w:ind w:left="513"/>
            </w:pPr>
            <w:r>
              <w:rPr>
                <w:spacing w:val="8"/>
              </w:rPr>
              <w:t>土建及设备安装规模</w:t>
            </w:r>
          </w:p>
          <w:p w14:paraId="21E91437">
            <w:pPr>
              <w:pStyle w:val="6"/>
              <w:spacing w:before="25" w:line="216" w:lineRule="auto"/>
              <w:ind w:left="900"/>
              <w:rPr>
                <w:rFonts w:ascii="Times New Roman" w:hAnsi="Times New Roman" w:eastAsia="Times New Roman" w:cs="Times New Roman"/>
              </w:rPr>
            </w:pPr>
            <w:r>
              <w:rPr>
                <w:rFonts w:ascii="Times New Roman" w:hAnsi="Times New Roman" w:eastAsia="Times New Roman" w:cs="Times New Roman"/>
                <w:spacing w:val="2"/>
              </w:rPr>
              <w:t>1.5</w:t>
            </w:r>
            <w:r>
              <w:rPr>
                <w:spacing w:val="2"/>
              </w:rPr>
              <w:t>×</w:t>
            </w:r>
            <w:r>
              <w:rPr>
                <w:rFonts w:ascii="Times New Roman" w:hAnsi="Times New Roman" w:eastAsia="Times New Roman" w:cs="Times New Roman"/>
                <w:spacing w:val="2"/>
              </w:rPr>
              <w:t>10</w:t>
            </w:r>
            <w:r>
              <w:rPr>
                <w:rFonts w:ascii="Times New Roman" w:hAnsi="Times New Roman" w:eastAsia="Times New Roman" w:cs="Times New Roman"/>
                <w:spacing w:val="2"/>
                <w:position w:val="6"/>
                <w:sz w:val="13"/>
                <w:szCs w:val="13"/>
              </w:rPr>
              <w:t>4</w:t>
            </w:r>
            <w:r>
              <w:rPr>
                <w:rFonts w:ascii="Times New Roman" w:hAnsi="Times New Roman" w:eastAsia="Times New Roman" w:cs="Times New Roman"/>
                <w:spacing w:val="2"/>
              </w:rPr>
              <w:t>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rPr>
              <w:t>/d</w:t>
            </w:r>
          </w:p>
        </w:tc>
        <w:tc>
          <w:tcPr>
            <w:tcW w:w="2727" w:type="dxa"/>
            <w:vAlign w:val="top"/>
          </w:tcPr>
          <w:p w14:paraId="24CAF0C3">
            <w:pPr>
              <w:pStyle w:val="6"/>
              <w:spacing w:before="35" w:line="233" w:lineRule="auto"/>
              <w:ind w:left="665" w:right="105" w:hanging="550"/>
              <w:rPr>
                <w:rFonts w:ascii="Times New Roman" w:hAnsi="Times New Roman" w:eastAsia="Times New Roman" w:cs="Times New Roman"/>
              </w:rPr>
            </w:pPr>
            <w:r>
              <w:rPr>
                <w:spacing w:val="-1"/>
              </w:rPr>
              <w:t>新建</w:t>
            </w:r>
            <w:r>
              <w:rPr>
                <w:rFonts w:ascii="Times New Roman" w:hAnsi="Times New Roman" w:eastAsia="Times New Roman" w:cs="Times New Roman"/>
                <w:spacing w:val="-1"/>
              </w:rPr>
              <w:t>1</w:t>
            </w:r>
            <w:r>
              <w:rPr>
                <w:spacing w:val="-1"/>
              </w:rPr>
              <w:t>座</w:t>
            </w:r>
            <w:r>
              <w:rPr>
                <w:rFonts w:ascii="Times New Roman" w:hAnsi="Times New Roman" w:eastAsia="Times New Roman" w:cs="Times New Roman"/>
                <w:spacing w:val="-1"/>
              </w:rPr>
              <w:t>V</w:t>
            </w:r>
            <w:r>
              <w:rPr>
                <w:spacing w:val="-1"/>
              </w:rPr>
              <w:t>型滤池，设计规</w:t>
            </w:r>
            <w:r>
              <w:rPr>
                <w:spacing w:val="-8"/>
              </w:rPr>
              <w:t>模</w:t>
            </w:r>
            <w:r>
              <w:rPr>
                <w:rFonts w:ascii="Times New Roman" w:hAnsi="Times New Roman" w:eastAsia="Times New Roman" w:cs="Times New Roman"/>
                <w:spacing w:val="-8"/>
              </w:rPr>
              <w:t>1.5</w:t>
            </w:r>
            <w:r>
              <w:rPr>
                <w:spacing w:val="-8"/>
              </w:rPr>
              <w:t>×</w:t>
            </w:r>
            <w:r>
              <w:rPr>
                <w:rFonts w:ascii="Times New Roman" w:hAnsi="Times New Roman" w:eastAsia="Times New Roman" w:cs="Times New Roman"/>
                <w:spacing w:val="-8"/>
              </w:rPr>
              <w:t>10</w:t>
            </w:r>
            <w:r>
              <w:rPr>
                <w:rFonts w:ascii="Times New Roman" w:hAnsi="Times New Roman" w:eastAsia="Times New Roman" w:cs="Times New Roman"/>
                <w:spacing w:val="4"/>
                <w:position w:val="6"/>
                <w:sz w:val="13"/>
                <w:szCs w:val="13"/>
              </w:rPr>
              <w:t>4</w:t>
            </w:r>
            <w:r>
              <w:rPr>
                <w:rFonts w:ascii="Times New Roman" w:hAnsi="Times New Roman" w:eastAsia="Times New Roman" w:cs="Times New Roman"/>
                <w:spacing w:val="4"/>
              </w:rPr>
              <w:t>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rPr>
              <w:t>/d</w:t>
            </w:r>
          </w:p>
        </w:tc>
        <w:tc>
          <w:tcPr>
            <w:tcW w:w="1164" w:type="dxa"/>
            <w:vAlign w:val="top"/>
          </w:tcPr>
          <w:p w14:paraId="1C519AE3">
            <w:pPr>
              <w:rPr>
                <w:rFonts w:ascii="Arial"/>
                <w:sz w:val="21"/>
              </w:rPr>
            </w:pPr>
          </w:p>
        </w:tc>
      </w:tr>
      <w:tr w14:paraId="3479AA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88" w:type="dxa"/>
            <w:vAlign w:val="top"/>
          </w:tcPr>
          <w:p w14:paraId="12E9A3A5">
            <w:pPr>
              <w:spacing w:before="206"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1337" w:type="dxa"/>
            <w:vAlign w:val="top"/>
          </w:tcPr>
          <w:p w14:paraId="398EA759">
            <w:pPr>
              <w:pStyle w:val="6"/>
              <w:spacing w:before="34" w:line="233" w:lineRule="auto"/>
              <w:ind w:left="114" w:right="22" w:firstLine="29"/>
            </w:pPr>
            <w:r>
              <w:rPr>
                <w:rFonts w:ascii="Times New Roman" w:hAnsi="Times New Roman" w:eastAsia="Times New Roman" w:cs="Times New Roman"/>
                <w:spacing w:val="5"/>
              </w:rPr>
              <w:t>V</w:t>
            </w:r>
            <w:r>
              <w:rPr>
                <w:spacing w:val="5"/>
              </w:rPr>
              <w:t>型滤池设</w:t>
            </w:r>
            <w:r>
              <w:rPr>
                <w:spacing w:val="-1"/>
              </w:rPr>
              <w:t>备间（改造）</w:t>
            </w:r>
          </w:p>
        </w:tc>
        <w:tc>
          <w:tcPr>
            <w:tcW w:w="2906" w:type="dxa"/>
            <w:vAlign w:val="top"/>
          </w:tcPr>
          <w:p w14:paraId="09B79AB6">
            <w:pPr>
              <w:pStyle w:val="6"/>
              <w:spacing w:before="47" w:line="228" w:lineRule="auto"/>
              <w:ind w:left="251"/>
            </w:pPr>
            <w:r>
              <w:rPr>
                <w:spacing w:val="5"/>
              </w:rPr>
              <w:t>土建及设备安装规模</w:t>
            </w:r>
            <w:r>
              <w:rPr>
                <w:rFonts w:ascii="Times New Roman" w:hAnsi="Times New Roman" w:eastAsia="Times New Roman" w:cs="Times New Roman"/>
                <w:spacing w:val="5"/>
              </w:rPr>
              <w:t>1.5</w:t>
            </w:r>
            <w:r>
              <w:rPr>
                <w:spacing w:val="5"/>
              </w:rPr>
              <w:t>×</w:t>
            </w:r>
          </w:p>
          <w:p w14:paraId="77137FA5">
            <w:pPr>
              <w:spacing w:before="25" w:line="216" w:lineRule="auto"/>
              <w:ind w:left="113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10</w:t>
            </w:r>
            <w:r>
              <w:rPr>
                <w:rFonts w:ascii="Times New Roman" w:hAnsi="Times New Roman" w:eastAsia="Times New Roman" w:cs="Times New Roman"/>
                <w:position w:val="5"/>
                <w:sz w:val="13"/>
                <w:szCs w:val="13"/>
              </w:rPr>
              <w:t>4</w:t>
            </w:r>
            <w:r>
              <w:rPr>
                <w:rFonts w:ascii="Times New Roman" w:hAnsi="Times New Roman" w:eastAsia="Times New Roman" w:cs="Times New Roman"/>
                <w:position w:val="-1"/>
                <w:sz w:val="20"/>
                <w:szCs w:val="20"/>
              </w:rPr>
              <w:t>m</w:t>
            </w:r>
            <w:r>
              <w:rPr>
                <w:rFonts w:ascii="Times New Roman" w:hAnsi="Times New Roman" w:eastAsia="Times New Roman" w:cs="Times New Roman"/>
                <w:position w:val="5"/>
                <w:sz w:val="13"/>
                <w:szCs w:val="13"/>
              </w:rPr>
              <w:t>3</w:t>
            </w:r>
            <w:r>
              <w:rPr>
                <w:rFonts w:ascii="Times New Roman" w:hAnsi="Times New Roman" w:eastAsia="Times New Roman" w:cs="Times New Roman"/>
                <w:position w:val="-1"/>
                <w:sz w:val="20"/>
                <w:szCs w:val="20"/>
              </w:rPr>
              <w:t>/d</w:t>
            </w:r>
          </w:p>
        </w:tc>
        <w:tc>
          <w:tcPr>
            <w:tcW w:w="2727" w:type="dxa"/>
            <w:vAlign w:val="top"/>
          </w:tcPr>
          <w:p w14:paraId="641B606A">
            <w:pPr>
              <w:pStyle w:val="6"/>
              <w:spacing w:before="34" w:line="233" w:lineRule="auto"/>
              <w:ind w:left="318" w:right="206" w:hanging="103"/>
            </w:pPr>
            <w:r>
              <w:rPr>
                <w:spacing w:val="9"/>
              </w:rPr>
              <w:t>反冲洗鼓风机利用原有设</w:t>
            </w:r>
            <w:r>
              <w:rPr>
                <w:spacing w:val="5"/>
              </w:rPr>
              <w:t>施更换</w:t>
            </w:r>
            <w:r>
              <w:rPr>
                <w:rFonts w:ascii="Times New Roman" w:hAnsi="Times New Roman" w:eastAsia="Times New Roman" w:cs="Times New Roman"/>
                <w:spacing w:val="5"/>
              </w:rPr>
              <w:t>3</w:t>
            </w:r>
            <w:r>
              <w:rPr>
                <w:spacing w:val="5"/>
              </w:rPr>
              <w:t>台反冲洗水泵</w:t>
            </w:r>
          </w:p>
        </w:tc>
        <w:tc>
          <w:tcPr>
            <w:tcW w:w="1164" w:type="dxa"/>
            <w:vAlign w:val="top"/>
          </w:tcPr>
          <w:p w14:paraId="2C47E8C9">
            <w:pPr>
              <w:rPr>
                <w:rFonts w:ascii="Arial"/>
                <w:sz w:val="21"/>
              </w:rPr>
            </w:pPr>
          </w:p>
        </w:tc>
      </w:tr>
      <w:tr w14:paraId="388C9B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588" w:type="dxa"/>
            <w:vAlign w:val="top"/>
          </w:tcPr>
          <w:p w14:paraId="712C69AE">
            <w:pPr>
              <w:spacing w:line="281" w:lineRule="auto"/>
              <w:rPr>
                <w:rFonts w:ascii="Arial"/>
                <w:sz w:val="21"/>
              </w:rPr>
            </w:pPr>
          </w:p>
          <w:p w14:paraId="3434967E">
            <w:pPr>
              <w:spacing w:before="58"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337" w:type="dxa"/>
            <w:vAlign w:val="top"/>
          </w:tcPr>
          <w:p w14:paraId="1DD1B948">
            <w:pPr>
              <w:pStyle w:val="6"/>
              <w:spacing w:before="170" w:line="228" w:lineRule="auto"/>
              <w:ind w:left="152"/>
            </w:pPr>
            <w:r>
              <w:rPr>
                <w:spacing w:val="7"/>
              </w:rPr>
              <w:t>紫外消毒渠</w:t>
            </w:r>
          </w:p>
          <w:p w14:paraId="70324807">
            <w:pPr>
              <w:pStyle w:val="6"/>
              <w:spacing w:before="24" w:line="228" w:lineRule="auto"/>
              <w:ind w:left="261"/>
            </w:pPr>
            <w:r>
              <w:rPr>
                <w:spacing w:val="2"/>
              </w:rPr>
              <w:t>（改造）</w:t>
            </w:r>
          </w:p>
        </w:tc>
        <w:tc>
          <w:tcPr>
            <w:tcW w:w="2906" w:type="dxa"/>
            <w:vAlign w:val="top"/>
          </w:tcPr>
          <w:p w14:paraId="4F067F7F">
            <w:pPr>
              <w:pStyle w:val="6"/>
              <w:spacing w:before="170" w:line="252" w:lineRule="auto"/>
              <w:ind w:left="441" w:right="119" w:hanging="317"/>
              <w:rPr>
                <w:rFonts w:ascii="Times New Roman" w:hAnsi="Times New Roman" w:eastAsia="Times New Roman" w:cs="Times New Roman"/>
              </w:rPr>
            </w:pPr>
            <w:r>
              <w:rPr>
                <w:spacing w:val="4"/>
              </w:rPr>
              <w:t>土建规模</w:t>
            </w:r>
            <w:r>
              <w:rPr>
                <w:rFonts w:ascii="Times New Roman" w:hAnsi="Times New Roman" w:eastAsia="Times New Roman" w:cs="Times New Roman"/>
                <w:spacing w:val="4"/>
              </w:rPr>
              <w:t>3.0</w:t>
            </w:r>
            <w:r>
              <w:rPr>
                <w:spacing w:val="4"/>
              </w:rPr>
              <w:t>×</w:t>
            </w:r>
            <w:r>
              <w:rPr>
                <w:rFonts w:ascii="Times New Roman" w:hAnsi="Times New Roman" w:eastAsia="Times New Roman" w:cs="Times New Roman"/>
                <w:spacing w:val="4"/>
              </w:rPr>
              <w:t>10</w:t>
            </w:r>
            <w:r>
              <w:rPr>
                <w:rFonts w:ascii="Times New Roman" w:hAnsi="Times New Roman" w:eastAsia="Times New Roman" w:cs="Times New Roman"/>
                <w:spacing w:val="4"/>
                <w:position w:val="6"/>
                <w:sz w:val="13"/>
                <w:szCs w:val="13"/>
              </w:rPr>
              <w:t>4</w:t>
            </w:r>
            <w:r>
              <w:rPr>
                <w:rFonts w:ascii="Times New Roman" w:hAnsi="Times New Roman" w:eastAsia="Times New Roman" w:cs="Times New Roman"/>
                <w:spacing w:val="4"/>
              </w:rPr>
              <w:t>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rPr>
              <w:t>/d</w:t>
            </w:r>
            <w:r>
              <w:rPr>
                <w:spacing w:val="4"/>
              </w:rPr>
              <w:t>，设备</w:t>
            </w:r>
            <w:r>
              <w:rPr>
                <w:spacing w:val="-1"/>
              </w:rPr>
              <w:t>安装规模</w:t>
            </w:r>
            <w:r>
              <w:rPr>
                <w:rFonts w:ascii="Times New Roman" w:hAnsi="Times New Roman" w:eastAsia="Times New Roman" w:cs="Times New Roman"/>
                <w:spacing w:val="-1"/>
              </w:rPr>
              <w:t>1.5</w:t>
            </w:r>
            <w:r>
              <w:rPr>
                <w:spacing w:val="-1"/>
              </w:rPr>
              <w:t>×</w:t>
            </w:r>
            <w:r>
              <w:rPr>
                <w:rFonts w:ascii="Times New Roman" w:hAnsi="Times New Roman" w:eastAsia="Times New Roman" w:cs="Times New Roman"/>
                <w:spacing w:val="-1"/>
              </w:rPr>
              <w:t>10</w:t>
            </w:r>
            <w:r>
              <w:rPr>
                <w:rFonts w:ascii="Times New Roman" w:hAnsi="Times New Roman" w:eastAsia="Times New Roman" w:cs="Times New Roman"/>
                <w:spacing w:val="-1"/>
                <w:position w:val="6"/>
                <w:sz w:val="13"/>
                <w:szCs w:val="13"/>
              </w:rPr>
              <w:t>4</w:t>
            </w:r>
            <w:r>
              <w:rPr>
                <w:rFonts w:ascii="Times New Roman" w:hAnsi="Times New Roman" w:eastAsia="Times New Roman" w:cs="Times New Roman"/>
                <w:spacing w:val="-1"/>
              </w:rPr>
              <w:t>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
              </w:rPr>
              <w:t>/d</w:t>
            </w:r>
          </w:p>
        </w:tc>
        <w:tc>
          <w:tcPr>
            <w:tcW w:w="2727" w:type="dxa"/>
            <w:vAlign w:val="top"/>
          </w:tcPr>
          <w:p w14:paraId="7B14D18C">
            <w:pPr>
              <w:pStyle w:val="6"/>
              <w:spacing w:before="170" w:line="252" w:lineRule="auto"/>
              <w:ind w:left="665" w:right="105" w:hanging="550"/>
              <w:rPr>
                <w:rFonts w:ascii="Times New Roman" w:hAnsi="Times New Roman" w:eastAsia="Times New Roman" w:cs="Times New Roman"/>
              </w:rPr>
            </w:pPr>
            <w:r>
              <w:rPr>
                <w:spacing w:val="8"/>
              </w:rPr>
              <w:t>新增一套紫外灯组，设计规</w:t>
            </w:r>
            <w:r>
              <w:rPr>
                <w:spacing w:val="-8"/>
              </w:rPr>
              <w:t>模</w:t>
            </w:r>
            <w:r>
              <w:rPr>
                <w:rFonts w:ascii="Times New Roman" w:hAnsi="Times New Roman" w:eastAsia="Times New Roman" w:cs="Times New Roman"/>
                <w:spacing w:val="-8"/>
              </w:rPr>
              <w:t>1.5</w:t>
            </w:r>
            <w:r>
              <w:rPr>
                <w:spacing w:val="-8"/>
              </w:rPr>
              <w:t>×</w:t>
            </w:r>
            <w:r>
              <w:rPr>
                <w:rFonts w:ascii="Times New Roman" w:hAnsi="Times New Roman" w:eastAsia="Times New Roman" w:cs="Times New Roman"/>
                <w:spacing w:val="-8"/>
              </w:rPr>
              <w:t>10</w:t>
            </w:r>
            <w:r>
              <w:rPr>
                <w:rFonts w:ascii="Times New Roman" w:hAnsi="Times New Roman" w:eastAsia="Times New Roman" w:cs="Times New Roman"/>
                <w:spacing w:val="4"/>
                <w:position w:val="6"/>
                <w:sz w:val="13"/>
                <w:szCs w:val="13"/>
              </w:rPr>
              <w:t>4</w:t>
            </w:r>
            <w:r>
              <w:rPr>
                <w:rFonts w:ascii="Times New Roman" w:hAnsi="Times New Roman" w:eastAsia="Times New Roman" w:cs="Times New Roman"/>
                <w:spacing w:val="4"/>
              </w:rPr>
              <w:t>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rPr>
              <w:t>/d</w:t>
            </w:r>
          </w:p>
        </w:tc>
        <w:tc>
          <w:tcPr>
            <w:tcW w:w="1164" w:type="dxa"/>
            <w:vAlign w:val="top"/>
          </w:tcPr>
          <w:p w14:paraId="100DF750">
            <w:pPr>
              <w:pStyle w:val="6"/>
              <w:spacing w:before="34" w:line="228" w:lineRule="auto"/>
              <w:ind w:left="172"/>
            </w:pPr>
            <w:r>
              <w:rPr>
                <w:spacing w:val="6"/>
              </w:rPr>
              <w:t>一期工程</w:t>
            </w:r>
          </w:p>
          <w:p w14:paraId="54DC6B02">
            <w:pPr>
              <w:pStyle w:val="6"/>
              <w:spacing w:before="24" w:line="228" w:lineRule="auto"/>
              <w:ind w:left="170"/>
            </w:pPr>
            <w:r>
              <w:rPr>
                <w:spacing w:val="6"/>
              </w:rPr>
              <w:t>预留位置</w:t>
            </w:r>
          </w:p>
          <w:p w14:paraId="05A6271A">
            <w:pPr>
              <w:pStyle w:val="6"/>
              <w:spacing w:before="26" w:line="215" w:lineRule="auto"/>
              <w:ind w:left="381"/>
            </w:pPr>
            <w:r>
              <w:rPr>
                <w:spacing w:val="2"/>
              </w:rPr>
              <w:t>安装</w:t>
            </w:r>
          </w:p>
        </w:tc>
      </w:tr>
      <w:tr w14:paraId="2F18E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588" w:type="dxa"/>
            <w:vAlign w:val="top"/>
          </w:tcPr>
          <w:p w14:paraId="3DE74D66">
            <w:pPr>
              <w:spacing w:line="282" w:lineRule="auto"/>
              <w:rPr>
                <w:rFonts w:ascii="Arial"/>
                <w:sz w:val="21"/>
              </w:rPr>
            </w:pPr>
          </w:p>
          <w:p w14:paraId="0A17D66D">
            <w:pPr>
              <w:spacing w:before="58"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337" w:type="dxa"/>
            <w:vAlign w:val="top"/>
          </w:tcPr>
          <w:p w14:paraId="0C0F9E8F">
            <w:pPr>
              <w:pStyle w:val="6"/>
              <w:spacing w:before="34" w:line="228" w:lineRule="auto"/>
              <w:ind w:left="149"/>
            </w:pPr>
            <w:r>
              <w:rPr>
                <w:spacing w:val="7"/>
              </w:rPr>
              <w:t>污泥脱水车</w:t>
            </w:r>
          </w:p>
          <w:p w14:paraId="0D8015B6">
            <w:pPr>
              <w:pStyle w:val="6"/>
              <w:spacing w:before="24" w:line="228" w:lineRule="auto"/>
              <w:ind w:left="164"/>
            </w:pPr>
            <w:r>
              <w:rPr>
                <w:spacing w:val="4"/>
              </w:rPr>
              <w:t>间及加药间</w:t>
            </w:r>
          </w:p>
          <w:p w14:paraId="79961DAA">
            <w:pPr>
              <w:pStyle w:val="6"/>
              <w:spacing w:before="24" w:line="216" w:lineRule="auto"/>
              <w:ind w:left="261"/>
            </w:pPr>
            <w:r>
              <w:rPr>
                <w:spacing w:val="2"/>
              </w:rPr>
              <w:t>（改造）</w:t>
            </w:r>
          </w:p>
        </w:tc>
        <w:tc>
          <w:tcPr>
            <w:tcW w:w="2906" w:type="dxa"/>
            <w:vAlign w:val="top"/>
          </w:tcPr>
          <w:p w14:paraId="68ADE4D3">
            <w:pPr>
              <w:pStyle w:val="6"/>
              <w:spacing w:before="169" w:line="254" w:lineRule="auto"/>
              <w:ind w:left="441" w:right="119" w:hanging="317"/>
              <w:rPr>
                <w:rFonts w:ascii="Times New Roman" w:hAnsi="Times New Roman" w:eastAsia="Times New Roman" w:cs="Times New Roman"/>
              </w:rPr>
            </w:pPr>
            <w:r>
              <w:rPr>
                <w:spacing w:val="4"/>
              </w:rPr>
              <w:t>土建规模</w:t>
            </w:r>
            <w:r>
              <w:rPr>
                <w:rFonts w:ascii="Times New Roman" w:hAnsi="Times New Roman" w:eastAsia="Times New Roman" w:cs="Times New Roman"/>
                <w:spacing w:val="4"/>
              </w:rPr>
              <w:t>3.0</w:t>
            </w:r>
            <w:r>
              <w:rPr>
                <w:spacing w:val="4"/>
              </w:rPr>
              <w:t>×</w:t>
            </w:r>
            <w:r>
              <w:rPr>
                <w:rFonts w:ascii="Times New Roman" w:hAnsi="Times New Roman" w:eastAsia="Times New Roman" w:cs="Times New Roman"/>
                <w:spacing w:val="4"/>
              </w:rPr>
              <w:t>10</w:t>
            </w:r>
            <w:r>
              <w:rPr>
                <w:rFonts w:ascii="Times New Roman" w:hAnsi="Times New Roman" w:eastAsia="Times New Roman" w:cs="Times New Roman"/>
                <w:spacing w:val="4"/>
                <w:position w:val="6"/>
                <w:sz w:val="13"/>
                <w:szCs w:val="13"/>
              </w:rPr>
              <w:t>4</w:t>
            </w:r>
            <w:r>
              <w:rPr>
                <w:rFonts w:ascii="Times New Roman" w:hAnsi="Times New Roman" w:eastAsia="Times New Roman" w:cs="Times New Roman"/>
                <w:spacing w:val="4"/>
              </w:rPr>
              <w:t>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rPr>
              <w:t>/d</w:t>
            </w:r>
            <w:r>
              <w:rPr>
                <w:spacing w:val="4"/>
              </w:rPr>
              <w:t>，设备</w:t>
            </w:r>
            <w:r>
              <w:rPr>
                <w:spacing w:val="-1"/>
              </w:rPr>
              <w:t>安装规模</w:t>
            </w:r>
            <w:r>
              <w:rPr>
                <w:rFonts w:ascii="Times New Roman" w:hAnsi="Times New Roman" w:eastAsia="Times New Roman" w:cs="Times New Roman"/>
                <w:spacing w:val="-1"/>
              </w:rPr>
              <w:t>1.5</w:t>
            </w:r>
            <w:r>
              <w:rPr>
                <w:spacing w:val="-1"/>
              </w:rPr>
              <w:t>×</w:t>
            </w:r>
            <w:r>
              <w:rPr>
                <w:rFonts w:ascii="Times New Roman" w:hAnsi="Times New Roman" w:eastAsia="Times New Roman" w:cs="Times New Roman"/>
                <w:spacing w:val="-1"/>
              </w:rPr>
              <w:t>10</w:t>
            </w:r>
            <w:r>
              <w:rPr>
                <w:rFonts w:ascii="Times New Roman" w:hAnsi="Times New Roman" w:eastAsia="Times New Roman" w:cs="Times New Roman"/>
                <w:spacing w:val="-1"/>
                <w:position w:val="6"/>
                <w:sz w:val="13"/>
                <w:szCs w:val="13"/>
              </w:rPr>
              <w:t>4</w:t>
            </w:r>
            <w:r>
              <w:rPr>
                <w:rFonts w:ascii="Times New Roman" w:hAnsi="Times New Roman" w:eastAsia="Times New Roman" w:cs="Times New Roman"/>
                <w:spacing w:val="-1"/>
              </w:rPr>
              <w:t>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
              </w:rPr>
              <w:t>/d</w:t>
            </w:r>
          </w:p>
        </w:tc>
        <w:tc>
          <w:tcPr>
            <w:tcW w:w="2727" w:type="dxa"/>
            <w:vAlign w:val="top"/>
          </w:tcPr>
          <w:p w14:paraId="09B3BEC5">
            <w:pPr>
              <w:pStyle w:val="6"/>
              <w:spacing w:before="169" w:line="254" w:lineRule="auto"/>
              <w:ind w:left="355" w:right="149" w:hanging="240"/>
              <w:rPr>
                <w:rFonts w:ascii="Times New Roman" w:hAnsi="Times New Roman" w:eastAsia="Times New Roman" w:cs="Times New Roman"/>
              </w:rPr>
            </w:pPr>
            <w:r>
              <w:t>新增</w:t>
            </w:r>
            <w:r>
              <w:rPr>
                <w:rFonts w:ascii="Times New Roman" w:hAnsi="Times New Roman" w:eastAsia="Times New Roman" w:cs="Times New Roman"/>
              </w:rPr>
              <w:t>1</w:t>
            </w:r>
            <w:r>
              <w:t>台高压板框压滤机，</w:t>
            </w:r>
            <w:r>
              <w:rPr>
                <w:spacing w:val="-1"/>
              </w:rPr>
              <w:t>设计规模</w:t>
            </w:r>
            <w:r>
              <w:rPr>
                <w:rFonts w:ascii="Times New Roman" w:hAnsi="Times New Roman" w:eastAsia="Times New Roman" w:cs="Times New Roman"/>
                <w:spacing w:val="-1"/>
              </w:rPr>
              <w:t>1.5</w:t>
            </w:r>
            <w:r>
              <w:rPr>
                <w:spacing w:val="-1"/>
              </w:rPr>
              <w:t>×</w:t>
            </w:r>
            <w:r>
              <w:rPr>
                <w:rFonts w:ascii="Times New Roman" w:hAnsi="Times New Roman" w:eastAsia="Times New Roman" w:cs="Times New Roman"/>
                <w:spacing w:val="-1"/>
              </w:rPr>
              <w:t>10</w:t>
            </w:r>
            <w:r>
              <w:rPr>
                <w:rFonts w:ascii="Times New Roman" w:hAnsi="Times New Roman" w:eastAsia="Times New Roman" w:cs="Times New Roman"/>
                <w:spacing w:val="-1"/>
                <w:position w:val="6"/>
                <w:sz w:val="13"/>
                <w:szCs w:val="13"/>
              </w:rPr>
              <w:t>4</w:t>
            </w:r>
            <w:r>
              <w:rPr>
                <w:rFonts w:ascii="Times New Roman" w:hAnsi="Times New Roman" w:eastAsia="Times New Roman" w:cs="Times New Roman"/>
                <w:spacing w:val="-1"/>
              </w:rPr>
              <w:t>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
              </w:rPr>
              <w:t>/d</w:t>
            </w:r>
          </w:p>
        </w:tc>
        <w:tc>
          <w:tcPr>
            <w:tcW w:w="1164" w:type="dxa"/>
            <w:vAlign w:val="top"/>
          </w:tcPr>
          <w:p w14:paraId="148B8FEE">
            <w:pPr>
              <w:pStyle w:val="6"/>
              <w:spacing w:before="35" w:line="228" w:lineRule="auto"/>
              <w:ind w:left="172"/>
            </w:pPr>
            <w:r>
              <w:rPr>
                <w:spacing w:val="6"/>
              </w:rPr>
              <w:t>一期工程</w:t>
            </w:r>
          </w:p>
          <w:p w14:paraId="46D22EFD">
            <w:pPr>
              <w:pStyle w:val="6"/>
              <w:spacing w:before="24" w:line="228" w:lineRule="auto"/>
              <w:ind w:left="170"/>
            </w:pPr>
            <w:r>
              <w:rPr>
                <w:spacing w:val="6"/>
              </w:rPr>
              <w:t>预留位置</w:t>
            </w:r>
          </w:p>
          <w:p w14:paraId="659F6548">
            <w:pPr>
              <w:pStyle w:val="6"/>
              <w:spacing w:before="24" w:line="216" w:lineRule="auto"/>
              <w:ind w:left="381"/>
            </w:pPr>
            <w:r>
              <w:rPr>
                <w:spacing w:val="2"/>
              </w:rPr>
              <w:t>安装</w:t>
            </w:r>
          </w:p>
        </w:tc>
      </w:tr>
      <w:tr w14:paraId="01A74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88" w:type="dxa"/>
            <w:vAlign w:val="top"/>
          </w:tcPr>
          <w:p w14:paraId="05104EE5">
            <w:pPr>
              <w:spacing w:line="283" w:lineRule="auto"/>
              <w:rPr>
                <w:rFonts w:ascii="Arial"/>
                <w:sz w:val="21"/>
              </w:rPr>
            </w:pPr>
          </w:p>
          <w:p w14:paraId="3868E9B5">
            <w:pPr>
              <w:spacing w:before="58"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337" w:type="dxa"/>
            <w:vAlign w:val="top"/>
          </w:tcPr>
          <w:p w14:paraId="02937289">
            <w:pPr>
              <w:pStyle w:val="6"/>
              <w:spacing w:before="170" w:line="227" w:lineRule="auto"/>
              <w:ind w:left="252"/>
            </w:pPr>
            <w:r>
              <w:rPr>
                <w:spacing w:val="6"/>
              </w:rPr>
              <w:t>鼓风机房</w:t>
            </w:r>
          </w:p>
          <w:p w14:paraId="0DCEDBD7">
            <w:pPr>
              <w:pStyle w:val="6"/>
              <w:spacing w:before="24" w:line="228" w:lineRule="auto"/>
              <w:ind w:left="261"/>
            </w:pPr>
            <w:r>
              <w:rPr>
                <w:spacing w:val="2"/>
              </w:rPr>
              <w:t>（改造）</w:t>
            </w:r>
          </w:p>
        </w:tc>
        <w:tc>
          <w:tcPr>
            <w:tcW w:w="2906" w:type="dxa"/>
            <w:vAlign w:val="top"/>
          </w:tcPr>
          <w:p w14:paraId="40F7F4AD">
            <w:pPr>
              <w:pStyle w:val="6"/>
              <w:spacing w:before="169" w:line="252" w:lineRule="auto"/>
              <w:ind w:left="441" w:right="119" w:hanging="317"/>
              <w:rPr>
                <w:rFonts w:ascii="Times New Roman" w:hAnsi="Times New Roman" w:eastAsia="Times New Roman" w:cs="Times New Roman"/>
              </w:rPr>
            </w:pPr>
            <w:r>
              <w:rPr>
                <w:spacing w:val="4"/>
              </w:rPr>
              <w:t>土建规模</w:t>
            </w:r>
            <w:r>
              <w:rPr>
                <w:rFonts w:ascii="Times New Roman" w:hAnsi="Times New Roman" w:eastAsia="Times New Roman" w:cs="Times New Roman"/>
                <w:spacing w:val="4"/>
              </w:rPr>
              <w:t>3.0</w:t>
            </w:r>
            <w:r>
              <w:rPr>
                <w:spacing w:val="4"/>
              </w:rPr>
              <w:t>×</w:t>
            </w:r>
            <w:r>
              <w:rPr>
                <w:rFonts w:ascii="Times New Roman" w:hAnsi="Times New Roman" w:eastAsia="Times New Roman" w:cs="Times New Roman"/>
                <w:spacing w:val="4"/>
              </w:rPr>
              <w:t>10</w:t>
            </w:r>
            <w:r>
              <w:rPr>
                <w:rFonts w:ascii="Times New Roman" w:hAnsi="Times New Roman" w:eastAsia="Times New Roman" w:cs="Times New Roman"/>
                <w:spacing w:val="4"/>
                <w:position w:val="6"/>
                <w:sz w:val="13"/>
                <w:szCs w:val="13"/>
              </w:rPr>
              <w:t>4</w:t>
            </w:r>
            <w:r>
              <w:rPr>
                <w:rFonts w:ascii="Times New Roman" w:hAnsi="Times New Roman" w:eastAsia="Times New Roman" w:cs="Times New Roman"/>
                <w:spacing w:val="4"/>
              </w:rPr>
              <w:t>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rPr>
              <w:t>/d</w:t>
            </w:r>
            <w:r>
              <w:rPr>
                <w:spacing w:val="4"/>
              </w:rPr>
              <w:t>，设备</w:t>
            </w:r>
            <w:r>
              <w:rPr>
                <w:spacing w:val="-1"/>
              </w:rPr>
              <w:t>安装规模</w:t>
            </w:r>
            <w:r>
              <w:rPr>
                <w:rFonts w:ascii="Times New Roman" w:hAnsi="Times New Roman" w:eastAsia="Times New Roman" w:cs="Times New Roman"/>
                <w:spacing w:val="-1"/>
              </w:rPr>
              <w:t>1.5</w:t>
            </w:r>
            <w:r>
              <w:rPr>
                <w:spacing w:val="-1"/>
              </w:rPr>
              <w:t>×</w:t>
            </w:r>
            <w:r>
              <w:rPr>
                <w:rFonts w:ascii="Times New Roman" w:hAnsi="Times New Roman" w:eastAsia="Times New Roman" w:cs="Times New Roman"/>
                <w:spacing w:val="-1"/>
              </w:rPr>
              <w:t>10</w:t>
            </w:r>
            <w:r>
              <w:rPr>
                <w:rFonts w:ascii="Times New Roman" w:hAnsi="Times New Roman" w:eastAsia="Times New Roman" w:cs="Times New Roman"/>
                <w:spacing w:val="-1"/>
                <w:position w:val="6"/>
                <w:sz w:val="13"/>
                <w:szCs w:val="13"/>
              </w:rPr>
              <w:t>4</w:t>
            </w:r>
            <w:r>
              <w:rPr>
                <w:rFonts w:ascii="Times New Roman" w:hAnsi="Times New Roman" w:eastAsia="Times New Roman" w:cs="Times New Roman"/>
                <w:spacing w:val="-1"/>
              </w:rPr>
              <w:t>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
              </w:rPr>
              <w:t>/d</w:t>
            </w:r>
          </w:p>
        </w:tc>
        <w:tc>
          <w:tcPr>
            <w:tcW w:w="2727" w:type="dxa"/>
            <w:vAlign w:val="top"/>
          </w:tcPr>
          <w:p w14:paraId="5D25F179">
            <w:pPr>
              <w:pStyle w:val="6"/>
              <w:spacing w:before="170" w:line="227" w:lineRule="auto"/>
              <w:ind w:left="115"/>
            </w:pPr>
            <w:r>
              <w:rPr>
                <w:spacing w:val="5"/>
              </w:rPr>
              <w:t>新增</w:t>
            </w:r>
            <w:r>
              <w:rPr>
                <w:rFonts w:ascii="Times New Roman" w:hAnsi="Times New Roman" w:eastAsia="Times New Roman" w:cs="Times New Roman"/>
                <w:spacing w:val="5"/>
              </w:rPr>
              <w:t>3</w:t>
            </w:r>
            <w:r>
              <w:rPr>
                <w:spacing w:val="5"/>
              </w:rPr>
              <w:t>台鼓风机，设计规模</w:t>
            </w:r>
          </w:p>
          <w:p w14:paraId="77CDF13F">
            <w:pPr>
              <w:pStyle w:val="6"/>
              <w:spacing w:before="25" w:line="264" w:lineRule="exact"/>
              <w:ind w:left="814"/>
              <w:rPr>
                <w:rFonts w:ascii="Times New Roman" w:hAnsi="Times New Roman" w:eastAsia="Times New Roman" w:cs="Times New Roman"/>
              </w:rPr>
            </w:pPr>
            <w:r>
              <w:rPr>
                <w:rFonts w:ascii="Times New Roman" w:hAnsi="Times New Roman" w:eastAsia="Times New Roman" w:cs="Times New Roman"/>
                <w:spacing w:val="2"/>
                <w:position w:val="1"/>
              </w:rPr>
              <w:t>1.5</w:t>
            </w:r>
            <w:r>
              <w:rPr>
                <w:spacing w:val="2"/>
                <w:position w:val="1"/>
              </w:rPr>
              <w:t>×</w:t>
            </w:r>
            <w:r>
              <w:rPr>
                <w:rFonts w:ascii="Times New Roman" w:hAnsi="Times New Roman" w:eastAsia="Times New Roman" w:cs="Times New Roman"/>
                <w:spacing w:val="2"/>
                <w:position w:val="1"/>
              </w:rPr>
              <w:t>10</w:t>
            </w:r>
            <w:r>
              <w:rPr>
                <w:rFonts w:ascii="Times New Roman" w:hAnsi="Times New Roman" w:eastAsia="Times New Roman" w:cs="Times New Roman"/>
                <w:spacing w:val="2"/>
                <w:position w:val="7"/>
                <w:sz w:val="13"/>
                <w:szCs w:val="13"/>
              </w:rPr>
              <w:t>4</w:t>
            </w:r>
            <w:r>
              <w:rPr>
                <w:rFonts w:ascii="Times New Roman" w:hAnsi="Times New Roman" w:eastAsia="Times New Roman" w:cs="Times New Roman"/>
                <w:spacing w:val="2"/>
                <w:position w:val="1"/>
              </w:rPr>
              <w:t>m</w:t>
            </w:r>
            <w:r>
              <w:rPr>
                <w:rFonts w:ascii="Times New Roman" w:hAnsi="Times New Roman" w:eastAsia="Times New Roman" w:cs="Times New Roman"/>
                <w:spacing w:val="2"/>
                <w:position w:val="7"/>
                <w:sz w:val="13"/>
                <w:szCs w:val="13"/>
              </w:rPr>
              <w:t>3</w:t>
            </w:r>
            <w:r>
              <w:rPr>
                <w:rFonts w:ascii="Times New Roman" w:hAnsi="Times New Roman" w:eastAsia="Times New Roman" w:cs="Times New Roman"/>
                <w:spacing w:val="2"/>
                <w:position w:val="1"/>
              </w:rPr>
              <w:t>/d</w:t>
            </w:r>
          </w:p>
        </w:tc>
        <w:tc>
          <w:tcPr>
            <w:tcW w:w="1164" w:type="dxa"/>
            <w:vAlign w:val="top"/>
          </w:tcPr>
          <w:p w14:paraId="1F5ECEFC">
            <w:pPr>
              <w:pStyle w:val="6"/>
              <w:spacing w:before="34" w:line="228" w:lineRule="auto"/>
              <w:ind w:left="172"/>
            </w:pPr>
            <w:r>
              <w:rPr>
                <w:spacing w:val="6"/>
              </w:rPr>
              <w:t>一期工程</w:t>
            </w:r>
          </w:p>
          <w:p w14:paraId="3991E40C">
            <w:pPr>
              <w:pStyle w:val="6"/>
              <w:spacing w:before="26" w:line="228" w:lineRule="auto"/>
              <w:ind w:left="170"/>
            </w:pPr>
            <w:r>
              <w:rPr>
                <w:spacing w:val="6"/>
              </w:rPr>
              <w:t>预留位置</w:t>
            </w:r>
          </w:p>
          <w:p w14:paraId="305F71AD">
            <w:pPr>
              <w:pStyle w:val="6"/>
              <w:spacing w:before="23" w:line="215" w:lineRule="auto"/>
              <w:ind w:left="381"/>
            </w:pPr>
            <w:r>
              <w:rPr>
                <w:spacing w:val="2"/>
              </w:rPr>
              <w:t>安装</w:t>
            </w:r>
          </w:p>
        </w:tc>
      </w:tr>
      <w:tr w14:paraId="65EA75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588" w:type="dxa"/>
            <w:vAlign w:val="top"/>
          </w:tcPr>
          <w:p w14:paraId="7870B0CC">
            <w:pPr>
              <w:spacing w:before="208"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337" w:type="dxa"/>
            <w:vAlign w:val="top"/>
          </w:tcPr>
          <w:p w14:paraId="6212ECD9">
            <w:pPr>
              <w:pStyle w:val="6"/>
              <w:spacing w:before="36" w:line="233" w:lineRule="auto"/>
              <w:ind w:left="256" w:right="143" w:hanging="110"/>
            </w:pPr>
            <w:r>
              <w:rPr>
                <w:spacing w:val="8"/>
              </w:rPr>
              <w:t>机修间及应</w:t>
            </w:r>
            <w:r>
              <w:rPr>
                <w:spacing w:val="5"/>
              </w:rPr>
              <w:t>急加药间</w:t>
            </w:r>
          </w:p>
        </w:tc>
        <w:tc>
          <w:tcPr>
            <w:tcW w:w="2906" w:type="dxa"/>
            <w:vAlign w:val="top"/>
          </w:tcPr>
          <w:p w14:paraId="31BA60DC">
            <w:pPr>
              <w:spacing w:before="204" w:line="199" w:lineRule="auto"/>
              <w:ind w:left="14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727" w:type="dxa"/>
            <w:vAlign w:val="top"/>
          </w:tcPr>
          <w:p w14:paraId="3F80B89D">
            <w:pPr>
              <w:pStyle w:val="6"/>
              <w:spacing w:before="36" w:line="233" w:lineRule="auto"/>
              <w:ind w:left="125" w:right="114" w:hanging="10"/>
            </w:pPr>
            <w:r>
              <w:rPr>
                <w:spacing w:val="6"/>
              </w:rPr>
              <w:t>新建机修间及应急加药间</w:t>
            </w:r>
            <w:r>
              <w:rPr>
                <w:rFonts w:ascii="Times New Roman" w:hAnsi="Times New Roman" w:eastAsia="Times New Roman" w:cs="Times New Roman"/>
                <w:spacing w:val="6"/>
              </w:rPr>
              <w:t>1</w:t>
            </w:r>
            <w:r>
              <w:rPr>
                <w:spacing w:val="9"/>
              </w:rPr>
              <w:t>座，平面尺寸</w:t>
            </w:r>
            <w:r>
              <w:rPr>
                <w:rFonts w:ascii="Times New Roman" w:hAnsi="Times New Roman" w:eastAsia="Times New Roman" w:cs="Times New Roman"/>
                <w:spacing w:val="9"/>
              </w:rPr>
              <w:t>L</w:t>
            </w:r>
            <w:r>
              <w:rPr>
                <w:spacing w:val="9"/>
              </w:rPr>
              <w:t>×</w:t>
            </w:r>
            <w:r>
              <w:rPr>
                <w:rFonts w:ascii="Times New Roman" w:hAnsi="Times New Roman" w:eastAsia="Times New Roman" w:cs="Times New Roman"/>
                <w:spacing w:val="9"/>
              </w:rPr>
              <w:t>B=18m</w:t>
            </w:r>
            <w:r>
              <w:rPr>
                <w:spacing w:val="9"/>
              </w:rPr>
              <w:t>×</w:t>
            </w:r>
          </w:p>
        </w:tc>
        <w:tc>
          <w:tcPr>
            <w:tcW w:w="1164" w:type="dxa"/>
            <w:vAlign w:val="top"/>
          </w:tcPr>
          <w:p w14:paraId="192792DC">
            <w:pPr>
              <w:rPr>
                <w:rFonts w:ascii="Arial"/>
                <w:sz w:val="21"/>
              </w:rPr>
            </w:pPr>
          </w:p>
        </w:tc>
      </w:tr>
    </w:tbl>
    <w:p w14:paraId="48BB8D7C">
      <w:pPr>
        <w:pStyle w:val="2"/>
      </w:pPr>
    </w:p>
    <w:p w14:paraId="4B59A248">
      <w:pPr>
        <w:sectPr>
          <w:headerReference r:id="rId24" w:type="default"/>
          <w:footerReference r:id="rId25" w:type="default"/>
          <w:pgSz w:w="11907" w:h="16840"/>
          <w:pgMar w:top="1132" w:right="1591" w:bottom="1259" w:left="1588" w:header="829" w:footer="1097" w:gutter="0"/>
          <w:cols w:space="720" w:num="1"/>
        </w:sectPr>
      </w:pPr>
    </w:p>
    <w:p w14:paraId="405D3EF1">
      <w:pPr>
        <w:spacing w:before="42"/>
      </w:pPr>
    </w:p>
    <w:tbl>
      <w:tblPr>
        <w:tblStyle w:val="5"/>
        <w:tblW w:w="87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8"/>
        <w:gridCol w:w="1337"/>
        <w:gridCol w:w="2906"/>
        <w:gridCol w:w="2727"/>
        <w:gridCol w:w="1164"/>
      </w:tblGrid>
      <w:tr w14:paraId="380C9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588" w:type="dxa"/>
            <w:textDirection w:val="tbRlV"/>
            <w:vAlign w:val="top"/>
          </w:tcPr>
          <w:p w14:paraId="696FDD64">
            <w:pPr>
              <w:pStyle w:val="6"/>
              <w:spacing w:before="188" w:line="218" w:lineRule="auto"/>
              <w:ind w:left="36"/>
            </w:pPr>
            <w:r>
              <w:rPr>
                <w:b/>
                <w:bCs/>
                <w:spacing w:val="6"/>
              </w:rPr>
              <w:t>序号</w:t>
            </w:r>
          </w:p>
        </w:tc>
        <w:tc>
          <w:tcPr>
            <w:tcW w:w="1337" w:type="dxa"/>
            <w:vAlign w:val="top"/>
          </w:tcPr>
          <w:p w14:paraId="26E24120">
            <w:pPr>
              <w:pStyle w:val="6"/>
              <w:spacing w:before="171" w:line="228" w:lineRule="auto"/>
              <w:ind w:left="255"/>
            </w:pPr>
            <w:r>
              <w:rPr>
                <w:b/>
                <w:bCs/>
                <w:spacing w:val="5"/>
              </w:rPr>
              <w:t>处理单元</w:t>
            </w:r>
          </w:p>
        </w:tc>
        <w:tc>
          <w:tcPr>
            <w:tcW w:w="2906" w:type="dxa"/>
            <w:vAlign w:val="top"/>
          </w:tcPr>
          <w:p w14:paraId="2A43541A">
            <w:pPr>
              <w:pStyle w:val="6"/>
              <w:spacing w:before="170" w:line="228" w:lineRule="auto"/>
              <w:ind w:left="1248"/>
            </w:pPr>
            <w:r>
              <w:rPr>
                <w:b/>
                <w:bCs/>
                <w:spacing w:val="3"/>
              </w:rPr>
              <w:t>现状</w:t>
            </w:r>
          </w:p>
        </w:tc>
        <w:tc>
          <w:tcPr>
            <w:tcW w:w="2727" w:type="dxa"/>
            <w:vAlign w:val="top"/>
          </w:tcPr>
          <w:p w14:paraId="7C8EA94E">
            <w:pPr>
              <w:pStyle w:val="6"/>
              <w:spacing w:before="36" w:line="227" w:lineRule="auto"/>
              <w:ind w:left="1053"/>
            </w:pPr>
            <w:r>
              <w:rPr>
                <w:b/>
                <w:bCs/>
                <w:spacing w:val="5"/>
              </w:rPr>
              <w:t>本工程</w:t>
            </w:r>
          </w:p>
          <w:p w14:paraId="3CB7024A">
            <w:pPr>
              <w:pStyle w:val="6"/>
              <w:spacing w:before="25" w:line="217" w:lineRule="auto"/>
              <w:ind w:left="642"/>
            </w:pPr>
            <w:r>
              <w:rPr>
                <w:b/>
                <w:bCs/>
                <w:spacing w:val="4"/>
              </w:rPr>
              <w:t>（改造或新建）</w:t>
            </w:r>
          </w:p>
        </w:tc>
        <w:tc>
          <w:tcPr>
            <w:tcW w:w="1164" w:type="dxa"/>
            <w:vAlign w:val="top"/>
          </w:tcPr>
          <w:p w14:paraId="0DC53FF1">
            <w:pPr>
              <w:pStyle w:val="6"/>
              <w:spacing w:before="170" w:line="229" w:lineRule="auto"/>
              <w:ind w:left="380"/>
            </w:pPr>
            <w:r>
              <w:rPr>
                <w:b/>
                <w:bCs/>
                <w:spacing w:val="2"/>
              </w:rPr>
              <w:t>备注</w:t>
            </w:r>
          </w:p>
        </w:tc>
      </w:tr>
      <w:tr w14:paraId="0D229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588" w:type="dxa"/>
            <w:vAlign w:val="top"/>
          </w:tcPr>
          <w:p w14:paraId="2461FD76">
            <w:pPr>
              <w:rPr>
                <w:rFonts w:ascii="Arial"/>
                <w:sz w:val="21"/>
              </w:rPr>
            </w:pPr>
          </w:p>
        </w:tc>
        <w:tc>
          <w:tcPr>
            <w:tcW w:w="1337" w:type="dxa"/>
            <w:vAlign w:val="top"/>
          </w:tcPr>
          <w:p w14:paraId="29D6AED3">
            <w:pPr>
              <w:rPr>
                <w:rFonts w:ascii="Arial"/>
                <w:sz w:val="21"/>
              </w:rPr>
            </w:pPr>
          </w:p>
        </w:tc>
        <w:tc>
          <w:tcPr>
            <w:tcW w:w="2906" w:type="dxa"/>
            <w:vAlign w:val="top"/>
          </w:tcPr>
          <w:p w14:paraId="6AD2886B">
            <w:pPr>
              <w:rPr>
                <w:rFonts w:ascii="Arial"/>
                <w:sz w:val="21"/>
              </w:rPr>
            </w:pPr>
          </w:p>
        </w:tc>
        <w:tc>
          <w:tcPr>
            <w:tcW w:w="2727" w:type="dxa"/>
            <w:vAlign w:val="top"/>
          </w:tcPr>
          <w:p w14:paraId="2082341B">
            <w:pPr>
              <w:spacing w:before="54" w:line="195" w:lineRule="auto"/>
              <w:ind w:left="12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9m</w:t>
            </w:r>
          </w:p>
        </w:tc>
        <w:tc>
          <w:tcPr>
            <w:tcW w:w="1164" w:type="dxa"/>
            <w:vAlign w:val="top"/>
          </w:tcPr>
          <w:p w14:paraId="7E78BBEF">
            <w:pPr>
              <w:rPr>
                <w:rFonts w:ascii="Arial"/>
                <w:sz w:val="21"/>
              </w:rPr>
            </w:pPr>
          </w:p>
        </w:tc>
      </w:tr>
      <w:tr w14:paraId="51A4A3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588" w:type="dxa"/>
            <w:vAlign w:val="top"/>
          </w:tcPr>
          <w:p w14:paraId="0D6E9A75">
            <w:pPr>
              <w:spacing w:before="204"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337" w:type="dxa"/>
            <w:vAlign w:val="top"/>
          </w:tcPr>
          <w:p w14:paraId="15F8CE0C">
            <w:pPr>
              <w:pStyle w:val="6"/>
              <w:spacing w:before="31" w:line="228" w:lineRule="auto"/>
              <w:ind w:left="173"/>
              <w:rPr>
                <w:rFonts w:ascii="Times New Roman" w:hAnsi="Times New Roman" w:eastAsia="Times New Roman" w:cs="Times New Roman"/>
              </w:rPr>
            </w:pPr>
            <w:r>
              <w:rPr>
                <w:spacing w:val="5"/>
              </w:rPr>
              <w:t>生物除臭</w:t>
            </w:r>
            <w:r>
              <w:rPr>
                <w:rFonts w:ascii="Times New Roman" w:hAnsi="Times New Roman" w:eastAsia="Times New Roman" w:cs="Times New Roman"/>
                <w:spacing w:val="5"/>
              </w:rPr>
              <w:t>2</w:t>
            </w:r>
          </w:p>
          <w:p w14:paraId="6C72D545">
            <w:pPr>
              <w:pStyle w:val="6"/>
              <w:spacing w:before="27" w:line="213" w:lineRule="auto"/>
              <w:ind w:left="261"/>
            </w:pPr>
            <w:r>
              <w:rPr>
                <w:spacing w:val="2"/>
              </w:rPr>
              <w:t>（改造）</w:t>
            </w:r>
          </w:p>
        </w:tc>
        <w:tc>
          <w:tcPr>
            <w:tcW w:w="2906" w:type="dxa"/>
            <w:vAlign w:val="top"/>
          </w:tcPr>
          <w:p w14:paraId="6F74D2CA">
            <w:pPr>
              <w:pStyle w:val="6"/>
              <w:spacing w:before="168" w:line="228" w:lineRule="auto"/>
              <w:ind w:left="345"/>
              <w:rPr>
                <w:rFonts w:ascii="Times New Roman" w:hAnsi="Times New Roman" w:eastAsia="Times New Roman" w:cs="Times New Roman"/>
              </w:rPr>
            </w:pPr>
            <w:r>
              <w:rPr>
                <w:spacing w:val="4"/>
              </w:rPr>
              <w:t>设计除臭风量</w:t>
            </w:r>
            <w:r>
              <w:rPr>
                <w:rFonts w:ascii="Times New Roman" w:hAnsi="Times New Roman" w:eastAsia="Times New Roman" w:cs="Times New Roman"/>
                <w:spacing w:val="4"/>
              </w:rPr>
              <w:t>17000m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rPr>
              <w:t>/h</w:t>
            </w:r>
          </w:p>
        </w:tc>
        <w:tc>
          <w:tcPr>
            <w:tcW w:w="2727" w:type="dxa"/>
            <w:vAlign w:val="top"/>
          </w:tcPr>
          <w:p w14:paraId="32471549">
            <w:pPr>
              <w:pStyle w:val="6"/>
              <w:spacing w:before="48" w:line="228" w:lineRule="auto"/>
              <w:ind w:left="217"/>
            </w:pPr>
            <w:r>
              <w:rPr>
                <w:spacing w:val="8"/>
              </w:rPr>
              <w:t>更换除臭设备，除臭风量</w:t>
            </w:r>
          </w:p>
          <w:p w14:paraId="6744B421">
            <w:pPr>
              <w:spacing w:before="25" w:line="216" w:lineRule="auto"/>
              <w:ind w:left="9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34000m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
                <w:sz w:val="20"/>
                <w:szCs w:val="20"/>
              </w:rPr>
              <w:t>/h</w:t>
            </w:r>
          </w:p>
        </w:tc>
        <w:tc>
          <w:tcPr>
            <w:tcW w:w="1164" w:type="dxa"/>
            <w:vAlign w:val="top"/>
          </w:tcPr>
          <w:p w14:paraId="63A51F52">
            <w:pPr>
              <w:rPr>
                <w:rFonts w:ascii="Arial"/>
                <w:sz w:val="21"/>
              </w:rPr>
            </w:pPr>
          </w:p>
        </w:tc>
      </w:tr>
      <w:tr w14:paraId="71D068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588" w:type="dxa"/>
            <w:vAlign w:val="top"/>
          </w:tcPr>
          <w:p w14:paraId="338D9C63">
            <w:pPr>
              <w:spacing w:before="135"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337" w:type="dxa"/>
            <w:vAlign w:val="top"/>
          </w:tcPr>
          <w:p w14:paraId="5F9E0097">
            <w:pPr>
              <w:pStyle w:val="6"/>
              <w:spacing w:before="99" w:line="228" w:lineRule="auto"/>
              <w:ind w:left="462"/>
            </w:pPr>
            <w:r>
              <w:rPr>
                <w:spacing w:val="4"/>
              </w:rPr>
              <w:t>其他</w:t>
            </w:r>
          </w:p>
        </w:tc>
        <w:tc>
          <w:tcPr>
            <w:tcW w:w="2906" w:type="dxa"/>
            <w:vAlign w:val="top"/>
          </w:tcPr>
          <w:p w14:paraId="04464F3D">
            <w:pPr>
              <w:pStyle w:val="6"/>
              <w:spacing w:before="99" w:line="227" w:lineRule="auto"/>
              <w:ind w:left="200"/>
            </w:pPr>
            <w:r>
              <w:rPr>
                <w:spacing w:val="8"/>
              </w:rPr>
              <w:t>综合楼、传达大门、仪表间</w:t>
            </w:r>
          </w:p>
        </w:tc>
        <w:tc>
          <w:tcPr>
            <w:tcW w:w="2727" w:type="dxa"/>
            <w:vAlign w:val="top"/>
          </w:tcPr>
          <w:p w14:paraId="5ADC34FA">
            <w:pPr>
              <w:spacing w:before="131" w:line="199" w:lineRule="auto"/>
              <w:ind w:left="13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64" w:type="dxa"/>
            <w:vAlign w:val="top"/>
          </w:tcPr>
          <w:p w14:paraId="464394A7">
            <w:pPr>
              <w:rPr>
                <w:rFonts w:ascii="Arial"/>
                <w:sz w:val="21"/>
              </w:rPr>
            </w:pPr>
          </w:p>
        </w:tc>
      </w:tr>
    </w:tbl>
    <w:p w14:paraId="164D647B">
      <w:pPr>
        <w:spacing w:before="155" w:line="219" w:lineRule="auto"/>
        <w:ind w:left="117"/>
        <w:outlineLvl w:val="2"/>
        <w:rPr>
          <w:rFonts w:ascii="宋体" w:hAnsi="宋体" w:eastAsia="宋体" w:cs="宋体"/>
          <w:sz w:val="24"/>
          <w:szCs w:val="24"/>
        </w:rPr>
      </w:pPr>
      <w:r>
        <w:rPr>
          <w:rFonts w:ascii="Times New Roman" w:hAnsi="Times New Roman" w:eastAsia="Times New Roman" w:cs="Times New Roman"/>
          <w:b/>
          <w:bCs/>
          <w:spacing w:val="-2"/>
          <w:sz w:val="24"/>
          <w:szCs w:val="24"/>
        </w:rPr>
        <w:t>3.1.3</w:t>
      </w:r>
      <w:r>
        <w:rPr>
          <w:rFonts w:ascii="宋体" w:hAnsi="宋体" w:eastAsia="宋体" w:cs="宋体"/>
          <w:b/>
          <w:bCs/>
          <w:spacing w:val="-2"/>
          <w:sz w:val="24"/>
          <w:szCs w:val="24"/>
        </w:rPr>
        <w:t>厂区总平面布置</w:t>
      </w:r>
    </w:p>
    <w:p w14:paraId="323DC826">
      <w:pPr>
        <w:spacing w:before="183" w:line="359" w:lineRule="auto"/>
        <w:ind w:left="123" w:right="108" w:firstLine="494"/>
        <w:jc w:val="both"/>
        <w:rPr>
          <w:rFonts w:ascii="宋体" w:hAnsi="宋体" w:eastAsia="宋体" w:cs="宋体"/>
          <w:sz w:val="24"/>
          <w:szCs w:val="24"/>
        </w:rPr>
      </w:pPr>
      <w:r>
        <w:rPr>
          <w:rFonts w:ascii="宋体" w:hAnsi="宋体" w:eastAsia="宋体" w:cs="宋体"/>
          <w:spacing w:val="2"/>
          <w:sz w:val="24"/>
          <w:szCs w:val="24"/>
        </w:rPr>
        <w:t>隆回县工业园污水处理厂位于隆回县城工业园区，桃花路以南，赧水以北，</w:t>
      </w:r>
      <w:r>
        <w:rPr>
          <w:rFonts w:ascii="宋体" w:hAnsi="宋体" w:eastAsia="宋体" w:cs="宋体"/>
          <w:sz w:val="24"/>
          <w:szCs w:val="24"/>
        </w:rPr>
        <w:t>兴园路以东，现状东润纸业西北侧，现状围墙内总面积</w:t>
      </w:r>
      <w:r>
        <w:rPr>
          <w:rFonts w:ascii="Times New Roman" w:hAnsi="Times New Roman" w:eastAsia="Times New Roman" w:cs="Times New Roman"/>
          <w:sz w:val="24"/>
          <w:szCs w:val="24"/>
        </w:rPr>
        <w:t>46422m</w:t>
      </w:r>
      <w:r>
        <w:rPr>
          <w:rFonts w:ascii="Times New Roman" w:hAnsi="Times New Roman" w:eastAsia="Times New Roman" w:cs="Times New Roman"/>
          <w:position w:val="7"/>
          <w:sz w:val="15"/>
          <w:szCs w:val="15"/>
        </w:rPr>
        <w:t>2</w:t>
      </w:r>
      <w:r>
        <w:rPr>
          <w:rFonts w:ascii="宋体" w:hAnsi="宋体" w:eastAsia="宋体" w:cs="宋体"/>
          <w:sz w:val="24"/>
          <w:szCs w:val="24"/>
        </w:rPr>
        <w:t>，合</w:t>
      </w:r>
      <w:r>
        <w:rPr>
          <w:rFonts w:ascii="Times New Roman" w:hAnsi="Times New Roman" w:eastAsia="Times New Roman" w:cs="Times New Roman"/>
          <w:sz w:val="24"/>
          <w:szCs w:val="24"/>
        </w:rPr>
        <w:t>69.633</w:t>
      </w:r>
      <w:r>
        <w:rPr>
          <w:rFonts w:ascii="宋体" w:hAnsi="宋体" w:eastAsia="宋体" w:cs="宋体"/>
          <w:sz w:val="24"/>
          <w:szCs w:val="24"/>
        </w:rPr>
        <w:t>亩，</w:t>
      </w:r>
      <w:r>
        <w:rPr>
          <w:rFonts w:ascii="宋体" w:hAnsi="宋体" w:eastAsia="宋体" w:cs="宋体"/>
          <w:spacing w:val="-1"/>
          <w:sz w:val="24"/>
          <w:szCs w:val="24"/>
        </w:rPr>
        <w:t>一期工程占地</w:t>
      </w:r>
      <w:r>
        <w:rPr>
          <w:rFonts w:ascii="Times New Roman" w:hAnsi="Times New Roman" w:eastAsia="Times New Roman" w:cs="Times New Roman"/>
          <w:spacing w:val="-1"/>
          <w:sz w:val="24"/>
          <w:szCs w:val="24"/>
        </w:rPr>
        <w:t>26575m</w:t>
      </w:r>
      <w:r>
        <w:rPr>
          <w:rFonts w:ascii="Times New Roman" w:hAnsi="Times New Roman" w:eastAsia="Times New Roman" w:cs="Times New Roman"/>
          <w:spacing w:val="-1"/>
          <w:position w:val="8"/>
          <w:sz w:val="15"/>
          <w:szCs w:val="15"/>
        </w:rPr>
        <w:t>2</w:t>
      </w:r>
      <w:r>
        <w:rPr>
          <w:rFonts w:ascii="宋体" w:hAnsi="宋体" w:eastAsia="宋体" w:cs="宋体"/>
          <w:spacing w:val="-1"/>
          <w:sz w:val="24"/>
          <w:szCs w:val="24"/>
        </w:rPr>
        <w:t>，现状构（建）筑物占地面积</w:t>
      </w:r>
      <w:r>
        <w:rPr>
          <w:rFonts w:ascii="Times New Roman" w:hAnsi="Times New Roman" w:eastAsia="Times New Roman" w:cs="Times New Roman"/>
          <w:spacing w:val="-1"/>
          <w:sz w:val="24"/>
          <w:szCs w:val="24"/>
        </w:rPr>
        <w:t>6976m</w:t>
      </w:r>
      <w:r>
        <w:rPr>
          <w:rFonts w:ascii="Times New Roman" w:hAnsi="Times New Roman" w:eastAsia="Times New Roman" w:cs="Times New Roman"/>
          <w:spacing w:val="-1"/>
          <w:position w:val="8"/>
          <w:sz w:val="15"/>
          <w:szCs w:val="15"/>
        </w:rPr>
        <w:t>2</w:t>
      </w:r>
      <w:r>
        <w:rPr>
          <w:rFonts w:ascii="宋体" w:hAnsi="宋体" w:eastAsia="宋体" w:cs="宋体"/>
          <w:spacing w:val="-1"/>
          <w:sz w:val="24"/>
          <w:szCs w:val="24"/>
        </w:rPr>
        <w:t>，现状道路、广场及</w:t>
      </w:r>
      <w:r>
        <w:rPr>
          <w:rFonts w:ascii="宋体" w:hAnsi="宋体" w:eastAsia="宋体" w:cs="宋体"/>
          <w:spacing w:val="1"/>
          <w:sz w:val="24"/>
          <w:szCs w:val="24"/>
        </w:rPr>
        <w:t>停车场面积</w:t>
      </w:r>
      <w:r>
        <w:rPr>
          <w:rFonts w:ascii="Times New Roman" w:hAnsi="Times New Roman" w:eastAsia="Times New Roman" w:cs="Times New Roman"/>
          <w:spacing w:val="1"/>
          <w:sz w:val="24"/>
          <w:szCs w:val="24"/>
        </w:rPr>
        <w:t>5758m</w:t>
      </w:r>
      <w:r>
        <w:rPr>
          <w:rFonts w:ascii="Times New Roman" w:hAnsi="Times New Roman" w:eastAsia="Times New Roman" w:cs="Times New Roman"/>
          <w:spacing w:val="1"/>
          <w:position w:val="8"/>
          <w:sz w:val="15"/>
          <w:szCs w:val="15"/>
        </w:rPr>
        <w:t>2</w:t>
      </w:r>
      <w:r>
        <w:rPr>
          <w:rFonts w:ascii="宋体" w:hAnsi="宋体" w:eastAsia="宋体" w:cs="宋体"/>
          <w:spacing w:val="1"/>
          <w:sz w:val="24"/>
          <w:szCs w:val="24"/>
        </w:rPr>
        <w:t>，预留建设用地</w:t>
      </w:r>
      <w:r>
        <w:rPr>
          <w:rFonts w:ascii="Times New Roman" w:hAnsi="Times New Roman" w:eastAsia="Times New Roman" w:cs="Times New Roman"/>
          <w:spacing w:val="1"/>
          <w:sz w:val="24"/>
          <w:szCs w:val="24"/>
        </w:rPr>
        <w:t>7345m</w:t>
      </w:r>
      <w:r>
        <w:rPr>
          <w:rFonts w:ascii="Times New Roman" w:hAnsi="Times New Roman" w:eastAsia="Times New Roman" w:cs="Times New Roman"/>
          <w:spacing w:val="1"/>
          <w:position w:val="8"/>
          <w:sz w:val="15"/>
          <w:szCs w:val="15"/>
        </w:rPr>
        <w:t>2</w:t>
      </w:r>
      <w:r>
        <w:rPr>
          <w:rFonts w:ascii="宋体" w:hAnsi="宋体" w:eastAsia="宋体" w:cs="宋体"/>
          <w:spacing w:val="1"/>
          <w:sz w:val="24"/>
          <w:szCs w:val="24"/>
        </w:rPr>
        <w:t>，厂区现状地坪</w:t>
      </w:r>
      <w:r>
        <w:rPr>
          <w:rFonts w:ascii="宋体" w:hAnsi="宋体" w:eastAsia="宋体" w:cs="宋体"/>
          <w:sz w:val="24"/>
          <w:szCs w:val="24"/>
        </w:rPr>
        <w:t>标高在</w:t>
      </w:r>
      <w:r>
        <w:rPr>
          <w:rFonts w:ascii="Times New Roman" w:hAnsi="Times New Roman" w:eastAsia="Times New Roman" w:cs="Times New Roman"/>
          <w:sz w:val="24"/>
          <w:szCs w:val="24"/>
        </w:rPr>
        <w:t>254.0~257.0m</w:t>
      </w:r>
      <w:r>
        <w:rPr>
          <w:rFonts w:ascii="宋体" w:hAnsi="宋体" w:eastAsia="宋体" w:cs="宋体"/>
          <w:spacing w:val="-1"/>
          <w:sz w:val="24"/>
          <w:szCs w:val="24"/>
        </w:rPr>
        <w:t>左右，本工程在现状厂区内预留用地上进行建设，无需新征用地。</w:t>
      </w:r>
    </w:p>
    <w:p w14:paraId="0E68C2CD">
      <w:pPr>
        <w:spacing w:before="1" w:line="359" w:lineRule="auto"/>
        <w:ind w:left="124" w:right="108" w:firstLine="479"/>
        <w:jc w:val="both"/>
        <w:rPr>
          <w:rFonts w:ascii="宋体" w:hAnsi="宋体" w:eastAsia="宋体" w:cs="宋体"/>
          <w:sz w:val="24"/>
          <w:szCs w:val="24"/>
        </w:rPr>
      </w:pPr>
      <w:r>
        <w:rPr>
          <w:rFonts w:ascii="宋体" w:hAnsi="宋体" w:eastAsia="宋体" w:cs="宋体"/>
          <w:spacing w:val="2"/>
          <w:sz w:val="24"/>
          <w:szCs w:val="24"/>
        </w:rPr>
        <w:t>本次扩建工程在厂区预留用地新建</w:t>
      </w:r>
      <w:r>
        <w:rPr>
          <w:rFonts w:ascii="Times New Roman" w:hAnsi="Times New Roman" w:eastAsia="Times New Roman" w:cs="Times New Roman"/>
          <w:spacing w:val="2"/>
          <w:sz w:val="24"/>
          <w:szCs w:val="24"/>
        </w:rPr>
        <w:t>1</w:t>
      </w:r>
      <w:r>
        <w:rPr>
          <w:rFonts w:ascii="宋体" w:hAnsi="宋体" w:eastAsia="宋体" w:cs="宋体"/>
          <w:spacing w:val="2"/>
          <w:sz w:val="24"/>
          <w:szCs w:val="24"/>
        </w:rPr>
        <w:t>座事故池、</w:t>
      </w:r>
      <w:r>
        <w:rPr>
          <w:rFonts w:ascii="Times New Roman" w:hAnsi="Times New Roman" w:eastAsia="Times New Roman" w:cs="Times New Roman"/>
          <w:spacing w:val="2"/>
          <w:sz w:val="24"/>
          <w:szCs w:val="24"/>
        </w:rPr>
        <w:t>1</w:t>
      </w:r>
      <w:r>
        <w:rPr>
          <w:rFonts w:ascii="宋体" w:hAnsi="宋体" w:eastAsia="宋体" w:cs="宋体"/>
          <w:spacing w:val="2"/>
          <w:sz w:val="24"/>
          <w:szCs w:val="24"/>
        </w:rPr>
        <w:t>座水解酸</w:t>
      </w:r>
      <w:r>
        <w:rPr>
          <w:rFonts w:ascii="宋体" w:hAnsi="宋体" w:eastAsia="宋体" w:cs="宋体"/>
          <w:spacing w:val="1"/>
          <w:sz w:val="24"/>
          <w:szCs w:val="24"/>
        </w:rPr>
        <w:t>化池、</w:t>
      </w:r>
      <w:r>
        <w:rPr>
          <w:rFonts w:ascii="Times New Roman" w:hAnsi="Times New Roman" w:eastAsia="Times New Roman" w:cs="Times New Roman"/>
          <w:spacing w:val="1"/>
          <w:sz w:val="24"/>
          <w:szCs w:val="24"/>
        </w:rPr>
        <w:t>1</w:t>
      </w:r>
      <w:r>
        <w:rPr>
          <w:rFonts w:ascii="宋体" w:hAnsi="宋体" w:eastAsia="宋体" w:cs="宋体"/>
          <w:spacing w:val="1"/>
          <w:sz w:val="24"/>
          <w:szCs w:val="24"/>
        </w:rPr>
        <w:t>座</w:t>
      </w:r>
      <w:r>
        <w:rPr>
          <w:rFonts w:ascii="Times New Roman" w:hAnsi="Times New Roman" w:eastAsia="Times New Roman" w:cs="Times New Roman"/>
          <w:sz w:val="24"/>
          <w:szCs w:val="24"/>
        </w:rPr>
        <w:t>AAO</w:t>
      </w:r>
      <w:r>
        <w:rPr>
          <w:rFonts w:ascii="宋体" w:hAnsi="宋体" w:eastAsia="宋体" w:cs="宋体"/>
          <w:spacing w:val="1"/>
          <w:sz w:val="24"/>
          <w:szCs w:val="24"/>
        </w:rPr>
        <w:t>生化池、</w:t>
      </w:r>
      <w:r>
        <w:rPr>
          <w:rFonts w:ascii="Times New Roman" w:hAnsi="Times New Roman" w:eastAsia="Times New Roman" w:cs="Times New Roman"/>
          <w:spacing w:val="1"/>
          <w:sz w:val="24"/>
          <w:szCs w:val="24"/>
        </w:rPr>
        <w:t>2</w:t>
      </w:r>
      <w:r>
        <w:rPr>
          <w:rFonts w:ascii="宋体" w:hAnsi="宋体" w:eastAsia="宋体" w:cs="宋体"/>
          <w:spacing w:val="1"/>
          <w:sz w:val="24"/>
          <w:szCs w:val="24"/>
        </w:rPr>
        <w:t>座二沉池、</w:t>
      </w:r>
      <w:r>
        <w:rPr>
          <w:rFonts w:ascii="Times New Roman" w:hAnsi="Times New Roman" w:eastAsia="Times New Roman" w:cs="Times New Roman"/>
          <w:spacing w:val="1"/>
          <w:sz w:val="24"/>
          <w:szCs w:val="24"/>
        </w:rPr>
        <w:t>1</w:t>
      </w:r>
      <w:r>
        <w:rPr>
          <w:rFonts w:ascii="宋体" w:hAnsi="宋体" w:eastAsia="宋体" w:cs="宋体"/>
          <w:spacing w:val="1"/>
          <w:sz w:val="24"/>
          <w:szCs w:val="24"/>
        </w:rPr>
        <w:t>座污泥泵站、</w:t>
      </w:r>
      <w:r>
        <w:rPr>
          <w:rFonts w:ascii="Times New Roman" w:hAnsi="Times New Roman" w:eastAsia="Times New Roman" w:cs="Times New Roman"/>
          <w:spacing w:val="1"/>
          <w:sz w:val="24"/>
          <w:szCs w:val="24"/>
        </w:rPr>
        <w:t>2</w:t>
      </w:r>
      <w:r>
        <w:rPr>
          <w:rFonts w:ascii="宋体" w:hAnsi="宋体" w:eastAsia="宋体" w:cs="宋体"/>
          <w:spacing w:val="1"/>
          <w:sz w:val="24"/>
          <w:szCs w:val="24"/>
        </w:rPr>
        <w:t>座污泥浓缩池、</w:t>
      </w:r>
      <w:r>
        <w:rPr>
          <w:rFonts w:ascii="Times New Roman" w:hAnsi="Times New Roman" w:eastAsia="Times New Roman" w:cs="Times New Roman"/>
          <w:spacing w:val="1"/>
          <w:sz w:val="24"/>
          <w:szCs w:val="24"/>
        </w:rPr>
        <w:t>1</w:t>
      </w:r>
      <w:r>
        <w:rPr>
          <w:rFonts w:ascii="宋体" w:hAnsi="宋体" w:eastAsia="宋体" w:cs="宋体"/>
          <w:spacing w:val="1"/>
          <w:sz w:val="24"/>
          <w:szCs w:val="24"/>
        </w:rPr>
        <w:t>座</w:t>
      </w:r>
      <w:r>
        <w:rPr>
          <w:rFonts w:ascii="Times New Roman" w:hAnsi="Times New Roman" w:eastAsia="Times New Roman" w:cs="Times New Roman"/>
          <w:spacing w:val="1"/>
          <w:sz w:val="24"/>
          <w:szCs w:val="24"/>
        </w:rPr>
        <w:t>V</w:t>
      </w:r>
      <w:r>
        <w:rPr>
          <w:rFonts w:ascii="宋体" w:hAnsi="宋体" w:eastAsia="宋体" w:cs="宋体"/>
          <w:spacing w:val="1"/>
          <w:sz w:val="24"/>
          <w:szCs w:val="24"/>
        </w:rPr>
        <w:t>型滤池，</w:t>
      </w:r>
      <w:r>
        <w:rPr>
          <w:rFonts w:ascii="Times New Roman" w:hAnsi="Times New Roman" w:eastAsia="Times New Roman" w:cs="Times New Roman"/>
          <w:spacing w:val="1"/>
          <w:sz w:val="24"/>
          <w:szCs w:val="24"/>
        </w:rPr>
        <w:t>1</w:t>
      </w:r>
      <w:r>
        <w:rPr>
          <w:rFonts w:ascii="宋体" w:hAnsi="宋体" w:eastAsia="宋体" w:cs="宋体"/>
          <w:spacing w:val="1"/>
          <w:sz w:val="24"/>
          <w:szCs w:val="24"/>
        </w:rPr>
        <w:t>座机修</w:t>
      </w:r>
      <w:r>
        <w:rPr>
          <w:rFonts w:ascii="宋体" w:hAnsi="宋体" w:eastAsia="宋体" w:cs="宋体"/>
          <w:spacing w:val="-2"/>
          <w:sz w:val="24"/>
          <w:szCs w:val="24"/>
        </w:rPr>
        <w:t>间，具体布置如下：</w:t>
      </w:r>
    </w:p>
    <w:p w14:paraId="55B29D08">
      <w:pPr>
        <w:spacing w:before="1" w:line="289" w:lineRule="auto"/>
        <w:ind w:left="122" w:right="111"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）事故池布置在厂区东北部预留空地，水解酸化池东侧，在生</w:t>
      </w:r>
      <w:r>
        <w:rPr>
          <w:rFonts w:ascii="宋体" w:hAnsi="宋体" w:eastAsia="宋体" w:cs="宋体"/>
          <w:spacing w:val="-2"/>
          <w:sz w:val="24"/>
          <w:szCs w:val="24"/>
        </w:rPr>
        <w:t>化处理单元</w:t>
      </w:r>
      <w:r>
        <w:rPr>
          <w:rFonts w:ascii="宋体" w:hAnsi="宋体" w:eastAsia="宋体" w:cs="宋体"/>
          <w:spacing w:val="-1"/>
          <w:sz w:val="24"/>
          <w:szCs w:val="24"/>
        </w:rPr>
        <w:t>检修维护时，污水首先进入事故池储存，避免污水外排。</w:t>
      </w:r>
    </w:p>
    <w:p w14:paraId="02087CB7">
      <w:pPr>
        <w:spacing w:before="181" w:line="288" w:lineRule="auto"/>
        <w:ind w:left="122" w:right="111" w:firstLine="491"/>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）在厂区西部预留空地自北向南依次新建水解酸化池、</w:t>
      </w:r>
      <w:r>
        <w:rPr>
          <w:rFonts w:ascii="Times New Roman" w:hAnsi="Times New Roman" w:eastAsia="Times New Roman" w:cs="Times New Roman"/>
          <w:spacing w:val="-4"/>
          <w:sz w:val="24"/>
          <w:szCs w:val="24"/>
        </w:rPr>
        <w:t>AAO</w:t>
      </w:r>
      <w:r>
        <w:rPr>
          <w:rFonts w:ascii="宋体" w:hAnsi="宋体" w:eastAsia="宋体" w:cs="宋体"/>
          <w:spacing w:val="-4"/>
          <w:sz w:val="24"/>
          <w:szCs w:val="24"/>
        </w:rPr>
        <w:t>生化池、二沉</w:t>
      </w:r>
      <w:r>
        <w:rPr>
          <w:rFonts w:ascii="宋体" w:hAnsi="宋体" w:eastAsia="宋体" w:cs="宋体"/>
          <w:spacing w:val="-1"/>
          <w:sz w:val="24"/>
          <w:szCs w:val="24"/>
        </w:rPr>
        <w:t>池、污泥泵站布置，与现状处理单元平行布置，便于配水和巡视。</w:t>
      </w:r>
    </w:p>
    <w:p w14:paraId="6E34B3CA">
      <w:pPr>
        <w:spacing w:before="183" w:line="290" w:lineRule="auto"/>
        <w:ind w:left="123" w:right="111" w:firstLine="49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）在现状</w:t>
      </w:r>
      <w:r>
        <w:rPr>
          <w:rFonts w:ascii="Times New Roman" w:hAnsi="Times New Roman" w:eastAsia="Times New Roman" w:cs="Times New Roman"/>
          <w:spacing w:val="1"/>
          <w:sz w:val="24"/>
          <w:szCs w:val="24"/>
        </w:rPr>
        <w:t>V</w:t>
      </w:r>
      <w:r>
        <w:rPr>
          <w:rFonts w:ascii="宋体" w:hAnsi="宋体" w:eastAsia="宋体" w:cs="宋体"/>
          <w:spacing w:val="1"/>
          <w:sz w:val="24"/>
          <w:szCs w:val="24"/>
        </w:rPr>
        <w:t>型滤池西侧新建</w:t>
      </w:r>
      <w:r>
        <w:rPr>
          <w:rFonts w:ascii="Times New Roman" w:hAnsi="Times New Roman" w:eastAsia="Times New Roman" w:cs="Times New Roman"/>
          <w:spacing w:val="1"/>
          <w:sz w:val="24"/>
          <w:szCs w:val="24"/>
        </w:rPr>
        <w:t>V</w:t>
      </w:r>
      <w:r>
        <w:rPr>
          <w:rFonts w:ascii="宋体" w:hAnsi="宋体" w:eastAsia="宋体" w:cs="宋体"/>
          <w:spacing w:val="1"/>
          <w:sz w:val="24"/>
          <w:szCs w:val="24"/>
        </w:rPr>
        <w:t>型滤池一座，方便与一期工程共用反冲洗</w:t>
      </w:r>
      <w:r>
        <w:rPr>
          <w:rFonts w:ascii="宋体" w:hAnsi="宋体" w:eastAsia="宋体" w:cs="宋体"/>
          <w:spacing w:val="-4"/>
          <w:sz w:val="24"/>
          <w:szCs w:val="24"/>
        </w:rPr>
        <w:t>泵房。</w:t>
      </w:r>
    </w:p>
    <w:p w14:paraId="0D7BDD1A">
      <w:pPr>
        <w:spacing w:before="181" w:line="289" w:lineRule="auto"/>
        <w:ind w:left="123" w:right="111" w:firstLine="49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）在厂区南侧预留空地新建机修间及污泥浓缩池，浓缩池靠近</w:t>
      </w:r>
      <w:r>
        <w:rPr>
          <w:rFonts w:ascii="宋体" w:hAnsi="宋体" w:eastAsia="宋体" w:cs="宋体"/>
          <w:spacing w:val="-2"/>
          <w:sz w:val="24"/>
          <w:szCs w:val="24"/>
        </w:rPr>
        <w:t>污泥脱水机</w:t>
      </w:r>
      <w:r>
        <w:rPr>
          <w:rFonts w:ascii="宋体" w:hAnsi="宋体" w:eastAsia="宋体" w:cs="宋体"/>
          <w:spacing w:val="-1"/>
          <w:sz w:val="24"/>
          <w:szCs w:val="24"/>
        </w:rPr>
        <w:t>房，便于浓缩后污泥运输，减少能耗。</w:t>
      </w:r>
    </w:p>
    <w:p w14:paraId="47359CD3">
      <w:pPr>
        <w:spacing w:before="302" w:line="219" w:lineRule="auto"/>
        <w:ind w:left="117"/>
        <w:outlineLvl w:val="2"/>
        <w:rPr>
          <w:rFonts w:ascii="宋体" w:hAnsi="宋体" w:eastAsia="宋体" w:cs="宋体"/>
          <w:sz w:val="24"/>
          <w:szCs w:val="24"/>
        </w:rPr>
      </w:pPr>
      <w:r>
        <w:rPr>
          <w:rFonts w:ascii="Times New Roman" w:hAnsi="Times New Roman" w:eastAsia="Times New Roman" w:cs="Times New Roman"/>
          <w:b/>
          <w:bCs/>
          <w:spacing w:val="-2"/>
          <w:sz w:val="24"/>
          <w:szCs w:val="24"/>
        </w:rPr>
        <w:t>3.1.4</w:t>
      </w:r>
      <w:r>
        <w:rPr>
          <w:rFonts w:ascii="宋体" w:hAnsi="宋体" w:eastAsia="宋体" w:cs="宋体"/>
          <w:b/>
          <w:bCs/>
          <w:spacing w:val="-2"/>
          <w:sz w:val="24"/>
          <w:szCs w:val="24"/>
        </w:rPr>
        <w:t>项目取水排水情况</w:t>
      </w:r>
    </w:p>
    <w:p w14:paraId="1129FC95">
      <w:pPr>
        <w:spacing w:before="183" w:line="219" w:lineRule="auto"/>
        <w:ind w:left="6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）取水情况</w:t>
      </w:r>
    </w:p>
    <w:p w14:paraId="405CB984">
      <w:pPr>
        <w:spacing w:before="182" w:line="359" w:lineRule="auto"/>
        <w:ind w:left="125" w:right="49" w:firstLine="480"/>
        <w:rPr>
          <w:rFonts w:ascii="宋体" w:hAnsi="宋体" w:eastAsia="宋体" w:cs="宋体"/>
          <w:sz w:val="24"/>
          <w:szCs w:val="24"/>
        </w:rPr>
      </w:pPr>
      <w:r>
        <w:rPr>
          <w:rFonts w:ascii="宋体" w:hAnsi="宋体" w:eastAsia="宋体" w:cs="宋体"/>
          <w:spacing w:val="3"/>
          <w:sz w:val="24"/>
          <w:szCs w:val="24"/>
        </w:rPr>
        <w:t>项目用水来自隆回县县自来水厂。由敷设在桃塘路的给水</w:t>
      </w:r>
      <w:r>
        <w:rPr>
          <w:rFonts w:ascii="宋体" w:hAnsi="宋体" w:eastAsia="宋体" w:cs="宋体"/>
          <w:spacing w:val="2"/>
          <w:sz w:val="24"/>
          <w:szCs w:val="24"/>
        </w:rPr>
        <w:t>主干管供给，本项</w:t>
      </w:r>
      <w:r>
        <w:rPr>
          <w:rFonts w:ascii="宋体" w:hAnsi="宋体" w:eastAsia="宋体" w:cs="宋体"/>
          <w:spacing w:val="-6"/>
          <w:sz w:val="24"/>
          <w:szCs w:val="24"/>
        </w:rPr>
        <w:t>目采用生产、生活及消防合用的给水系统，从市政供水管引两根</w:t>
      </w:r>
      <w:r>
        <w:rPr>
          <w:rFonts w:ascii="Times New Roman" w:hAnsi="Times New Roman" w:eastAsia="Times New Roman" w:cs="Times New Roman"/>
          <w:spacing w:val="-6"/>
          <w:sz w:val="24"/>
          <w:szCs w:val="24"/>
        </w:rPr>
        <w:t>DN100</w:t>
      </w:r>
      <w:r>
        <w:rPr>
          <w:rFonts w:ascii="宋体" w:hAnsi="宋体" w:eastAsia="宋体" w:cs="宋体"/>
          <w:spacing w:val="-6"/>
          <w:sz w:val="24"/>
          <w:szCs w:val="24"/>
        </w:rPr>
        <w:t>的给水管，</w:t>
      </w:r>
      <w:r>
        <w:rPr>
          <w:rFonts w:ascii="宋体" w:hAnsi="宋体" w:eastAsia="宋体" w:cs="宋体"/>
          <w:spacing w:val="-1"/>
          <w:sz w:val="24"/>
          <w:szCs w:val="24"/>
        </w:rPr>
        <w:t>厂区内呈环网状，利于消防和安全供水。</w:t>
      </w:r>
    </w:p>
    <w:p w14:paraId="3841A19F">
      <w:pPr>
        <w:spacing w:before="1" w:line="219" w:lineRule="auto"/>
        <w:ind w:left="614"/>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）排水情况</w:t>
      </w:r>
    </w:p>
    <w:p w14:paraId="6F5A7B33">
      <w:pPr>
        <w:spacing w:before="181" w:line="362" w:lineRule="auto"/>
        <w:ind w:left="124" w:right="30" w:firstLine="480"/>
        <w:rPr>
          <w:rFonts w:ascii="宋体" w:hAnsi="宋体" w:eastAsia="宋体" w:cs="宋体"/>
          <w:sz w:val="24"/>
          <w:szCs w:val="24"/>
        </w:rPr>
      </w:pPr>
      <w:r>
        <w:rPr>
          <w:rFonts w:ascii="宋体" w:hAnsi="宋体" w:eastAsia="宋体" w:cs="宋体"/>
          <w:spacing w:val="-2"/>
          <w:sz w:val="24"/>
          <w:szCs w:val="24"/>
        </w:rPr>
        <w:t>污水处理厂排水体制为雨污分流制，厂区建立生活污水、生产废水收集系统。</w:t>
      </w:r>
      <w:r>
        <w:rPr>
          <w:rFonts w:ascii="宋体" w:hAnsi="宋体" w:eastAsia="宋体" w:cs="宋体"/>
          <w:spacing w:val="3"/>
          <w:sz w:val="24"/>
          <w:szCs w:val="24"/>
        </w:rPr>
        <w:t>生活污水和生产废水经厂内收集系统收集后进入粗格</w:t>
      </w:r>
      <w:r>
        <w:rPr>
          <w:rFonts w:ascii="宋体" w:hAnsi="宋体" w:eastAsia="宋体" w:cs="宋体"/>
          <w:spacing w:val="2"/>
          <w:sz w:val="24"/>
          <w:szCs w:val="24"/>
        </w:rPr>
        <w:t>栅系统进行处理。厂区内配</w:t>
      </w:r>
    </w:p>
    <w:p w14:paraId="0CE1F4EC">
      <w:pPr>
        <w:spacing w:line="362" w:lineRule="auto"/>
        <w:rPr>
          <w:rFonts w:ascii="宋体" w:hAnsi="宋体" w:eastAsia="宋体" w:cs="宋体"/>
          <w:sz w:val="24"/>
          <w:szCs w:val="24"/>
        </w:rPr>
        <w:sectPr>
          <w:footerReference r:id="rId26" w:type="default"/>
          <w:pgSz w:w="11907" w:h="16840"/>
          <w:pgMar w:top="1132" w:right="1591" w:bottom="1259" w:left="1588" w:header="829" w:footer="1096" w:gutter="0"/>
          <w:cols w:space="720" w:num="1"/>
        </w:sectPr>
      </w:pPr>
    </w:p>
    <w:p w14:paraId="11AA7FE3">
      <w:pPr>
        <w:pStyle w:val="2"/>
        <w:spacing w:line="241" w:lineRule="auto"/>
      </w:pPr>
    </w:p>
    <w:p w14:paraId="49745F2D">
      <w:pPr>
        <w:spacing w:before="78" w:line="359" w:lineRule="auto"/>
        <w:ind w:left="121" w:right="111" w:firstLine="1"/>
        <w:rPr>
          <w:rFonts w:ascii="宋体" w:hAnsi="宋体" w:eastAsia="宋体" w:cs="宋体"/>
          <w:sz w:val="24"/>
          <w:szCs w:val="24"/>
        </w:rPr>
      </w:pPr>
      <w:r>
        <w:rPr>
          <w:rFonts w:ascii="宋体" w:hAnsi="宋体" w:eastAsia="宋体" w:cs="宋体"/>
          <w:spacing w:val="3"/>
          <w:sz w:val="24"/>
          <w:szCs w:val="24"/>
        </w:rPr>
        <w:t>套建设雨水管网，雨水由道路雨水口收集后汇入厂区雨</w:t>
      </w:r>
      <w:r>
        <w:rPr>
          <w:rFonts w:ascii="宋体" w:hAnsi="宋体" w:eastAsia="宋体" w:cs="宋体"/>
          <w:spacing w:val="2"/>
          <w:sz w:val="24"/>
          <w:szCs w:val="24"/>
        </w:rPr>
        <w:t>水管道，进入城市雨水管</w:t>
      </w:r>
      <w:r>
        <w:rPr>
          <w:rFonts w:ascii="宋体" w:hAnsi="宋体" w:eastAsia="宋体" w:cs="宋体"/>
          <w:spacing w:val="-3"/>
          <w:sz w:val="24"/>
          <w:szCs w:val="24"/>
        </w:rPr>
        <w:t>道系统。</w:t>
      </w:r>
    </w:p>
    <w:p w14:paraId="25F00ED0">
      <w:pPr>
        <w:spacing w:line="359" w:lineRule="auto"/>
        <w:ind w:left="125" w:right="111" w:firstLine="480"/>
        <w:rPr>
          <w:rFonts w:ascii="宋体" w:hAnsi="宋体" w:eastAsia="宋体" w:cs="宋体"/>
          <w:sz w:val="24"/>
          <w:szCs w:val="24"/>
        </w:rPr>
      </w:pPr>
      <w:r>
        <w:rPr>
          <w:rFonts w:ascii="宋体" w:hAnsi="宋体" w:eastAsia="宋体" w:cs="宋体"/>
          <w:spacing w:val="1"/>
          <w:sz w:val="24"/>
          <w:szCs w:val="24"/>
        </w:rPr>
        <w:t>一期工程建设有</w:t>
      </w:r>
      <w:r>
        <w:rPr>
          <w:rFonts w:ascii="Times New Roman" w:hAnsi="Times New Roman" w:eastAsia="Times New Roman" w:cs="Times New Roman"/>
          <w:spacing w:val="1"/>
          <w:sz w:val="24"/>
          <w:szCs w:val="24"/>
        </w:rPr>
        <w:t>1</w:t>
      </w:r>
      <w:r>
        <w:rPr>
          <w:rFonts w:ascii="宋体" w:hAnsi="宋体" w:eastAsia="宋体" w:cs="宋体"/>
          <w:spacing w:val="1"/>
          <w:sz w:val="24"/>
          <w:szCs w:val="24"/>
        </w:rPr>
        <w:t>座出水流量井，本次扩建工程需要在该出水流量井南侧新</w:t>
      </w:r>
      <w:r>
        <w:rPr>
          <w:rFonts w:ascii="宋体" w:hAnsi="宋体" w:eastAsia="宋体" w:cs="宋体"/>
          <w:spacing w:val="-2"/>
          <w:sz w:val="24"/>
          <w:szCs w:val="24"/>
        </w:rPr>
        <w:t>建</w:t>
      </w:r>
      <w:r>
        <w:rPr>
          <w:rFonts w:ascii="Times New Roman" w:hAnsi="Times New Roman" w:eastAsia="Times New Roman" w:cs="Times New Roman"/>
          <w:spacing w:val="-2"/>
          <w:sz w:val="24"/>
          <w:szCs w:val="24"/>
        </w:rPr>
        <w:t>1</w:t>
      </w:r>
      <w:r>
        <w:rPr>
          <w:rFonts w:ascii="宋体" w:hAnsi="宋体" w:eastAsia="宋体" w:cs="宋体"/>
          <w:spacing w:val="-2"/>
          <w:sz w:val="24"/>
          <w:szCs w:val="24"/>
        </w:rPr>
        <w:t>座出水流量井，污水厂尾水与现状尾水管一起排至赧水。</w:t>
      </w:r>
    </w:p>
    <w:p w14:paraId="015E8265">
      <w:pPr>
        <w:spacing w:line="219" w:lineRule="auto"/>
        <w:ind w:left="117"/>
        <w:outlineLvl w:val="2"/>
        <w:rPr>
          <w:rFonts w:ascii="宋体" w:hAnsi="宋体" w:eastAsia="宋体" w:cs="宋体"/>
          <w:sz w:val="24"/>
          <w:szCs w:val="24"/>
        </w:rPr>
      </w:pPr>
      <w:r>
        <w:rPr>
          <w:rFonts w:ascii="Times New Roman" w:hAnsi="Times New Roman" w:eastAsia="Times New Roman" w:cs="Times New Roman"/>
          <w:b/>
          <w:bCs/>
          <w:spacing w:val="-2"/>
          <w:sz w:val="24"/>
          <w:szCs w:val="24"/>
        </w:rPr>
        <w:t>3.1.5</w:t>
      </w:r>
      <w:r>
        <w:rPr>
          <w:rFonts w:ascii="宋体" w:hAnsi="宋体" w:eastAsia="宋体" w:cs="宋体"/>
          <w:b/>
          <w:bCs/>
          <w:spacing w:val="-2"/>
          <w:sz w:val="24"/>
          <w:szCs w:val="24"/>
        </w:rPr>
        <w:t>污水处理工艺</w:t>
      </w:r>
    </w:p>
    <w:p w14:paraId="225C18D9">
      <w:pPr>
        <w:spacing w:before="180" w:line="359" w:lineRule="auto"/>
        <w:ind w:left="133" w:right="114" w:firstLine="472"/>
        <w:rPr>
          <w:rFonts w:ascii="宋体" w:hAnsi="宋体" w:eastAsia="宋体" w:cs="宋体"/>
          <w:sz w:val="24"/>
          <w:szCs w:val="24"/>
        </w:rPr>
      </w:pPr>
      <w:r>
        <w:rPr>
          <w:rFonts w:ascii="宋体" w:hAnsi="宋体" w:eastAsia="宋体" w:cs="宋体"/>
          <w:spacing w:val="3"/>
          <w:sz w:val="24"/>
          <w:szCs w:val="24"/>
        </w:rPr>
        <w:t>厂外污水→粗格栅及提升泵站→细格栅及旋流沉砂池</w:t>
      </w:r>
      <w:r>
        <w:rPr>
          <w:rFonts w:ascii="宋体" w:hAnsi="宋体" w:eastAsia="宋体" w:cs="宋体"/>
          <w:spacing w:val="2"/>
          <w:sz w:val="24"/>
          <w:szCs w:val="24"/>
        </w:rPr>
        <w:t>→调节池→水解酸化池</w:t>
      </w:r>
      <w:r>
        <w:rPr>
          <w:rFonts w:ascii="宋体" w:hAnsi="宋体" w:eastAsia="宋体" w:cs="宋体"/>
          <w:spacing w:val="-3"/>
          <w:sz w:val="24"/>
          <w:szCs w:val="24"/>
        </w:rPr>
        <w:t>→</w:t>
      </w:r>
      <w:r>
        <w:rPr>
          <w:rFonts w:ascii="Times New Roman" w:hAnsi="Times New Roman" w:eastAsia="Times New Roman" w:cs="Times New Roman"/>
          <w:spacing w:val="-3"/>
          <w:sz w:val="24"/>
          <w:szCs w:val="24"/>
        </w:rPr>
        <w:t>AAO</w:t>
      </w:r>
      <w:r>
        <w:rPr>
          <w:rFonts w:ascii="宋体" w:hAnsi="宋体" w:eastAsia="宋体" w:cs="宋体"/>
          <w:spacing w:val="-3"/>
          <w:sz w:val="24"/>
          <w:szCs w:val="24"/>
        </w:rPr>
        <w:t>生化池→二沉池→</w:t>
      </w:r>
      <w:r>
        <w:rPr>
          <w:rFonts w:ascii="Times New Roman" w:hAnsi="Times New Roman" w:eastAsia="Times New Roman" w:cs="Times New Roman"/>
          <w:spacing w:val="-3"/>
          <w:sz w:val="24"/>
          <w:szCs w:val="24"/>
        </w:rPr>
        <w:t>V</w:t>
      </w:r>
      <w:r>
        <w:rPr>
          <w:rFonts w:ascii="宋体" w:hAnsi="宋体" w:eastAsia="宋体" w:cs="宋体"/>
          <w:spacing w:val="-3"/>
          <w:sz w:val="24"/>
          <w:szCs w:val="24"/>
        </w:rPr>
        <w:t>型滤池→紫外光消毒池→出水。</w:t>
      </w:r>
    </w:p>
    <w:p w14:paraId="1BCDC520">
      <w:pPr>
        <w:spacing w:line="219" w:lineRule="auto"/>
        <w:ind w:left="117"/>
        <w:outlineLvl w:val="2"/>
        <w:rPr>
          <w:rFonts w:ascii="宋体" w:hAnsi="宋体" w:eastAsia="宋体" w:cs="宋体"/>
          <w:sz w:val="24"/>
          <w:szCs w:val="24"/>
        </w:rPr>
      </w:pPr>
      <w:r>
        <w:rPr>
          <w:rFonts w:ascii="Times New Roman" w:hAnsi="Times New Roman" w:eastAsia="Times New Roman" w:cs="Times New Roman"/>
          <w:b/>
          <w:bCs/>
          <w:spacing w:val="-2"/>
          <w:sz w:val="24"/>
          <w:szCs w:val="24"/>
        </w:rPr>
        <w:t>3.1.6</w:t>
      </w:r>
      <w:r>
        <w:rPr>
          <w:rFonts w:ascii="宋体" w:hAnsi="宋体" w:eastAsia="宋体" w:cs="宋体"/>
          <w:b/>
          <w:bCs/>
          <w:spacing w:val="-2"/>
          <w:sz w:val="24"/>
          <w:szCs w:val="24"/>
        </w:rPr>
        <w:t>项目设计进出水水质</w:t>
      </w:r>
    </w:p>
    <w:p w14:paraId="398257D7">
      <w:pPr>
        <w:spacing w:before="181" w:line="359" w:lineRule="auto"/>
        <w:ind w:left="126" w:right="111" w:firstLine="491"/>
        <w:jc w:val="both"/>
        <w:rPr>
          <w:rFonts w:ascii="宋体" w:hAnsi="宋体" w:eastAsia="宋体" w:cs="宋体"/>
          <w:sz w:val="24"/>
          <w:szCs w:val="24"/>
        </w:rPr>
      </w:pPr>
      <w:r>
        <w:rPr>
          <w:rFonts w:ascii="宋体" w:hAnsi="宋体" w:eastAsia="宋体" w:cs="宋体"/>
          <w:spacing w:val="2"/>
          <w:sz w:val="24"/>
          <w:szCs w:val="24"/>
        </w:rPr>
        <w:t>隆回县工业园污水处理厂（一期）工程的尾水出水水质主要污染物指标执行</w:t>
      </w:r>
      <w:r>
        <w:rPr>
          <w:rFonts w:ascii="宋体" w:hAnsi="宋体" w:eastAsia="宋体" w:cs="宋体"/>
          <w:sz w:val="24"/>
          <w:szCs w:val="24"/>
        </w:rPr>
        <w:t>《城镇污水处理厂污染物排放标准》（</w:t>
      </w:r>
      <w:r>
        <w:rPr>
          <w:rFonts w:ascii="Times New Roman" w:hAnsi="Times New Roman" w:eastAsia="Times New Roman" w:cs="Times New Roman"/>
          <w:sz w:val="24"/>
          <w:szCs w:val="24"/>
        </w:rPr>
        <w:t>GB189</w:t>
      </w:r>
      <w:r>
        <w:rPr>
          <w:rFonts w:ascii="Times New Roman" w:hAnsi="Times New Roman" w:eastAsia="Times New Roman" w:cs="Times New Roman"/>
          <w:spacing w:val="-1"/>
          <w:sz w:val="24"/>
          <w:szCs w:val="24"/>
        </w:rPr>
        <w:t>18-2002</w:t>
      </w:r>
      <w:r>
        <w:rPr>
          <w:rFonts w:ascii="宋体" w:hAnsi="宋体" w:eastAsia="宋体" w:cs="宋体"/>
          <w:spacing w:val="-1"/>
          <w:sz w:val="24"/>
          <w:szCs w:val="24"/>
        </w:rPr>
        <w:t>）中一级</w:t>
      </w:r>
      <w:r>
        <w:rPr>
          <w:rFonts w:ascii="Times New Roman" w:hAnsi="Times New Roman" w:eastAsia="Times New Roman" w:cs="Times New Roman"/>
          <w:spacing w:val="-1"/>
          <w:sz w:val="24"/>
          <w:szCs w:val="24"/>
        </w:rPr>
        <w:t>A</w:t>
      </w:r>
      <w:r>
        <w:rPr>
          <w:rFonts w:ascii="宋体" w:hAnsi="宋体" w:eastAsia="宋体" w:cs="宋体"/>
          <w:spacing w:val="-1"/>
          <w:sz w:val="24"/>
          <w:szCs w:val="24"/>
        </w:rPr>
        <w:t>排放标准。本次二期扩建工程尾水出水水质与一期工程相同。</w:t>
      </w:r>
    </w:p>
    <w:p w14:paraId="7094C6F0">
      <w:pPr>
        <w:spacing w:line="212" w:lineRule="auto"/>
        <w:ind w:left="1290"/>
        <w:rPr>
          <w:rFonts w:ascii="宋体" w:hAnsi="宋体" w:eastAsia="宋体" w:cs="宋体"/>
          <w:sz w:val="24"/>
          <w:szCs w:val="24"/>
        </w:rPr>
      </w:pPr>
      <w:r>
        <w:rPr>
          <w:rFonts w:ascii="宋体" w:hAnsi="宋体" w:eastAsia="宋体" w:cs="宋体"/>
          <w:b/>
          <w:bCs/>
          <w:spacing w:val="-2"/>
          <w:sz w:val="24"/>
          <w:szCs w:val="24"/>
        </w:rPr>
        <w:t>表</w:t>
      </w:r>
      <w:r>
        <w:rPr>
          <w:rFonts w:ascii="Times New Roman" w:hAnsi="Times New Roman" w:eastAsia="Times New Roman" w:cs="Times New Roman"/>
          <w:b/>
          <w:bCs/>
          <w:spacing w:val="-2"/>
          <w:sz w:val="24"/>
          <w:szCs w:val="24"/>
        </w:rPr>
        <w:t>3.1-2</w:t>
      </w:r>
      <w:r>
        <w:rPr>
          <w:rFonts w:ascii="宋体" w:hAnsi="宋体" w:eastAsia="宋体" w:cs="宋体"/>
          <w:b/>
          <w:bCs/>
          <w:spacing w:val="-2"/>
          <w:sz w:val="24"/>
          <w:szCs w:val="24"/>
        </w:rPr>
        <w:t>设计进出水水质与污染物去除率（单位：</w:t>
      </w:r>
      <w:r>
        <w:rPr>
          <w:rFonts w:ascii="Times New Roman" w:hAnsi="Times New Roman" w:eastAsia="Times New Roman" w:cs="Times New Roman"/>
          <w:b/>
          <w:bCs/>
          <w:spacing w:val="-2"/>
          <w:sz w:val="24"/>
          <w:szCs w:val="24"/>
        </w:rPr>
        <w:t>mg/L</w:t>
      </w:r>
      <w:r>
        <w:rPr>
          <w:rFonts w:ascii="宋体" w:hAnsi="宋体" w:eastAsia="宋体" w:cs="宋体"/>
          <w:b/>
          <w:bCs/>
          <w:spacing w:val="-2"/>
          <w:sz w:val="24"/>
          <w:szCs w:val="24"/>
        </w:rPr>
        <w:t>）</w:t>
      </w:r>
    </w:p>
    <w:p w14:paraId="19801A7D">
      <w:pPr>
        <w:spacing w:line="25" w:lineRule="auto"/>
        <w:rPr>
          <w:rFonts w:ascii="Arial"/>
          <w:sz w:val="2"/>
        </w:rPr>
      </w:pPr>
    </w:p>
    <w:tbl>
      <w:tblPr>
        <w:tblStyle w:val="5"/>
        <w:tblW w:w="87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73"/>
        <w:gridCol w:w="1199"/>
        <w:gridCol w:w="1005"/>
        <w:gridCol w:w="1259"/>
        <w:gridCol w:w="1214"/>
        <w:gridCol w:w="1154"/>
        <w:gridCol w:w="1121"/>
      </w:tblGrid>
      <w:tr w14:paraId="0A8CC7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6" w:hRule="atLeast"/>
        </w:trPr>
        <w:tc>
          <w:tcPr>
            <w:tcW w:w="1773" w:type="dxa"/>
            <w:vAlign w:val="top"/>
          </w:tcPr>
          <w:p w14:paraId="1A799FED">
            <w:pPr>
              <w:pStyle w:val="6"/>
              <w:spacing w:before="97" w:line="228" w:lineRule="auto"/>
              <w:ind w:left="686"/>
              <w:outlineLvl w:val="1"/>
            </w:pPr>
            <w:bookmarkStart w:id="13" w:name="bookmark50"/>
            <w:bookmarkEnd w:id="13"/>
            <w:r>
              <w:rPr>
                <w:spacing w:val="3"/>
              </w:rPr>
              <w:t>项目</w:t>
            </w:r>
          </w:p>
        </w:tc>
        <w:tc>
          <w:tcPr>
            <w:tcW w:w="1199" w:type="dxa"/>
            <w:vAlign w:val="top"/>
          </w:tcPr>
          <w:p w14:paraId="1617C3ED">
            <w:pPr>
              <w:spacing w:before="133"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CODcr</w:t>
            </w:r>
          </w:p>
        </w:tc>
        <w:tc>
          <w:tcPr>
            <w:tcW w:w="1005" w:type="dxa"/>
            <w:vAlign w:val="top"/>
          </w:tcPr>
          <w:p w14:paraId="7AD95828">
            <w:pPr>
              <w:spacing w:before="133" w:line="202" w:lineRule="auto"/>
              <w:ind w:left="247"/>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19"/>
                <w:position w:val="-1"/>
                <w:sz w:val="13"/>
                <w:szCs w:val="13"/>
              </w:rPr>
              <w:t>5</w:t>
            </w:r>
          </w:p>
        </w:tc>
        <w:tc>
          <w:tcPr>
            <w:tcW w:w="1259" w:type="dxa"/>
            <w:vAlign w:val="top"/>
          </w:tcPr>
          <w:p w14:paraId="256EF35A">
            <w:pPr>
              <w:spacing w:before="133" w:line="195" w:lineRule="auto"/>
              <w:ind w:left="5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214" w:type="dxa"/>
            <w:vAlign w:val="top"/>
          </w:tcPr>
          <w:p w14:paraId="78B1E8F6">
            <w:pPr>
              <w:spacing w:before="136" w:line="192"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TN</w:t>
            </w:r>
          </w:p>
        </w:tc>
        <w:tc>
          <w:tcPr>
            <w:tcW w:w="1154" w:type="dxa"/>
            <w:vAlign w:val="top"/>
          </w:tcPr>
          <w:p w14:paraId="5D684681">
            <w:pPr>
              <w:spacing w:before="135" w:line="209" w:lineRule="auto"/>
              <w:ind w:left="277"/>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9"/>
                <w:sz w:val="13"/>
                <w:szCs w:val="13"/>
              </w:rPr>
              <w:t>3</w:t>
            </w:r>
            <w:r>
              <w:rPr>
                <w:rFonts w:ascii="Times New Roman" w:hAnsi="Times New Roman" w:eastAsia="Times New Roman" w:cs="Times New Roman"/>
                <w:spacing w:val="9"/>
                <w:sz w:val="20"/>
                <w:szCs w:val="20"/>
              </w:rPr>
              <w:t>-N</w:t>
            </w:r>
          </w:p>
        </w:tc>
        <w:tc>
          <w:tcPr>
            <w:tcW w:w="1121" w:type="dxa"/>
            <w:vAlign w:val="top"/>
          </w:tcPr>
          <w:p w14:paraId="36918993">
            <w:pPr>
              <w:spacing w:before="136" w:line="192" w:lineRule="auto"/>
              <w:ind w:left="4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TP</w:t>
            </w:r>
          </w:p>
        </w:tc>
      </w:tr>
      <w:tr w14:paraId="1BE23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773" w:type="dxa"/>
            <w:vAlign w:val="top"/>
          </w:tcPr>
          <w:p w14:paraId="1D158247">
            <w:pPr>
              <w:pStyle w:val="6"/>
              <w:spacing w:before="31" w:line="228" w:lineRule="auto"/>
              <w:ind w:left="266"/>
            </w:pPr>
            <w:r>
              <w:rPr>
                <w:spacing w:val="7"/>
              </w:rPr>
              <w:t>设计进水水质</w:t>
            </w:r>
          </w:p>
          <w:p w14:paraId="5067421A">
            <w:pPr>
              <w:pStyle w:val="6"/>
              <w:spacing w:before="24" w:line="217" w:lineRule="auto"/>
              <w:ind w:left="465"/>
            </w:pPr>
            <w:r>
              <w:rPr>
                <w:spacing w:val="2"/>
              </w:rPr>
              <w:t>（</w:t>
            </w:r>
            <w:r>
              <w:rPr>
                <w:rFonts w:ascii="Times New Roman" w:hAnsi="Times New Roman" w:eastAsia="Times New Roman" w:cs="Times New Roman"/>
              </w:rPr>
              <w:t>mg</w:t>
            </w:r>
            <w:r>
              <w:rPr>
                <w:rFonts w:ascii="Times New Roman" w:hAnsi="Times New Roman" w:eastAsia="Times New Roman" w:cs="Times New Roman"/>
                <w:spacing w:val="2"/>
              </w:rPr>
              <w:t>/L</w:t>
            </w:r>
            <w:r>
              <w:rPr>
                <w:spacing w:val="2"/>
              </w:rPr>
              <w:t>）</w:t>
            </w:r>
          </w:p>
        </w:tc>
        <w:tc>
          <w:tcPr>
            <w:tcW w:w="1199" w:type="dxa"/>
            <w:vAlign w:val="top"/>
          </w:tcPr>
          <w:p w14:paraId="42FE9820">
            <w:pPr>
              <w:spacing w:before="202" w:line="195" w:lineRule="auto"/>
              <w:ind w:left="44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450</w:t>
            </w:r>
          </w:p>
        </w:tc>
        <w:tc>
          <w:tcPr>
            <w:tcW w:w="1005" w:type="dxa"/>
            <w:vAlign w:val="top"/>
          </w:tcPr>
          <w:p w14:paraId="79BA11EA">
            <w:pPr>
              <w:spacing w:before="202"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350</w:t>
            </w:r>
          </w:p>
        </w:tc>
        <w:tc>
          <w:tcPr>
            <w:tcW w:w="1259" w:type="dxa"/>
            <w:vAlign w:val="top"/>
          </w:tcPr>
          <w:p w14:paraId="1A974E02">
            <w:pPr>
              <w:spacing w:before="202" w:line="195" w:lineRule="auto"/>
              <w:ind w:left="4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350</w:t>
            </w:r>
          </w:p>
        </w:tc>
        <w:tc>
          <w:tcPr>
            <w:tcW w:w="1214" w:type="dxa"/>
            <w:vAlign w:val="top"/>
          </w:tcPr>
          <w:p w14:paraId="181304E4">
            <w:pPr>
              <w:spacing w:before="202" w:line="195" w:lineRule="auto"/>
              <w:ind w:left="510"/>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154" w:type="dxa"/>
            <w:vAlign w:val="top"/>
          </w:tcPr>
          <w:p w14:paraId="4C93DC7B">
            <w:pPr>
              <w:spacing w:before="202"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121" w:type="dxa"/>
            <w:vAlign w:val="top"/>
          </w:tcPr>
          <w:p w14:paraId="6DA850CB">
            <w:pPr>
              <w:spacing w:before="202" w:line="195" w:lineRule="auto"/>
              <w:ind w:left="514"/>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r>
      <w:tr w14:paraId="60D1F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773" w:type="dxa"/>
            <w:vAlign w:val="top"/>
          </w:tcPr>
          <w:p w14:paraId="7D8FBE2F">
            <w:pPr>
              <w:pStyle w:val="6"/>
              <w:spacing w:before="32" w:line="228" w:lineRule="auto"/>
              <w:ind w:left="266"/>
            </w:pPr>
            <w:r>
              <w:rPr>
                <w:spacing w:val="7"/>
              </w:rPr>
              <w:t>设计出水水质</w:t>
            </w:r>
          </w:p>
          <w:p w14:paraId="0E687B86">
            <w:pPr>
              <w:pStyle w:val="6"/>
              <w:spacing w:before="24" w:line="215" w:lineRule="auto"/>
              <w:ind w:left="465"/>
            </w:pPr>
            <w:r>
              <w:rPr>
                <w:spacing w:val="2"/>
              </w:rPr>
              <w:t>（</w:t>
            </w:r>
            <w:r>
              <w:rPr>
                <w:rFonts w:ascii="Times New Roman" w:hAnsi="Times New Roman" w:eastAsia="Times New Roman" w:cs="Times New Roman"/>
              </w:rPr>
              <w:t>mg</w:t>
            </w:r>
            <w:r>
              <w:rPr>
                <w:rFonts w:ascii="Times New Roman" w:hAnsi="Times New Roman" w:eastAsia="Times New Roman" w:cs="Times New Roman"/>
                <w:spacing w:val="2"/>
              </w:rPr>
              <w:t>/L</w:t>
            </w:r>
            <w:r>
              <w:rPr>
                <w:spacing w:val="2"/>
              </w:rPr>
              <w:t>）</w:t>
            </w:r>
          </w:p>
        </w:tc>
        <w:tc>
          <w:tcPr>
            <w:tcW w:w="1199" w:type="dxa"/>
            <w:vAlign w:val="top"/>
          </w:tcPr>
          <w:p w14:paraId="0E07C7BF">
            <w:pPr>
              <w:pStyle w:val="6"/>
              <w:spacing w:before="167" w:line="265" w:lineRule="exact"/>
              <w:ind w:left="407"/>
              <w:rPr>
                <w:rFonts w:ascii="Times New Roman" w:hAnsi="Times New Roman" w:eastAsia="Times New Roman" w:cs="Times New Roman"/>
              </w:rPr>
            </w:pPr>
            <w:r>
              <w:rPr>
                <w:spacing w:val="-1"/>
                <w:position w:val="1"/>
              </w:rPr>
              <w:t>≤</w:t>
            </w:r>
            <w:r>
              <w:rPr>
                <w:rFonts w:ascii="Times New Roman" w:hAnsi="Times New Roman" w:eastAsia="Times New Roman" w:cs="Times New Roman"/>
                <w:spacing w:val="-1"/>
                <w:position w:val="1"/>
              </w:rPr>
              <w:t>50</w:t>
            </w:r>
          </w:p>
        </w:tc>
        <w:tc>
          <w:tcPr>
            <w:tcW w:w="1005" w:type="dxa"/>
            <w:vAlign w:val="top"/>
          </w:tcPr>
          <w:p w14:paraId="1B42DB3D">
            <w:pPr>
              <w:pStyle w:val="6"/>
              <w:spacing w:before="167" w:line="265" w:lineRule="exact"/>
              <w:ind w:left="310"/>
              <w:rPr>
                <w:rFonts w:ascii="Times New Roman" w:hAnsi="Times New Roman" w:eastAsia="Times New Roman" w:cs="Times New Roman"/>
              </w:rPr>
            </w:pPr>
            <w:r>
              <w:rPr>
                <w:spacing w:val="-1"/>
                <w:position w:val="1"/>
              </w:rPr>
              <w:t>≤</w:t>
            </w:r>
            <w:r>
              <w:rPr>
                <w:rFonts w:ascii="Times New Roman" w:hAnsi="Times New Roman" w:eastAsia="Times New Roman" w:cs="Times New Roman"/>
                <w:spacing w:val="-1"/>
                <w:position w:val="1"/>
              </w:rPr>
              <w:t>10</w:t>
            </w:r>
          </w:p>
        </w:tc>
        <w:tc>
          <w:tcPr>
            <w:tcW w:w="1259" w:type="dxa"/>
            <w:vAlign w:val="top"/>
          </w:tcPr>
          <w:p w14:paraId="643DA189">
            <w:pPr>
              <w:pStyle w:val="6"/>
              <w:spacing w:before="167" w:line="265" w:lineRule="exact"/>
              <w:ind w:left="440"/>
              <w:rPr>
                <w:rFonts w:ascii="Times New Roman" w:hAnsi="Times New Roman" w:eastAsia="Times New Roman" w:cs="Times New Roman"/>
              </w:rPr>
            </w:pPr>
            <w:r>
              <w:rPr>
                <w:spacing w:val="-2"/>
                <w:position w:val="1"/>
              </w:rPr>
              <w:t>≤</w:t>
            </w:r>
            <w:r>
              <w:rPr>
                <w:rFonts w:ascii="Times New Roman" w:hAnsi="Times New Roman" w:eastAsia="Times New Roman" w:cs="Times New Roman"/>
                <w:spacing w:val="-2"/>
                <w:position w:val="1"/>
              </w:rPr>
              <w:t>10</w:t>
            </w:r>
          </w:p>
        </w:tc>
        <w:tc>
          <w:tcPr>
            <w:tcW w:w="1214" w:type="dxa"/>
            <w:vAlign w:val="top"/>
          </w:tcPr>
          <w:p w14:paraId="57143DE3">
            <w:pPr>
              <w:pStyle w:val="6"/>
              <w:spacing w:before="167" w:line="265" w:lineRule="exact"/>
              <w:ind w:left="417"/>
              <w:rPr>
                <w:rFonts w:ascii="Times New Roman" w:hAnsi="Times New Roman" w:eastAsia="Times New Roman" w:cs="Times New Roman"/>
              </w:rPr>
            </w:pPr>
            <w:r>
              <w:rPr>
                <w:spacing w:val="-2"/>
                <w:position w:val="1"/>
              </w:rPr>
              <w:t>≤</w:t>
            </w:r>
            <w:r>
              <w:rPr>
                <w:rFonts w:ascii="Times New Roman" w:hAnsi="Times New Roman" w:eastAsia="Times New Roman" w:cs="Times New Roman"/>
                <w:spacing w:val="-2"/>
                <w:position w:val="1"/>
              </w:rPr>
              <w:t>15</w:t>
            </w:r>
          </w:p>
        </w:tc>
        <w:tc>
          <w:tcPr>
            <w:tcW w:w="1154" w:type="dxa"/>
            <w:vAlign w:val="top"/>
          </w:tcPr>
          <w:p w14:paraId="4814CEED">
            <w:pPr>
              <w:pStyle w:val="6"/>
              <w:spacing w:before="167" w:line="265" w:lineRule="exact"/>
              <w:ind w:left="441"/>
              <w:rPr>
                <w:rFonts w:ascii="Times New Roman" w:hAnsi="Times New Roman" w:eastAsia="Times New Roman" w:cs="Times New Roman"/>
              </w:rPr>
            </w:pPr>
            <w:r>
              <w:rPr>
                <w:spacing w:val="-5"/>
                <w:position w:val="1"/>
              </w:rPr>
              <w:t>≤</w:t>
            </w:r>
            <w:r>
              <w:rPr>
                <w:rFonts w:ascii="Times New Roman" w:hAnsi="Times New Roman" w:eastAsia="Times New Roman" w:cs="Times New Roman"/>
                <w:spacing w:val="-5"/>
                <w:position w:val="1"/>
              </w:rPr>
              <w:t>5</w:t>
            </w:r>
          </w:p>
        </w:tc>
        <w:tc>
          <w:tcPr>
            <w:tcW w:w="1121" w:type="dxa"/>
            <w:vAlign w:val="top"/>
          </w:tcPr>
          <w:p w14:paraId="389C973B">
            <w:pPr>
              <w:pStyle w:val="6"/>
              <w:spacing w:before="167" w:line="264" w:lineRule="exact"/>
              <w:ind w:left="343"/>
              <w:rPr>
                <w:rFonts w:ascii="Times New Roman" w:hAnsi="Times New Roman" w:eastAsia="Times New Roman" w:cs="Times New Roman"/>
              </w:rPr>
            </w:pPr>
            <w:r>
              <w:rPr>
                <w:position w:val="1"/>
              </w:rPr>
              <w:t>≤</w:t>
            </w:r>
            <w:r>
              <w:rPr>
                <w:rFonts w:ascii="Times New Roman" w:hAnsi="Times New Roman" w:eastAsia="Times New Roman" w:cs="Times New Roman"/>
                <w:position w:val="1"/>
              </w:rPr>
              <w:t>0.5</w:t>
            </w:r>
          </w:p>
        </w:tc>
      </w:tr>
      <w:tr w14:paraId="070D3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773" w:type="dxa"/>
            <w:vAlign w:val="top"/>
          </w:tcPr>
          <w:p w14:paraId="29880802">
            <w:pPr>
              <w:pStyle w:val="6"/>
              <w:spacing w:before="97" w:line="228" w:lineRule="auto"/>
              <w:ind w:left="283"/>
            </w:pPr>
            <w:r>
              <w:rPr>
                <w:spacing w:val="6"/>
              </w:rPr>
              <w:t>去除率（</w:t>
            </w:r>
            <w:r>
              <w:rPr>
                <w:rFonts w:ascii="Times New Roman" w:hAnsi="Times New Roman" w:eastAsia="Times New Roman" w:cs="Times New Roman"/>
                <w:spacing w:val="6"/>
              </w:rPr>
              <w:t>%</w:t>
            </w:r>
            <w:r>
              <w:rPr>
                <w:spacing w:val="6"/>
              </w:rPr>
              <w:t>）</w:t>
            </w:r>
          </w:p>
        </w:tc>
        <w:tc>
          <w:tcPr>
            <w:tcW w:w="1199" w:type="dxa"/>
            <w:vAlign w:val="top"/>
          </w:tcPr>
          <w:p w14:paraId="6C1163E6">
            <w:pPr>
              <w:pStyle w:val="6"/>
              <w:spacing w:before="98" w:line="264" w:lineRule="exact"/>
              <w:ind w:left="281"/>
              <w:rPr>
                <w:rFonts w:ascii="Times New Roman" w:hAnsi="Times New Roman" w:eastAsia="Times New Roman" w:cs="Times New Roman"/>
              </w:rPr>
            </w:pPr>
            <w:r>
              <w:rPr>
                <w:position w:val="1"/>
              </w:rPr>
              <w:t>≥</w:t>
            </w:r>
            <w:r>
              <w:rPr>
                <w:rFonts w:ascii="Times New Roman" w:hAnsi="Times New Roman" w:eastAsia="Times New Roman" w:cs="Times New Roman"/>
                <w:position w:val="1"/>
              </w:rPr>
              <w:t>88.89</w:t>
            </w:r>
          </w:p>
        </w:tc>
        <w:tc>
          <w:tcPr>
            <w:tcW w:w="1005" w:type="dxa"/>
            <w:vAlign w:val="top"/>
          </w:tcPr>
          <w:p w14:paraId="67ECC27C">
            <w:pPr>
              <w:pStyle w:val="6"/>
              <w:spacing w:before="98" w:line="264" w:lineRule="exact"/>
              <w:ind w:left="186"/>
              <w:rPr>
                <w:rFonts w:ascii="Times New Roman" w:hAnsi="Times New Roman" w:eastAsia="Times New Roman" w:cs="Times New Roman"/>
              </w:rPr>
            </w:pPr>
            <w:r>
              <w:rPr>
                <w:spacing w:val="-4"/>
                <w:position w:val="1"/>
              </w:rPr>
              <w:t>≥</w:t>
            </w:r>
            <w:r>
              <w:rPr>
                <w:rFonts w:ascii="Times New Roman" w:hAnsi="Times New Roman" w:eastAsia="Times New Roman" w:cs="Times New Roman"/>
                <w:spacing w:val="-4"/>
                <w:position w:val="1"/>
              </w:rPr>
              <w:t>97.14</w:t>
            </w:r>
          </w:p>
        </w:tc>
        <w:tc>
          <w:tcPr>
            <w:tcW w:w="1259" w:type="dxa"/>
            <w:vAlign w:val="top"/>
          </w:tcPr>
          <w:p w14:paraId="69F67BE8">
            <w:pPr>
              <w:pStyle w:val="6"/>
              <w:spacing w:before="98" w:line="264" w:lineRule="exact"/>
              <w:ind w:left="314"/>
              <w:rPr>
                <w:rFonts w:ascii="Times New Roman" w:hAnsi="Times New Roman" w:eastAsia="Times New Roman" w:cs="Times New Roman"/>
              </w:rPr>
            </w:pPr>
            <w:r>
              <w:rPr>
                <w:spacing w:val="-4"/>
                <w:position w:val="1"/>
              </w:rPr>
              <w:t>≥</w:t>
            </w:r>
            <w:r>
              <w:rPr>
                <w:rFonts w:ascii="Times New Roman" w:hAnsi="Times New Roman" w:eastAsia="Times New Roman" w:cs="Times New Roman"/>
                <w:spacing w:val="-4"/>
                <w:position w:val="1"/>
              </w:rPr>
              <w:t>97.14</w:t>
            </w:r>
          </w:p>
        </w:tc>
        <w:tc>
          <w:tcPr>
            <w:tcW w:w="1214" w:type="dxa"/>
            <w:vAlign w:val="top"/>
          </w:tcPr>
          <w:p w14:paraId="40DBFCDE">
            <w:pPr>
              <w:pStyle w:val="6"/>
              <w:spacing w:before="98" w:line="264" w:lineRule="exact"/>
              <w:ind w:left="291"/>
              <w:rPr>
                <w:rFonts w:ascii="Times New Roman" w:hAnsi="Times New Roman" w:eastAsia="Times New Roman" w:cs="Times New Roman"/>
              </w:rPr>
            </w:pPr>
            <w:r>
              <w:rPr>
                <w:spacing w:val="1"/>
                <w:position w:val="1"/>
              </w:rPr>
              <w:t>≥</w:t>
            </w:r>
            <w:r>
              <w:rPr>
                <w:rFonts w:ascii="Times New Roman" w:hAnsi="Times New Roman" w:eastAsia="Times New Roman" w:cs="Times New Roman"/>
                <w:spacing w:val="1"/>
                <w:position w:val="1"/>
              </w:rPr>
              <w:t>71.43</w:t>
            </w:r>
          </w:p>
        </w:tc>
        <w:tc>
          <w:tcPr>
            <w:tcW w:w="1154" w:type="dxa"/>
            <w:vAlign w:val="top"/>
          </w:tcPr>
          <w:p w14:paraId="1AE8A327">
            <w:pPr>
              <w:pStyle w:val="6"/>
              <w:spacing w:before="98" w:line="264" w:lineRule="exact"/>
              <w:ind w:left="263"/>
              <w:rPr>
                <w:rFonts w:ascii="Times New Roman" w:hAnsi="Times New Roman" w:eastAsia="Times New Roman" w:cs="Times New Roman"/>
              </w:rPr>
            </w:pPr>
            <w:r>
              <w:rPr>
                <w:position w:val="1"/>
              </w:rPr>
              <w:t>≥</w:t>
            </w:r>
            <w:r>
              <w:rPr>
                <w:rFonts w:ascii="Times New Roman" w:hAnsi="Times New Roman" w:eastAsia="Times New Roman" w:cs="Times New Roman"/>
                <w:position w:val="1"/>
              </w:rPr>
              <w:t>94.00</w:t>
            </w:r>
          </w:p>
        </w:tc>
        <w:tc>
          <w:tcPr>
            <w:tcW w:w="1121" w:type="dxa"/>
            <w:vAlign w:val="top"/>
          </w:tcPr>
          <w:p w14:paraId="6C6CAF68">
            <w:pPr>
              <w:pStyle w:val="6"/>
              <w:spacing w:before="98" w:line="264" w:lineRule="exact"/>
              <w:ind w:left="244"/>
              <w:rPr>
                <w:rFonts w:ascii="Times New Roman" w:hAnsi="Times New Roman" w:eastAsia="Times New Roman" w:cs="Times New Roman"/>
              </w:rPr>
            </w:pPr>
            <w:r>
              <w:rPr>
                <w:spacing w:val="1"/>
                <w:position w:val="1"/>
              </w:rPr>
              <w:t>≥</w:t>
            </w:r>
            <w:r>
              <w:rPr>
                <w:rFonts w:ascii="Times New Roman" w:hAnsi="Times New Roman" w:eastAsia="Times New Roman" w:cs="Times New Roman"/>
                <w:spacing w:val="1"/>
                <w:position w:val="1"/>
              </w:rPr>
              <w:t>92.50</w:t>
            </w:r>
          </w:p>
        </w:tc>
      </w:tr>
    </w:tbl>
    <w:p w14:paraId="4E125C20">
      <w:pPr>
        <w:spacing w:before="165" w:line="220" w:lineRule="auto"/>
        <w:ind w:left="117"/>
        <w:outlineLvl w:val="1"/>
        <w:rPr>
          <w:rFonts w:ascii="宋体" w:hAnsi="宋体" w:eastAsia="宋体" w:cs="宋体"/>
          <w:sz w:val="30"/>
          <w:szCs w:val="30"/>
        </w:rPr>
      </w:pPr>
      <w:bookmarkStart w:id="14" w:name="bookmark14"/>
      <w:bookmarkEnd w:id="14"/>
      <w:r>
        <w:rPr>
          <w:rFonts w:ascii="Times New Roman" w:hAnsi="Times New Roman" w:eastAsia="Times New Roman" w:cs="Times New Roman"/>
          <w:b/>
          <w:bCs/>
          <w:spacing w:val="-3"/>
          <w:sz w:val="28"/>
          <w:szCs w:val="28"/>
        </w:rPr>
        <w:t>3.2</w:t>
      </w:r>
      <w:r>
        <w:rPr>
          <w:rFonts w:ascii="宋体" w:hAnsi="宋体" w:eastAsia="宋体" w:cs="宋体"/>
          <w:b/>
          <w:bCs/>
          <w:spacing w:val="-3"/>
          <w:sz w:val="28"/>
          <w:szCs w:val="28"/>
        </w:rPr>
        <w:t>隆回县工业污水处理厂</w:t>
      </w:r>
      <w:r>
        <w:rPr>
          <w:rFonts w:ascii="宋体" w:hAnsi="宋体" w:eastAsia="宋体" w:cs="宋体"/>
          <w:b/>
          <w:bCs/>
          <w:spacing w:val="-3"/>
          <w:sz w:val="30"/>
          <w:szCs w:val="30"/>
        </w:rPr>
        <w:t>（一期）项目建设</w:t>
      </w:r>
      <w:r>
        <w:rPr>
          <w:rFonts w:ascii="宋体" w:hAnsi="宋体" w:eastAsia="宋体" w:cs="宋体"/>
          <w:b/>
          <w:bCs/>
          <w:spacing w:val="-4"/>
          <w:sz w:val="30"/>
          <w:szCs w:val="30"/>
        </w:rPr>
        <w:t>及运行情况</w:t>
      </w:r>
    </w:p>
    <w:p w14:paraId="1A4558C3">
      <w:pPr>
        <w:spacing w:before="223" w:line="219" w:lineRule="auto"/>
        <w:ind w:left="117"/>
        <w:outlineLvl w:val="2"/>
        <w:rPr>
          <w:rFonts w:ascii="宋体" w:hAnsi="宋体" w:eastAsia="宋体" w:cs="宋体"/>
          <w:sz w:val="28"/>
          <w:szCs w:val="28"/>
        </w:rPr>
      </w:pPr>
      <w:r>
        <w:rPr>
          <w:rFonts w:ascii="Times New Roman" w:hAnsi="Times New Roman" w:eastAsia="Times New Roman" w:cs="Times New Roman"/>
          <w:b/>
          <w:bCs/>
          <w:spacing w:val="-2"/>
          <w:sz w:val="28"/>
          <w:szCs w:val="28"/>
        </w:rPr>
        <w:t>3.2.1</w:t>
      </w:r>
      <w:r>
        <w:rPr>
          <w:rFonts w:ascii="宋体" w:hAnsi="宋体" w:eastAsia="宋体" w:cs="宋体"/>
          <w:b/>
          <w:bCs/>
          <w:spacing w:val="-2"/>
          <w:sz w:val="28"/>
          <w:szCs w:val="28"/>
        </w:rPr>
        <w:t>项目基本情况</w:t>
      </w:r>
    </w:p>
    <w:p w14:paraId="139D7721">
      <w:pPr>
        <w:spacing w:before="207" w:line="219" w:lineRule="auto"/>
        <w:ind w:left="606"/>
        <w:rPr>
          <w:rFonts w:ascii="宋体" w:hAnsi="宋体" w:eastAsia="宋体" w:cs="宋体"/>
          <w:sz w:val="24"/>
          <w:szCs w:val="24"/>
        </w:rPr>
      </w:pPr>
      <w:r>
        <w:rPr>
          <w:rFonts w:ascii="宋体" w:hAnsi="宋体" w:eastAsia="宋体" w:cs="宋体"/>
          <w:spacing w:val="-1"/>
          <w:sz w:val="24"/>
          <w:szCs w:val="24"/>
        </w:rPr>
        <w:t>项目名称：隆回县工业污水处理厂（一期</w:t>
      </w:r>
      <w:r>
        <w:rPr>
          <w:rFonts w:ascii="宋体" w:hAnsi="宋体" w:eastAsia="宋体" w:cs="宋体"/>
          <w:spacing w:val="1"/>
          <w:sz w:val="24"/>
          <w:szCs w:val="24"/>
        </w:rPr>
        <w:t>）；</w:t>
      </w:r>
    </w:p>
    <w:p w14:paraId="6AB9E009">
      <w:pPr>
        <w:spacing w:before="181" w:line="219" w:lineRule="auto"/>
        <w:ind w:left="606"/>
        <w:rPr>
          <w:rFonts w:ascii="宋体" w:hAnsi="宋体" w:eastAsia="宋体" w:cs="宋体"/>
          <w:sz w:val="24"/>
          <w:szCs w:val="24"/>
        </w:rPr>
      </w:pPr>
      <w:r>
        <w:rPr>
          <w:rFonts w:ascii="宋体" w:hAnsi="宋体" w:eastAsia="宋体" w:cs="宋体"/>
          <w:spacing w:val="10"/>
          <w:sz w:val="24"/>
          <w:szCs w:val="24"/>
        </w:rPr>
        <w:t>项目地点：隆回工业集中区沿江北路与寺山三路交汇处，中心点坐标：</w:t>
      </w:r>
    </w:p>
    <w:p w14:paraId="5EFE3C16">
      <w:pPr>
        <w:spacing w:before="183" w:line="359" w:lineRule="auto"/>
        <w:ind w:left="118" w:right="174"/>
        <w:rPr>
          <w:rFonts w:ascii="宋体" w:hAnsi="宋体" w:eastAsia="宋体" w:cs="宋体"/>
          <w:sz w:val="24"/>
          <w:szCs w:val="24"/>
        </w:rPr>
      </w:pPr>
      <w:r>
        <w:rPr>
          <w:rFonts w:ascii="Times New Roman" w:hAnsi="Times New Roman" w:eastAsia="Times New Roman" w:cs="Times New Roman"/>
          <w:sz w:val="24"/>
          <w:szCs w:val="24"/>
        </w:rPr>
        <w:t>EE</w:t>
      </w:r>
      <w:r>
        <w:rPr>
          <w:rFonts w:ascii="Times New Roman" w:hAnsi="Times New Roman" w:eastAsia="Times New Roman" w:cs="Times New Roman"/>
          <w:spacing w:val="1"/>
          <w:sz w:val="24"/>
          <w:szCs w:val="24"/>
        </w:rPr>
        <w:t>111°3′7.40″</w:t>
      </w:r>
      <w:r>
        <w:rPr>
          <w:rFonts w:ascii="宋体" w:hAnsi="宋体" w:eastAsia="宋体" w:cs="宋体"/>
          <w:spacing w:val="1"/>
          <w:sz w:val="24"/>
          <w:szCs w:val="24"/>
        </w:rPr>
        <w:t>，</w:t>
      </w:r>
      <w:r>
        <w:rPr>
          <w:rFonts w:ascii="Times New Roman" w:hAnsi="Times New Roman" w:eastAsia="Times New Roman" w:cs="Times New Roman"/>
          <w:spacing w:val="1"/>
          <w:sz w:val="24"/>
          <w:szCs w:val="24"/>
        </w:rPr>
        <w:t>N27°5′22.16″</w:t>
      </w:r>
      <w:r>
        <w:rPr>
          <w:rFonts w:ascii="宋体" w:hAnsi="宋体" w:eastAsia="宋体" w:cs="宋体"/>
          <w:spacing w:val="1"/>
          <w:sz w:val="24"/>
          <w:szCs w:val="24"/>
        </w:rPr>
        <w:t>。入河排</w:t>
      </w:r>
      <w:r>
        <w:rPr>
          <w:rFonts w:ascii="宋体" w:hAnsi="宋体" w:eastAsia="宋体" w:cs="宋体"/>
          <w:sz w:val="24"/>
          <w:szCs w:val="24"/>
        </w:rPr>
        <w:t>污口（元木山电站下游</w:t>
      </w:r>
      <w:r>
        <w:rPr>
          <w:rFonts w:ascii="Times New Roman" w:hAnsi="Times New Roman" w:eastAsia="Times New Roman" w:cs="Times New Roman"/>
          <w:sz w:val="24"/>
          <w:szCs w:val="24"/>
        </w:rPr>
        <w:t>2.8m</w:t>
      </w:r>
      <w:r>
        <w:rPr>
          <w:rFonts w:ascii="宋体" w:hAnsi="宋体" w:eastAsia="宋体" w:cs="宋体"/>
          <w:sz w:val="24"/>
          <w:szCs w:val="24"/>
        </w:rPr>
        <w:t>处）坐标：</w:t>
      </w:r>
      <w:r>
        <w:rPr>
          <w:rFonts w:ascii="Times New Roman" w:hAnsi="Times New Roman" w:eastAsia="Times New Roman" w:cs="Times New Roman"/>
          <w:spacing w:val="-3"/>
          <w:sz w:val="24"/>
          <w:szCs w:val="24"/>
        </w:rPr>
        <w:t>E111°3′22.36752″</w:t>
      </w:r>
      <w:r>
        <w:rPr>
          <w:rFonts w:ascii="宋体" w:hAnsi="宋体" w:eastAsia="宋体" w:cs="宋体"/>
          <w:spacing w:val="-3"/>
          <w:sz w:val="24"/>
          <w:szCs w:val="24"/>
        </w:rPr>
        <w:t>，</w:t>
      </w:r>
      <w:r>
        <w:rPr>
          <w:rFonts w:ascii="Times New Roman" w:hAnsi="Times New Roman" w:eastAsia="Times New Roman" w:cs="Times New Roman"/>
          <w:spacing w:val="-3"/>
          <w:sz w:val="24"/>
          <w:szCs w:val="24"/>
        </w:rPr>
        <w:t>N27°4′46.315056″</w:t>
      </w:r>
      <w:r>
        <w:rPr>
          <w:rFonts w:ascii="宋体" w:hAnsi="宋体" w:eastAsia="宋体" w:cs="宋体"/>
          <w:spacing w:val="-3"/>
          <w:sz w:val="24"/>
          <w:szCs w:val="24"/>
        </w:rPr>
        <w:t>；</w:t>
      </w:r>
    </w:p>
    <w:p w14:paraId="4B683C0E">
      <w:pPr>
        <w:spacing w:line="359" w:lineRule="auto"/>
        <w:ind w:left="125" w:right="114" w:firstLine="480"/>
        <w:rPr>
          <w:rFonts w:ascii="宋体" w:hAnsi="宋体" w:eastAsia="宋体" w:cs="宋体"/>
          <w:sz w:val="24"/>
          <w:szCs w:val="24"/>
        </w:rPr>
      </w:pPr>
      <w:r>
        <w:rPr>
          <w:rFonts w:ascii="宋体" w:hAnsi="宋体" w:eastAsia="宋体" w:cs="宋体"/>
          <w:spacing w:val="3"/>
          <w:sz w:val="24"/>
          <w:szCs w:val="24"/>
        </w:rPr>
        <w:t>建设单位：隆回高新技术产业开发区管理委员会（原</w:t>
      </w:r>
      <w:r>
        <w:rPr>
          <w:rFonts w:ascii="宋体" w:hAnsi="宋体" w:eastAsia="宋体" w:cs="宋体"/>
          <w:spacing w:val="2"/>
          <w:sz w:val="24"/>
          <w:szCs w:val="24"/>
        </w:rPr>
        <w:t>隆回县工业园开发建设</w:t>
      </w:r>
      <w:r>
        <w:rPr>
          <w:rFonts w:ascii="宋体" w:hAnsi="宋体" w:eastAsia="宋体" w:cs="宋体"/>
          <w:spacing w:val="-3"/>
          <w:sz w:val="24"/>
          <w:szCs w:val="24"/>
        </w:rPr>
        <w:t>投资有限公司</w:t>
      </w:r>
      <w:r>
        <w:rPr>
          <w:rFonts w:ascii="宋体" w:hAnsi="宋体" w:eastAsia="宋体" w:cs="宋体"/>
          <w:spacing w:val="2"/>
          <w:sz w:val="24"/>
          <w:szCs w:val="24"/>
        </w:rPr>
        <w:t>）；</w:t>
      </w:r>
    </w:p>
    <w:p w14:paraId="6268D207">
      <w:pPr>
        <w:spacing w:line="359" w:lineRule="auto"/>
        <w:ind w:left="128" w:right="113" w:firstLine="478"/>
        <w:rPr>
          <w:rFonts w:ascii="宋体" w:hAnsi="宋体" w:eastAsia="宋体" w:cs="宋体"/>
          <w:sz w:val="24"/>
          <w:szCs w:val="24"/>
        </w:rPr>
      </w:pPr>
      <w:r>
        <w:rPr>
          <w:rFonts w:ascii="宋体" w:hAnsi="宋体" w:eastAsia="宋体" w:cs="宋体"/>
          <w:spacing w:val="-3"/>
          <w:sz w:val="24"/>
          <w:szCs w:val="24"/>
        </w:rPr>
        <w:t>项目占地：污水处理厂总占地面积</w:t>
      </w:r>
      <w:r>
        <w:rPr>
          <w:rFonts w:ascii="Times New Roman" w:hAnsi="Times New Roman" w:eastAsia="Times New Roman" w:cs="Times New Roman"/>
          <w:spacing w:val="-3"/>
          <w:sz w:val="24"/>
          <w:szCs w:val="24"/>
        </w:rPr>
        <w:t>35000m</w:t>
      </w:r>
      <w:r>
        <w:rPr>
          <w:rFonts w:ascii="Times New Roman" w:hAnsi="Times New Roman" w:eastAsia="Times New Roman" w:cs="Times New Roman"/>
          <w:spacing w:val="-3"/>
          <w:position w:val="8"/>
          <w:sz w:val="15"/>
          <w:szCs w:val="15"/>
        </w:rPr>
        <w:t>2</w:t>
      </w:r>
      <w:r>
        <w:rPr>
          <w:rFonts w:ascii="宋体" w:hAnsi="宋体" w:eastAsia="宋体" w:cs="宋体"/>
          <w:spacing w:val="-3"/>
          <w:sz w:val="24"/>
          <w:szCs w:val="24"/>
        </w:rPr>
        <w:t>，污水</w:t>
      </w:r>
      <w:r>
        <w:rPr>
          <w:rFonts w:ascii="宋体" w:hAnsi="宋体" w:eastAsia="宋体" w:cs="宋体"/>
          <w:spacing w:val="-4"/>
          <w:sz w:val="24"/>
          <w:szCs w:val="24"/>
        </w:rPr>
        <w:t>厂预留二期占地，一期工程</w:t>
      </w:r>
      <w:r>
        <w:rPr>
          <w:rFonts w:ascii="宋体" w:hAnsi="宋体" w:eastAsia="宋体" w:cs="宋体"/>
          <w:spacing w:val="-2"/>
          <w:sz w:val="24"/>
          <w:szCs w:val="24"/>
        </w:rPr>
        <w:t>实际占地面积</w:t>
      </w:r>
      <w:r>
        <w:rPr>
          <w:rFonts w:ascii="Times New Roman" w:hAnsi="Times New Roman" w:eastAsia="Times New Roman" w:cs="Times New Roman"/>
          <w:spacing w:val="-2"/>
          <w:sz w:val="24"/>
          <w:szCs w:val="24"/>
        </w:rPr>
        <w:t>26572.8m</w:t>
      </w:r>
      <w:r>
        <w:rPr>
          <w:rFonts w:ascii="Times New Roman" w:hAnsi="Times New Roman" w:eastAsia="Times New Roman" w:cs="Times New Roman"/>
          <w:spacing w:val="-2"/>
          <w:position w:val="7"/>
          <w:sz w:val="15"/>
          <w:szCs w:val="15"/>
        </w:rPr>
        <w:t>2</w:t>
      </w:r>
      <w:r>
        <w:rPr>
          <w:rFonts w:ascii="宋体" w:hAnsi="宋体" w:eastAsia="宋体" w:cs="宋体"/>
          <w:spacing w:val="-2"/>
          <w:sz w:val="24"/>
          <w:szCs w:val="24"/>
        </w:rPr>
        <w:t>；</w:t>
      </w:r>
    </w:p>
    <w:p w14:paraId="43107E19">
      <w:pPr>
        <w:spacing w:line="359" w:lineRule="auto"/>
        <w:ind w:left="128" w:right="111" w:firstLine="478"/>
        <w:rPr>
          <w:rFonts w:ascii="宋体" w:hAnsi="宋体" w:eastAsia="宋体" w:cs="宋体"/>
          <w:sz w:val="24"/>
          <w:szCs w:val="24"/>
        </w:rPr>
      </w:pPr>
      <w:r>
        <w:rPr>
          <w:rFonts w:ascii="宋体" w:hAnsi="宋体" w:eastAsia="宋体" w:cs="宋体"/>
          <w:spacing w:val="3"/>
          <w:sz w:val="24"/>
          <w:szCs w:val="24"/>
        </w:rPr>
        <w:t>项目工艺：采用</w:t>
      </w:r>
      <w:r>
        <w:rPr>
          <w:rFonts w:ascii="Times New Roman" w:hAnsi="Times New Roman" w:eastAsia="Times New Roman" w:cs="Times New Roman"/>
          <w:spacing w:val="3"/>
          <w:sz w:val="24"/>
          <w:szCs w:val="24"/>
        </w:rPr>
        <w:t>“</w:t>
      </w:r>
      <w:r>
        <w:rPr>
          <w:rFonts w:ascii="宋体" w:hAnsi="宋体" w:eastAsia="宋体" w:cs="宋体"/>
          <w:spacing w:val="3"/>
          <w:sz w:val="24"/>
          <w:szCs w:val="24"/>
        </w:rPr>
        <w:t>曝气沉砂</w:t>
      </w:r>
      <w:r>
        <w:rPr>
          <w:rFonts w:ascii="Times New Roman" w:hAnsi="Times New Roman" w:eastAsia="Times New Roman" w:cs="Times New Roman"/>
          <w:spacing w:val="3"/>
          <w:sz w:val="24"/>
          <w:szCs w:val="24"/>
        </w:rPr>
        <w:t>+</w:t>
      </w:r>
      <w:r>
        <w:rPr>
          <w:rFonts w:ascii="宋体" w:hAnsi="宋体" w:eastAsia="宋体" w:cs="宋体"/>
          <w:spacing w:val="3"/>
          <w:sz w:val="24"/>
          <w:szCs w:val="24"/>
        </w:rPr>
        <w:t>水解酸化</w:t>
      </w:r>
      <w:r>
        <w:rPr>
          <w:rFonts w:ascii="Times New Roman" w:hAnsi="Times New Roman" w:eastAsia="Times New Roman" w:cs="Times New Roman"/>
          <w:spacing w:val="3"/>
          <w:sz w:val="24"/>
          <w:szCs w:val="24"/>
        </w:rPr>
        <w:t>+A/A/O+</w:t>
      </w:r>
      <w:r>
        <w:rPr>
          <w:rFonts w:ascii="宋体" w:hAnsi="宋体" w:eastAsia="宋体" w:cs="宋体"/>
          <w:spacing w:val="3"/>
          <w:sz w:val="24"/>
          <w:szCs w:val="24"/>
        </w:rPr>
        <w:t>气浮过滤</w:t>
      </w:r>
      <w:r>
        <w:rPr>
          <w:rFonts w:ascii="Times New Roman" w:hAnsi="Times New Roman" w:eastAsia="Times New Roman" w:cs="Times New Roman"/>
          <w:spacing w:val="3"/>
          <w:sz w:val="24"/>
          <w:szCs w:val="24"/>
        </w:rPr>
        <w:t>+</w:t>
      </w:r>
      <w:r>
        <w:rPr>
          <w:rFonts w:ascii="宋体" w:hAnsi="宋体" w:eastAsia="宋体" w:cs="宋体"/>
          <w:spacing w:val="3"/>
          <w:sz w:val="24"/>
          <w:szCs w:val="24"/>
        </w:rPr>
        <w:t>紫外消毒</w:t>
      </w:r>
      <w:r>
        <w:rPr>
          <w:rFonts w:ascii="Times New Roman" w:hAnsi="Times New Roman" w:eastAsia="Times New Roman" w:cs="Times New Roman"/>
          <w:spacing w:val="3"/>
          <w:sz w:val="24"/>
          <w:szCs w:val="24"/>
        </w:rPr>
        <w:t>”</w:t>
      </w:r>
      <w:r>
        <w:rPr>
          <w:rFonts w:ascii="宋体" w:hAnsi="宋体" w:eastAsia="宋体" w:cs="宋体"/>
          <w:spacing w:val="3"/>
          <w:sz w:val="24"/>
          <w:szCs w:val="24"/>
        </w:rPr>
        <w:t>的组合工</w:t>
      </w:r>
      <w:r>
        <w:rPr>
          <w:rFonts w:ascii="宋体" w:hAnsi="宋体" w:eastAsia="宋体" w:cs="宋体"/>
          <w:spacing w:val="-8"/>
          <w:sz w:val="24"/>
          <w:szCs w:val="24"/>
        </w:rPr>
        <w:t>艺；</w:t>
      </w:r>
    </w:p>
    <w:p w14:paraId="731D4F3B">
      <w:pPr>
        <w:spacing w:before="1" w:line="219" w:lineRule="auto"/>
        <w:ind w:left="605"/>
        <w:rPr>
          <w:rFonts w:ascii="Times New Roman" w:hAnsi="Times New Roman" w:eastAsia="Times New Roman" w:cs="Times New Roman"/>
          <w:sz w:val="15"/>
          <w:szCs w:val="15"/>
        </w:rPr>
      </w:pPr>
      <w:r>
        <w:rPr>
          <w:rFonts w:ascii="宋体" w:hAnsi="宋体" w:eastAsia="宋体" w:cs="宋体"/>
          <w:spacing w:val="-4"/>
          <w:sz w:val="24"/>
          <w:szCs w:val="24"/>
        </w:rPr>
        <w:t>建设规模：一期工程处理规模为</w:t>
      </w:r>
      <w:r>
        <w:rPr>
          <w:rFonts w:ascii="Times New Roman" w:hAnsi="Times New Roman" w:eastAsia="Times New Roman" w:cs="Times New Roman"/>
          <w:spacing w:val="-4"/>
          <w:sz w:val="24"/>
          <w:szCs w:val="24"/>
        </w:rPr>
        <w:t>1.5</w:t>
      </w:r>
      <w:r>
        <w:rPr>
          <w:rFonts w:ascii="宋体" w:hAnsi="宋体" w:eastAsia="宋体" w:cs="宋体"/>
          <w:spacing w:val="-4"/>
          <w:sz w:val="24"/>
          <w:szCs w:val="24"/>
        </w:rPr>
        <w:t>万</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sz w:val="24"/>
          <w:szCs w:val="24"/>
        </w:rPr>
        <w:t>/d</w:t>
      </w:r>
      <w:r>
        <w:rPr>
          <w:rFonts w:ascii="宋体" w:hAnsi="宋体" w:eastAsia="宋体" w:cs="宋体"/>
          <w:spacing w:val="-4"/>
          <w:sz w:val="24"/>
          <w:szCs w:val="24"/>
        </w:rPr>
        <w:t>，现实际日处理最大量约</w:t>
      </w:r>
      <w:r>
        <w:rPr>
          <w:rFonts w:ascii="Times New Roman" w:hAnsi="Times New Roman" w:eastAsia="Times New Roman" w:cs="Times New Roman"/>
          <w:spacing w:val="-4"/>
          <w:sz w:val="24"/>
          <w:szCs w:val="24"/>
        </w:rPr>
        <w:t>14750m</w:t>
      </w:r>
      <w:r>
        <w:rPr>
          <w:rFonts w:ascii="Times New Roman" w:hAnsi="Times New Roman" w:eastAsia="Times New Roman" w:cs="Times New Roman"/>
          <w:spacing w:val="-4"/>
          <w:position w:val="8"/>
          <w:sz w:val="15"/>
          <w:szCs w:val="15"/>
        </w:rPr>
        <w:t>3</w:t>
      </w:r>
    </w:p>
    <w:p w14:paraId="6417688D">
      <w:pPr>
        <w:spacing w:line="219" w:lineRule="auto"/>
        <w:rPr>
          <w:rFonts w:ascii="Times New Roman" w:hAnsi="Times New Roman" w:eastAsia="Times New Roman" w:cs="Times New Roman"/>
          <w:sz w:val="15"/>
          <w:szCs w:val="15"/>
        </w:rPr>
        <w:sectPr>
          <w:headerReference r:id="rId27" w:type="default"/>
          <w:footerReference r:id="rId28" w:type="default"/>
          <w:pgSz w:w="11907" w:h="16840"/>
          <w:pgMar w:top="1132" w:right="1588" w:bottom="1259" w:left="1588" w:header="829" w:footer="1097" w:gutter="0"/>
          <w:cols w:space="720" w:num="1"/>
        </w:sectPr>
      </w:pPr>
    </w:p>
    <w:p w14:paraId="0341E5B5">
      <w:pPr>
        <w:pStyle w:val="2"/>
        <w:spacing w:line="241" w:lineRule="auto"/>
      </w:pPr>
    </w:p>
    <w:p w14:paraId="35B94A26">
      <w:pPr>
        <w:spacing w:before="78" w:line="219" w:lineRule="auto"/>
        <w:ind w:left="5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2022</w:t>
      </w:r>
      <w:r>
        <w:rPr>
          <w:rFonts w:ascii="宋体" w:hAnsi="宋体" w:eastAsia="宋体" w:cs="宋体"/>
          <w:spacing w:val="-3"/>
          <w:sz w:val="24"/>
          <w:szCs w:val="24"/>
        </w:rPr>
        <w:t>年</w:t>
      </w:r>
      <w:r>
        <w:rPr>
          <w:rFonts w:ascii="Times New Roman" w:hAnsi="Times New Roman" w:eastAsia="Times New Roman" w:cs="Times New Roman"/>
          <w:spacing w:val="-3"/>
          <w:sz w:val="24"/>
          <w:szCs w:val="24"/>
        </w:rPr>
        <w:t>5</w:t>
      </w:r>
      <w:r>
        <w:rPr>
          <w:rFonts w:ascii="宋体" w:hAnsi="宋体" w:eastAsia="宋体" w:cs="宋体"/>
          <w:spacing w:val="-3"/>
          <w:sz w:val="24"/>
          <w:szCs w:val="24"/>
        </w:rPr>
        <w:t>月在线监测数据）。</w:t>
      </w:r>
    </w:p>
    <w:p w14:paraId="76C7D854">
      <w:pPr>
        <w:spacing w:before="180" w:line="359" w:lineRule="auto"/>
        <w:ind w:left="137" w:firstLine="480"/>
        <w:rPr>
          <w:rFonts w:ascii="宋体" w:hAnsi="宋体" w:eastAsia="宋体" w:cs="宋体"/>
          <w:sz w:val="24"/>
          <w:szCs w:val="24"/>
        </w:rPr>
      </w:pPr>
      <w:r>
        <w:rPr>
          <w:rFonts w:ascii="宋体" w:hAnsi="宋体" w:eastAsia="宋体" w:cs="宋体"/>
          <w:spacing w:val="-5"/>
          <w:sz w:val="24"/>
          <w:szCs w:val="24"/>
        </w:rPr>
        <w:t>服务范围：城东南工业主园区的寺山片区、</w:t>
      </w:r>
      <w:r>
        <w:rPr>
          <w:rFonts w:ascii="宋体" w:hAnsi="宋体" w:eastAsia="宋体" w:cs="宋体"/>
          <w:spacing w:val="-6"/>
          <w:sz w:val="24"/>
          <w:szCs w:val="24"/>
        </w:rPr>
        <w:t>集南片区和北山片区的工业废水；</w:t>
      </w:r>
      <w:r>
        <w:rPr>
          <w:rFonts w:ascii="宋体" w:hAnsi="宋体" w:eastAsia="宋体" w:cs="宋体"/>
          <w:spacing w:val="-1"/>
          <w:sz w:val="24"/>
          <w:szCs w:val="24"/>
        </w:rPr>
        <w:t>城东南小区生活污水。</w:t>
      </w:r>
    </w:p>
    <w:p w14:paraId="3FDE7D08">
      <w:pPr>
        <w:spacing w:before="4" w:line="357" w:lineRule="auto"/>
        <w:ind w:left="178" w:right="277" w:firstLine="485"/>
        <w:jc w:val="both"/>
        <w:rPr>
          <w:rFonts w:ascii="宋体" w:hAnsi="宋体" w:eastAsia="宋体" w:cs="宋体"/>
          <w:sz w:val="24"/>
          <w:szCs w:val="24"/>
        </w:rPr>
      </w:pPr>
      <w:r>
        <w:rPr>
          <w:rFonts w:ascii="宋体" w:hAnsi="宋体" w:eastAsia="宋体" w:cs="宋体"/>
          <w:spacing w:val="-6"/>
          <w:sz w:val="24"/>
          <w:szCs w:val="24"/>
        </w:rPr>
        <w:t>项目建设：</w:t>
      </w:r>
      <w:r>
        <w:rPr>
          <w:rFonts w:ascii="Times New Roman" w:hAnsi="Times New Roman" w:eastAsia="Times New Roman" w:cs="Times New Roman"/>
          <w:spacing w:val="-6"/>
          <w:sz w:val="24"/>
          <w:szCs w:val="24"/>
        </w:rPr>
        <w:t>2017</w:t>
      </w:r>
      <w:r>
        <w:rPr>
          <w:rFonts w:ascii="宋体" w:hAnsi="宋体" w:eastAsia="宋体" w:cs="宋体"/>
          <w:spacing w:val="-6"/>
          <w:sz w:val="24"/>
          <w:szCs w:val="24"/>
        </w:rPr>
        <w:t>年</w:t>
      </w:r>
      <w:r>
        <w:rPr>
          <w:rFonts w:ascii="Times New Roman" w:hAnsi="Times New Roman" w:eastAsia="Times New Roman" w:cs="Times New Roman"/>
          <w:spacing w:val="-6"/>
          <w:sz w:val="24"/>
          <w:szCs w:val="24"/>
        </w:rPr>
        <w:t>9</w:t>
      </w:r>
      <w:r>
        <w:rPr>
          <w:rFonts w:ascii="宋体" w:hAnsi="宋体" w:eastAsia="宋体" w:cs="宋体"/>
          <w:spacing w:val="-6"/>
          <w:sz w:val="24"/>
          <w:szCs w:val="24"/>
        </w:rPr>
        <w:t>月</w:t>
      </w:r>
      <w:r>
        <w:rPr>
          <w:rFonts w:ascii="Times New Roman" w:hAnsi="Times New Roman" w:eastAsia="Times New Roman" w:cs="Times New Roman"/>
          <w:spacing w:val="-6"/>
          <w:sz w:val="24"/>
          <w:szCs w:val="24"/>
        </w:rPr>
        <w:t>7</w:t>
      </w:r>
      <w:r>
        <w:rPr>
          <w:rFonts w:ascii="宋体" w:hAnsi="宋体" w:eastAsia="宋体" w:cs="宋体"/>
          <w:spacing w:val="-6"/>
          <w:sz w:val="24"/>
          <w:szCs w:val="24"/>
        </w:rPr>
        <w:t>日，邵阳市环境保护局对该项目环境影响报告书</w:t>
      </w:r>
      <w:r>
        <w:rPr>
          <w:rFonts w:ascii="宋体" w:hAnsi="宋体" w:eastAsia="宋体" w:cs="宋体"/>
          <w:spacing w:val="-5"/>
          <w:sz w:val="24"/>
          <w:szCs w:val="24"/>
        </w:rPr>
        <w:t>进行了批复（邵市环评</w:t>
      </w:r>
      <w:r>
        <w:rPr>
          <w:rFonts w:ascii="Times New Roman" w:hAnsi="Times New Roman" w:eastAsia="Times New Roman" w:cs="Times New Roman"/>
          <w:spacing w:val="-5"/>
          <w:sz w:val="24"/>
          <w:szCs w:val="24"/>
        </w:rPr>
        <w:t>[2017]45</w:t>
      </w:r>
      <w:r>
        <w:rPr>
          <w:rFonts w:ascii="宋体" w:hAnsi="宋体" w:eastAsia="宋体" w:cs="宋体"/>
          <w:spacing w:val="-5"/>
          <w:sz w:val="24"/>
          <w:szCs w:val="24"/>
        </w:rPr>
        <w:t>号）。工程</w:t>
      </w:r>
      <w:r>
        <w:rPr>
          <w:rFonts w:ascii="宋体" w:hAnsi="宋体" w:eastAsia="宋体" w:cs="宋体"/>
          <w:spacing w:val="-6"/>
          <w:sz w:val="24"/>
          <w:szCs w:val="24"/>
        </w:rPr>
        <w:t>于</w:t>
      </w:r>
      <w:r>
        <w:rPr>
          <w:rFonts w:ascii="Times New Roman" w:hAnsi="Times New Roman" w:eastAsia="Times New Roman" w:cs="Times New Roman"/>
          <w:spacing w:val="-6"/>
          <w:sz w:val="24"/>
          <w:szCs w:val="24"/>
        </w:rPr>
        <w:t>2018</w:t>
      </w:r>
      <w:r>
        <w:rPr>
          <w:rFonts w:ascii="宋体" w:hAnsi="宋体" w:eastAsia="宋体" w:cs="宋体"/>
          <w:spacing w:val="-6"/>
          <w:sz w:val="24"/>
          <w:szCs w:val="24"/>
        </w:rPr>
        <w:t>年</w:t>
      </w:r>
      <w:r>
        <w:rPr>
          <w:rFonts w:ascii="Times New Roman" w:hAnsi="Times New Roman" w:eastAsia="Times New Roman" w:cs="Times New Roman"/>
          <w:spacing w:val="-6"/>
          <w:sz w:val="24"/>
          <w:szCs w:val="24"/>
        </w:rPr>
        <w:t>4</w:t>
      </w:r>
      <w:r>
        <w:rPr>
          <w:rFonts w:ascii="宋体" w:hAnsi="宋体" w:eastAsia="宋体" w:cs="宋体"/>
          <w:spacing w:val="-6"/>
          <w:sz w:val="24"/>
          <w:szCs w:val="24"/>
        </w:rPr>
        <w:t>月开工，</w:t>
      </w:r>
      <w:r>
        <w:rPr>
          <w:rFonts w:ascii="Times New Roman" w:hAnsi="Times New Roman" w:eastAsia="Times New Roman" w:cs="Times New Roman"/>
          <w:spacing w:val="-6"/>
          <w:sz w:val="24"/>
          <w:szCs w:val="24"/>
        </w:rPr>
        <w:t>2019</w:t>
      </w:r>
      <w:r>
        <w:rPr>
          <w:rFonts w:ascii="宋体" w:hAnsi="宋体" w:eastAsia="宋体" w:cs="宋体"/>
          <w:spacing w:val="-6"/>
          <w:sz w:val="24"/>
          <w:szCs w:val="24"/>
        </w:rPr>
        <w:t>年</w:t>
      </w:r>
      <w:r>
        <w:rPr>
          <w:rFonts w:ascii="Times New Roman" w:hAnsi="Times New Roman" w:eastAsia="Times New Roman" w:cs="Times New Roman"/>
          <w:spacing w:val="-6"/>
          <w:sz w:val="24"/>
          <w:szCs w:val="24"/>
        </w:rPr>
        <w:t>6</w:t>
      </w:r>
      <w:r>
        <w:rPr>
          <w:rFonts w:ascii="宋体" w:hAnsi="宋体" w:eastAsia="宋体" w:cs="宋体"/>
          <w:spacing w:val="-6"/>
          <w:sz w:val="24"/>
          <w:szCs w:val="24"/>
        </w:rPr>
        <w:t>月进</w:t>
      </w:r>
      <w:r>
        <w:rPr>
          <w:rFonts w:ascii="宋体" w:hAnsi="宋体" w:eastAsia="宋体" w:cs="宋体"/>
          <w:spacing w:val="-4"/>
          <w:sz w:val="24"/>
          <w:szCs w:val="24"/>
        </w:rPr>
        <w:t>入调整运营阶段。</w:t>
      </w:r>
      <w:r>
        <w:rPr>
          <w:rFonts w:ascii="Times New Roman" w:hAnsi="Times New Roman" w:eastAsia="Times New Roman" w:cs="Times New Roman"/>
          <w:spacing w:val="-4"/>
          <w:sz w:val="24"/>
          <w:szCs w:val="24"/>
        </w:rPr>
        <w:t>2020</w:t>
      </w:r>
      <w:r>
        <w:rPr>
          <w:rFonts w:ascii="宋体" w:hAnsi="宋体" w:eastAsia="宋体" w:cs="宋体"/>
          <w:spacing w:val="-4"/>
          <w:sz w:val="24"/>
          <w:szCs w:val="24"/>
        </w:rPr>
        <w:t>年</w:t>
      </w:r>
      <w:r>
        <w:rPr>
          <w:rFonts w:ascii="Times New Roman" w:hAnsi="Times New Roman" w:eastAsia="Times New Roman" w:cs="Times New Roman"/>
          <w:spacing w:val="-4"/>
          <w:sz w:val="24"/>
          <w:szCs w:val="24"/>
        </w:rPr>
        <w:t>6</w:t>
      </w:r>
      <w:r>
        <w:rPr>
          <w:rFonts w:ascii="宋体" w:hAnsi="宋体" w:eastAsia="宋体" w:cs="宋体"/>
          <w:spacing w:val="-4"/>
          <w:sz w:val="24"/>
          <w:szCs w:val="24"/>
        </w:rPr>
        <w:t>月</w:t>
      </w:r>
      <w:r>
        <w:rPr>
          <w:rFonts w:ascii="Times New Roman" w:hAnsi="Times New Roman" w:eastAsia="Times New Roman" w:cs="Times New Roman"/>
          <w:spacing w:val="-4"/>
          <w:sz w:val="24"/>
          <w:szCs w:val="24"/>
        </w:rPr>
        <w:t>4</w:t>
      </w:r>
      <w:r>
        <w:rPr>
          <w:rFonts w:ascii="宋体" w:hAnsi="宋体" w:eastAsia="宋体" w:cs="宋体"/>
          <w:spacing w:val="-4"/>
          <w:sz w:val="24"/>
          <w:szCs w:val="24"/>
        </w:rPr>
        <w:t>日完成</w:t>
      </w:r>
      <w:r>
        <w:rPr>
          <w:rFonts w:ascii="宋体" w:hAnsi="宋体" w:eastAsia="宋体" w:cs="宋体"/>
          <w:spacing w:val="-5"/>
          <w:sz w:val="24"/>
          <w:szCs w:val="24"/>
        </w:rPr>
        <w:t>自主环保验收并备案（邵生环隆分自验</w:t>
      </w:r>
      <w:r>
        <w:rPr>
          <w:rFonts w:ascii="宋体" w:hAnsi="宋体" w:eastAsia="宋体" w:cs="宋体"/>
          <w:spacing w:val="-1"/>
          <w:sz w:val="24"/>
          <w:szCs w:val="24"/>
        </w:rPr>
        <w:t>备字</w:t>
      </w:r>
      <w:r>
        <w:rPr>
          <w:rFonts w:ascii="Times New Roman" w:hAnsi="Times New Roman" w:eastAsia="Times New Roman" w:cs="Times New Roman"/>
          <w:spacing w:val="-1"/>
          <w:sz w:val="24"/>
          <w:szCs w:val="24"/>
        </w:rPr>
        <w:t>[2020]22</w:t>
      </w:r>
      <w:r>
        <w:rPr>
          <w:rFonts w:ascii="宋体" w:hAnsi="宋体" w:eastAsia="宋体" w:cs="宋体"/>
          <w:spacing w:val="-1"/>
          <w:sz w:val="24"/>
          <w:szCs w:val="24"/>
        </w:rPr>
        <w:t>号）。</w:t>
      </w:r>
    </w:p>
    <w:p w14:paraId="178E00F2">
      <w:pPr>
        <w:spacing w:before="6" w:line="360" w:lineRule="auto"/>
        <w:ind w:left="40" w:right="56" w:firstLine="480"/>
        <w:jc w:val="both"/>
        <w:rPr>
          <w:rFonts w:ascii="宋体" w:hAnsi="宋体" w:eastAsia="宋体" w:cs="宋体"/>
          <w:sz w:val="24"/>
          <w:szCs w:val="24"/>
        </w:rPr>
      </w:pPr>
      <w:r>
        <w:rPr>
          <w:rFonts w:ascii="宋体" w:hAnsi="宋体" w:eastAsia="宋体" w:cs="宋体"/>
          <w:spacing w:val="3"/>
          <w:sz w:val="24"/>
          <w:szCs w:val="24"/>
        </w:rPr>
        <w:t>入河排污口基本情况：隆回县工业污水处理厂（一期）尾水达《城</w:t>
      </w:r>
      <w:r>
        <w:rPr>
          <w:rFonts w:ascii="宋体" w:hAnsi="宋体" w:eastAsia="宋体" w:cs="宋体"/>
          <w:spacing w:val="2"/>
          <w:sz w:val="24"/>
          <w:szCs w:val="24"/>
        </w:rPr>
        <w:t>镇污水处</w:t>
      </w:r>
      <w:r>
        <w:rPr>
          <w:rFonts w:ascii="宋体" w:hAnsi="宋体" w:eastAsia="宋体" w:cs="宋体"/>
          <w:spacing w:val="1"/>
          <w:sz w:val="24"/>
          <w:szCs w:val="24"/>
        </w:rPr>
        <w:t>理厂污染物排放标准》中一级标准</w:t>
      </w:r>
      <w:r>
        <w:rPr>
          <w:rFonts w:ascii="Times New Roman" w:hAnsi="Times New Roman" w:eastAsia="Times New Roman" w:cs="Times New Roman"/>
          <w:spacing w:val="1"/>
          <w:sz w:val="24"/>
          <w:szCs w:val="24"/>
        </w:rPr>
        <w:t>A</w:t>
      </w:r>
      <w:r>
        <w:rPr>
          <w:rFonts w:ascii="宋体" w:hAnsi="宋体" w:eastAsia="宋体" w:cs="宋体"/>
          <w:spacing w:val="1"/>
          <w:sz w:val="24"/>
          <w:szCs w:val="24"/>
        </w:rPr>
        <w:t>标准后，与县城生活污水处理厂尾水一起通</w:t>
      </w:r>
      <w:r>
        <w:rPr>
          <w:rFonts w:ascii="宋体" w:hAnsi="宋体" w:eastAsia="宋体" w:cs="宋体"/>
          <w:spacing w:val="-1"/>
          <w:sz w:val="24"/>
          <w:szCs w:val="24"/>
        </w:rPr>
        <w:t>过沿江北路敷设的排水管，排往赧水元木山电站</w:t>
      </w:r>
      <w:r>
        <w:rPr>
          <w:rFonts w:ascii="宋体" w:hAnsi="宋体" w:eastAsia="宋体" w:cs="宋体"/>
          <w:spacing w:val="-2"/>
          <w:sz w:val="24"/>
          <w:szCs w:val="24"/>
        </w:rPr>
        <w:t>下游约</w:t>
      </w:r>
      <w:r>
        <w:rPr>
          <w:rFonts w:ascii="Times New Roman" w:hAnsi="Times New Roman" w:eastAsia="Times New Roman" w:cs="Times New Roman"/>
          <w:spacing w:val="-2"/>
          <w:sz w:val="24"/>
          <w:szCs w:val="24"/>
        </w:rPr>
        <w:t>2.8m</w:t>
      </w:r>
      <w:r>
        <w:rPr>
          <w:rFonts w:ascii="宋体" w:hAnsi="宋体" w:eastAsia="宋体" w:cs="宋体"/>
          <w:spacing w:val="-2"/>
          <w:sz w:val="24"/>
          <w:szCs w:val="24"/>
        </w:rPr>
        <w:t>处。入河排污口设置在赧水左岸。</w:t>
      </w:r>
    </w:p>
    <w:p w14:paraId="64D4A38F">
      <w:pPr>
        <w:spacing w:before="2" w:line="219" w:lineRule="auto"/>
        <w:ind w:left="36"/>
        <w:outlineLvl w:val="2"/>
        <w:rPr>
          <w:rFonts w:ascii="宋体" w:hAnsi="宋体" w:eastAsia="宋体" w:cs="宋体"/>
          <w:sz w:val="28"/>
          <w:szCs w:val="28"/>
        </w:rPr>
      </w:pPr>
      <w:r>
        <w:rPr>
          <w:rFonts w:ascii="Times New Roman" w:hAnsi="Times New Roman" w:eastAsia="Times New Roman" w:cs="Times New Roman"/>
          <w:b/>
          <w:bCs/>
          <w:spacing w:val="-2"/>
          <w:sz w:val="28"/>
          <w:szCs w:val="28"/>
        </w:rPr>
        <w:t>3.2.2</w:t>
      </w:r>
      <w:r>
        <w:rPr>
          <w:rFonts w:ascii="宋体" w:hAnsi="宋体" w:eastAsia="宋体" w:cs="宋体"/>
          <w:b/>
          <w:bCs/>
          <w:spacing w:val="-2"/>
          <w:sz w:val="28"/>
          <w:szCs w:val="28"/>
        </w:rPr>
        <w:t>项目建设内容</w:t>
      </w:r>
    </w:p>
    <w:p w14:paraId="08CB2BA5">
      <w:pPr>
        <w:spacing w:before="207" w:line="359" w:lineRule="auto"/>
        <w:ind w:left="47" w:right="56" w:firstLine="476"/>
        <w:jc w:val="both"/>
        <w:rPr>
          <w:rFonts w:ascii="宋体" w:hAnsi="宋体" w:eastAsia="宋体" w:cs="宋体"/>
          <w:sz w:val="24"/>
          <w:szCs w:val="24"/>
        </w:rPr>
      </w:pPr>
      <w:r>
        <w:rPr>
          <w:rFonts w:ascii="宋体" w:hAnsi="宋体" w:eastAsia="宋体" w:cs="宋体"/>
          <w:spacing w:val="3"/>
          <w:sz w:val="24"/>
          <w:szCs w:val="24"/>
        </w:rPr>
        <w:t>污水处理厂（一期）工程位于隆回工业集中区沿江北路与寺山</w:t>
      </w:r>
      <w:r>
        <w:rPr>
          <w:rFonts w:ascii="宋体" w:hAnsi="宋体" w:eastAsia="宋体" w:cs="宋体"/>
          <w:spacing w:val="2"/>
          <w:sz w:val="24"/>
          <w:szCs w:val="24"/>
        </w:rPr>
        <w:t>三路交汇处，</w:t>
      </w:r>
      <w:r>
        <w:rPr>
          <w:rFonts w:ascii="宋体" w:hAnsi="宋体" w:eastAsia="宋体" w:cs="宋体"/>
          <w:spacing w:val="3"/>
          <w:sz w:val="24"/>
          <w:szCs w:val="24"/>
        </w:rPr>
        <w:t>西侧紧邻隆回县城污水处理厂。主要收纳城</w:t>
      </w:r>
      <w:r>
        <w:rPr>
          <w:rFonts w:ascii="宋体" w:hAnsi="宋体" w:eastAsia="宋体" w:cs="宋体"/>
          <w:spacing w:val="2"/>
          <w:sz w:val="24"/>
          <w:szCs w:val="24"/>
        </w:rPr>
        <w:t>东南工业主园区的寺山片区、集南片</w:t>
      </w:r>
      <w:r>
        <w:rPr>
          <w:rFonts w:ascii="宋体" w:hAnsi="宋体" w:eastAsia="宋体" w:cs="宋体"/>
          <w:spacing w:val="-1"/>
          <w:sz w:val="24"/>
          <w:szCs w:val="24"/>
        </w:rPr>
        <w:t>区和北山片区工业废水；城东小区生活污水。</w:t>
      </w:r>
    </w:p>
    <w:p w14:paraId="131DBED2">
      <w:pPr>
        <w:spacing w:before="6" w:line="358" w:lineRule="auto"/>
        <w:ind w:left="41" w:right="56" w:firstLine="481"/>
        <w:rPr>
          <w:rFonts w:ascii="宋体" w:hAnsi="宋体" w:eastAsia="宋体" w:cs="宋体"/>
          <w:sz w:val="24"/>
          <w:szCs w:val="24"/>
        </w:rPr>
      </w:pPr>
      <w:r>
        <w:rPr>
          <w:rFonts w:ascii="宋体" w:hAnsi="宋体" w:eastAsia="宋体" w:cs="宋体"/>
          <w:spacing w:val="-4"/>
          <w:sz w:val="24"/>
          <w:szCs w:val="24"/>
        </w:rPr>
        <w:t>污水厂规划处理规模为</w:t>
      </w:r>
      <w:r>
        <w:rPr>
          <w:rFonts w:ascii="Times New Roman" w:hAnsi="Times New Roman" w:eastAsia="Times New Roman" w:cs="Times New Roman"/>
          <w:spacing w:val="-4"/>
          <w:sz w:val="24"/>
          <w:szCs w:val="24"/>
        </w:rPr>
        <w:t>3.0</w:t>
      </w:r>
      <w:r>
        <w:rPr>
          <w:rFonts w:ascii="宋体" w:hAnsi="宋体" w:eastAsia="宋体" w:cs="宋体"/>
          <w:spacing w:val="-4"/>
          <w:sz w:val="24"/>
          <w:szCs w:val="24"/>
        </w:rPr>
        <w:t>万</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sz w:val="24"/>
          <w:szCs w:val="24"/>
        </w:rPr>
        <w:t>/d</w:t>
      </w:r>
      <w:r>
        <w:rPr>
          <w:rFonts w:ascii="宋体" w:hAnsi="宋体" w:eastAsia="宋体" w:cs="宋体"/>
          <w:spacing w:val="-4"/>
          <w:sz w:val="24"/>
          <w:szCs w:val="24"/>
        </w:rPr>
        <w:t>，一期工程处理规模为</w:t>
      </w:r>
      <w:r>
        <w:rPr>
          <w:rFonts w:ascii="Times New Roman" w:hAnsi="Times New Roman" w:eastAsia="Times New Roman" w:cs="Times New Roman"/>
          <w:spacing w:val="-4"/>
          <w:sz w:val="24"/>
          <w:szCs w:val="24"/>
        </w:rPr>
        <w:t>1.5</w:t>
      </w:r>
      <w:r>
        <w:rPr>
          <w:rFonts w:ascii="宋体" w:hAnsi="宋体" w:eastAsia="宋体" w:cs="宋体"/>
          <w:spacing w:val="-4"/>
          <w:sz w:val="24"/>
          <w:szCs w:val="24"/>
        </w:rPr>
        <w:t>万</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sz w:val="24"/>
          <w:szCs w:val="24"/>
        </w:rPr>
        <w:t>/d</w:t>
      </w:r>
      <w:r>
        <w:rPr>
          <w:rFonts w:ascii="宋体" w:hAnsi="宋体" w:eastAsia="宋体" w:cs="宋体"/>
          <w:spacing w:val="-4"/>
          <w:sz w:val="24"/>
          <w:szCs w:val="24"/>
        </w:rPr>
        <w:t>，工艺采</w:t>
      </w:r>
      <w:r>
        <w:rPr>
          <w:rFonts w:ascii="宋体" w:hAnsi="宋体" w:eastAsia="宋体" w:cs="宋体"/>
          <w:spacing w:val="-3"/>
          <w:sz w:val="24"/>
          <w:szCs w:val="24"/>
        </w:rPr>
        <w:t>用</w:t>
      </w:r>
      <w:r>
        <w:rPr>
          <w:rFonts w:ascii="Times New Roman" w:hAnsi="Times New Roman" w:eastAsia="Times New Roman" w:cs="Times New Roman"/>
          <w:spacing w:val="-3"/>
          <w:sz w:val="24"/>
          <w:szCs w:val="24"/>
        </w:rPr>
        <w:t>“</w:t>
      </w:r>
      <w:r>
        <w:rPr>
          <w:rFonts w:ascii="宋体" w:hAnsi="宋体" w:eastAsia="宋体" w:cs="宋体"/>
          <w:spacing w:val="-3"/>
          <w:sz w:val="24"/>
          <w:szCs w:val="24"/>
        </w:rPr>
        <w:t>曝气沉砂</w:t>
      </w:r>
      <w:r>
        <w:rPr>
          <w:rFonts w:ascii="Times New Roman" w:hAnsi="Times New Roman" w:eastAsia="Times New Roman" w:cs="Times New Roman"/>
          <w:spacing w:val="-3"/>
          <w:sz w:val="24"/>
          <w:szCs w:val="24"/>
        </w:rPr>
        <w:t>+</w:t>
      </w:r>
      <w:r>
        <w:rPr>
          <w:rFonts w:ascii="宋体" w:hAnsi="宋体" w:eastAsia="宋体" w:cs="宋体"/>
          <w:spacing w:val="-3"/>
          <w:sz w:val="24"/>
          <w:szCs w:val="24"/>
        </w:rPr>
        <w:t>水解酸化</w:t>
      </w:r>
      <w:r>
        <w:rPr>
          <w:rFonts w:ascii="Times New Roman" w:hAnsi="Times New Roman" w:eastAsia="Times New Roman" w:cs="Times New Roman"/>
          <w:spacing w:val="-3"/>
          <w:sz w:val="24"/>
          <w:szCs w:val="24"/>
        </w:rPr>
        <w:t>+A/A/O+</w:t>
      </w:r>
      <w:r>
        <w:rPr>
          <w:rFonts w:ascii="宋体" w:hAnsi="宋体" w:eastAsia="宋体" w:cs="宋体"/>
          <w:spacing w:val="-3"/>
          <w:sz w:val="24"/>
          <w:szCs w:val="24"/>
        </w:rPr>
        <w:t>气浮过滤</w:t>
      </w:r>
      <w:r>
        <w:rPr>
          <w:rFonts w:ascii="Times New Roman" w:hAnsi="Times New Roman" w:eastAsia="Times New Roman" w:cs="Times New Roman"/>
          <w:spacing w:val="-3"/>
          <w:sz w:val="24"/>
          <w:szCs w:val="24"/>
        </w:rPr>
        <w:t>+</w:t>
      </w:r>
      <w:r>
        <w:rPr>
          <w:rFonts w:ascii="宋体" w:hAnsi="宋体" w:eastAsia="宋体" w:cs="宋体"/>
          <w:spacing w:val="-3"/>
          <w:sz w:val="24"/>
          <w:szCs w:val="24"/>
        </w:rPr>
        <w:t>紫外消毒</w:t>
      </w:r>
      <w:r>
        <w:rPr>
          <w:rFonts w:ascii="Times New Roman" w:hAnsi="Times New Roman" w:eastAsia="Times New Roman" w:cs="Times New Roman"/>
          <w:spacing w:val="-3"/>
          <w:sz w:val="24"/>
          <w:szCs w:val="24"/>
        </w:rPr>
        <w:t>”</w:t>
      </w:r>
      <w:r>
        <w:rPr>
          <w:rFonts w:ascii="宋体" w:hAnsi="宋体" w:eastAsia="宋体" w:cs="宋体"/>
          <w:spacing w:val="-3"/>
          <w:sz w:val="24"/>
          <w:szCs w:val="24"/>
        </w:rPr>
        <w:t>的组合工艺处理工业废水，污</w:t>
      </w:r>
      <w:r>
        <w:rPr>
          <w:rFonts w:ascii="宋体" w:hAnsi="宋体" w:eastAsia="宋体" w:cs="宋体"/>
          <w:spacing w:val="3"/>
          <w:sz w:val="24"/>
          <w:szCs w:val="24"/>
        </w:rPr>
        <w:t>泥处理采用机械浓缩、机械脱水处理工艺，主要处理构</w:t>
      </w:r>
      <w:r>
        <w:rPr>
          <w:rFonts w:ascii="宋体" w:hAnsi="宋体" w:eastAsia="宋体" w:cs="宋体"/>
          <w:spacing w:val="2"/>
          <w:sz w:val="24"/>
          <w:szCs w:val="24"/>
        </w:rPr>
        <w:t>（建）筑物有粗格栅、细</w:t>
      </w:r>
      <w:r>
        <w:rPr>
          <w:rFonts w:ascii="宋体" w:hAnsi="宋体" w:eastAsia="宋体" w:cs="宋体"/>
          <w:sz w:val="24"/>
          <w:szCs w:val="24"/>
        </w:rPr>
        <w:t>格栅、沉砂池、调节池、水解酸化池、事故应急池、</w:t>
      </w:r>
      <w:r>
        <w:rPr>
          <w:rFonts w:ascii="Times New Roman" w:hAnsi="Times New Roman" w:eastAsia="Times New Roman" w:cs="Times New Roman"/>
          <w:sz w:val="24"/>
          <w:szCs w:val="24"/>
        </w:rPr>
        <w:t>AAO</w:t>
      </w:r>
      <w:r>
        <w:rPr>
          <w:rFonts w:ascii="宋体" w:hAnsi="宋体" w:eastAsia="宋体" w:cs="宋体"/>
          <w:sz w:val="24"/>
          <w:szCs w:val="24"/>
        </w:rPr>
        <w:t>生化反应池</w:t>
      </w:r>
      <w:r>
        <w:rPr>
          <w:rFonts w:ascii="宋体" w:hAnsi="宋体" w:eastAsia="宋体" w:cs="宋体"/>
          <w:spacing w:val="-1"/>
          <w:sz w:val="24"/>
          <w:szCs w:val="24"/>
        </w:rPr>
        <w:t>、二沉池、</w:t>
      </w:r>
      <w:r>
        <w:rPr>
          <w:rFonts w:ascii="宋体" w:hAnsi="宋体" w:eastAsia="宋体" w:cs="宋体"/>
          <w:spacing w:val="3"/>
          <w:sz w:val="24"/>
          <w:szCs w:val="24"/>
        </w:rPr>
        <w:t>气浮池、消毒池等；主要辅助建筑物有综合楼、配电室</w:t>
      </w:r>
      <w:r>
        <w:rPr>
          <w:rFonts w:ascii="宋体" w:hAnsi="宋体" w:eastAsia="宋体" w:cs="宋体"/>
          <w:spacing w:val="2"/>
          <w:sz w:val="24"/>
          <w:szCs w:val="24"/>
        </w:rPr>
        <w:t>、污泥压滤车间、在线监</w:t>
      </w:r>
      <w:r>
        <w:rPr>
          <w:rFonts w:ascii="宋体" w:hAnsi="宋体" w:eastAsia="宋体" w:cs="宋体"/>
          <w:spacing w:val="3"/>
          <w:sz w:val="24"/>
          <w:szCs w:val="24"/>
        </w:rPr>
        <w:t>测室、危废暂存间、门卫房等。尾水达《城镇污水处理</w:t>
      </w:r>
      <w:r>
        <w:rPr>
          <w:rFonts w:ascii="宋体" w:hAnsi="宋体" w:eastAsia="宋体" w:cs="宋体"/>
          <w:spacing w:val="2"/>
          <w:sz w:val="24"/>
          <w:szCs w:val="24"/>
        </w:rPr>
        <w:t>厂污染物排放标准》中一</w:t>
      </w:r>
      <w:r>
        <w:rPr>
          <w:rFonts w:ascii="宋体" w:hAnsi="宋体" w:eastAsia="宋体" w:cs="宋体"/>
          <w:spacing w:val="1"/>
          <w:sz w:val="24"/>
          <w:szCs w:val="24"/>
        </w:rPr>
        <w:t>级标准</w:t>
      </w:r>
      <w:r>
        <w:rPr>
          <w:rFonts w:ascii="Times New Roman" w:hAnsi="Times New Roman" w:eastAsia="Times New Roman" w:cs="Times New Roman"/>
          <w:spacing w:val="1"/>
          <w:sz w:val="24"/>
          <w:szCs w:val="24"/>
        </w:rPr>
        <w:t>A</w:t>
      </w:r>
      <w:r>
        <w:rPr>
          <w:rFonts w:ascii="宋体" w:hAnsi="宋体" w:eastAsia="宋体" w:cs="宋体"/>
          <w:spacing w:val="1"/>
          <w:sz w:val="24"/>
          <w:szCs w:val="24"/>
        </w:rPr>
        <w:t>标准后与县城生活污水处理厂尾水一起经沿江北路敷设的排水管，排往</w:t>
      </w:r>
      <w:r>
        <w:rPr>
          <w:rFonts w:ascii="宋体" w:hAnsi="宋体" w:eastAsia="宋体" w:cs="宋体"/>
          <w:spacing w:val="-1"/>
          <w:sz w:val="24"/>
          <w:szCs w:val="24"/>
        </w:rPr>
        <w:t>赧水元木山电站下游约</w:t>
      </w:r>
      <w:r>
        <w:rPr>
          <w:rFonts w:ascii="Times New Roman" w:hAnsi="Times New Roman" w:eastAsia="Times New Roman" w:cs="Times New Roman"/>
          <w:spacing w:val="-1"/>
          <w:sz w:val="24"/>
          <w:szCs w:val="24"/>
        </w:rPr>
        <w:t>2.8m</w:t>
      </w:r>
      <w:r>
        <w:rPr>
          <w:rFonts w:ascii="宋体" w:hAnsi="宋体" w:eastAsia="宋体" w:cs="宋体"/>
          <w:spacing w:val="-1"/>
          <w:sz w:val="24"/>
          <w:szCs w:val="24"/>
        </w:rPr>
        <w:t>处。</w:t>
      </w:r>
    </w:p>
    <w:p w14:paraId="3C119E9B">
      <w:pPr>
        <w:spacing w:before="1" w:line="227" w:lineRule="auto"/>
        <w:ind w:left="3176"/>
        <w:rPr>
          <w:rFonts w:ascii="宋体" w:hAnsi="宋体" w:eastAsia="宋体" w:cs="宋体"/>
          <w:sz w:val="20"/>
          <w:szCs w:val="20"/>
        </w:rPr>
      </w:pPr>
      <w:r>
        <w:rPr>
          <w:rFonts w:ascii="宋体" w:hAnsi="宋体" w:eastAsia="宋体" w:cs="宋体"/>
          <w:b/>
          <w:bCs/>
          <w:spacing w:val="6"/>
          <w:sz w:val="20"/>
          <w:szCs w:val="20"/>
        </w:rPr>
        <w:t>表</w:t>
      </w:r>
      <w:r>
        <w:rPr>
          <w:rFonts w:ascii="Times New Roman" w:hAnsi="Times New Roman" w:eastAsia="Times New Roman" w:cs="Times New Roman"/>
          <w:b/>
          <w:bCs/>
          <w:spacing w:val="6"/>
          <w:sz w:val="20"/>
          <w:szCs w:val="20"/>
        </w:rPr>
        <w:t>3.2-1</w:t>
      </w:r>
      <w:r>
        <w:rPr>
          <w:rFonts w:ascii="宋体" w:hAnsi="宋体" w:eastAsia="宋体" w:cs="宋体"/>
          <w:b/>
          <w:bCs/>
          <w:spacing w:val="6"/>
          <w:sz w:val="20"/>
          <w:szCs w:val="20"/>
        </w:rPr>
        <w:t>主要建设内容一览表</w:t>
      </w:r>
    </w:p>
    <w:p w14:paraId="362259BB">
      <w:pPr>
        <w:spacing w:line="131" w:lineRule="exact"/>
      </w:pPr>
    </w:p>
    <w:tbl>
      <w:tblPr>
        <w:tblStyle w:val="5"/>
        <w:tblW w:w="8538"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9"/>
        <w:gridCol w:w="996"/>
        <w:gridCol w:w="1656"/>
        <w:gridCol w:w="4887"/>
      </w:tblGrid>
      <w:tr w14:paraId="339BD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3651" w:type="dxa"/>
            <w:gridSpan w:val="3"/>
            <w:tcBorders>
              <w:top w:val="single" w:color="000000" w:sz="10" w:space="0"/>
              <w:left w:val="single" w:color="000000" w:sz="10" w:space="0"/>
            </w:tcBorders>
            <w:vAlign w:val="top"/>
          </w:tcPr>
          <w:p w14:paraId="5AA73F64">
            <w:pPr>
              <w:pStyle w:val="6"/>
              <w:spacing w:before="99" w:line="228" w:lineRule="auto"/>
              <w:ind w:left="1830"/>
            </w:pPr>
            <w:r>
              <w:rPr>
                <w:b/>
                <w:bCs/>
                <w:spacing w:val="3"/>
              </w:rPr>
              <w:t>项目</w:t>
            </w:r>
          </w:p>
        </w:tc>
        <w:tc>
          <w:tcPr>
            <w:tcW w:w="4887" w:type="dxa"/>
            <w:tcBorders>
              <w:top w:val="single" w:color="000000" w:sz="10" w:space="0"/>
              <w:right w:val="single" w:color="000000" w:sz="10" w:space="0"/>
            </w:tcBorders>
            <w:vAlign w:val="top"/>
          </w:tcPr>
          <w:p w14:paraId="08DBF593">
            <w:pPr>
              <w:pStyle w:val="6"/>
              <w:spacing w:before="98" w:line="228" w:lineRule="auto"/>
              <w:ind w:left="2549"/>
            </w:pPr>
            <w:r>
              <w:rPr>
                <w:b/>
                <w:bCs/>
                <w:spacing w:val="5"/>
              </w:rPr>
              <w:t>建设内容</w:t>
            </w:r>
          </w:p>
        </w:tc>
      </w:tr>
      <w:tr w14:paraId="0CABE5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trPr>
        <w:tc>
          <w:tcPr>
            <w:tcW w:w="999" w:type="dxa"/>
            <w:vMerge w:val="restart"/>
            <w:tcBorders>
              <w:left w:val="single" w:color="000000" w:sz="10" w:space="0"/>
              <w:bottom w:val="nil"/>
            </w:tcBorders>
            <w:vAlign w:val="top"/>
          </w:tcPr>
          <w:p w14:paraId="0DBA8FCB">
            <w:pPr>
              <w:spacing w:line="354" w:lineRule="auto"/>
              <w:rPr>
                <w:rFonts w:ascii="Arial"/>
                <w:sz w:val="21"/>
              </w:rPr>
            </w:pPr>
          </w:p>
          <w:p w14:paraId="24362CFA">
            <w:pPr>
              <w:spacing w:line="354" w:lineRule="auto"/>
              <w:rPr>
                <w:rFonts w:ascii="Arial"/>
                <w:sz w:val="21"/>
              </w:rPr>
            </w:pPr>
          </w:p>
          <w:p w14:paraId="633D542A">
            <w:pPr>
              <w:pStyle w:val="6"/>
              <w:spacing w:before="65" w:line="228" w:lineRule="auto"/>
              <w:ind w:left="99"/>
            </w:pPr>
            <w:r>
              <w:rPr>
                <w:spacing w:val="6"/>
              </w:rPr>
              <w:t>建设内</w:t>
            </w:r>
          </w:p>
          <w:p w14:paraId="73879D39">
            <w:pPr>
              <w:pStyle w:val="6"/>
              <w:spacing w:before="24" w:line="228" w:lineRule="auto"/>
              <w:ind w:left="308"/>
            </w:pPr>
            <w:r>
              <w:t>容</w:t>
            </w:r>
          </w:p>
        </w:tc>
        <w:tc>
          <w:tcPr>
            <w:tcW w:w="996" w:type="dxa"/>
            <w:vMerge w:val="restart"/>
            <w:tcBorders>
              <w:bottom w:val="nil"/>
            </w:tcBorders>
            <w:vAlign w:val="top"/>
          </w:tcPr>
          <w:p w14:paraId="004A9288">
            <w:pPr>
              <w:spacing w:line="354" w:lineRule="auto"/>
              <w:rPr>
                <w:rFonts w:ascii="Arial"/>
                <w:sz w:val="21"/>
              </w:rPr>
            </w:pPr>
          </w:p>
          <w:p w14:paraId="3E859432">
            <w:pPr>
              <w:spacing w:line="354" w:lineRule="auto"/>
              <w:rPr>
                <w:rFonts w:ascii="Arial"/>
                <w:sz w:val="21"/>
              </w:rPr>
            </w:pPr>
          </w:p>
          <w:p w14:paraId="6461CFD4">
            <w:pPr>
              <w:pStyle w:val="6"/>
              <w:spacing w:before="65" w:line="252" w:lineRule="auto"/>
              <w:ind w:left="301" w:right="273" w:hanging="208"/>
            </w:pPr>
            <w:r>
              <w:rPr>
                <w:spacing w:val="6"/>
              </w:rPr>
              <w:t>主体工</w:t>
            </w:r>
            <w:r>
              <w:rPr>
                <w:spacing w:val="1"/>
              </w:rPr>
              <w:t>程</w:t>
            </w:r>
          </w:p>
        </w:tc>
        <w:tc>
          <w:tcPr>
            <w:tcW w:w="1656" w:type="dxa"/>
            <w:vAlign w:val="top"/>
          </w:tcPr>
          <w:p w14:paraId="297938F7">
            <w:pPr>
              <w:pStyle w:val="6"/>
              <w:spacing w:before="137" w:line="230" w:lineRule="auto"/>
              <w:ind w:left="450" w:right="155" w:hanging="421"/>
            </w:pPr>
            <w:r>
              <w:rPr>
                <w:spacing w:val="8"/>
              </w:rPr>
              <w:t>粗格栅及污水提</w:t>
            </w:r>
            <w:r>
              <w:rPr>
                <w:spacing w:val="6"/>
              </w:rPr>
              <w:t>升泵房</w:t>
            </w:r>
          </w:p>
        </w:tc>
        <w:tc>
          <w:tcPr>
            <w:tcW w:w="4887" w:type="dxa"/>
            <w:tcBorders>
              <w:right w:val="single" w:color="000000" w:sz="10" w:space="0"/>
            </w:tcBorders>
            <w:vAlign w:val="top"/>
          </w:tcPr>
          <w:p w14:paraId="1E0C920C">
            <w:pPr>
              <w:pStyle w:val="6"/>
              <w:spacing w:before="44" w:line="281" w:lineRule="exact"/>
              <w:ind w:right="5"/>
              <w:jc w:val="right"/>
            </w:pPr>
            <w:r>
              <w:rPr>
                <w:spacing w:val="-2"/>
                <w:position w:val="2"/>
              </w:rPr>
              <w:t>占地面积</w:t>
            </w:r>
            <w:r>
              <w:rPr>
                <w:rFonts w:ascii="Times New Roman" w:hAnsi="Times New Roman" w:eastAsia="Times New Roman" w:cs="Times New Roman"/>
                <w:spacing w:val="-2"/>
                <w:position w:val="2"/>
              </w:rPr>
              <w:t>78.4m</w:t>
            </w:r>
            <w:r>
              <w:rPr>
                <w:rFonts w:ascii="Times New Roman" w:hAnsi="Times New Roman" w:eastAsia="Times New Roman" w:cs="Times New Roman"/>
                <w:spacing w:val="-2"/>
                <w:position w:val="8"/>
                <w:sz w:val="13"/>
                <w:szCs w:val="13"/>
              </w:rPr>
              <w:t>2</w:t>
            </w:r>
            <w:r>
              <w:rPr>
                <w:spacing w:val="-2"/>
                <w:position w:val="2"/>
              </w:rPr>
              <w:t>，</w:t>
            </w:r>
            <w:r>
              <w:rPr>
                <w:rFonts w:ascii="Times New Roman" w:hAnsi="Times New Roman" w:eastAsia="Times New Roman" w:cs="Times New Roman"/>
                <w:spacing w:val="-2"/>
                <w:position w:val="2"/>
              </w:rPr>
              <w:t>1</w:t>
            </w:r>
            <w:r>
              <w:rPr>
                <w:spacing w:val="-2"/>
                <w:position w:val="2"/>
              </w:rPr>
              <w:t>座，设计流量</w:t>
            </w:r>
            <w:r>
              <w:rPr>
                <w:rFonts w:ascii="Times New Roman" w:hAnsi="Times New Roman" w:eastAsia="Times New Roman" w:cs="Times New Roman"/>
                <w:spacing w:val="-2"/>
                <w:position w:val="2"/>
              </w:rPr>
              <w:t>Qmax=0.517m</w:t>
            </w:r>
            <w:r>
              <w:rPr>
                <w:rFonts w:ascii="Times New Roman" w:hAnsi="Times New Roman" w:eastAsia="Times New Roman" w:cs="Times New Roman"/>
                <w:spacing w:val="-2"/>
                <w:position w:val="8"/>
                <w:sz w:val="13"/>
                <w:szCs w:val="13"/>
              </w:rPr>
              <w:t>3</w:t>
            </w:r>
            <w:r>
              <w:rPr>
                <w:rFonts w:ascii="Times New Roman" w:hAnsi="Times New Roman" w:eastAsia="Times New Roman" w:cs="Times New Roman"/>
                <w:spacing w:val="-2"/>
                <w:position w:val="2"/>
              </w:rPr>
              <w:t>/s</w:t>
            </w:r>
            <w:r>
              <w:rPr>
                <w:spacing w:val="-2"/>
                <w:position w:val="2"/>
              </w:rPr>
              <w:t>，粗</w:t>
            </w:r>
          </w:p>
          <w:p w14:paraId="413D35A1">
            <w:pPr>
              <w:pStyle w:val="6"/>
              <w:spacing w:before="32" w:line="228" w:lineRule="auto"/>
              <w:ind w:left="1915"/>
            </w:pPr>
            <w:r>
              <w:rPr>
                <w:spacing w:val="4"/>
              </w:rPr>
              <w:t>格栅为</w:t>
            </w:r>
            <w:r>
              <w:rPr>
                <w:rFonts w:ascii="Times New Roman" w:hAnsi="Times New Roman" w:eastAsia="Times New Roman" w:cs="Times New Roman"/>
                <w:spacing w:val="4"/>
              </w:rPr>
              <w:t>2</w:t>
            </w:r>
            <w:r>
              <w:rPr>
                <w:spacing w:val="4"/>
              </w:rPr>
              <w:t>条</w:t>
            </w:r>
          </w:p>
        </w:tc>
      </w:tr>
      <w:tr w14:paraId="55CE2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999" w:type="dxa"/>
            <w:vMerge w:val="continue"/>
            <w:tcBorders>
              <w:top w:val="nil"/>
              <w:left w:val="single" w:color="000000" w:sz="10" w:space="0"/>
              <w:bottom w:val="nil"/>
            </w:tcBorders>
            <w:vAlign w:val="top"/>
          </w:tcPr>
          <w:p w14:paraId="77CADFB7">
            <w:pPr>
              <w:rPr>
                <w:rFonts w:ascii="Arial"/>
                <w:sz w:val="21"/>
              </w:rPr>
            </w:pPr>
          </w:p>
        </w:tc>
        <w:tc>
          <w:tcPr>
            <w:tcW w:w="996" w:type="dxa"/>
            <w:vMerge w:val="continue"/>
            <w:tcBorders>
              <w:top w:val="nil"/>
              <w:bottom w:val="nil"/>
            </w:tcBorders>
            <w:vAlign w:val="top"/>
          </w:tcPr>
          <w:p w14:paraId="39741C8B">
            <w:pPr>
              <w:rPr>
                <w:rFonts w:ascii="Arial"/>
                <w:sz w:val="21"/>
              </w:rPr>
            </w:pPr>
          </w:p>
        </w:tc>
        <w:tc>
          <w:tcPr>
            <w:tcW w:w="1656" w:type="dxa"/>
            <w:vAlign w:val="top"/>
          </w:tcPr>
          <w:p w14:paraId="27F39053">
            <w:pPr>
              <w:pStyle w:val="6"/>
              <w:spacing w:before="42" w:line="229" w:lineRule="auto"/>
              <w:ind w:left="553" w:right="155" w:hanging="523"/>
            </w:pPr>
            <w:r>
              <w:rPr>
                <w:spacing w:val="8"/>
              </w:rPr>
              <w:t>细格栅及曝气沉</w:t>
            </w:r>
            <w:r>
              <w:rPr>
                <w:spacing w:val="5"/>
              </w:rPr>
              <w:t>砂池</w:t>
            </w:r>
          </w:p>
        </w:tc>
        <w:tc>
          <w:tcPr>
            <w:tcW w:w="4887" w:type="dxa"/>
            <w:tcBorders>
              <w:right w:val="single" w:color="000000" w:sz="10" w:space="0"/>
            </w:tcBorders>
            <w:vAlign w:val="top"/>
          </w:tcPr>
          <w:p w14:paraId="76202154">
            <w:pPr>
              <w:pStyle w:val="6"/>
              <w:spacing w:before="3" w:line="247" w:lineRule="auto"/>
              <w:ind w:left="10" w:firstLine="70"/>
              <w:rPr>
                <w:rFonts w:ascii="Times New Roman" w:hAnsi="Times New Roman" w:eastAsia="Times New Roman" w:cs="Times New Roman"/>
                <w:sz w:val="13"/>
                <w:szCs w:val="13"/>
              </w:rPr>
            </w:pPr>
            <w:r>
              <w:t>占地面积</w:t>
            </w:r>
            <w:r>
              <w:rPr>
                <w:rFonts w:ascii="Times New Roman" w:hAnsi="Times New Roman" w:eastAsia="Times New Roman" w:cs="Times New Roman"/>
              </w:rPr>
              <w:t>61.87m</w:t>
            </w:r>
            <w:r>
              <w:rPr>
                <w:rFonts w:ascii="Times New Roman" w:hAnsi="Times New Roman" w:eastAsia="Times New Roman" w:cs="Times New Roman"/>
                <w:position w:val="6"/>
                <w:sz w:val="13"/>
                <w:szCs w:val="13"/>
              </w:rPr>
              <w:t>2</w:t>
            </w:r>
            <w:r>
              <w:t>，</w:t>
            </w:r>
            <w:r>
              <w:rPr>
                <w:rFonts w:ascii="Times New Roman" w:hAnsi="Times New Roman" w:eastAsia="Times New Roman" w:cs="Times New Roman"/>
              </w:rPr>
              <w:t>1</w:t>
            </w:r>
            <w:r>
              <w:t>座，设计流量</w:t>
            </w:r>
            <w:r>
              <w:rPr>
                <w:rFonts w:ascii="Times New Roman" w:hAnsi="Times New Roman" w:eastAsia="Times New Roman" w:cs="Times New Roman"/>
              </w:rPr>
              <w:t>Qmax=0.517m</w:t>
            </w:r>
            <w:r>
              <w:rPr>
                <w:rFonts w:ascii="Times New Roman" w:hAnsi="Times New Roman" w:eastAsia="Times New Roman" w:cs="Times New Roman"/>
                <w:position w:val="6"/>
                <w:sz w:val="13"/>
                <w:szCs w:val="13"/>
              </w:rPr>
              <w:t>3</w:t>
            </w:r>
            <w:r>
              <w:rPr>
                <w:rFonts w:ascii="Times New Roman" w:hAnsi="Times New Roman" w:eastAsia="Times New Roman" w:cs="Times New Roman"/>
              </w:rPr>
              <w:t>/s</w:t>
            </w:r>
            <w:r>
              <w:t>，</w:t>
            </w:r>
            <w:r>
              <w:rPr>
                <w:spacing w:val="-1"/>
              </w:rPr>
              <w:t>细格栅为</w:t>
            </w:r>
            <w:r>
              <w:rPr>
                <w:rFonts w:ascii="Times New Roman" w:hAnsi="Times New Roman" w:eastAsia="Times New Roman" w:cs="Times New Roman"/>
                <w:spacing w:val="-1"/>
              </w:rPr>
              <w:t>2</w:t>
            </w:r>
            <w:r>
              <w:rPr>
                <w:spacing w:val="-1"/>
              </w:rPr>
              <w:t>条，沉砂池为</w:t>
            </w:r>
            <w:r>
              <w:rPr>
                <w:rFonts w:ascii="Times New Roman" w:hAnsi="Times New Roman" w:eastAsia="Times New Roman" w:cs="Times New Roman"/>
                <w:spacing w:val="-1"/>
              </w:rPr>
              <w:t>3</w:t>
            </w:r>
            <w:r>
              <w:rPr>
                <w:spacing w:val="-1"/>
              </w:rPr>
              <w:t>格，单格有效容积</w:t>
            </w:r>
            <w:r>
              <w:rPr>
                <w:rFonts w:ascii="Times New Roman" w:hAnsi="Times New Roman" w:eastAsia="Times New Roman" w:cs="Times New Roman"/>
                <w:spacing w:val="-1"/>
              </w:rPr>
              <w:t>1.22.8m</w:t>
            </w:r>
            <w:r>
              <w:rPr>
                <w:rFonts w:ascii="Times New Roman" w:hAnsi="Times New Roman" w:eastAsia="Times New Roman" w:cs="Times New Roman"/>
                <w:spacing w:val="-1"/>
                <w:position w:val="6"/>
                <w:sz w:val="13"/>
                <w:szCs w:val="13"/>
              </w:rPr>
              <w:t>3</w:t>
            </w:r>
          </w:p>
        </w:tc>
      </w:tr>
      <w:tr w14:paraId="394C58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999" w:type="dxa"/>
            <w:vMerge w:val="continue"/>
            <w:tcBorders>
              <w:top w:val="nil"/>
              <w:left w:val="single" w:color="000000" w:sz="10" w:space="0"/>
              <w:bottom w:val="nil"/>
            </w:tcBorders>
            <w:vAlign w:val="top"/>
          </w:tcPr>
          <w:p w14:paraId="354DAF0E">
            <w:pPr>
              <w:rPr>
                <w:rFonts w:ascii="Arial"/>
                <w:sz w:val="21"/>
              </w:rPr>
            </w:pPr>
          </w:p>
        </w:tc>
        <w:tc>
          <w:tcPr>
            <w:tcW w:w="996" w:type="dxa"/>
            <w:vMerge w:val="continue"/>
            <w:tcBorders>
              <w:top w:val="nil"/>
              <w:bottom w:val="nil"/>
            </w:tcBorders>
            <w:vAlign w:val="top"/>
          </w:tcPr>
          <w:p w14:paraId="48A0E018">
            <w:pPr>
              <w:rPr>
                <w:rFonts w:ascii="Arial"/>
                <w:sz w:val="21"/>
              </w:rPr>
            </w:pPr>
          </w:p>
        </w:tc>
        <w:tc>
          <w:tcPr>
            <w:tcW w:w="1656" w:type="dxa"/>
            <w:vAlign w:val="top"/>
          </w:tcPr>
          <w:p w14:paraId="54C80F73">
            <w:pPr>
              <w:pStyle w:val="6"/>
              <w:spacing w:before="108" w:line="228" w:lineRule="auto"/>
              <w:ind w:left="513"/>
            </w:pPr>
            <w:r>
              <w:rPr>
                <w:spacing w:val="6"/>
              </w:rPr>
              <w:t>调节池</w:t>
            </w:r>
          </w:p>
        </w:tc>
        <w:tc>
          <w:tcPr>
            <w:tcW w:w="4887" w:type="dxa"/>
            <w:tcBorders>
              <w:right w:val="single" w:color="000000" w:sz="10" w:space="0"/>
            </w:tcBorders>
            <w:vAlign w:val="top"/>
          </w:tcPr>
          <w:p w14:paraId="464A8873">
            <w:pPr>
              <w:pStyle w:val="6"/>
              <w:spacing w:before="108" w:line="228" w:lineRule="auto"/>
              <w:ind w:left="1419"/>
            </w:pPr>
            <w:r>
              <w:rPr>
                <w:spacing w:val="-1"/>
              </w:rPr>
              <w:t>占地面积</w:t>
            </w:r>
            <w:r>
              <w:rPr>
                <w:rFonts w:ascii="Times New Roman" w:hAnsi="Times New Roman" w:eastAsia="Times New Roman" w:cs="Times New Roman"/>
                <w:spacing w:val="-1"/>
              </w:rPr>
              <w:t>1250m</w:t>
            </w:r>
            <w:r>
              <w:rPr>
                <w:rFonts w:ascii="Times New Roman" w:hAnsi="Times New Roman" w:eastAsia="Times New Roman" w:cs="Times New Roman"/>
                <w:spacing w:val="-1"/>
                <w:position w:val="6"/>
                <w:sz w:val="13"/>
                <w:szCs w:val="13"/>
              </w:rPr>
              <w:t>2</w:t>
            </w:r>
            <w:r>
              <w:rPr>
                <w:spacing w:val="-1"/>
              </w:rPr>
              <w:t>，</w:t>
            </w:r>
            <w:r>
              <w:rPr>
                <w:rFonts w:ascii="Times New Roman" w:hAnsi="Times New Roman" w:eastAsia="Times New Roman" w:cs="Times New Roman"/>
                <w:spacing w:val="-1"/>
              </w:rPr>
              <w:t>1</w:t>
            </w:r>
            <w:r>
              <w:rPr>
                <w:spacing w:val="-1"/>
              </w:rPr>
              <w:t>座</w:t>
            </w:r>
          </w:p>
        </w:tc>
      </w:tr>
      <w:tr w14:paraId="5159D1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99" w:type="dxa"/>
            <w:vMerge w:val="continue"/>
            <w:tcBorders>
              <w:top w:val="nil"/>
              <w:left w:val="single" w:color="000000" w:sz="10" w:space="0"/>
              <w:bottom w:val="single" w:color="000000" w:sz="10" w:space="0"/>
            </w:tcBorders>
            <w:vAlign w:val="top"/>
          </w:tcPr>
          <w:p w14:paraId="73874016">
            <w:pPr>
              <w:rPr>
                <w:rFonts w:ascii="Arial"/>
                <w:sz w:val="21"/>
              </w:rPr>
            </w:pPr>
          </w:p>
        </w:tc>
        <w:tc>
          <w:tcPr>
            <w:tcW w:w="996" w:type="dxa"/>
            <w:vMerge w:val="continue"/>
            <w:tcBorders>
              <w:top w:val="nil"/>
              <w:bottom w:val="single" w:color="000000" w:sz="10" w:space="0"/>
            </w:tcBorders>
            <w:vAlign w:val="top"/>
          </w:tcPr>
          <w:p w14:paraId="3A85A040">
            <w:pPr>
              <w:rPr>
                <w:rFonts w:ascii="Arial"/>
                <w:sz w:val="21"/>
              </w:rPr>
            </w:pPr>
          </w:p>
        </w:tc>
        <w:tc>
          <w:tcPr>
            <w:tcW w:w="1656" w:type="dxa"/>
            <w:tcBorders>
              <w:bottom w:val="single" w:color="000000" w:sz="10" w:space="0"/>
            </w:tcBorders>
            <w:vAlign w:val="top"/>
          </w:tcPr>
          <w:p w14:paraId="3AEF0539">
            <w:pPr>
              <w:pStyle w:val="6"/>
              <w:spacing w:before="109" w:line="228" w:lineRule="auto"/>
              <w:ind w:left="305"/>
            </w:pPr>
            <w:r>
              <w:rPr>
                <w:spacing w:val="7"/>
              </w:rPr>
              <w:t>水解酸化池</w:t>
            </w:r>
          </w:p>
        </w:tc>
        <w:tc>
          <w:tcPr>
            <w:tcW w:w="4887" w:type="dxa"/>
            <w:tcBorders>
              <w:bottom w:val="single" w:color="000000" w:sz="10" w:space="0"/>
              <w:right w:val="single" w:color="000000" w:sz="10" w:space="0"/>
            </w:tcBorders>
            <w:vAlign w:val="top"/>
          </w:tcPr>
          <w:p w14:paraId="2A9A3227">
            <w:pPr>
              <w:pStyle w:val="6"/>
              <w:spacing w:before="161" w:line="227" w:lineRule="auto"/>
              <w:ind w:left="1419"/>
            </w:pPr>
            <w:r>
              <w:rPr>
                <w:spacing w:val="-1"/>
              </w:rPr>
              <w:t>占地面积</w:t>
            </w:r>
            <w:r>
              <w:rPr>
                <w:rFonts w:ascii="Times New Roman" w:hAnsi="Times New Roman" w:eastAsia="Times New Roman" w:cs="Times New Roman"/>
                <w:spacing w:val="-1"/>
              </w:rPr>
              <w:t>1250m</w:t>
            </w:r>
            <w:r>
              <w:rPr>
                <w:rFonts w:ascii="Times New Roman" w:hAnsi="Times New Roman" w:eastAsia="Times New Roman" w:cs="Times New Roman"/>
                <w:spacing w:val="-1"/>
                <w:position w:val="6"/>
                <w:sz w:val="13"/>
                <w:szCs w:val="13"/>
              </w:rPr>
              <w:t>2</w:t>
            </w:r>
            <w:r>
              <w:rPr>
                <w:spacing w:val="-1"/>
              </w:rPr>
              <w:t>，</w:t>
            </w:r>
            <w:r>
              <w:rPr>
                <w:rFonts w:ascii="Times New Roman" w:hAnsi="Times New Roman" w:eastAsia="Times New Roman" w:cs="Times New Roman"/>
                <w:spacing w:val="-1"/>
              </w:rPr>
              <w:t>1</w:t>
            </w:r>
            <w:r>
              <w:rPr>
                <w:spacing w:val="-1"/>
              </w:rPr>
              <w:t>座</w:t>
            </w:r>
          </w:p>
        </w:tc>
      </w:tr>
    </w:tbl>
    <w:p w14:paraId="18F141CD">
      <w:pPr>
        <w:pStyle w:val="2"/>
      </w:pPr>
    </w:p>
    <w:p w14:paraId="600460B8">
      <w:pPr>
        <w:sectPr>
          <w:headerReference r:id="rId29" w:type="default"/>
          <w:footerReference r:id="rId30" w:type="default"/>
          <w:pgSz w:w="11907" w:h="16840"/>
          <w:pgMar w:top="1132" w:right="1643" w:bottom="1259" w:left="1669" w:header="829" w:footer="1097" w:gutter="0"/>
          <w:cols w:space="720" w:num="1"/>
        </w:sectPr>
      </w:pPr>
    </w:p>
    <w:p w14:paraId="7E6A7FA0">
      <w:pPr>
        <w:spacing w:before="42"/>
      </w:pPr>
    </w:p>
    <w:tbl>
      <w:tblPr>
        <w:tblStyle w:val="5"/>
        <w:tblW w:w="8538"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9"/>
        <w:gridCol w:w="996"/>
        <w:gridCol w:w="1656"/>
        <w:gridCol w:w="4887"/>
      </w:tblGrid>
      <w:tr w14:paraId="2D92B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3651" w:type="dxa"/>
            <w:gridSpan w:val="3"/>
            <w:tcBorders>
              <w:top w:val="single" w:color="000000" w:sz="10" w:space="0"/>
              <w:left w:val="single" w:color="000000" w:sz="10" w:space="0"/>
            </w:tcBorders>
            <w:vAlign w:val="top"/>
          </w:tcPr>
          <w:p w14:paraId="3889A73E">
            <w:pPr>
              <w:pStyle w:val="6"/>
              <w:spacing w:before="98" w:line="228" w:lineRule="auto"/>
              <w:ind w:left="1830"/>
            </w:pPr>
            <w:r>
              <w:rPr>
                <w:b/>
                <w:bCs/>
                <w:spacing w:val="3"/>
              </w:rPr>
              <w:t>项目</w:t>
            </w:r>
          </w:p>
        </w:tc>
        <w:tc>
          <w:tcPr>
            <w:tcW w:w="4887" w:type="dxa"/>
            <w:tcBorders>
              <w:top w:val="single" w:color="000000" w:sz="10" w:space="0"/>
              <w:right w:val="single" w:color="000000" w:sz="10" w:space="0"/>
            </w:tcBorders>
            <w:vAlign w:val="top"/>
          </w:tcPr>
          <w:p w14:paraId="20DA8B7E">
            <w:pPr>
              <w:pStyle w:val="6"/>
              <w:spacing w:before="97" w:line="228" w:lineRule="auto"/>
              <w:ind w:left="2549"/>
            </w:pPr>
            <w:r>
              <w:rPr>
                <w:b/>
                <w:bCs/>
                <w:spacing w:val="5"/>
              </w:rPr>
              <w:t>建设内容</w:t>
            </w:r>
          </w:p>
        </w:tc>
      </w:tr>
      <w:tr w14:paraId="680856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999" w:type="dxa"/>
            <w:vMerge w:val="restart"/>
            <w:tcBorders>
              <w:left w:val="single" w:color="000000" w:sz="10" w:space="0"/>
              <w:bottom w:val="nil"/>
            </w:tcBorders>
            <w:vAlign w:val="top"/>
          </w:tcPr>
          <w:p w14:paraId="6AD94381">
            <w:pPr>
              <w:rPr>
                <w:rFonts w:ascii="Arial"/>
                <w:sz w:val="21"/>
              </w:rPr>
            </w:pPr>
          </w:p>
        </w:tc>
        <w:tc>
          <w:tcPr>
            <w:tcW w:w="996" w:type="dxa"/>
            <w:vMerge w:val="restart"/>
            <w:tcBorders>
              <w:bottom w:val="nil"/>
            </w:tcBorders>
            <w:vAlign w:val="top"/>
          </w:tcPr>
          <w:p w14:paraId="4D42AFBC">
            <w:pPr>
              <w:rPr>
                <w:rFonts w:ascii="Arial"/>
                <w:sz w:val="21"/>
              </w:rPr>
            </w:pPr>
          </w:p>
        </w:tc>
        <w:tc>
          <w:tcPr>
            <w:tcW w:w="1656" w:type="dxa"/>
            <w:vAlign w:val="top"/>
          </w:tcPr>
          <w:p w14:paraId="03490422">
            <w:pPr>
              <w:pStyle w:val="6"/>
              <w:spacing w:before="231" w:line="229" w:lineRule="auto"/>
              <w:ind w:left="253"/>
            </w:pPr>
            <w:r>
              <w:rPr>
                <w:rFonts w:ascii="Times New Roman" w:hAnsi="Times New Roman" w:eastAsia="Times New Roman" w:cs="Times New Roman"/>
              </w:rPr>
              <w:t>AAO</w:t>
            </w:r>
            <w:r>
              <w:rPr>
                <w:spacing w:val="12"/>
              </w:rPr>
              <w:t>生化池</w:t>
            </w:r>
          </w:p>
        </w:tc>
        <w:tc>
          <w:tcPr>
            <w:tcW w:w="4887" w:type="dxa"/>
            <w:tcBorders>
              <w:right w:val="single" w:color="000000" w:sz="10" w:space="0"/>
            </w:tcBorders>
            <w:vAlign w:val="top"/>
          </w:tcPr>
          <w:p w14:paraId="7FF562CD">
            <w:pPr>
              <w:pStyle w:val="6"/>
              <w:spacing w:before="119" w:line="281" w:lineRule="exact"/>
              <w:ind w:right="1"/>
              <w:jc w:val="right"/>
            </w:pPr>
            <w:r>
              <w:rPr>
                <w:spacing w:val="-4"/>
                <w:position w:val="2"/>
              </w:rPr>
              <w:t>占地面积</w:t>
            </w:r>
            <w:r>
              <w:rPr>
                <w:rFonts w:ascii="Times New Roman" w:hAnsi="Times New Roman" w:eastAsia="Times New Roman" w:cs="Times New Roman"/>
                <w:spacing w:val="-4"/>
                <w:position w:val="2"/>
              </w:rPr>
              <w:t>2580m</w:t>
            </w:r>
            <w:r>
              <w:rPr>
                <w:rFonts w:ascii="Times New Roman" w:hAnsi="Times New Roman" w:eastAsia="Times New Roman" w:cs="Times New Roman"/>
                <w:spacing w:val="-4"/>
                <w:position w:val="8"/>
                <w:sz w:val="13"/>
                <w:szCs w:val="13"/>
              </w:rPr>
              <w:t>2</w:t>
            </w:r>
            <w:r>
              <w:rPr>
                <w:spacing w:val="-4"/>
                <w:position w:val="2"/>
              </w:rPr>
              <w:t>共3</w:t>
            </w:r>
            <w:r>
              <w:rPr>
                <w:spacing w:val="-4"/>
                <w:position w:val="2"/>
                <w:sz w:val="10"/>
                <w:szCs w:val="10"/>
              </w:rPr>
              <w:t>，</w:t>
            </w:r>
            <w:r>
              <w:rPr>
                <w:spacing w:val="-4"/>
                <w:position w:val="2"/>
              </w:rPr>
              <w:t>组，设计流量</w:t>
            </w:r>
            <w:r>
              <w:rPr>
                <w:rFonts w:ascii="Times New Roman" w:hAnsi="Times New Roman" w:eastAsia="Times New Roman" w:cs="Times New Roman"/>
                <w:spacing w:val="-4"/>
                <w:position w:val="2"/>
              </w:rPr>
              <w:t>Qmax=0.</w:t>
            </w:r>
            <w:r>
              <w:rPr>
                <w:rFonts w:ascii="Times New Roman" w:hAnsi="Times New Roman" w:eastAsia="Times New Roman" w:cs="Times New Roman"/>
                <w:spacing w:val="-5"/>
                <w:position w:val="2"/>
              </w:rPr>
              <w:t>259m</w:t>
            </w:r>
            <w:r>
              <w:rPr>
                <w:rFonts w:ascii="Times New Roman" w:hAnsi="Times New Roman" w:eastAsia="Times New Roman" w:cs="Times New Roman"/>
                <w:spacing w:val="-5"/>
                <w:position w:val="8"/>
                <w:sz w:val="13"/>
                <w:szCs w:val="13"/>
              </w:rPr>
              <w:t>3</w:t>
            </w:r>
            <w:r>
              <w:rPr>
                <w:rFonts w:ascii="Times New Roman" w:hAnsi="Times New Roman" w:eastAsia="Times New Roman" w:cs="Times New Roman"/>
                <w:spacing w:val="-5"/>
                <w:position w:val="2"/>
              </w:rPr>
              <w:t>/s</w:t>
            </w:r>
            <w:r>
              <w:rPr>
                <w:spacing w:val="-5"/>
                <w:position w:val="2"/>
              </w:rPr>
              <w:t>，单</w:t>
            </w:r>
          </w:p>
          <w:p w14:paraId="03BF1ABB">
            <w:pPr>
              <w:pStyle w:val="6"/>
              <w:spacing w:before="35" w:line="216" w:lineRule="auto"/>
              <w:ind w:left="1572"/>
              <w:rPr>
                <w:rFonts w:ascii="Times New Roman" w:hAnsi="Times New Roman" w:eastAsia="Times New Roman" w:cs="Times New Roman"/>
                <w:sz w:val="13"/>
                <w:szCs w:val="13"/>
              </w:rPr>
            </w:pPr>
            <w:r>
              <w:rPr>
                <w:spacing w:val="5"/>
              </w:rPr>
              <w:t>组有效容积</w:t>
            </w:r>
            <w:r>
              <w:rPr>
                <w:rFonts w:ascii="Times New Roman" w:hAnsi="Times New Roman" w:eastAsia="Times New Roman" w:cs="Times New Roman"/>
                <w:spacing w:val="5"/>
              </w:rPr>
              <w:t>4300m</w:t>
            </w:r>
            <w:r>
              <w:rPr>
                <w:rFonts w:ascii="Times New Roman" w:hAnsi="Times New Roman" w:eastAsia="Times New Roman" w:cs="Times New Roman"/>
                <w:spacing w:val="5"/>
                <w:position w:val="6"/>
                <w:sz w:val="13"/>
                <w:szCs w:val="13"/>
              </w:rPr>
              <w:t>3</w:t>
            </w:r>
          </w:p>
        </w:tc>
      </w:tr>
      <w:tr w14:paraId="2B50CA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999" w:type="dxa"/>
            <w:vMerge w:val="continue"/>
            <w:tcBorders>
              <w:top w:val="nil"/>
              <w:left w:val="single" w:color="000000" w:sz="10" w:space="0"/>
              <w:bottom w:val="nil"/>
            </w:tcBorders>
            <w:vAlign w:val="top"/>
          </w:tcPr>
          <w:p w14:paraId="152CACC1">
            <w:pPr>
              <w:rPr>
                <w:rFonts w:ascii="Arial"/>
                <w:sz w:val="21"/>
              </w:rPr>
            </w:pPr>
          </w:p>
        </w:tc>
        <w:tc>
          <w:tcPr>
            <w:tcW w:w="996" w:type="dxa"/>
            <w:vMerge w:val="continue"/>
            <w:tcBorders>
              <w:top w:val="nil"/>
              <w:bottom w:val="nil"/>
            </w:tcBorders>
            <w:vAlign w:val="top"/>
          </w:tcPr>
          <w:p w14:paraId="0E8D92CF">
            <w:pPr>
              <w:rPr>
                <w:rFonts w:ascii="Arial"/>
                <w:sz w:val="21"/>
              </w:rPr>
            </w:pPr>
          </w:p>
        </w:tc>
        <w:tc>
          <w:tcPr>
            <w:tcW w:w="1656" w:type="dxa"/>
            <w:vAlign w:val="top"/>
          </w:tcPr>
          <w:p w14:paraId="494D9FFF">
            <w:pPr>
              <w:pStyle w:val="6"/>
              <w:spacing w:before="288" w:line="228" w:lineRule="auto"/>
              <w:ind w:left="514"/>
            </w:pPr>
            <w:r>
              <w:rPr>
                <w:spacing w:val="5"/>
              </w:rPr>
              <w:t>二沉池</w:t>
            </w:r>
          </w:p>
        </w:tc>
        <w:tc>
          <w:tcPr>
            <w:tcW w:w="4887" w:type="dxa"/>
            <w:tcBorders>
              <w:right w:val="single" w:color="000000" w:sz="10" w:space="0"/>
            </w:tcBorders>
            <w:vAlign w:val="top"/>
          </w:tcPr>
          <w:p w14:paraId="58C4A611">
            <w:pPr>
              <w:pStyle w:val="6"/>
              <w:spacing w:before="121" w:line="281" w:lineRule="exact"/>
              <w:ind w:left="274"/>
            </w:pPr>
            <w:r>
              <w:rPr>
                <w:rFonts w:ascii="Times New Roman" w:hAnsi="Times New Roman" w:eastAsia="Times New Roman" w:cs="Times New Roman"/>
                <w:position w:val="2"/>
              </w:rPr>
              <w:t>3</w:t>
            </w:r>
            <w:r>
              <w:rPr>
                <w:position w:val="2"/>
              </w:rPr>
              <w:t>组，设计流量</w:t>
            </w:r>
            <w:r>
              <w:rPr>
                <w:rFonts w:ascii="Times New Roman" w:hAnsi="Times New Roman" w:eastAsia="Times New Roman" w:cs="Times New Roman"/>
                <w:position w:val="2"/>
              </w:rPr>
              <w:t>Qmax=0.259m</w:t>
            </w:r>
            <w:r>
              <w:rPr>
                <w:rFonts w:ascii="Times New Roman" w:hAnsi="Times New Roman" w:eastAsia="Times New Roman" w:cs="Times New Roman"/>
                <w:position w:val="8"/>
                <w:sz w:val="13"/>
                <w:szCs w:val="13"/>
              </w:rPr>
              <w:t>3</w:t>
            </w:r>
            <w:r>
              <w:rPr>
                <w:rFonts w:ascii="Times New Roman" w:hAnsi="Times New Roman" w:eastAsia="Times New Roman" w:cs="Times New Roman"/>
                <w:position w:val="2"/>
              </w:rPr>
              <w:t>/s</w:t>
            </w:r>
            <w:r>
              <w:rPr>
                <w:position w:val="2"/>
              </w:rPr>
              <w:t>，单组有效容积</w:t>
            </w:r>
          </w:p>
          <w:p w14:paraId="5E4172F1">
            <w:pPr>
              <w:spacing w:before="36" w:line="209" w:lineRule="auto"/>
              <w:ind w:left="2049"/>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832.1m</w:t>
            </w:r>
            <w:r>
              <w:rPr>
                <w:rFonts w:ascii="Times New Roman" w:hAnsi="Times New Roman" w:eastAsia="Times New Roman" w:cs="Times New Roman"/>
                <w:spacing w:val="-2"/>
                <w:position w:val="6"/>
                <w:sz w:val="13"/>
                <w:szCs w:val="13"/>
              </w:rPr>
              <w:t>3</w:t>
            </w:r>
          </w:p>
        </w:tc>
      </w:tr>
      <w:tr w14:paraId="5503BA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999" w:type="dxa"/>
            <w:vMerge w:val="continue"/>
            <w:tcBorders>
              <w:top w:val="nil"/>
              <w:left w:val="single" w:color="000000" w:sz="10" w:space="0"/>
              <w:bottom w:val="nil"/>
            </w:tcBorders>
            <w:vAlign w:val="top"/>
          </w:tcPr>
          <w:p w14:paraId="233DE17B">
            <w:pPr>
              <w:rPr>
                <w:rFonts w:ascii="Arial"/>
                <w:sz w:val="21"/>
              </w:rPr>
            </w:pPr>
          </w:p>
        </w:tc>
        <w:tc>
          <w:tcPr>
            <w:tcW w:w="996" w:type="dxa"/>
            <w:vMerge w:val="continue"/>
            <w:tcBorders>
              <w:top w:val="nil"/>
              <w:bottom w:val="nil"/>
            </w:tcBorders>
            <w:vAlign w:val="top"/>
          </w:tcPr>
          <w:p w14:paraId="4DD434B8">
            <w:pPr>
              <w:rPr>
                <w:rFonts w:ascii="Arial"/>
                <w:sz w:val="21"/>
              </w:rPr>
            </w:pPr>
          </w:p>
        </w:tc>
        <w:tc>
          <w:tcPr>
            <w:tcW w:w="1656" w:type="dxa"/>
            <w:vAlign w:val="top"/>
          </w:tcPr>
          <w:p w14:paraId="46802129">
            <w:pPr>
              <w:pStyle w:val="6"/>
              <w:spacing w:before="94" w:line="229" w:lineRule="auto"/>
              <w:ind w:left="406"/>
            </w:pPr>
            <w:r>
              <w:rPr>
                <w:spacing w:val="7"/>
              </w:rPr>
              <w:t>气浮滤池</w:t>
            </w:r>
          </w:p>
        </w:tc>
        <w:tc>
          <w:tcPr>
            <w:tcW w:w="4887" w:type="dxa"/>
            <w:tcBorders>
              <w:right w:val="single" w:color="000000" w:sz="10" w:space="0"/>
            </w:tcBorders>
            <w:vAlign w:val="top"/>
          </w:tcPr>
          <w:p w14:paraId="23F9EBB9">
            <w:pPr>
              <w:pStyle w:val="6"/>
              <w:spacing w:before="95" w:line="228" w:lineRule="auto"/>
              <w:ind w:left="1395"/>
            </w:pPr>
            <w:r>
              <w:t>占地面积</w:t>
            </w:r>
            <w:r>
              <w:rPr>
                <w:rFonts w:ascii="Times New Roman" w:hAnsi="Times New Roman" w:eastAsia="Times New Roman" w:cs="Times New Roman"/>
              </w:rPr>
              <w:t>568.8m</w:t>
            </w:r>
            <w:r>
              <w:rPr>
                <w:rFonts w:ascii="Times New Roman" w:hAnsi="Times New Roman" w:eastAsia="Times New Roman" w:cs="Times New Roman"/>
                <w:position w:val="6"/>
                <w:sz w:val="13"/>
                <w:szCs w:val="13"/>
              </w:rPr>
              <w:t>2</w:t>
            </w:r>
            <w:r>
              <w:t>，</w:t>
            </w:r>
            <w:r>
              <w:rPr>
                <w:rFonts w:ascii="Times New Roman" w:hAnsi="Times New Roman" w:eastAsia="Times New Roman" w:cs="Times New Roman"/>
              </w:rPr>
              <w:t>1</w:t>
            </w:r>
            <w:r>
              <w:t>座</w:t>
            </w:r>
          </w:p>
        </w:tc>
      </w:tr>
      <w:tr w14:paraId="5E7EF0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999" w:type="dxa"/>
            <w:vMerge w:val="continue"/>
            <w:tcBorders>
              <w:top w:val="nil"/>
              <w:left w:val="single" w:color="000000" w:sz="10" w:space="0"/>
              <w:bottom w:val="nil"/>
            </w:tcBorders>
            <w:vAlign w:val="top"/>
          </w:tcPr>
          <w:p w14:paraId="4D979DD0">
            <w:pPr>
              <w:rPr>
                <w:rFonts w:ascii="Arial"/>
                <w:sz w:val="21"/>
              </w:rPr>
            </w:pPr>
          </w:p>
        </w:tc>
        <w:tc>
          <w:tcPr>
            <w:tcW w:w="996" w:type="dxa"/>
            <w:vMerge w:val="continue"/>
            <w:tcBorders>
              <w:top w:val="nil"/>
            </w:tcBorders>
            <w:vAlign w:val="top"/>
          </w:tcPr>
          <w:p w14:paraId="31C172E9">
            <w:pPr>
              <w:rPr>
                <w:rFonts w:ascii="Arial"/>
                <w:sz w:val="21"/>
              </w:rPr>
            </w:pPr>
          </w:p>
        </w:tc>
        <w:tc>
          <w:tcPr>
            <w:tcW w:w="1656" w:type="dxa"/>
            <w:vAlign w:val="top"/>
          </w:tcPr>
          <w:p w14:paraId="6E0187B3">
            <w:pPr>
              <w:pStyle w:val="6"/>
              <w:spacing w:before="37" w:line="233" w:lineRule="auto"/>
              <w:ind w:left="451" w:right="155" w:hanging="417"/>
            </w:pPr>
            <w:r>
              <w:rPr>
                <w:spacing w:val="7"/>
              </w:rPr>
              <w:t>紫外消毒池及出</w:t>
            </w:r>
            <w:r>
              <w:rPr>
                <w:spacing w:val="6"/>
              </w:rPr>
              <w:t>水泵站</w:t>
            </w:r>
          </w:p>
        </w:tc>
        <w:tc>
          <w:tcPr>
            <w:tcW w:w="4887" w:type="dxa"/>
            <w:tcBorders>
              <w:right w:val="single" w:color="000000" w:sz="10" w:space="0"/>
            </w:tcBorders>
            <w:vAlign w:val="top"/>
          </w:tcPr>
          <w:p w14:paraId="0B4EF7FA">
            <w:pPr>
              <w:pStyle w:val="6"/>
              <w:spacing w:line="250" w:lineRule="auto"/>
              <w:ind w:left="345" w:right="5" w:hanging="301"/>
            </w:pPr>
            <w:r>
              <w:rPr>
                <w:spacing w:val="-1"/>
              </w:rPr>
              <w:t>占地面积</w:t>
            </w:r>
            <w:r>
              <w:rPr>
                <w:rFonts w:ascii="Times New Roman" w:hAnsi="Times New Roman" w:eastAsia="Times New Roman" w:cs="Times New Roman"/>
                <w:spacing w:val="-1"/>
              </w:rPr>
              <w:t>43.7m</w:t>
            </w:r>
            <w:r>
              <w:rPr>
                <w:rFonts w:ascii="Times New Roman" w:hAnsi="Times New Roman" w:eastAsia="Times New Roman" w:cs="Times New Roman"/>
                <w:spacing w:val="-1"/>
                <w:position w:val="6"/>
                <w:sz w:val="13"/>
                <w:szCs w:val="13"/>
              </w:rPr>
              <w:t>2</w:t>
            </w:r>
            <w:r>
              <w:rPr>
                <w:spacing w:val="-1"/>
              </w:rPr>
              <w:t>，</w:t>
            </w:r>
            <w:r>
              <w:rPr>
                <w:rFonts w:ascii="Times New Roman" w:hAnsi="Times New Roman" w:eastAsia="Times New Roman" w:cs="Times New Roman"/>
                <w:spacing w:val="-1"/>
              </w:rPr>
              <w:t>1</w:t>
            </w:r>
            <w:r>
              <w:rPr>
                <w:spacing w:val="-1"/>
              </w:rPr>
              <w:t>座，设计流量</w:t>
            </w:r>
            <w:r>
              <w:rPr>
                <w:rFonts w:ascii="Times New Roman" w:hAnsi="Times New Roman" w:eastAsia="Times New Roman" w:cs="Times New Roman"/>
                <w:spacing w:val="-1"/>
              </w:rPr>
              <w:t>Qmax</w:t>
            </w:r>
            <w:r>
              <w:rPr>
                <w:rFonts w:ascii="Times New Roman" w:hAnsi="Times New Roman" w:eastAsia="Times New Roman" w:cs="Times New Roman"/>
                <w:spacing w:val="-2"/>
              </w:rPr>
              <w:t>=0.517m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rPr>
              <w:t>/s</w:t>
            </w:r>
            <w:r>
              <w:rPr>
                <w:spacing w:val="-2"/>
              </w:rPr>
              <w:t>，含</w:t>
            </w:r>
            <w:r>
              <w:rPr>
                <w:spacing w:val="9"/>
              </w:rPr>
              <w:t>紫外消毒渠两格（一用一备）和尾水出水泵房</w:t>
            </w:r>
          </w:p>
        </w:tc>
      </w:tr>
      <w:tr w14:paraId="2C167E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99" w:type="dxa"/>
            <w:vMerge w:val="continue"/>
            <w:tcBorders>
              <w:top w:val="nil"/>
              <w:left w:val="single" w:color="000000" w:sz="10" w:space="0"/>
              <w:bottom w:val="nil"/>
            </w:tcBorders>
            <w:vAlign w:val="top"/>
          </w:tcPr>
          <w:p w14:paraId="21FE4EED">
            <w:pPr>
              <w:rPr>
                <w:rFonts w:ascii="Arial"/>
                <w:sz w:val="21"/>
              </w:rPr>
            </w:pPr>
          </w:p>
        </w:tc>
        <w:tc>
          <w:tcPr>
            <w:tcW w:w="996" w:type="dxa"/>
            <w:vMerge w:val="restart"/>
            <w:tcBorders>
              <w:bottom w:val="nil"/>
            </w:tcBorders>
            <w:vAlign w:val="top"/>
          </w:tcPr>
          <w:p w14:paraId="2D1A4786">
            <w:pPr>
              <w:spacing w:line="267" w:lineRule="auto"/>
              <w:rPr>
                <w:rFonts w:ascii="Arial"/>
                <w:sz w:val="21"/>
              </w:rPr>
            </w:pPr>
          </w:p>
          <w:p w14:paraId="59135119">
            <w:pPr>
              <w:spacing w:line="267" w:lineRule="auto"/>
              <w:rPr>
                <w:rFonts w:ascii="Arial"/>
                <w:sz w:val="21"/>
              </w:rPr>
            </w:pPr>
          </w:p>
          <w:p w14:paraId="49D60272">
            <w:pPr>
              <w:spacing w:line="268" w:lineRule="auto"/>
              <w:rPr>
                <w:rFonts w:ascii="Arial"/>
                <w:sz w:val="21"/>
              </w:rPr>
            </w:pPr>
          </w:p>
          <w:p w14:paraId="14560FAE">
            <w:pPr>
              <w:spacing w:line="268" w:lineRule="auto"/>
              <w:rPr>
                <w:rFonts w:ascii="Arial"/>
                <w:sz w:val="21"/>
              </w:rPr>
            </w:pPr>
          </w:p>
          <w:p w14:paraId="3CA49672">
            <w:pPr>
              <w:spacing w:line="268" w:lineRule="auto"/>
              <w:rPr>
                <w:rFonts w:ascii="Arial"/>
                <w:sz w:val="21"/>
              </w:rPr>
            </w:pPr>
          </w:p>
          <w:p w14:paraId="0FBB0CCA">
            <w:pPr>
              <w:pStyle w:val="6"/>
              <w:spacing w:before="65" w:line="252" w:lineRule="auto"/>
              <w:ind w:left="301" w:right="273" w:hanging="208"/>
            </w:pPr>
            <w:r>
              <w:rPr>
                <w:spacing w:val="6"/>
              </w:rPr>
              <w:t>辅助工</w:t>
            </w:r>
            <w:r>
              <w:rPr>
                <w:spacing w:val="1"/>
              </w:rPr>
              <w:t>程</w:t>
            </w:r>
          </w:p>
        </w:tc>
        <w:tc>
          <w:tcPr>
            <w:tcW w:w="1656" w:type="dxa"/>
            <w:vAlign w:val="top"/>
          </w:tcPr>
          <w:p w14:paraId="2A38ED81">
            <w:pPr>
              <w:pStyle w:val="6"/>
              <w:spacing w:before="98" w:line="228" w:lineRule="auto"/>
              <w:ind w:left="407"/>
            </w:pPr>
            <w:r>
              <w:rPr>
                <w:spacing w:val="6"/>
              </w:rPr>
              <w:t>污泥泵房</w:t>
            </w:r>
          </w:p>
        </w:tc>
        <w:tc>
          <w:tcPr>
            <w:tcW w:w="4887" w:type="dxa"/>
            <w:tcBorders>
              <w:right w:val="single" w:color="000000" w:sz="10" w:space="0"/>
            </w:tcBorders>
            <w:vAlign w:val="top"/>
          </w:tcPr>
          <w:p w14:paraId="0587A4E6">
            <w:pPr>
              <w:pStyle w:val="6"/>
              <w:spacing w:before="99" w:line="228" w:lineRule="auto"/>
              <w:ind w:left="1472"/>
            </w:pPr>
            <w:r>
              <w:t>占地面积</w:t>
            </w:r>
            <w:r>
              <w:rPr>
                <w:rFonts w:ascii="Times New Roman" w:hAnsi="Times New Roman" w:eastAsia="Times New Roman" w:cs="Times New Roman"/>
              </w:rPr>
              <w:t>300m</w:t>
            </w:r>
            <w:r>
              <w:rPr>
                <w:rFonts w:ascii="Times New Roman" w:hAnsi="Times New Roman" w:eastAsia="Times New Roman" w:cs="Times New Roman"/>
                <w:position w:val="6"/>
                <w:sz w:val="13"/>
                <w:szCs w:val="13"/>
              </w:rPr>
              <w:t>2</w:t>
            </w:r>
            <w:r>
              <w:t>，</w:t>
            </w:r>
            <w:r>
              <w:rPr>
                <w:rFonts w:ascii="Times New Roman" w:hAnsi="Times New Roman" w:eastAsia="Times New Roman" w:cs="Times New Roman"/>
              </w:rPr>
              <w:t>1</w:t>
            </w:r>
            <w:r>
              <w:t>座</w:t>
            </w:r>
          </w:p>
        </w:tc>
      </w:tr>
      <w:tr w14:paraId="515D21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99" w:type="dxa"/>
            <w:vMerge w:val="continue"/>
            <w:tcBorders>
              <w:top w:val="nil"/>
              <w:left w:val="single" w:color="000000" w:sz="10" w:space="0"/>
              <w:bottom w:val="nil"/>
            </w:tcBorders>
            <w:vAlign w:val="top"/>
          </w:tcPr>
          <w:p w14:paraId="7CA0021B">
            <w:pPr>
              <w:rPr>
                <w:rFonts w:ascii="Arial"/>
                <w:sz w:val="21"/>
              </w:rPr>
            </w:pPr>
          </w:p>
        </w:tc>
        <w:tc>
          <w:tcPr>
            <w:tcW w:w="996" w:type="dxa"/>
            <w:vMerge w:val="continue"/>
            <w:tcBorders>
              <w:top w:val="nil"/>
              <w:bottom w:val="nil"/>
            </w:tcBorders>
            <w:vAlign w:val="top"/>
          </w:tcPr>
          <w:p w14:paraId="41B120A7">
            <w:pPr>
              <w:rPr>
                <w:rFonts w:ascii="Arial"/>
                <w:sz w:val="21"/>
              </w:rPr>
            </w:pPr>
          </w:p>
        </w:tc>
        <w:tc>
          <w:tcPr>
            <w:tcW w:w="1656" w:type="dxa"/>
            <w:vAlign w:val="top"/>
          </w:tcPr>
          <w:p w14:paraId="41144D7D">
            <w:pPr>
              <w:pStyle w:val="6"/>
              <w:spacing w:before="101" w:line="229" w:lineRule="auto"/>
              <w:ind w:left="512"/>
            </w:pPr>
            <w:r>
              <w:rPr>
                <w:spacing w:val="6"/>
              </w:rPr>
              <w:t>贮泥池</w:t>
            </w:r>
          </w:p>
        </w:tc>
        <w:tc>
          <w:tcPr>
            <w:tcW w:w="4887" w:type="dxa"/>
            <w:tcBorders>
              <w:right w:val="single" w:color="000000" w:sz="10" w:space="0"/>
            </w:tcBorders>
            <w:vAlign w:val="top"/>
          </w:tcPr>
          <w:p w14:paraId="500A7D8F">
            <w:pPr>
              <w:pStyle w:val="6"/>
              <w:spacing w:before="101" w:line="228" w:lineRule="auto"/>
              <w:ind w:left="1525"/>
            </w:pPr>
            <w:r>
              <w:t>占地面积</w:t>
            </w:r>
            <w:r>
              <w:rPr>
                <w:rFonts w:ascii="Times New Roman" w:hAnsi="Times New Roman" w:eastAsia="Times New Roman" w:cs="Times New Roman"/>
              </w:rPr>
              <w:t>24m</w:t>
            </w:r>
            <w:r>
              <w:rPr>
                <w:rFonts w:ascii="Times New Roman" w:hAnsi="Times New Roman" w:eastAsia="Times New Roman" w:cs="Times New Roman"/>
                <w:position w:val="6"/>
                <w:sz w:val="13"/>
                <w:szCs w:val="13"/>
              </w:rPr>
              <w:t>2</w:t>
            </w:r>
            <w:r>
              <w:t>，</w:t>
            </w:r>
            <w:r>
              <w:rPr>
                <w:rFonts w:ascii="Times New Roman" w:hAnsi="Times New Roman" w:eastAsia="Times New Roman" w:cs="Times New Roman"/>
              </w:rPr>
              <w:t>1</w:t>
            </w:r>
            <w:r>
              <w:t>座</w:t>
            </w:r>
          </w:p>
        </w:tc>
      </w:tr>
      <w:tr w14:paraId="336F9A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999" w:type="dxa"/>
            <w:vMerge w:val="continue"/>
            <w:tcBorders>
              <w:top w:val="nil"/>
              <w:left w:val="single" w:color="000000" w:sz="10" w:space="0"/>
              <w:bottom w:val="nil"/>
            </w:tcBorders>
            <w:vAlign w:val="top"/>
          </w:tcPr>
          <w:p w14:paraId="1D4FED51">
            <w:pPr>
              <w:rPr>
                <w:rFonts w:ascii="Arial"/>
                <w:sz w:val="21"/>
              </w:rPr>
            </w:pPr>
          </w:p>
        </w:tc>
        <w:tc>
          <w:tcPr>
            <w:tcW w:w="996" w:type="dxa"/>
            <w:vMerge w:val="continue"/>
            <w:tcBorders>
              <w:top w:val="nil"/>
              <w:bottom w:val="nil"/>
            </w:tcBorders>
            <w:vAlign w:val="top"/>
          </w:tcPr>
          <w:p w14:paraId="22EE8D9C">
            <w:pPr>
              <w:rPr>
                <w:rFonts w:ascii="Arial"/>
                <w:sz w:val="21"/>
              </w:rPr>
            </w:pPr>
          </w:p>
        </w:tc>
        <w:tc>
          <w:tcPr>
            <w:tcW w:w="1656" w:type="dxa"/>
            <w:vAlign w:val="top"/>
          </w:tcPr>
          <w:p w14:paraId="42FC5433">
            <w:pPr>
              <w:pStyle w:val="6"/>
              <w:spacing w:before="104" w:line="230" w:lineRule="auto"/>
              <w:ind w:left="304"/>
            </w:pPr>
            <w:r>
              <w:rPr>
                <w:spacing w:val="7"/>
              </w:rPr>
              <w:t>污泥调理池</w:t>
            </w:r>
          </w:p>
        </w:tc>
        <w:tc>
          <w:tcPr>
            <w:tcW w:w="4887" w:type="dxa"/>
            <w:tcBorders>
              <w:right w:val="single" w:color="000000" w:sz="10" w:space="0"/>
            </w:tcBorders>
            <w:vAlign w:val="top"/>
          </w:tcPr>
          <w:p w14:paraId="5AB98937">
            <w:pPr>
              <w:pStyle w:val="6"/>
              <w:spacing w:before="152" w:line="220" w:lineRule="auto"/>
              <w:ind w:left="1525"/>
            </w:pPr>
            <w:r>
              <w:t>占地面积</w:t>
            </w:r>
            <w:r>
              <w:rPr>
                <w:rFonts w:ascii="Times New Roman" w:hAnsi="Times New Roman" w:eastAsia="Times New Roman" w:cs="Times New Roman"/>
              </w:rPr>
              <w:t>36m</w:t>
            </w:r>
            <w:r>
              <w:rPr>
                <w:rFonts w:ascii="Times New Roman" w:hAnsi="Times New Roman" w:eastAsia="Times New Roman" w:cs="Times New Roman"/>
                <w:position w:val="6"/>
                <w:sz w:val="13"/>
                <w:szCs w:val="13"/>
              </w:rPr>
              <w:t>2</w:t>
            </w:r>
            <w:r>
              <w:t>，</w:t>
            </w:r>
            <w:r>
              <w:rPr>
                <w:rFonts w:ascii="Times New Roman" w:hAnsi="Times New Roman" w:eastAsia="Times New Roman" w:cs="Times New Roman"/>
              </w:rPr>
              <w:t>1</w:t>
            </w:r>
            <w:r>
              <w:t>座</w:t>
            </w:r>
          </w:p>
        </w:tc>
      </w:tr>
      <w:tr w14:paraId="2C15A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5" w:hRule="atLeast"/>
        </w:trPr>
        <w:tc>
          <w:tcPr>
            <w:tcW w:w="999" w:type="dxa"/>
            <w:vMerge w:val="continue"/>
            <w:tcBorders>
              <w:top w:val="nil"/>
              <w:left w:val="single" w:color="000000" w:sz="10" w:space="0"/>
              <w:bottom w:val="nil"/>
            </w:tcBorders>
            <w:vAlign w:val="top"/>
          </w:tcPr>
          <w:p w14:paraId="5461F276">
            <w:pPr>
              <w:rPr>
                <w:rFonts w:ascii="Arial"/>
                <w:sz w:val="21"/>
              </w:rPr>
            </w:pPr>
          </w:p>
        </w:tc>
        <w:tc>
          <w:tcPr>
            <w:tcW w:w="996" w:type="dxa"/>
            <w:vMerge w:val="continue"/>
            <w:tcBorders>
              <w:top w:val="nil"/>
              <w:bottom w:val="nil"/>
            </w:tcBorders>
            <w:vAlign w:val="top"/>
          </w:tcPr>
          <w:p w14:paraId="4A12986A">
            <w:pPr>
              <w:rPr>
                <w:rFonts w:ascii="Arial"/>
                <w:sz w:val="21"/>
              </w:rPr>
            </w:pPr>
          </w:p>
        </w:tc>
        <w:tc>
          <w:tcPr>
            <w:tcW w:w="1656" w:type="dxa"/>
            <w:vAlign w:val="top"/>
          </w:tcPr>
          <w:p w14:paraId="7CAF53AA">
            <w:pPr>
              <w:pStyle w:val="6"/>
              <w:spacing w:before="168" w:line="229" w:lineRule="auto"/>
              <w:ind w:left="448" w:right="155" w:hanging="418"/>
            </w:pPr>
            <w:r>
              <w:rPr>
                <w:spacing w:val="8"/>
              </w:rPr>
              <w:t>污泥脱水车间及</w:t>
            </w:r>
            <w:r>
              <w:rPr>
                <w:spacing w:val="6"/>
              </w:rPr>
              <w:t>加药间</w:t>
            </w:r>
          </w:p>
        </w:tc>
        <w:tc>
          <w:tcPr>
            <w:tcW w:w="4887" w:type="dxa"/>
            <w:tcBorders>
              <w:right w:val="single" w:color="000000" w:sz="10" w:space="0"/>
            </w:tcBorders>
            <w:vAlign w:val="top"/>
          </w:tcPr>
          <w:p w14:paraId="29B47EBF">
            <w:pPr>
              <w:pStyle w:val="6"/>
              <w:spacing w:before="105" w:line="228" w:lineRule="auto"/>
              <w:ind w:left="53"/>
            </w:pPr>
            <w:r>
              <w:rPr>
                <w:spacing w:val="6"/>
              </w:rPr>
              <w:t>占地面积</w:t>
            </w:r>
            <w:r>
              <w:rPr>
                <w:rFonts w:ascii="Times New Roman" w:hAnsi="Times New Roman" w:eastAsia="Times New Roman" w:cs="Times New Roman"/>
                <w:spacing w:val="6"/>
              </w:rPr>
              <w:t>m</w:t>
            </w:r>
            <w:r>
              <w:rPr>
                <w:rFonts w:ascii="Times New Roman" w:hAnsi="Times New Roman" w:eastAsia="Times New Roman" w:cs="Times New Roman"/>
                <w:spacing w:val="6"/>
                <w:position w:val="6"/>
                <w:sz w:val="13"/>
                <w:szCs w:val="13"/>
              </w:rPr>
              <w:t>2</w:t>
            </w:r>
            <w:r>
              <w:rPr>
                <w:spacing w:val="6"/>
              </w:rPr>
              <w:t>，</w:t>
            </w:r>
            <w:r>
              <w:rPr>
                <w:rFonts w:ascii="Times New Roman" w:hAnsi="Times New Roman" w:eastAsia="Times New Roman" w:cs="Times New Roman"/>
                <w:spacing w:val="6"/>
              </w:rPr>
              <w:t>1</w:t>
            </w:r>
            <w:r>
              <w:rPr>
                <w:spacing w:val="6"/>
              </w:rPr>
              <w:t>座，含控制间、操作间</w:t>
            </w:r>
            <w:r>
              <w:rPr>
                <w:spacing w:val="5"/>
              </w:rPr>
              <w:t>、加药间、污</w:t>
            </w:r>
          </w:p>
          <w:p w14:paraId="371D1228">
            <w:pPr>
              <w:pStyle w:val="6"/>
              <w:spacing w:before="24" w:line="228" w:lineRule="auto"/>
              <w:ind w:left="1391"/>
            </w:pPr>
            <w:r>
              <w:rPr>
                <w:spacing w:val="8"/>
              </w:rPr>
              <w:t>泥暂存间、危废暂存间</w:t>
            </w:r>
          </w:p>
        </w:tc>
      </w:tr>
      <w:tr w14:paraId="38D80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999" w:type="dxa"/>
            <w:vMerge w:val="continue"/>
            <w:tcBorders>
              <w:top w:val="nil"/>
              <w:left w:val="single" w:color="000000" w:sz="10" w:space="0"/>
              <w:bottom w:val="nil"/>
            </w:tcBorders>
            <w:vAlign w:val="top"/>
          </w:tcPr>
          <w:p w14:paraId="441673BE">
            <w:pPr>
              <w:rPr>
                <w:rFonts w:ascii="Arial"/>
                <w:sz w:val="21"/>
              </w:rPr>
            </w:pPr>
          </w:p>
        </w:tc>
        <w:tc>
          <w:tcPr>
            <w:tcW w:w="996" w:type="dxa"/>
            <w:vMerge w:val="continue"/>
            <w:tcBorders>
              <w:top w:val="nil"/>
              <w:bottom w:val="nil"/>
            </w:tcBorders>
            <w:vAlign w:val="top"/>
          </w:tcPr>
          <w:p w14:paraId="040A57EC">
            <w:pPr>
              <w:rPr>
                <w:rFonts w:ascii="Arial"/>
                <w:sz w:val="21"/>
              </w:rPr>
            </w:pPr>
          </w:p>
        </w:tc>
        <w:tc>
          <w:tcPr>
            <w:tcW w:w="1656" w:type="dxa"/>
            <w:vAlign w:val="top"/>
          </w:tcPr>
          <w:p w14:paraId="4D38721D">
            <w:pPr>
              <w:pStyle w:val="6"/>
              <w:spacing w:before="43" w:line="228" w:lineRule="auto"/>
              <w:ind w:left="641" w:right="93" w:hanging="548"/>
            </w:pPr>
            <w:r>
              <w:rPr>
                <w:spacing w:val="8"/>
              </w:rPr>
              <w:t>鼓风机房及变配</w:t>
            </w:r>
            <w:r>
              <w:rPr>
                <w:spacing w:val="-8"/>
              </w:rPr>
              <w:t>电间</w:t>
            </w:r>
          </w:p>
        </w:tc>
        <w:tc>
          <w:tcPr>
            <w:tcW w:w="4887" w:type="dxa"/>
            <w:tcBorders>
              <w:right w:val="single" w:color="000000" w:sz="10" w:space="0"/>
            </w:tcBorders>
            <w:vAlign w:val="top"/>
          </w:tcPr>
          <w:p w14:paraId="2504B47B">
            <w:pPr>
              <w:pStyle w:val="6"/>
              <w:spacing w:before="179" w:line="228" w:lineRule="auto"/>
              <w:ind w:left="1472"/>
            </w:pPr>
            <w:r>
              <w:t>占地面积</w:t>
            </w:r>
            <w:r>
              <w:rPr>
                <w:rFonts w:ascii="Times New Roman" w:hAnsi="Times New Roman" w:eastAsia="Times New Roman" w:cs="Times New Roman"/>
              </w:rPr>
              <w:t>300m</w:t>
            </w:r>
            <w:r>
              <w:rPr>
                <w:rFonts w:ascii="Times New Roman" w:hAnsi="Times New Roman" w:eastAsia="Times New Roman" w:cs="Times New Roman"/>
                <w:position w:val="6"/>
                <w:sz w:val="13"/>
                <w:szCs w:val="13"/>
              </w:rPr>
              <w:t>2</w:t>
            </w:r>
            <w:r>
              <w:t>，</w:t>
            </w:r>
            <w:r>
              <w:rPr>
                <w:rFonts w:ascii="Times New Roman" w:hAnsi="Times New Roman" w:eastAsia="Times New Roman" w:cs="Times New Roman"/>
              </w:rPr>
              <w:t>1</w:t>
            </w:r>
            <w:r>
              <w:t>座</w:t>
            </w:r>
          </w:p>
        </w:tc>
      </w:tr>
      <w:tr w14:paraId="497E4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999" w:type="dxa"/>
            <w:vMerge w:val="continue"/>
            <w:tcBorders>
              <w:top w:val="nil"/>
              <w:left w:val="single" w:color="000000" w:sz="10" w:space="0"/>
              <w:bottom w:val="nil"/>
            </w:tcBorders>
            <w:vAlign w:val="top"/>
          </w:tcPr>
          <w:p w14:paraId="09B5B971">
            <w:pPr>
              <w:rPr>
                <w:rFonts w:ascii="Arial"/>
                <w:sz w:val="21"/>
              </w:rPr>
            </w:pPr>
          </w:p>
        </w:tc>
        <w:tc>
          <w:tcPr>
            <w:tcW w:w="996" w:type="dxa"/>
            <w:vMerge w:val="continue"/>
            <w:tcBorders>
              <w:top w:val="nil"/>
              <w:bottom w:val="nil"/>
            </w:tcBorders>
            <w:vAlign w:val="top"/>
          </w:tcPr>
          <w:p w14:paraId="04C12F17">
            <w:pPr>
              <w:rPr>
                <w:rFonts w:ascii="Arial"/>
                <w:sz w:val="21"/>
              </w:rPr>
            </w:pPr>
          </w:p>
        </w:tc>
        <w:tc>
          <w:tcPr>
            <w:tcW w:w="1656" w:type="dxa"/>
            <w:vAlign w:val="top"/>
          </w:tcPr>
          <w:p w14:paraId="5156CF15">
            <w:pPr>
              <w:pStyle w:val="6"/>
              <w:spacing w:before="105" w:line="228" w:lineRule="auto"/>
              <w:ind w:left="514"/>
            </w:pPr>
            <w:r>
              <w:rPr>
                <w:spacing w:val="6"/>
              </w:rPr>
              <w:t>综合楼</w:t>
            </w:r>
          </w:p>
        </w:tc>
        <w:tc>
          <w:tcPr>
            <w:tcW w:w="4887" w:type="dxa"/>
            <w:tcBorders>
              <w:right w:val="single" w:color="000000" w:sz="10" w:space="0"/>
            </w:tcBorders>
            <w:vAlign w:val="top"/>
          </w:tcPr>
          <w:p w14:paraId="7A926000">
            <w:pPr>
              <w:pStyle w:val="6"/>
              <w:spacing w:before="105" w:line="228" w:lineRule="auto"/>
              <w:ind w:left="317"/>
            </w:pPr>
            <w:r>
              <w:rPr>
                <w:spacing w:val="4"/>
              </w:rPr>
              <w:t>占地面积</w:t>
            </w:r>
            <w:r>
              <w:rPr>
                <w:rFonts w:ascii="Times New Roman" w:hAnsi="Times New Roman" w:eastAsia="Times New Roman" w:cs="Times New Roman"/>
                <w:spacing w:val="4"/>
              </w:rPr>
              <w:t>900m</w:t>
            </w:r>
            <w:r>
              <w:rPr>
                <w:rFonts w:ascii="Times New Roman" w:hAnsi="Times New Roman" w:eastAsia="Times New Roman" w:cs="Times New Roman"/>
                <w:spacing w:val="4"/>
                <w:position w:val="6"/>
                <w:sz w:val="13"/>
                <w:szCs w:val="13"/>
              </w:rPr>
              <w:t>2</w:t>
            </w:r>
            <w:r>
              <w:rPr>
                <w:spacing w:val="4"/>
              </w:rPr>
              <w:t>，</w:t>
            </w:r>
            <w:r>
              <w:rPr>
                <w:rFonts w:ascii="Times New Roman" w:hAnsi="Times New Roman" w:eastAsia="Times New Roman" w:cs="Times New Roman"/>
                <w:spacing w:val="4"/>
              </w:rPr>
              <w:t>3</w:t>
            </w:r>
            <w:r>
              <w:rPr>
                <w:spacing w:val="4"/>
              </w:rPr>
              <w:t>层，含食堂、宿舍、化验室</w:t>
            </w:r>
          </w:p>
        </w:tc>
      </w:tr>
      <w:tr w14:paraId="57BBE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999" w:type="dxa"/>
            <w:vMerge w:val="continue"/>
            <w:tcBorders>
              <w:top w:val="nil"/>
              <w:left w:val="single" w:color="000000" w:sz="10" w:space="0"/>
              <w:bottom w:val="nil"/>
            </w:tcBorders>
            <w:vAlign w:val="top"/>
          </w:tcPr>
          <w:p w14:paraId="31E04B9E">
            <w:pPr>
              <w:rPr>
                <w:rFonts w:ascii="Arial"/>
                <w:sz w:val="21"/>
              </w:rPr>
            </w:pPr>
          </w:p>
        </w:tc>
        <w:tc>
          <w:tcPr>
            <w:tcW w:w="996" w:type="dxa"/>
            <w:vMerge w:val="continue"/>
            <w:tcBorders>
              <w:top w:val="nil"/>
            </w:tcBorders>
            <w:vAlign w:val="top"/>
          </w:tcPr>
          <w:p w14:paraId="401F6BBE">
            <w:pPr>
              <w:rPr>
                <w:rFonts w:ascii="Arial"/>
                <w:sz w:val="21"/>
              </w:rPr>
            </w:pPr>
          </w:p>
        </w:tc>
        <w:tc>
          <w:tcPr>
            <w:tcW w:w="1656" w:type="dxa"/>
            <w:vAlign w:val="top"/>
          </w:tcPr>
          <w:p w14:paraId="7908E7DA">
            <w:pPr>
              <w:pStyle w:val="6"/>
              <w:spacing w:before="108" w:line="231" w:lineRule="auto"/>
              <w:ind w:left="535"/>
            </w:pPr>
            <w:r>
              <w:rPr>
                <w:spacing w:val="-1"/>
              </w:rPr>
              <w:t>门卫室</w:t>
            </w:r>
          </w:p>
        </w:tc>
        <w:tc>
          <w:tcPr>
            <w:tcW w:w="4887" w:type="dxa"/>
            <w:tcBorders>
              <w:right w:val="single" w:color="000000" w:sz="10" w:space="0"/>
            </w:tcBorders>
            <w:vAlign w:val="top"/>
          </w:tcPr>
          <w:p w14:paraId="1C624338">
            <w:pPr>
              <w:pStyle w:val="6"/>
              <w:spacing w:before="95" w:line="233" w:lineRule="auto"/>
              <w:ind w:left="1731"/>
              <w:rPr>
                <w:rFonts w:ascii="Times New Roman" w:hAnsi="Times New Roman" w:eastAsia="Times New Roman" w:cs="Times New Roman"/>
                <w:sz w:val="13"/>
                <w:szCs w:val="13"/>
              </w:rPr>
            </w:pPr>
            <w:r>
              <w:rPr>
                <w:spacing w:val="1"/>
              </w:rPr>
              <w:t>占地面积</w:t>
            </w:r>
            <w:r>
              <w:rPr>
                <w:rFonts w:ascii="Times New Roman" w:hAnsi="Times New Roman" w:eastAsia="Times New Roman" w:cs="Times New Roman"/>
                <w:spacing w:val="1"/>
              </w:rPr>
              <w:t>22.8m</w:t>
            </w:r>
            <w:r>
              <w:rPr>
                <w:rFonts w:ascii="Times New Roman" w:hAnsi="Times New Roman" w:eastAsia="Times New Roman" w:cs="Times New Roman"/>
                <w:spacing w:val="1"/>
                <w:position w:val="9"/>
                <w:sz w:val="13"/>
                <w:szCs w:val="13"/>
              </w:rPr>
              <w:t>2</w:t>
            </w:r>
          </w:p>
        </w:tc>
      </w:tr>
      <w:tr w14:paraId="0BE1D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999" w:type="dxa"/>
            <w:vMerge w:val="continue"/>
            <w:tcBorders>
              <w:top w:val="nil"/>
              <w:left w:val="single" w:color="000000" w:sz="10" w:space="0"/>
              <w:bottom w:val="nil"/>
            </w:tcBorders>
            <w:vAlign w:val="top"/>
          </w:tcPr>
          <w:p w14:paraId="64BF9CA4">
            <w:pPr>
              <w:rPr>
                <w:rFonts w:ascii="Arial"/>
                <w:sz w:val="21"/>
              </w:rPr>
            </w:pPr>
          </w:p>
        </w:tc>
        <w:tc>
          <w:tcPr>
            <w:tcW w:w="996" w:type="dxa"/>
            <w:vMerge w:val="restart"/>
            <w:tcBorders>
              <w:bottom w:val="nil"/>
            </w:tcBorders>
            <w:vAlign w:val="top"/>
          </w:tcPr>
          <w:p w14:paraId="7B76D464">
            <w:pPr>
              <w:spacing w:line="291" w:lineRule="auto"/>
              <w:rPr>
                <w:rFonts w:ascii="Arial"/>
                <w:sz w:val="21"/>
              </w:rPr>
            </w:pPr>
          </w:p>
          <w:p w14:paraId="0F028D18">
            <w:pPr>
              <w:spacing w:line="291" w:lineRule="auto"/>
              <w:rPr>
                <w:rFonts w:ascii="Arial"/>
                <w:sz w:val="21"/>
              </w:rPr>
            </w:pPr>
          </w:p>
          <w:p w14:paraId="36AA8B7F">
            <w:pPr>
              <w:spacing w:line="291" w:lineRule="auto"/>
              <w:rPr>
                <w:rFonts w:ascii="Arial"/>
                <w:sz w:val="21"/>
              </w:rPr>
            </w:pPr>
          </w:p>
          <w:p w14:paraId="528D435F">
            <w:pPr>
              <w:pStyle w:val="6"/>
              <w:spacing w:before="65" w:line="228" w:lineRule="auto"/>
              <w:ind w:left="78"/>
            </w:pPr>
            <w:r>
              <w:rPr>
                <w:spacing w:val="5"/>
              </w:rPr>
              <w:t>公用工程</w:t>
            </w:r>
          </w:p>
        </w:tc>
        <w:tc>
          <w:tcPr>
            <w:tcW w:w="1656" w:type="dxa"/>
            <w:vAlign w:val="top"/>
          </w:tcPr>
          <w:p w14:paraId="63F8B7F9">
            <w:pPr>
              <w:pStyle w:val="6"/>
              <w:spacing w:before="108" w:line="228" w:lineRule="auto"/>
              <w:ind w:left="618"/>
            </w:pPr>
            <w:r>
              <w:rPr>
                <w:spacing w:val="4"/>
              </w:rPr>
              <w:t>给水</w:t>
            </w:r>
          </w:p>
        </w:tc>
        <w:tc>
          <w:tcPr>
            <w:tcW w:w="4887" w:type="dxa"/>
            <w:tcBorders>
              <w:right w:val="single" w:color="000000" w:sz="10" w:space="0"/>
            </w:tcBorders>
            <w:vAlign w:val="top"/>
          </w:tcPr>
          <w:p w14:paraId="3A4DEBA4">
            <w:pPr>
              <w:pStyle w:val="6"/>
              <w:spacing w:before="108" w:line="227" w:lineRule="auto"/>
              <w:ind w:left="1606"/>
            </w:pPr>
            <w:r>
              <w:rPr>
                <w:spacing w:val="7"/>
              </w:rPr>
              <w:t>市政供水管网供水</w:t>
            </w:r>
          </w:p>
        </w:tc>
      </w:tr>
      <w:tr w14:paraId="36AC0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3" w:hRule="atLeast"/>
        </w:trPr>
        <w:tc>
          <w:tcPr>
            <w:tcW w:w="999" w:type="dxa"/>
            <w:vMerge w:val="continue"/>
            <w:tcBorders>
              <w:top w:val="nil"/>
              <w:left w:val="single" w:color="000000" w:sz="10" w:space="0"/>
              <w:bottom w:val="nil"/>
            </w:tcBorders>
            <w:vAlign w:val="top"/>
          </w:tcPr>
          <w:p w14:paraId="235C2C7D">
            <w:pPr>
              <w:rPr>
                <w:rFonts w:ascii="Arial"/>
                <w:sz w:val="21"/>
              </w:rPr>
            </w:pPr>
          </w:p>
        </w:tc>
        <w:tc>
          <w:tcPr>
            <w:tcW w:w="996" w:type="dxa"/>
            <w:vMerge w:val="continue"/>
            <w:tcBorders>
              <w:top w:val="nil"/>
              <w:bottom w:val="nil"/>
            </w:tcBorders>
            <w:vAlign w:val="top"/>
          </w:tcPr>
          <w:p w14:paraId="5613A5D9">
            <w:pPr>
              <w:rPr>
                <w:rFonts w:ascii="Arial"/>
                <w:sz w:val="21"/>
              </w:rPr>
            </w:pPr>
          </w:p>
        </w:tc>
        <w:tc>
          <w:tcPr>
            <w:tcW w:w="1656" w:type="dxa"/>
            <w:vAlign w:val="top"/>
          </w:tcPr>
          <w:p w14:paraId="701754F9">
            <w:pPr>
              <w:pStyle w:val="6"/>
              <w:spacing w:before="203" w:line="228" w:lineRule="auto"/>
              <w:ind w:left="617"/>
            </w:pPr>
            <w:r>
              <w:rPr>
                <w:spacing w:val="4"/>
              </w:rPr>
              <w:t>排水</w:t>
            </w:r>
          </w:p>
        </w:tc>
        <w:tc>
          <w:tcPr>
            <w:tcW w:w="4887" w:type="dxa"/>
            <w:tcBorders>
              <w:right w:val="single" w:color="000000" w:sz="10" w:space="0"/>
            </w:tcBorders>
            <w:vAlign w:val="top"/>
          </w:tcPr>
          <w:p w14:paraId="74920956">
            <w:pPr>
              <w:pStyle w:val="6"/>
              <w:spacing w:before="30" w:line="210" w:lineRule="auto"/>
              <w:ind w:left="12" w:firstLine="22"/>
              <w:jc w:val="both"/>
            </w:pPr>
            <w:r>
              <w:rPr>
                <w:spacing w:val="6"/>
              </w:rPr>
              <w:t>雨污分流、污污分流。雨水由雨水管道收集后排入市</w:t>
            </w:r>
            <w:r>
              <w:rPr>
                <w:spacing w:val="7"/>
              </w:rPr>
              <w:t>政雨水管网。生活污水经化粪池处理后、和实验室废</w:t>
            </w:r>
            <w:r>
              <w:rPr>
                <w:spacing w:val="2"/>
              </w:rPr>
              <w:t>水一起入粗格栅池，由污水厂处理后达标排入赧水河。</w:t>
            </w:r>
          </w:p>
        </w:tc>
      </w:tr>
      <w:tr w14:paraId="09CFAC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999" w:type="dxa"/>
            <w:vMerge w:val="continue"/>
            <w:tcBorders>
              <w:top w:val="nil"/>
              <w:left w:val="single" w:color="000000" w:sz="10" w:space="0"/>
              <w:bottom w:val="nil"/>
            </w:tcBorders>
            <w:vAlign w:val="top"/>
          </w:tcPr>
          <w:p w14:paraId="7B1A9251">
            <w:pPr>
              <w:rPr>
                <w:rFonts w:ascii="Arial"/>
                <w:sz w:val="21"/>
              </w:rPr>
            </w:pPr>
          </w:p>
        </w:tc>
        <w:tc>
          <w:tcPr>
            <w:tcW w:w="996" w:type="dxa"/>
            <w:vMerge w:val="continue"/>
            <w:tcBorders>
              <w:top w:val="nil"/>
              <w:bottom w:val="nil"/>
            </w:tcBorders>
            <w:vAlign w:val="top"/>
          </w:tcPr>
          <w:p w14:paraId="2150E4E2">
            <w:pPr>
              <w:rPr>
                <w:rFonts w:ascii="Arial"/>
                <w:sz w:val="21"/>
              </w:rPr>
            </w:pPr>
          </w:p>
        </w:tc>
        <w:tc>
          <w:tcPr>
            <w:tcW w:w="1656" w:type="dxa"/>
            <w:vAlign w:val="top"/>
          </w:tcPr>
          <w:p w14:paraId="38B611CC">
            <w:pPr>
              <w:pStyle w:val="6"/>
              <w:spacing w:before="111" w:line="227" w:lineRule="auto"/>
              <w:ind w:left="617"/>
            </w:pPr>
            <w:r>
              <w:rPr>
                <w:spacing w:val="4"/>
              </w:rPr>
              <w:t>供电</w:t>
            </w:r>
          </w:p>
        </w:tc>
        <w:tc>
          <w:tcPr>
            <w:tcW w:w="4887" w:type="dxa"/>
            <w:tcBorders>
              <w:right w:val="single" w:color="000000" w:sz="10" w:space="0"/>
            </w:tcBorders>
            <w:vAlign w:val="top"/>
          </w:tcPr>
          <w:p w14:paraId="1EA528CA">
            <w:pPr>
              <w:pStyle w:val="6"/>
              <w:spacing w:before="111" w:line="227" w:lineRule="auto"/>
              <w:ind w:left="2026"/>
            </w:pPr>
            <w:r>
              <w:rPr>
                <w:spacing w:val="5"/>
              </w:rPr>
              <w:t>市政供电</w:t>
            </w:r>
          </w:p>
        </w:tc>
      </w:tr>
      <w:tr w14:paraId="4B4F45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999" w:type="dxa"/>
            <w:vMerge w:val="continue"/>
            <w:tcBorders>
              <w:top w:val="nil"/>
              <w:left w:val="single" w:color="000000" w:sz="10" w:space="0"/>
              <w:bottom w:val="single" w:color="000000" w:sz="10" w:space="0"/>
            </w:tcBorders>
            <w:vAlign w:val="top"/>
          </w:tcPr>
          <w:p w14:paraId="40AADE0C">
            <w:pPr>
              <w:rPr>
                <w:rFonts w:ascii="Arial"/>
                <w:sz w:val="21"/>
              </w:rPr>
            </w:pPr>
          </w:p>
        </w:tc>
        <w:tc>
          <w:tcPr>
            <w:tcW w:w="996" w:type="dxa"/>
            <w:vMerge w:val="continue"/>
            <w:tcBorders>
              <w:top w:val="nil"/>
              <w:bottom w:val="single" w:color="000000" w:sz="10" w:space="0"/>
            </w:tcBorders>
            <w:vAlign w:val="top"/>
          </w:tcPr>
          <w:p w14:paraId="1F224BCF">
            <w:pPr>
              <w:rPr>
                <w:rFonts w:ascii="Arial"/>
                <w:sz w:val="21"/>
              </w:rPr>
            </w:pPr>
          </w:p>
        </w:tc>
        <w:tc>
          <w:tcPr>
            <w:tcW w:w="1656" w:type="dxa"/>
            <w:tcBorders>
              <w:bottom w:val="single" w:color="000000" w:sz="10" w:space="0"/>
            </w:tcBorders>
            <w:vAlign w:val="top"/>
          </w:tcPr>
          <w:p w14:paraId="1F4FB943">
            <w:pPr>
              <w:pStyle w:val="6"/>
              <w:spacing w:before="152" w:line="228" w:lineRule="auto"/>
              <w:ind w:left="621"/>
            </w:pPr>
            <w:r>
              <w:rPr>
                <w:spacing w:val="2"/>
              </w:rPr>
              <w:t>消防</w:t>
            </w:r>
          </w:p>
        </w:tc>
        <w:tc>
          <w:tcPr>
            <w:tcW w:w="4887" w:type="dxa"/>
            <w:tcBorders>
              <w:bottom w:val="single" w:color="000000" w:sz="10" w:space="0"/>
              <w:right w:val="single" w:color="000000" w:sz="10" w:space="0"/>
            </w:tcBorders>
            <w:vAlign w:val="top"/>
          </w:tcPr>
          <w:p w14:paraId="5217575E">
            <w:pPr>
              <w:pStyle w:val="6"/>
              <w:spacing w:before="165" w:line="228" w:lineRule="auto"/>
              <w:ind w:left="553"/>
            </w:pPr>
            <w:r>
              <w:rPr>
                <w:spacing w:val="9"/>
              </w:rPr>
              <w:t>设置消防通道，配备室外消防栓和灭火器</w:t>
            </w:r>
          </w:p>
        </w:tc>
      </w:tr>
    </w:tbl>
    <w:p w14:paraId="57036F89">
      <w:pPr>
        <w:spacing w:before="38" w:line="219" w:lineRule="auto"/>
        <w:ind w:left="35"/>
        <w:outlineLvl w:val="2"/>
        <w:rPr>
          <w:rFonts w:ascii="宋体" w:hAnsi="宋体" w:eastAsia="宋体" w:cs="宋体"/>
          <w:sz w:val="24"/>
          <w:szCs w:val="24"/>
        </w:rPr>
      </w:pPr>
      <w:r>
        <w:rPr>
          <w:rFonts w:ascii="Times New Roman" w:hAnsi="Times New Roman" w:eastAsia="Times New Roman" w:cs="Times New Roman"/>
          <w:b/>
          <w:bCs/>
          <w:spacing w:val="-2"/>
          <w:sz w:val="24"/>
          <w:szCs w:val="24"/>
        </w:rPr>
        <w:t>3.2.3</w:t>
      </w:r>
      <w:r>
        <w:rPr>
          <w:rFonts w:ascii="宋体" w:hAnsi="宋体" w:eastAsia="宋体" w:cs="宋体"/>
          <w:b/>
          <w:bCs/>
          <w:spacing w:val="-2"/>
          <w:sz w:val="24"/>
          <w:szCs w:val="24"/>
        </w:rPr>
        <w:t>项目设计进出水水质</w:t>
      </w:r>
    </w:p>
    <w:p w14:paraId="1BD6FF8D">
      <w:pPr>
        <w:spacing w:before="180" w:line="359" w:lineRule="auto"/>
        <w:ind w:left="41" w:right="28" w:firstLine="480"/>
        <w:rPr>
          <w:rFonts w:ascii="宋体" w:hAnsi="宋体" w:eastAsia="宋体" w:cs="宋体"/>
          <w:sz w:val="24"/>
          <w:szCs w:val="24"/>
        </w:rPr>
      </w:pPr>
      <w:r>
        <w:rPr>
          <w:rFonts w:ascii="宋体" w:hAnsi="宋体" w:eastAsia="宋体" w:cs="宋体"/>
          <w:spacing w:val="3"/>
          <w:sz w:val="24"/>
          <w:szCs w:val="24"/>
        </w:rPr>
        <w:t>根据环评要求，隆回县工业污水处理厂出水水质执行《城镇</w:t>
      </w:r>
      <w:r>
        <w:rPr>
          <w:rFonts w:ascii="宋体" w:hAnsi="宋体" w:eastAsia="宋体" w:cs="宋体"/>
          <w:spacing w:val="2"/>
          <w:sz w:val="24"/>
          <w:szCs w:val="24"/>
        </w:rPr>
        <w:t>污水处理厂污染</w:t>
      </w:r>
      <w:r>
        <w:rPr>
          <w:rFonts w:ascii="宋体" w:hAnsi="宋体" w:eastAsia="宋体" w:cs="宋体"/>
          <w:spacing w:val="-1"/>
          <w:sz w:val="24"/>
          <w:szCs w:val="24"/>
        </w:rPr>
        <w:t>物排放标准》</w:t>
      </w:r>
      <w:r>
        <w:rPr>
          <w:rFonts w:ascii="Times New Roman" w:hAnsi="Times New Roman" w:eastAsia="Times New Roman" w:cs="Times New Roman"/>
          <w:spacing w:val="-1"/>
          <w:sz w:val="24"/>
          <w:szCs w:val="24"/>
        </w:rPr>
        <w:t>(GB18918-2002)</w:t>
      </w:r>
      <w:r>
        <w:rPr>
          <w:rFonts w:ascii="宋体" w:hAnsi="宋体" w:eastAsia="宋体" w:cs="宋体"/>
          <w:spacing w:val="-1"/>
          <w:sz w:val="24"/>
          <w:szCs w:val="24"/>
        </w:rPr>
        <w:t>中一级</w:t>
      </w:r>
      <w:r>
        <w:rPr>
          <w:rFonts w:ascii="Times New Roman" w:hAnsi="Times New Roman" w:eastAsia="Times New Roman" w:cs="Times New Roman"/>
          <w:spacing w:val="-1"/>
          <w:sz w:val="24"/>
          <w:szCs w:val="24"/>
        </w:rPr>
        <w:t>A</w:t>
      </w:r>
      <w:r>
        <w:rPr>
          <w:rFonts w:ascii="宋体" w:hAnsi="宋体" w:eastAsia="宋体" w:cs="宋体"/>
          <w:spacing w:val="-1"/>
          <w:sz w:val="24"/>
          <w:szCs w:val="24"/>
        </w:rPr>
        <w:t>排放标准。</w:t>
      </w:r>
    </w:p>
    <w:p w14:paraId="7332B292">
      <w:pPr>
        <w:spacing w:line="212" w:lineRule="auto"/>
        <w:ind w:left="1962"/>
        <w:rPr>
          <w:rFonts w:ascii="宋体" w:hAnsi="宋体" w:eastAsia="宋体" w:cs="宋体"/>
          <w:sz w:val="24"/>
          <w:szCs w:val="24"/>
        </w:rPr>
      </w:pPr>
      <w:r>
        <w:rPr>
          <w:rFonts w:ascii="宋体" w:hAnsi="宋体" w:eastAsia="宋体" w:cs="宋体"/>
          <w:b/>
          <w:bCs/>
          <w:spacing w:val="-1"/>
          <w:sz w:val="24"/>
          <w:szCs w:val="24"/>
        </w:rPr>
        <w:t>表</w:t>
      </w:r>
      <w:r>
        <w:rPr>
          <w:rFonts w:ascii="Times New Roman" w:hAnsi="Times New Roman" w:eastAsia="Times New Roman" w:cs="Times New Roman"/>
          <w:b/>
          <w:bCs/>
          <w:spacing w:val="-1"/>
          <w:sz w:val="24"/>
          <w:szCs w:val="24"/>
        </w:rPr>
        <w:t>3.2-2</w:t>
      </w:r>
      <w:r>
        <w:rPr>
          <w:rFonts w:ascii="宋体" w:hAnsi="宋体" w:eastAsia="宋体" w:cs="宋体"/>
          <w:b/>
          <w:bCs/>
          <w:spacing w:val="-1"/>
          <w:sz w:val="24"/>
          <w:szCs w:val="24"/>
        </w:rPr>
        <w:t>设计进、出水水质（单</w:t>
      </w:r>
      <w:r>
        <w:rPr>
          <w:rFonts w:ascii="宋体" w:hAnsi="宋体" w:eastAsia="宋体" w:cs="宋体"/>
          <w:b/>
          <w:bCs/>
          <w:spacing w:val="-2"/>
          <w:sz w:val="24"/>
          <w:szCs w:val="24"/>
        </w:rPr>
        <w:t>位：</w:t>
      </w:r>
      <w:r>
        <w:rPr>
          <w:rFonts w:ascii="Times New Roman" w:hAnsi="Times New Roman" w:eastAsia="Times New Roman" w:cs="Times New Roman"/>
          <w:b/>
          <w:bCs/>
          <w:spacing w:val="-2"/>
          <w:sz w:val="24"/>
          <w:szCs w:val="24"/>
        </w:rPr>
        <w:t>mg/L</w:t>
      </w:r>
      <w:r>
        <w:rPr>
          <w:rFonts w:ascii="宋体" w:hAnsi="宋体" w:eastAsia="宋体" w:cs="宋体"/>
          <w:b/>
          <w:bCs/>
          <w:spacing w:val="-2"/>
          <w:sz w:val="24"/>
          <w:szCs w:val="24"/>
        </w:rPr>
        <w:t>）</w:t>
      </w:r>
    </w:p>
    <w:tbl>
      <w:tblPr>
        <w:tblStyle w:val="5"/>
        <w:tblW w:w="8496" w:type="dxa"/>
        <w:tblInd w:w="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5"/>
        <w:gridCol w:w="1210"/>
        <w:gridCol w:w="1209"/>
        <w:gridCol w:w="1209"/>
        <w:gridCol w:w="1210"/>
        <w:gridCol w:w="1209"/>
        <w:gridCol w:w="1224"/>
      </w:tblGrid>
      <w:tr w14:paraId="5895F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225" w:type="dxa"/>
            <w:tcBorders>
              <w:top w:val="single" w:color="000000" w:sz="10" w:space="0"/>
              <w:left w:val="single" w:color="000000" w:sz="10" w:space="0"/>
            </w:tcBorders>
            <w:vAlign w:val="top"/>
          </w:tcPr>
          <w:p w14:paraId="36AE0897">
            <w:pPr>
              <w:pStyle w:val="6"/>
              <w:spacing w:before="37" w:line="212" w:lineRule="auto"/>
              <w:ind w:left="184"/>
            </w:pPr>
            <w:r>
              <w:rPr>
                <w:b/>
                <w:bCs/>
                <w:spacing w:val="5"/>
              </w:rPr>
              <w:t>水质指标</w:t>
            </w:r>
          </w:p>
        </w:tc>
        <w:tc>
          <w:tcPr>
            <w:tcW w:w="1210" w:type="dxa"/>
            <w:tcBorders>
              <w:top w:val="single" w:color="000000" w:sz="10" w:space="0"/>
            </w:tcBorders>
            <w:vAlign w:val="top"/>
          </w:tcPr>
          <w:p w14:paraId="6DCC30A2">
            <w:pPr>
              <w:spacing w:before="73" w:line="195" w:lineRule="auto"/>
              <w:ind w:left="366"/>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COD</w:t>
            </w:r>
          </w:p>
        </w:tc>
        <w:tc>
          <w:tcPr>
            <w:tcW w:w="1209" w:type="dxa"/>
            <w:tcBorders>
              <w:top w:val="single" w:color="000000" w:sz="10" w:space="0"/>
            </w:tcBorders>
            <w:vAlign w:val="top"/>
          </w:tcPr>
          <w:p w14:paraId="2FB2492A">
            <w:pPr>
              <w:spacing w:before="73" w:line="202" w:lineRule="auto"/>
              <w:ind w:left="340"/>
              <w:rPr>
                <w:rFonts w:ascii="Times New Roman" w:hAnsi="Times New Roman" w:eastAsia="Times New Roman" w:cs="Times New Roman"/>
                <w:sz w:val="13"/>
                <w:szCs w:val="13"/>
              </w:rPr>
            </w:pPr>
            <w:r>
              <w:rPr>
                <w:rFonts w:ascii="Times New Roman" w:hAnsi="Times New Roman" w:eastAsia="Times New Roman" w:cs="Times New Roman"/>
                <w:b/>
                <w:bCs/>
                <w:sz w:val="20"/>
                <w:szCs w:val="20"/>
              </w:rPr>
              <w:t>BOD</w:t>
            </w:r>
            <w:r>
              <w:rPr>
                <w:rFonts w:ascii="Times New Roman" w:hAnsi="Times New Roman" w:eastAsia="Times New Roman" w:cs="Times New Roman"/>
                <w:b/>
                <w:bCs/>
                <w:spacing w:val="19"/>
                <w:position w:val="-1"/>
                <w:sz w:val="13"/>
                <w:szCs w:val="13"/>
              </w:rPr>
              <w:t>5</w:t>
            </w:r>
          </w:p>
        </w:tc>
        <w:tc>
          <w:tcPr>
            <w:tcW w:w="1209" w:type="dxa"/>
            <w:tcBorders>
              <w:top w:val="single" w:color="000000" w:sz="10" w:space="0"/>
            </w:tcBorders>
            <w:vAlign w:val="top"/>
          </w:tcPr>
          <w:p w14:paraId="019AF07C">
            <w:pPr>
              <w:spacing w:before="73" w:line="195" w:lineRule="auto"/>
              <w:ind w:left="493"/>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SS</w:t>
            </w:r>
          </w:p>
        </w:tc>
        <w:tc>
          <w:tcPr>
            <w:tcW w:w="1210" w:type="dxa"/>
            <w:tcBorders>
              <w:top w:val="single" w:color="000000" w:sz="10" w:space="0"/>
            </w:tcBorders>
            <w:vAlign w:val="top"/>
          </w:tcPr>
          <w:p w14:paraId="258CBCFF">
            <w:pPr>
              <w:spacing w:before="76" w:line="192" w:lineRule="auto"/>
              <w:ind w:left="476"/>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TP</w:t>
            </w:r>
          </w:p>
        </w:tc>
        <w:tc>
          <w:tcPr>
            <w:tcW w:w="1209" w:type="dxa"/>
            <w:tcBorders>
              <w:top w:val="single" w:color="000000" w:sz="10" w:space="0"/>
            </w:tcBorders>
            <w:vAlign w:val="top"/>
          </w:tcPr>
          <w:p w14:paraId="03A81ECD">
            <w:pPr>
              <w:spacing w:before="76" w:line="199" w:lineRule="auto"/>
              <w:ind w:left="308"/>
              <w:rPr>
                <w:rFonts w:ascii="Times New Roman" w:hAnsi="Times New Roman" w:eastAsia="Times New Roman" w:cs="Times New Roman"/>
                <w:sz w:val="20"/>
                <w:szCs w:val="20"/>
              </w:rPr>
            </w:pPr>
            <w:r>
              <w:rPr>
                <w:rFonts w:ascii="Times New Roman" w:hAnsi="Times New Roman" w:eastAsia="Times New Roman" w:cs="Times New Roman"/>
                <w:b/>
                <w:bCs/>
                <w:sz w:val="20"/>
                <w:szCs w:val="20"/>
              </w:rPr>
              <w:t>NH</w:t>
            </w:r>
            <w:r>
              <w:rPr>
                <w:rFonts w:ascii="Times New Roman" w:hAnsi="Times New Roman" w:eastAsia="Times New Roman" w:cs="Times New Roman"/>
                <w:b/>
                <w:bCs/>
                <w:spacing w:val="7"/>
                <w:sz w:val="13"/>
                <w:szCs w:val="13"/>
              </w:rPr>
              <w:t>3</w:t>
            </w:r>
            <w:r>
              <w:rPr>
                <w:rFonts w:ascii="Times New Roman" w:hAnsi="Times New Roman" w:eastAsia="Times New Roman" w:cs="Times New Roman"/>
                <w:b/>
                <w:bCs/>
                <w:spacing w:val="7"/>
                <w:sz w:val="20"/>
                <w:szCs w:val="20"/>
              </w:rPr>
              <w:t>-N</w:t>
            </w:r>
          </w:p>
        </w:tc>
        <w:tc>
          <w:tcPr>
            <w:tcW w:w="1224" w:type="dxa"/>
            <w:tcBorders>
              <w:top w:val="single" w:color="000000" w:sz="10" w:space="0"/>
              <w:right w:val="single" w:color="000000" w:sz="10" w:space="0"/>
            </w:tcBorders>
            <w:vAlign w:val="top"/>
          </w:tcPr>
          <w:p w14:paraId="39D28A5B">
            <w:pPr>
              <w:spacing w:before="76" w:line="192" w:lineRule="auto"/>
              <w:ind w:left="471"/>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TN</w:t>
            </w:r>
          </w:p>
        </w:tc>
      </w:tr>
      <w:tr w14:paraId="0B78F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1225" w:type="dxa"/>
            <w:tcBorders>
              <w:left w:val="single" w:color="000000" w:sz="10" w:space="0"/>
            </w:tcBorders>
            <w:vAlign w:val="top"/>
          </w:tcPr>
          <w:p w14:paraId="3FCE86EE">
            <w:pPr>
              <w:pStyle w:val="6"/>
              <w:spacing w:before="102" w:line="228" w:lineRule="auto"/>
              <w:ind w:left="182"/>
            </w:pPr>
            <w:r>
              <w:rPr>
                <w:spacing w:val="7"/>
              </w:rPr>
              <w:t>进水浓度</w:t>
            </w:r>
          </w:p>
        </w:tc>
        <w:tc>
          <w:tcPr>
            <w:tcW w:w="1210" w:type="dxa"/>
            <w:vAlign w:val="top"/>
          </w:tcPr>
          <w:p w14:paraId="35CD5FC3">
            <w:pPr>
              <w:spacing w:before="134" w:line="194" w:lineRule="auto"/>
              <w:ind w:left="390"/>
              <w:rPr>
                <w:rFonts w:ascii="Times New Roman" w:hAnsi="Times New Roman" w:eastAsia="Times New Roman" w:cs="Times New Roman"/>
                <w:sz w:val="20"/>
                <w:szCs w:val="20"/>
              </w:rPr>
            </w:pPr>
            <w:r>
              <w:rPr>
                <w:rFonts w:ascii="Calibri" w:hAnsi="Calibri" w:eastAsia="Calibri" w:cs="Calibri"/>
                <w:spacing w:val="3"/>
                <w:sz w:val="20"/>
                <w:szCs w:val="20"/>
              </w:rPr>
              <w:t>≤</w:t>
            </w:r>
            <w:r>
              <w:rPr>
                <w:rFonts w:ascii="Times New Roman" w:hAnsi="Times New Roman" w:eastAsia="Times New Roman" w:cs="Times New Roman"/>
                <w:spacing w:val="3"/>
                <w:sz w:val="20"/>
                <w:szCs w:val="20"/>
              </w:rPr>
              <w:t>450</w:t>
            </w:r>
          </w:p>
        </w:tc>
        <w:tc>
          <w:tcPr>
            <w:tcW w:w="1209" w:type="dxa"/>
            <w:vAlign w:val="top"/>
          </w:tcPr>
          <w:p w14:paraId="118FC5B7">
            <w:pPr>
              <w:spacing w:before="134" w:line="194" w:lineRule="auto"/>
              <w:ind w:left="394"/>
              <w:rPr>
                <w:rFonts w:ascii="Times New Roman" w:hAnsi="Times New Roman" w:eastAsia="Times New Roman" w:cs="Times New Roman"/>
                <w:sz w:val="20"/>
                <w:szCs w:val="20"/>
              </w:rPr>
            </w:pPr>
            <w:r>
              <w:rPr>
                <w:rFonts w:ascii="Calibri" w:hAnsi="Calibri" w:eastAsia="Calibri" w:cs="Calibri"/>
                <w:spacing w:val="2"/>
                <w:sz w:val="20"/>
                <w:szCs w:val="20"/>
              </w:rPr>
              <w:t>≤</w:t>
            </w:r>
            <w:r>
              <w:rPr>
                <w:rFonts w:ascii="Times New Roman" w:hAnsi="Times New Roman" w:eastAsia="Times New Roman" w:cs="Times New Roman"/>
                <w:spacing w:val="2"/>
                <w:sz w:val="20"/>
                <w:szCs w:val="20"/>
              </w:rPr>
              <w:t>350</w:t>
            </w:r>
          </w:p>
        </w:tc>
        <w:tc>
          <w:tcPr>
            <w:tcW w:w="1209" w:type="dxa"/>
            <w:vAlign w:val="top"/>
          </w:tcPr>
          <w:p w14:paraId="260CA923">
            <w:pPr>
              <w:spacing w:before="134" w:line="194" w:lineRule="auto"/>
              <w:ind w:left="397"/>
              <w:rPr>
                <w:rFonts w:ascii="Times New Roman" w:hAnsi="Times New Roman" w:eastAsia="Times New Roman" w:cs="Times New Roman"/>
                <w:sz w:val="20"/>
                <w:szCs w:val="20"/>
              </w:rPr>
            </w:pPr>
            <w:r>
              <w:rPr>
                <w:rFonts w:ascii="Calibri" w:hAnsi="Calibri" w:eastAsia="Calibri" w:cs="Calibri"/>
                <w:spacing w:val="3"/>
                <w:sz w:val="20"/>
                <w:szCs w:val="20"/>
              </w:rPr>
              <w:t>≤</w:t>
            </w:r>
            <w:r>
              <w:rPr>
                <w:rFonts w:ascii="Times New Roman" w:hAnsi="Times New Roman" w:eastAsia="Times New Roman" w:cs="Times New Roman"/>
                <w:spacing w:val="3"/>
                <w:sz w:val="20"/>
                <w:szCs w:val="20"/>
              </w:rPr>
              <w:t>350</w:t>
            </w:r>
          </w:p>
        </w:tc>
        <w:tc>
          <w:tcPr>
            <w:tcW w:w="1210" w:type="dxa"/>
            <w:vAlign w:val="top"/>
          </w:tcPr>
          <w:p w14:paraId="0B906C2D">
            <w:pPr>
              <w:spacing w:before="134" w:line="194" w:lineRule="auto"/>
              <w:ind w:left="506"/>
              <w:rPr>
                <w:rFonts w:ascii="Times New Roman" w:hAnsi="Times New Roman" w:eastAsia="Times New Roman" w:cs="Times New Roman"/>
                <w:sz w:val="20"/>
                <w:szCs w:val="20"/>
              </w:rPr>
            </w:pPr>
            <w:r>
              <w:rPr>
                <w:rFonts w:ascii="Calibri" w:hAnsi="Calibri" w:eastAsia="Calibri" w:cs="Calibri"/>
                <w:sz w:val="20"/>
                <w:szCs w:val="20"/>
              </w:rPr>
              <w:t>≤</w:t>
            </w:r>
            <w:r>
              <w:rPr>
                <w:rFonts w:ascii="Times New Roman" w:hAnsi="Times New Roman" w:eastAsia="Times New Roman" w:cs="Times New Roman"/>
                <w:sz w:val="20"/>
                <w:szCs w:val="20"/>
              </w:rPr>
              <w:t>6</w:t>
            </w:r>
          </w:p>
        </w:tc>
        <w:tc>
          <w:tcPr>
            <w:tcW w:w="1209" w:type="dxa"/>
            <w:vAlign w:val="top"/>
          </w:tcPr>
          <w:p w14:paraId="30F946FF">
            <w:pPr>
              <w:spacing w:before="134" w:line="194" w:lineRule="auto"/>
              <w:ind w:left="458"/>
              <w:rPr>
                <w:rFonts w:ascii="Times New Roman" w:hAnsi="Times New Roman" w:eastAsia="Times New Roman" w:cs="Times New Roman"/>
                <w:sz w:val="20"/>
                <w:szCs w:val="20"/>
              </w:rPr>
            </w:pPr>
            <w:r>
              <w:rPr>
                <w:rFonts w:ascii="Calibri" w:hAnsi="Calibri" w:eastAsia="Calibri" w:cs="Calibri"/>
                <w:spacing w:val="2"/>
                <w:sz w:val="20"/>
                <w:szCs w:val="20"/>
              </w:rPr>
              <w:t>≤</w:t>
            </w:r>
            <w:r>
              <w:rPr>
                <w:rFonts w:ascii="Times New Roman" w:hAnsi="Times New Roman" w:eastAsia="Times New Roman" w:cs="Times New Roman"/>
                <w:spacing w:val="2"/>
                <w:sz w:val="20"/>
                <w:szCs w:val="20"/>
              </w:rPr>
              <w:t>45</w:t>
            </w:r>
          </w:p>
        </w:tc>
        <w:tc>
          <w:tcPr>
            <w:tcW w:w="1224" w:type="dxa"/>
            <w:tcBorders>
              <w:right w:val="single" w:color="000000" w:sz="10" w:space="0"/>
            </w:tcBorders>
            <w:vAlign w:val="top"/>
          </w:tcPr>
          <w:p w14:paraId="57D8676B">
            <w:pPr>
              <w:spacing w:before="134" w:line="194" w:lineRule="auto"/>
              <w:ind w:left="463"/>
              <w:rPr>
                <w:rFonts w:ascii="Times New Roman" w:hAnsi="Times New Roman" w:eastAsia="Times New Roman" w:cs="Times New Roman"/>
                <w:sz w:val="20"/>
                <w:szCs w:val="20"/>
              </w:rPr>
            </w:pPr>
            <w:r>
              <w:rPr>
                <w:rFonts w:ascii="Calibri" w:hAnsi="Calibri" w:eastAsia="Calibri" w:cs="Calibri"/>
                <w:spacing w:val="1"/>
                <w:sz w:val="20"/>
                <w:szCs w:val="20"/>
              </w:rPr>
              <w:t>≤</w:t>
            </w:r>
            <w:r>
              <w:rPr>
                <w:rFonts w:ascii="Times New Roman" w:hAnsi="Times New Roman" w:eastAsia="Times New Roman" w:cs="Times New Roman"/>
                <w:spacing w:val="1"/>
                <w:sz w:val="20"/>
                <w:szCs w:val="20"/>
              </w:rPr>
              <w:t>50</w:t>
            </w:r>
          </w:p>
        </w:tc>
      </w:tr>
      <w:tr w14:paraId="08B513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1225" w:type="dxa"/>
            <w:tcBorders>
              <w:left w:val="single" w:color="000000" w:sz="10" w:space="0"/>
              <w:bottom w:val="single" w:color="000000" w:sz="10" w:space="0"/>
            </w:tcBorders>
            <w:vAlign w:val="top"/>
          </w:tcPr>
          <w:p w14:paraId="0DAD5DAB">
            <w:pPr>
              <w:pStyle w:val="6"/>
              <w:spacing w:before="116" w:line="228" w:lineRule="auto"/>
              <w:ind w:left="202"/>
            </w:pPr>
            <w:r>
              <w:rPr>
                <w:spacing w:val="2"/>
              </w:rPr>
              <w:t>出水水质</w:t>
            </w:r>
          </w:p>
        </w:tc>
        <w:tc>
          <w:tcPr>
            <w:tcW w:w="1210" w:type="dxa"/>
            <w:tcBorders>
              <w:bottom w:val="single" w:color="000000" w:sz="10" w:space="0"/>
            </w:tcBorders>
            <w:vAlign w:val="top"/>
          </w:tcPr>
          <w:p w14:paraId="449529F3">
            <w:pPr>
              <w:spacing w:before="147" w:line="194" w:lineRule="auto"/>
              <w:ind w:left="443"/>
              <w:rPr>
                <w:rFonts w:ascii="Times New Roman" w:hAnsi="Times New Roman" w:eastAsia="Times New Roman" w:cs="Times New Roman"/>
                <w:sz w:val="20"/>
                <w:szCs w:val="20"/>
              </w:rPr>
            </w:pPr>
            <w:r>
              <w:rPr>
                <w:rFonts w:ascii="Calibri" w:hAnsi="Calibri" w:eastAsia="Calibri" w:cs="Calibri"/>
                <w:spacing w:val="1"/>
                <w:sz w:val="20"/>
                <w:szCs w:val="20"/>
              </w:rPr>
              <w:t>≤</w:t>
            </w:r>
            <w:r>
              <w:rPr>
                <w:rFonts w:ascii="Times New Roman" w:hAnsi="Times New Roman" w:eastAsia="Times New Roman" w:cs="Times New Roman"/>
                <w:spacing w:val="1"/>
                <w:sz w:val="20"/>
                <w:szCs w:val="20"/>
              </w:rPr>
              <w:t>50</w:t>
            </w:r>
          </w:p>
        </w:tc>
        <w:tc>
          <w:tcPr>
            <w:tcW w:w="1209" w:type="dxa"/>
            <w:tcBorders>
              <w:bottom w:val="single" w:color="000000" w:sz="10" w:space="0"/>
            </w:tcBorders>
            <w:vAlign w:val="top"/>
          </w:tcPr>
          <w:p w14:paraId="1F3C403C">
            <w:pPr>
              <w:spacing w:before="147" w:line="194" w:lineRule="auto"/>
              <w:ind w:left="447"/>
              <w:rPr>
                <w:rFonts w:ascii="Times New Roman" w:hAnsi="Times New Roman" w:eastAsia="Times New Roman" w:cs="Times New Roman"/>
                <w:sz w:val="20"/>
                <w:szCs w:val="20"/>
              </w:rPr>
            </w:pPr>
            <w:r>
              <w:rPr>
                <w:rFonts w:ascii="Calibri" w:hAnsi="Calibri" w:eastAsia="Calibri" w:cs="Calibri"/>
                <w:spacing w:val="1"/>
                <w:sz w:val="20"/>
                <w:szCs w:val="20"/>
              </w:rPr>
              <w:t>≤</w:t>
            </w:r>
            <w:r>
              <w:rPr>
                <w:rFonts w:ascii="Times New Roman" w:hAnsi="Times New Roman" w:eastAsia="Times New Roman" w:cs="Times New Roman"/>
                <w:spacing w:val="1"/>
                <w:sz w:val="20"/>
                <w:szCs w:val="20"/>
              </w:rPr>
              <w:t>10</w:t>
            </w:r>
          </w:p>
        </w:tc>
        <w:tc>
          <w:tcPr>
            <w:tcW w:w="1209" w:type="dxa"/>
            <w:tcBorders>
              <w:bottom w:val="single" w:color="000000" w:sz="10" w:space="0"/>
            </w:tcBorders>
            <w:vAlign w:val="top"/>
          </w:tcPr>
          <w:p w14:paraId="71F4A3CE">
            <w:pPr>
              <w:spacing w:before="147" w:line="194" w:lineRule="auto"/>
              <w:ind w:left="450"/>
              <w:rPr>
                <w:rFonts w:ascii="Times New Roman" w:hAnsi="Times New Roman" w:eastAsia="Times New Roman" w:cs="Times New Roman"/>
                <w:sz w:val="20"/>
                <w:szCs w:val="20"/>
              </w:rPr>
            </w:pPr>
            <w:r>
              <w:rPr>
                <w:rFonts w:ascii="Calibri" w:hAnsi="Calibri" w:eastAsia="Calibri" w:cs="Calibri"/>
                <w:spacing w:val="1"/>
                <w:sz w:val="20"/>
                <w:szCs w:val="20"/>
              </w:rPr>
              <w:t>≤</w:t>
            </w:r>
            <w:r>
              <w:rPr>
                <w:rFonts w:ascii="Times New Roman" w:hAnsi="Times New Roman" w:eastAsia="Times New Roman" w:cs="Times New Roman"/>
                <w:spacing w:val="1"/>
                <w:sz w:val="20"/>
                <w:szCs w:val="20"/>
              </w:rPr>
              <w:t>10</w:t>
            </w:r>
          </w:p>
        </w:tc>
        <w:tc>
          <w:tcPr>
            <w:tcW w:w="1210" w:type="dxa"/>
            <w:tcBorders>
              <w:bottom w:val="single" w:color="000000" w:sz="10" w:space="0"/>
            </w:tcBorders>
            <w:vAlign w:val="top"/>
          </w:tcPr>
          <w:p w14:paraId="0B8C92F5">
            <w:pPr>
              <w:spacing w:before="147" w:line="194" w:lineRule="auto"/>
              <w:ind w:left="429"/>
              <w:rPr>
                <w:rFonts w:ascii="Times New Roman" w:hAnsi="Times New Roman" w:eastAsia="Times New Roman" w:cs="Times New Roman"/>
                <w:sz w:val="20"/>
                <w:szCs w:val="20"/>
              </w:rPr>
            </w:pPr>
            <w:r>
              <w:rPr>
                <w:rFonts w:ascii="Calibri" w:hAnsi="Calibri" w:eastAsia="Calibri" w:cs="Calibri"/>
                <w:spacing w:val="1"/>
                <w:sz w:val="20"/>
                <w:szCs w:val="20"/>
              </w:rPr>
              <w:t>≤</w:t>
            </w:r>
            <w:r>
              <w:rPr>
                <w:rFonts w:ascii="Times New Roman" w:hAnsi="Times New Roman" w:eastAsia="Times New Roman" w:cs="Times New Roman"/>
                <w:spacing w:val="1"/>
                <w:sz w:val="20"/>
                <w:szCs w:val="20"/>
              </w:rPr>
              <w:t>0.5</w:t>
            </w:r>
          </w:p>
        </w:tc>
        <w:tc>
          <w:tcPr>
            <w:tcW w:w="1209" w:type="dxa"/>
            <w:tcBorders>
              <w:bottom w:val="single" w:color="000000" w:sz="10" w:space="0"/>
            </w:tcBorders>
            <w:vAlign w:val="top"/>
          </w:tcPr>
          <w:p w14:paraId="2EEF1284">
            <w:pPr>
              <w:pStyle w:val="6"/>
              <w:spacing w:before="116"/>
              <w:ind w:left="249"/>
            </w:pPr>
            <w:r>
              <w:rPr>
                <w:rFonts w:ascii="Calibri" w:hAnsi="Calibri" w:eastAsia="Calibri" w:cs="Calibri"/>
                <w:spacing w:val="2"/>
              </w:rPr>
              <w:t>≤</w:t>
            </w:r>
            <w:r>
              <w:rPr>
                <w:rFonts w:ascii="Times New Roman" w:hAnsi="Times New Roman" w:eastAsia="Times New Roman" w:cs="Times New Roman"/>
                <w:spacing w:val="2"/>
              </w:rPr>
              <w:t>5</w:t>
            </w:r>
            <w:r>
              <w:rPr>
                <w:spacing w:val="2"/>
              </w:rPr>
              <w:t>（</w:t>
            </w:r>
            <w:r>
              <w:rPr>
                <w:rFonts w:ascii="Times New Roman" w:hAnsi="Times New Roman" w:eastAsia="Times New Roman" w:cs="Times New Roman"/>
                <w:spacing w:val="2"/>
              </w:rPr>
              <w:t>8</w:t>
            </w:r>
            <w:r>
              <w:rPr>
                <w:spacing w:val="2"/>
              </w:rPr>
              <w:t>）</w:t>
            </w:r>
          </w:p>
        </w:tc>
        <w:tc>
          <w:tcPr>
            <w:tcW w:w="1224" w:type="dxa"/>
            <w:tcBorders>
              <w:bottom w:val="single" w:color="000000" w:sz="10" w:space="0"/>
              <w:right w:val="single" w:color="000000" w:sz="10" w:space="0"/>
            </w:tcBorders>
            <w:vAlign w:val="top"/>
          </w:tcPr>
          <w:p w14:paraId="55EC3C8A">
            <w:pPr>
              <w:spacing w:before="147" w:line="194" w:lineRule="auto"/>
              <w:ind w:left="463"/>
              <w:rPr>
                <w:rFonts w:ascii="Times New Roman" w:hAnsi="Times New Roman" w:eastAsia="Times New Roman" w:cs="Times New Roman"/>
                <w:sz w:val="20"/>
                <w:szCs w:val="20"/>
              </w:rPr>
            </w:pPr>
            <w:r>
              <w:rPr>
                <w:rFonts w:ascii="Calibri" w:hAnsi="Calibri" w:eastAsia="Calibri" w:cs="Calibri"/>
                <w:spacing w:val="1"/>
                <w:sz w:val="20"/>
                <w:szCs w:val="20"/>
              </w:rPr>
              <w:t>≤</w:t>
            </w:r>
            <w:r>
              <w:rPr>
                <w:rFonts w:ascii="Times New Roman" w:hAnsi="Times New Roman" w:eastAsia="Times New Roman" w:cs="Times New Roman"/>
                <w:spacing w:val="1"/>
                <w:sz w:val="20"/>
                <w:szCs w:val="20"/>
              </w:rPr>
              <w:t>15</w:t>
            </w:r>
          </w:p>
        </w:tc>
      </w:tr>
    </w:tbl>
    <w:p w14:paraId="2EE8C54D">
      <w:pPr>
        <w:spacing w:before="32" w:line="228" w:lineRule="auto"/>
        <w:ind w:left="40"/>
        <w:rPr>
          <w:rFonts w:ascii="宋体" w:hAnsi="宋体" w:eastAsia="宋体" w:cs="宋体"/>
          <w:sz w:val="20"/>
          <w:szCs w:val="20"/>
        </w:rPr>
      </w:pPr>
      <w:r>
        <w:rPr>
          <w:rFonts w:ascii="宋体" w:hAnsi="宋体" w:eastAsia="宋体" w:cs="宋体"/>
          <w:spacing w:val="9"/>
          <w:sz w:val="20"/>
          <w:szCs w:val="20"/>
        </w:rPr>
        <w:t>注：括号外数值为水温</w:t>
      </w:r>
      <w:r>
        <w:rPr>
          <w:rFonts w:ascii="Times New Roman" w:hAnsi="Times New Roman" w:eastAsia="Times New Roman" w:cs="Times New Roman"/>
          <w:spacing w:val="9"/>
          <w:sz w:val="20"/>
          <w:szCs w:val="20"/>
        </w:rPr>
        <w:t>&gt;12</w:t>
      </w:r>
      <w:r>
        <w:rPr>
          <w:rFonts w:ascii="宋体" w:hAnsi="宋体" w:eastAsia="宋体" w:cs="宋体"/>
          <w:spacing w:val="9"/>
          <w:sz w:val="20"/>
          <w:szCs w:val="20"/>
        </w:rPr>
        <w:t>℃时的控制指标，括号内数值为水</w:t>
      </w:r>
      <w:r>
        <w:rPr>
          <w:rFonts w:ascii="宋体" w:hAnsi="宋体" w:eastAsia="宋体" w:cs="宋体"/>
          <w:spacing w:val="8"/>
          <w:sz w:val="20"/>
          <w:szCs w:val="20"/>
        </w:rPr>
        <w:t>温</w:t>
      </w:r>
      <w:r>
        <w:rPr>
          <w:rFonts w:ascii="Calibri" w:hAnsi="Calibri" w:eastAsia="Calibri" w:cs="Calibri"/>
          <w:spacing w:val="8"/>
          <w:sz w:val="20"/>
          <w:szCs w:val="20"/>
        </w:rPr>
        <w:t>≤</w:t>
      </w:r>
      <w:r>
        <w:rPr>
          <w:rFonts w:ascii="Times New Roman" w:hAnsi="Times New Roman" w:eastAsia="Times New Roman" w:cs="Times New Roman"/>
          <w:spacing w:val="8"/>
          <w:sz w:val="20"/>
          <w:szCs w:val="20"/>
        </w:rPr>
        <w:t>12</w:t>
      </w:r>
      <w:r>
        <w:rPr>
          <w:rFonts w:ascii="宋体" w:hAnsi="宋体" w:eastAsia="宋体" w:cs="宋体"/>
          <w:spacing w:val="8"/>
          <w:sz w:val="20"/>
          <w:szCs w:val="20"/>
        </w:rPr>
        <w:t>℃时的控制指标。</w:t>
      </w:r>
    </w:p>
    <w:p w14:paraId="575F3FB3">
      <w:pPr>
        <w:spacing w:before="166" w:line="219" w:lineRule="auto"/>
        <w:ind w:left="35"/>
        <w:outlineLvl w:val="2"/>
        <w:rPr>
          <w:rFonts w:ascii="宋体" w:hAnsi="宋体" w:eastAsia="宋体" w:cs="宋体"/>
          <w:sz w:val="24"/>
          <w:szCs w:val="24"/>
        </w:rPr>
      </w:pPr>
      <w:r>
        <w:rPr>
          <w:rFonts w:ascii="Times New Roman" w:hAnsi="Times New Roman" w:eastAsia="Times New Roman" w:cs="Times New Roman"/>
          <w:b/>
          <w:bCs/>
          <w:spacing w:val="-2"/>
          <w:sz w:val="24"/>
          <w:szCs w:val="24"/>
        </w:rPr>
        <w:t>3.2.4</w:t>
      </w:r>
      <w:r>
        <w:rPr>
          <w:rFonts w:ascii="宋体" w:hAnsi="宋体" w:eastAsia="宋体" w:cs="宋体"/>
          <w:b/>
          <w:bCs/>
          <w:spacing w:val="-2"/>
          <w:sz w:val="24"/>
          <w:szCs w:val="24"/>
        </w:rPr>
        <w:t>污水厂运行情况</w:t>
      </w:r>
    </w:p>
    <w:p w14:paraId="6FB366FD">
      <w:pPr>
        <w:spacing w:before="181" w:line="362" w:lineRule="auto"/>
        <w:ind w:left="44" w:right="131" w:firstLine="480"/>
        <w:rPr>
          <w:rFonts w:ascii="宋体" w:hAnsi="宋体" w:eastAsia="宋体" w:cs="宋体"/>
          <w:sz w:val="24"/>
          <w:szCs w:val="24"/>
        </w:rPr>
      </w:pPr>
      <w:r>
        <w:rPr>
          <w:rFonts w:ascii="宋体" w:hAnsi="宋体" w:eastAsia="宋体" w:cs="宋体"/>
          <w:sz w:val="24"/>
          <w:szCs w:val="24"/>
        </w:rPr>
        <w:t>为了解隆回县工业污水处理厂运行情况，本</w:t>
      </w:r>
      <w:r>
        <w:rPr>
          <w:rFonts w:ascii="宋体" w:hAnsi="宋体" w:eastAsia="宋体" w:cs="宋体"/>
          <w:spacing w:val="-1"/>
          <w:sz w:val="24"/>
          <w:szCs w:val="24"/>
        </w:rPr>
        <w:t>评价收集了隆回县工业污水处理厂在线监控数据，具体见表</w:t>
      </w:r>
      <w:r>
        <w:rPr>
          <w:rFonts w:ascii="Times New Roman" w:hAnsi="Times New Roman" w:eastAsia="Times New Roman" w:cs="Times New Roman"/>
          <w:spacing w:val="-1"/>
          <w:sz w:val="24"/>
          <w:szCs w:val="24"/>
        </w:rPr>
        <w:t>3.2-3</w:t>
      </w:r>
      <w:r>
        <w:rPr>
          <w:rFonts w:ascii="宋体" w:hAnsi="宋体" w:eastAsia="宋体" w:cs="宋体"/>
          <w:spacing w:val="-1"/>
          <w:sz w:val="24"/>
          <w:szCs w:val="24"/>
        </w:rPr>
        <w:t>。</w:t>
      </w:r>
    </w:p>
    <w:p w14:paraId="0231BD4F">
      <w:pPr>
        <w:spacing w:line="362" w:lineRule="auto"/>
        <w:rPr>
          <w:rFonts w:ascii="宋体" w:hAnsi="宋体" w:eastAsia="宋体" w:cs="宋体"/>
          <w:sz w:val="24"/>
          <w:szCs w:val="24"/>
        </w:rPr>
        <w:sectPr>
          <w:headerReference r:id="rId31" w:type="default"/>
          <w:footerReference r:id="rId32" w:type="default"/>
          <w:pgSz w:w="11907" w:h="16840"/>
          <w:pgMar w:top="1132" w:right="1673" w:bottom="1259" w:left="1669" w:header="829" w:footer="1097" w:gutter="0"/>
          <w:cols w:space="720" w:num="1"/>
        </w:sectPr>
      </w:pPr>
    </w:p>
    <w:p w14:paraId="5D913E10">
      <w:pPr>
        <w:pStyle w:val="2"/>
        <w:spacing w:line="241" w:lineRule="auto"/>
      </w:pPr>
    </w:p>
    <w:p w14:paraId="387BA7E9">
      <w:pPr>
        <w:spacing w:before="78" w:line="211" w:lineRule="auto"/>
        <w:ind w:left="1844"/>
        <w:rPr>
          <w:rFonts w:ascii="宋体" w:hAnsi="宋体" w:eastAsia="宋体" w:cs="宋体"/>
          <w:sz w:val="24"/>
          <w:szCs w:val="24"/>
        </w:rPr>
      </w:pPr>
      <w:r>
        <w:rPr>
          <w:rFonts w:ascii="宋体" w:hAnsi="宋体" w:eastAsia="宋体" w:cs="宋体"/>
          <w:b/>
          <w:bCs/>
          <w:spacing w:val="-2"/>
          <w:sz w:val="24"/>
          <w:szCs w:val="24"/>
        </w:rPr>
        <w:t>表</w:t>
      </w:r>
      <w:r>
        <w:rPr>
          <w:rFonts w:ascii="Times New Roman" w:hAnsi="Times New Roman" w:eastAsia="Times New Roman" w:cs="Times New Roman"/>
          <w:b/>
          <w:bCs/>
          <w:spacing w:val="-2"/>
          <w:sz w:val="24"/>
          <w:szCs w:val="24"/>
        </w:rPr>
        <w:t>3.2-3</w:t>
      </w:r>
      <w:r>
        <w:rPr>
          <w:rFonts w:ascii="宋体" w:hAnsi="宋体" w:eastAsia="宋体" w:cs="宋体"/>
          <w:b/>
          <w:bCs/>
          <w:spacing w:val="-2"/>
          <w:sz w:val="24"/>
          <w:szCs w:val="24"/>
        </w:rPr>
        <w:t>隆回县工业污水处理厂出水水质一览表</w:t>
      </w:r>
    </w:p>
    <w:tbl>
      <w:tblPr>
        <w:tblStyle w:val="5"/>
        <w:tblW w:w="852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94"/>
        <w:gridCol w:w="1856"/>
        <w:gridCol w:w="1290"/>
        <w:gridCol w:w="1290"/>
        <w:gridCol w:w="1290"/>
        <w:gridCol w:w="1305"/>
      </w:tblGrid>
      <w:tr w14:paraId="1FF2F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494" w:type="dxa"/>
            <w:vMerge w:val="restart"/>
            <w:tcBorders>
              <w:top w:val="single" w:color="000000" w:sz="10" w:space="0"/>
              <w:left w:val="single" w:color="000000" w:sz="10" w:space="0"/>
              <w:bottom w:val="nil"/>
            </w:tcBorders>
            <w:vAlign w:val="top"/>
          </w:tcPr>
          <w:p w14:paraId="7B3BE07A">
            <w:pPr>
              <w:pStyle w:val="6"/>
              <w:spacing w:before="300" w:line="230" w:lineRule="auto"/>
              <w:ind w:left="538"/>
            </w:pPr>
            <w:r>
              <w:rPr>
                <w:b/>
                <w:bCs/>
                <w:spacing w:val="-1"/>
              </w:rPr>
              <w:t>时间</w:t>
            </w:r>
          </w:p>
        </w:tc>
        <w:tc>
          <w:tcPr>
            <w:tcW w:w="1856" w:type="dxa"/>
            <w:vMerge w:val="restart"/>
            <w:tcBorders>
              <w:top w:val="single" w:color="000000" w:sz="10" w:space="0"/>
              <w:bottom w:val="nil"/>
            </w:tcBorders>
            <w:vAlign w:val="top"/>
          </w:tcPr>
          <w:p w14:paraId="19125169">
            <w:pPr>
              <w:pStyle w:val="6"/>
              <w:spacing w:before="300" w:line="228" w:lineRule="auto"/>
              <w:ind w:left="109"/>
            </w:pPr>
            <w:r>
              <w:rPr>
                <w:b/>
                <w:bCs/>
              </w:rPr>
              <w:t>处理水量（</w:t>
            </w:r>
            <w:r>
              <w:rPr>
                <w:rFonts w:ascii="Times New Roman" w:hAnsi="Times New Roman" w:eastAsia="Times New Roman" w:cs="Times New Roman"/>
                <w:b/>
                <w:bCs/>
              </w:rPr>
              <w:t>m</w:t>
            </w:r>
            <w:r>
              <w:rPr>
                <w:rFonts w:ascii="Times New Roman" w:hAnsi="Times New Roman" w:eastAsia="Times New Roman" w:cs="Times New Roman"/>
                <w:b/>
                <w:bCs/>
                <w:position w:val="6"/>
                <w:sz w:val="13"/>
                <w:szCs w:val="13"/>
              </w:rPr>
              <w:t>3</w:t>
            </w:r>
            <w:r>
              <w:rPr>
                <w:rFonts w:ascii="Times New Roman" w:hAnsi="Times New Roman" w:eastAsia="Times New Roman" w:cs="Times New Roman"/>
                <w:b/>
                <w:bCs/>
              </w:rPr>
              <w:t>/d</w:t>
            </w:r>
            <w:r>
              <w:rPr>
                <w:b/>
                <w:bCs/>
              </w:rPr>
              <w:t>）</w:t>
            </w:r>
          </w:p>
        </w:tc>
        <w:tc>
          <w:tcPr>
            <w:tcW w:w="5175" w:type="dxa"/>
            <w:gridSpan w:val="4"/>
            <w:tcBorders>
              <w:top w:val="single" w:color="000000" w:sz="10" w:space="0"/>
              <w:right w:val="single" w:color="000000" w:sz="10" w:space="0"/>
            </w:tcBorders>
            <w:vAlign w:val="top"/>
          </w:tcPr>
          <w:p w14:paraId="557A0679">
            <w:pPr>
              <w:pStyle w:val="6"/>
              <w:spacing w:before="98" w:line="221" w:lineRule="auto"/>
              <w:ind w:left="1737"/>
            </w:pPr>
            <w:r>
              <w:rPr>
                <w:b/>
                <w:bCs/>
                <w:spacing w:val="-1"/>
              </w:rPr>
              <w:t>出水水质（</w:t>
            </w:r>
            <w:r>
              <w:rPr>
                <w:rFonts w:ascii="Times New Roman" w:hAnsi="Times New Roman" w:eastAsia="Times New Roman" w:cs="Times New Roman"/>
                <w:b/>
                <w:bCs/>
                <w:spacing w:val="-1"/>
              </w:rPr>
              <w:t>mg/L</w:t>
            </w:r>
            <w:r>
              <w:rPr>
                <w:b/>
                <w:bCs/>
                <w:spacing w:val="-1"/>
              </w:rPr>
              <w:t>）</w:t>
            </w:r>
          </w:p>
        </w:tc>
      </w:tr>
      <w:tr w14:paraId="71362A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494" w:type="dxa"/>
            <w:vMerge w:val="continue"/>
            <w:tcBorders>
              <w:top w:val="nil"/>
              <w:left w:val="single" w:color="000000" w:sz="10" w:space="0"/>
            </w:tcBorders>
            <w:vAlign w:val="top"/>
          </w:tcPr>
          <w:p w14:paraId="51E904C1">
            <w:pPr>
              <w:rPr>
                <w:rFonts w:ascii="Arial"/>
                <w:sz w:val="21"/>
              </w:rPr>
            </w:pPr>
          </w:p>
        </w:tc>
        <w:tc>
          <w:tcPr>
            <w:tcW w:w="1856" w:type="dxa"/>
            <w:vMerge w:val="continue"/>
            <w:tcBorders>
              <w:top w:val="nil"/>
            </w:tcBorders>
            <w:vAlign w:val="top"/>
          </w:tcPr>
          <w:p w14:paraId="2A0D9109">
            <w:pPr>
              <w:rPr>
                <w:rFonts w:ascii="Arial"/>
                <w:sz w:val="21"/>
              </w:rPr>
            </w:pPr>
          </w:p>
        </w:tc>
        <w:tc>
          <w:tcPr>
            <w:tcW w:w="1290" w:type="dxa"/>
            <w:vAlign w:val="top"/>
          </w:tcPr>
          <w:p w14:paraId="09EE4468">
            <w:pPr>
              <w:spacing w:before="126" w:line="195" w:lineRule="auto"/>
              <w:ind w:left="416"/>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COD</w:t>
            </w:r>
          </w:p>
        </w:tc>
        <w:tc>
          <w:tcPr>
            <w:tcW w:w="1290" w:type="dxa"/>
            <w:vAlign w:val="top"/>
          </w:tcPr>
          <w:p w14:paraId="62D70599">
            <w:pPr>
              <w:pStyle w:val="6"/>
              <w:spacing w:before="90" w:line="227" w:lineRule="auto"/>
              <w:ind w:left="444"/>
            </w:pPr>
            <w:r>
              <w:rPr>
                <w:b/>
                <w:bCs/>
                <w:spacing w:val="3"/>
              </w:rPr>
              <w:t>氨氮</w:t>
            </w:r>
          </w:p>
        </w:tc>
        <w:tc>
          <w:tcPr>
            <w:tcW w:w="1290" w:type="dxa"/>
            <w:vAlign w:val="top"/>
          </w:tcPr>
          <w:p w14:paraId="326134AC">
            <w:pPr>
              <w:pStyle w:val="6"/>
              <w:spacing w:before="90" w:line="228" w:lineRule="auto"/>
              <w:ind w:left="453"/>
            </w:pPr>
            <w:r>
              <w:rPr>
                <w:b/>
                <w:bCs/>
                <w:spacing w:val="1"/>
              </w:rPr>
              <w:t>总磷</w:t>
            </w:r>
          </w:p>
        </w:tc>
        <w:tc>
          <w:tcPr>
            <w:tcW w:w="1305" w:type="dxa"/>
            <w:tcBorders>
              <w:right w:val="single" w:color="000000" w:sz="10" w:space="0"/>
            </w:tcBorders>
            <w:vAlign w:val="top"/>
          </w:tcPr>
          <w:p w14:paraId="0F43297C">
            <w:pPr>
              <w:pStyle w:val="6"/>
              <w:spacing w:before="90" w:line="227" w:lineRule="auto"/>
              <w:ind w:left="456"/>
            </w:pPr>
            <w:r>
              <w:rPr>
                <w:b/>
                <w:bCs/>
                <w:spacing w:val="1"/>
              </w:rPr>
              <w:t>总氮</w:t>
            </w:r>
          </w:p>
        </w:tc>
      </w:tr>
      <w:tr w14:paraId="66AC9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494" w:type="dxa"/>
            <w:tcBorders>
              <w:left w:val="single" w:color="000000" w:sz="10" w:space="0"/>
            </w:tcBorders>
            <w:vAlign w:val="top"/>
          </w:tcPr>
          <w:p w14:paraId="09ABD879">
            <w:pPr>
              <w:spacing w:before="93" w:line="216" w:lineRule="auto"/>
              <w:ind w:left="183"/>
              <w:rPr>
                <w:rFonts w:ascii="等线" w:hAnsi="等线" w:eastAsia="等线" w:cs="等线"/>
                <w:sz w:val="20"/>
                <w:szCs w:val="20"/>
              </w:rPr>
            </w:pPr>
            <w:r>
              <w:rPr>
                <w:rFonts w:ascii="Times New Roman" w:hAnsi="Times New Roman" w:eastAsia="Times New Roman" w:cs="Times New Roman"/>
                <w:spacing w:val="-1"/>
                <w:sz w:val="20"/>
                <w:szCs w:val="20"/>
              </w:rPr>
              <w:t>2022</w:t>
            </w:r>
            <w:r>
              <w:rPr>
                <w:rFonts w:ascii="等线" w:hAnsi="等线" w:eastAsia="等线" w:cs="等线"/>
                <w:spacing w:val="-1"/>
                <w:sz w:val="20"/>
                <w:szCs w:val="20"/>
              </w:rPr>
              <w:t>年</w:t>
            </w:r>
            <w:r>
              <w:rPr>
                <w:rFonts w:ascii="Times New Roman" w:hAnsi="Times New Roman" w:eastAsia="Times New Roman" w:cs="Times New Roman"/>
                <w:spacing w:val="-1"/>
                <w:sz w:val="20"/>
                <w:szCs w:val="20"/>
              </w:rPr>
              <w:t>1</w:t>
            </w:r>
            <w:r>
              <w:rPr>
                <w:rFonts w:ascii="等线" w:hAnsi="等线" w:eastAsia="等线" w:cs="等线"/>
                <w:spacing w:val="-1"/>
                <w:sz w:val="20"/>
                <w:szCs w:val="20"/>
              </w:rPr>
              <w:t>月</w:t>
            </w:r>
          </w:p>
        </w:tc>
        <w:tc>
          <w:tcPr>
            <w:tcW w:w="1856" w:type="dxa"/>
            <w:vAlign w:val="top"/>
          </w:tcPr>
          <w:p w14:paraId="20062882">
            <w:pPr>
              <w:spacing w:before="128" w:line="195" w:lineRule="auto"/>
              <w:ind w:left="7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8284</w:t>
            </w:r>
          </w:p>
        </w:tc>
        <w:tc>
          <w:tcPr>
            <w:tcW w:w="1290" w:type="dxa"/>
            <w:vAlign w:val="top"/>
          </w:tcPr>
          <w:p w14:paraId="0888C439">
            <w:pPr>
              <w:spacing w:before="128"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8.61</w:t>
            </w:r>
          </w:p>
        </w:tc>
        <w:tc>
          <w:tcPr>
            <w:tcW w:w="1290" w:type="dxa"/>
            <w:vAlign w:val="top"/>
          </w:tcPr>
          <w:p w14:paraId="0E903600">
            <w:pPr>
              <w:spacing w:before="128"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tc>
        <w:tc>
          <w:tcPr>
            <w:tcW w:w="1290" w:type="dxa"/>
            <w:vAlign w:val="top"/>
          </w:tcPr>
          <w:p w14:paraId="185C29ED">
            <w:pPr>
              <w:spacing w:before="128"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c>
          <w:tcPr>
            <w:tcW w:w="1305" w:type="dxa"/>
            <w:tcBorders>
              <w:right w:val="single" w:color="000000" w:sz="10" w:space="0"/>
            </w:tcBorders>
            <w:vAlign w:val="top"/>
          </w:tcPr>
          <w:p w14:paraId="6D8F5824">
            <w:pPr>
              <w:spacing w:before="128" w:line="195"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6.15</w:t>
            </w:r>
          </w:p>
        </w:tc>
      </w:tr>
      <w:tr w14:paraId="14F893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494" w:type="dxa"/>
            <w:tcBorders>
              <w:left w:val="single" w:color="000000" w:sz="10" w:space="0"/>
            </w:tcBorders>
            <w:vAlign w:val="top"/>
          </w:tcPr>
          <w:p w14:paraId="5778A86E">
            <w:pPr>
              <w:spacing w:before="92" w:line="216" w:lineRule="auto"/>
              <w:ind w:left="183"/>
              <w:rPr>
                <w:rFonts w:ascii="等线" w:hAnsi="等线" w:eastAsia="等线" w:cs="等线"/>
                <w:sz w:val="20"/>
                <w:szCs w:val="20"/>
              </w:rPr>
            </w:pPr>
            <w:r>
              <w:rPr>
                <w:rFonts w:ascii="Times New Roman" w:hAnsi="Times New Roman" w:eastAsia="Times New Roman" w:cs="Times New Roman"/>
                <w:spacing w:val="2"/>
                <w:sz w:val="20"/>
                <w:szCs w:val="20"/>
              </w:rPr>
              <w:t>2022</w:t>
            </w:r>
            <w:r>
              <w:rPr>
                <w:rFonts w:ascii="等线" w:hAnsi="等线" w:eastAsia="等线" w:cs="等线"/>
                <w:spacing w:val="2"/>
                <w:sz w:val="20"/>
                <w:szCs w:val="20"/>
              </w:rPr>
              <w:t>年</w:t>
            </w:r>
            <w:r>
              <w:rPr>
                <w:rFonts w:ascii="Times New Roman" w:hAnsi="Times New Roman" w:eastAsia="Times New Roman" w:cs="Times New Roman"/>
                <w:spacing w:val="2"/>
                <w:sz w:val="20"/>
                <w:szCs w:val="20"/>
              </w:rPr>
              <w:t>2</w:t>
            </w:r>
            <w:r>
              <w:rPr>
                <w:rFonts w:ascii="等线" w:hAnsi="等线" w:eastAsia="等线" w:cs="等线"/>
                <w:spacing w:val="2"/>
                <w:sz w:val="20"/>
                <w:szCs w:val="20"/>
              </w:rPr>
              <w:t>月</w:t>
            </w:r>
          </w:p>
        </w:tc>
        <w:tc>
          <w:tcPr>
            <w:tcW w:w="1856" w:type="dxa"/>
            <w:vAlign w:val="top"/>
          </w:tcPr>
          <w:p w14:paraId="16DF3CEB">
            <w:pPr>
              <w:spacing w:before="128" w:line="195" w:lineRule="auto"/>
              <w:ind w:left="7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8157</w:t>
            </w:r>
          </w:p>
        </w:tc>
        <w:tc>
          <w:tcPr>
            <w:tcW w:w="1290" w:type="dxa"/>
            <w:vAlign w:val="top"/>
          </w:tcPr>
          <w:p w14:paraId="050DECC3">
            <w:pPr>
              <w:spacing w:before="128" w:line="195" w:lineRule="auto"/>
              <w:ind w:left="43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17.88</w:t>
            </w:r>
          </w:p>
        </w:tc>
        <w:tc>
          <w:tcPr>
            <w:tcW w:w="1290" w:type="dxa"/>
            <w:vAlign w:val="top"/>
          </w:tcPr>
          <w:p w14:paraId="014B5611">
            <w:pPr>
              <w:spacing w:before="128" w:line="195"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0.096</w:t>
            </w:r>
          </w:p>
        </w:tc>
        <w:tc>
          <w:tcPr>
            <w:tcW w:w="1290" w:type="dxa"/>
            <w:vAlign w:val="top"/>
          </w:tcPr>
          <w:p w14:paraId="7BA8AC32">
            <w:pPr>
              <w:spacing w:before="128"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0.096</w:t>
            </w:r>
          </w:p>
        </w:tc>
        <w:tc>
          <w:tcPr>
            <w:tcW w:w="1305" w:type="dxa"/>
            <w:tcBorders>
              <w:right w:val="single" w:color="000000" w:sz="10" w:space="0"/>
            </w:tcBorders>
            <w:vAlign w:val="top"/>
          </w:tcPr>
          <w:p w14:paraId="16BB8CE8">
            <w:pPr>
              <w:spacing w:before="128" w:line="195"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6.75</w:t>
            </w:r>
          </w:p>
        </w:tc>
      </w:tr>
      <w:tr w14:paraId="4B8E3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494" w:type="dxa"/>
            <w:tcBorders>
              <w:left w:val="single" w:color="000000" w:sz="10" w:space="0"/>
            </w:tcBorders>
            <w:vAlign w:val="top"/>
          </w:tcPr>
          <w:p w14:paraId="39702728">
            <w:pPr>
              <w:spacing w:before="95" w:line="216" w:lineRule="auto"/>
              <w:ind w:left="183"/>
              <w:rPr>
                <w:rFonts w:ascii="等线" w:hAnsi="等线" w:eastAsia="等线" w:cs="等线"/>
                <w:sz w:val="20"/>
                <w:szCs w:val="20"/>
              </w:rPr>
            </w:pPr>
            <w:r>
              <w:rPr>
                <w:rFonts w:ascii="Times New Roman" w:hAnsi="Times New Roman" w:eastAsia="Times New Roman" w:cs="Times New Roman"/>
                <w:spacing w:val="2"/>
                <w:sz w:val="20"/>
                <w:szCs w:val="20"/>
              </w:rPr>
              <w:t>2022</w:t>
            </w:r>
            <w:r>
              <w:rPr>
                <w:rFonts w:ascii="等线" w:hAnsi="等线" w:eastAsia="等线" w:cs="等线"/>
                <w:spacing w:val="2"/>
                <w:sz w:val="20"/>
                <w:szCs w:val="20"/>
              </w:rPr>
              <w:t>年</w:t>
            </w:r>
            <w:r>
              <w:rPr>
                <w:rFonts w:ascii="Times New Roman" w:hAnsi="Times New Roman" w:eastAsia="Times New Roman" w:cs="Times New Roman"/>
                <w:spacing w:val="2"/>
                <w:sz w:val="20"/>
                <w:szCs w:val="20"/>
              </w:rPr>
              <w:t>3</w:t>
            </w:r>
            <w:r>
              <w:rPr>
                <w:rFonts w:ascii="等线" w:hAnsi="等线" w:eastAsia="等线" w:cs="等线"/>
                <w:spacing w:val="2"/>
                <w:sz w:val="20"/>
                <w:szCs w:val="20"/>
              </w:rPr>
              <w:t>月</w:t>
            </w:r>
          </w:p>
        </w:tc>
        <w:tc>
          <w:tcPr>
            <w:tcW w:w="1856" w:type="dxa"/>
            <w:vAlign w:val="top"/>
          </w:tcPr>
          <w:p w14:paraId="661B4ADF">
            <w:pPr>
              <w:spacing w:before="130" w:line="195" w:lineRule="auto"/>
              <w:ind w:left="680"/>
              <w:rPr>
                <w:rFonts w:ascii="Times New Roman" w:hAnsi="Times New Roman" w:eastAsia="Times New Roman" w:cs="Times New Roman"/>
                <w:sz w:val="20"/>
                <w:szCs w:val="20"/>
              </w:rPr>
            </w:pPr>
            <w:r>
              <w:rPr>
                <w:rFonts w:ascii="Times New Roman" w:hAnsi="Times New Roman" w:eastAsia="Times New Roman" w:cs="Times New Roman"/>
                <w:sz w:val="20"/>
                <w:szCs w:val="20"/>
              </w:rPr>
              <w:t>12689</w:t>
            </w:r>
          </w:p>
        </w:tc>
        <w:tc>
          <w:tcPr>
            <w:tcW w:w="1290" w:type="dxa"/>
            <w:vAlign w:val="top"/>
          </w:tcPr>
          <w:p w14:paraId="457E73F1">
            <w:pPr>
              <w:spacing w:before="130"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8.16</w:t>
            </w:r>
          </w:p>
        </w:tc>
        <w:tc>
          <w:tcPr>
            <w:tcW w:w="1290" w:type="dxa"/>
            <w:vAlign w:val="top"/>
          </w:tcPr>
          <w:p w14:paraId="73430036">
            <w:pPr>
              <w:spacing w:before="130"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0.29</w:t>
            </w:r>
          </w:p>
        </w:tc>
        <w:tc>
          <w:tcPr>
            <w:tcW w:w="1290" w:type="dxa"/>
            <w:vAlign w:val="top"/>
          </w:tcPr>
          <w:p w14:paraId="15BD48CC">
            <w:pPr>
              <w:spacing w:before="130"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0.053</w:t>
            </w:r>
          </w:p>
        </w:tc>
        <w:tc>
          <w:tcPr>
            <w:tcW w:w="1305" w:type="dxa"/>
            <w:tcBorders>
              <w:right w:val="single" w:color="000000" w:sz="10" w:space="0"/>
            </w:tcBorders>
            <w:vAlign w:val="top"/>
          </w:tcPr>
          <w:p w14:paraId="41766D57">
            <w:pPr>
              <w:spacing w:before="130"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2.49</w:t>
            </w:r>
          </w:p>
        </w:tc>
      </w:tr>
      <w:tr w14:paraId="7DE69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494" w:type="dxa"/>
            <w:tcBorders>
              <w:left w:val="single" w:color="000000" w:sz="10" w:space="0"/>
            </w:tcBorders>
            <w:vAlign w:val="top"/>
          </w:tcPr>
          <w:p w14:paraId="5D4752DC">
            <w:pPr>
              <w:spacing w:before="94" w:line="216" w:lineRule="auto"/>
              <w:ind w:left="183"/>
              <w:rPr>
                <w:rFonts w:ascii="等线" w:hAnsi="等线" w:eastAsia="等线" w:cs="等线"/>
                <w:sz w:val="20"/>
                <w:szCs w:val="20"/>
              </w:rPr>
            </w:pPr>
            <w:r>
              <w:rPr>
                <w:rFonts w:ascii="Times New Roman" w:hAnsi="Times New Roman" w:eastAsia="Times New Roman" w:cs="Times New Roman"/>
                <w:spacing w:val="2"/>
                <w:sz w:val="20"/>
                <w:szCs w:val="20"/>
              </w:rPr>
              <w:t>2022</w:t>
            </w:r>
            <w:r>
              <w:rPr>
                <w:rFonts w:ascii="等线" w:hAnsi="等线" w:eastAsia="等线" w:cs="等线"/>
                <w:spacing w:val="2"/>
                <w:sz w:val="20"/>
                <w:szCs w:val="20"/>
              </w:rPr>
              <w:t>年</w:t>
            </w:r>
            <w:r>
              <w:rPr>
                <w:rFonts w:ascii="Times New Roman" w:hAnsi="Times New Roman" w:eastAsia="Times New Roman" w:cs="Times New Roman"/>
                <w:spacing w:val="2"/>
                <w:sz w:val="20"/>
                <w:szCs w:val="20"/>
              </w:rPr>
              <w:t>4</w:t>
            </w:r>
            <w:r>
              <w:rPr>
                <w:rFonts w:ascii="等线" w:hAnsi="等线" w:eastAsia="等线" w:cs="等线"/>
                <w:spacing w:val="2"/>
                <w:sz w:val="20"/>
                <w:szCs w:val="20"/>
              </w:rPr>
              <w:t>月</w:t>
            </w:r>
          </w:p>
        </w:tc>
        <w:tc>
          <w:tcPr>
            <w:tcW w:w="1856" w:type="dxa"/>
            <w:vAlign w:val="top"/>
          </w:tcPr>
          <w:p w14:paraId="365493C0">
            <w:pPr>
              <w:spacing w:before="130" w:line="195" w:lineRule="auto"/>
              <w:ind w:left="680"/>
              <w:rPr>
                <w:rFonts w:ascii="Times New Roman" w:hAnsi="Times New Roman" w:eastAsia="Times New Roman" w:cs="Times New Roman"/>
                <w:sz w:val="20"/>
                <w:szCs w:val="20"/>
              </w:rPr>
            </w:pPr>
            <w:r>
              <w:rPr>
                <w:rFonts w:ascii="Times New Roman" w:hAnsi="Times New Roman" w:eastAsia="Times New Roman" w:cs="Times New Roman"/>
                <w:sz w:val="20"/>
                <w:szCs w:val="20"/>
              </w:rPr>
              <w:t>13417</w:t>
            </w:r>
          </w:p>
        </w:tc>
        <w:tc>
          <w:tcPr>
            <w:tcW w:w="1290" w:type="dxa"/>
            <w:vAlign w:val="top"/>
          </w:tcPr>
          <w:p w14:paraId="4D96D47C">
            <w:pPr>
              <w:spacing w:before="130"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8.21</w:t>
            </w:r>
          </w:p>
        </w:tc>
        <w:tc>
          <w:tcPr>
            <w:tcW w:w="1290" w:type="dxa"/>
            <w:vAlign w:val="top"/>
          </w:tcPr>
          <w:p w14:paraId="61038A40">
            <w:pPr>
              <w:spacing w:before="130"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0.37</w:t>
            </w:r>
          </w:p>
        </w:tc>
        <w:tc>
          <w:tcPr>
            <w:tcW w:w="1290" w:type="dxa"/>
            <w:vAlign w:val="top"/>
          </w:tcPr>
          <w:p w14:paraId="5191E4B2">
            <w:pPr>
              <w:spacing w:before="130"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0.046</w:t>
            </w:r>
          </w:p>
        </w:tc>
        <w:tc>
          <w:tcPr>
            <w:tcW w:w="1305" w:type="dxa"/>
            <w:tcBorders>
              <w:right w:val="single" w:color="000000" w:sz="10" w:space="0"/>
            </w:tcBorders>
            <w:vAlign w:val="top"/>
          </w:tcPr>
          <w:p w14:paraId="250865AC">
            <w:pPr>
              <w:spacing w:before="130" w:line="195"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1.61</w:t>
            </w:r>
          </w:p>
        </w:tc>
      </w:tr>
      <w:tr w14:paraId="66C75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494" w:type="dxa"/>
            <w:tcBorders>
              <w:left w:val="single" w:color="000000" w:sz="10" w:space="0"/>
            </w:tcBorders>
            <w:vAlign w:val="top"/>
          </w:tcPr>
          <w:p w14:paraId="4DE5B1FE">
            <w:pPr>
              <w:spacing w:before="97" w:line="216" w:lineRule="auto"/>
              <w:ind w:left="183"/>
              <w:rPr>
                <w:rFonts w:ascii="等线" w:hAnsi="等线" w:eastAsia="等线" w:cs="等线"/>
                <w:sz w:val="20"/>
                <w:szCs w:val="20"/>
              </w:rPr>
            </w:pPr>
            <w:r>
              <w:rPr>
                <w:rFonts w:ascii="Times New Roman" w:hAnsi="Times New Roman" w:eastAsia="Times New Roman" w:cs="Times New Roman"/>
                <w:spacing w:val="2"/>
                <w:sz w:val="20"/>
                <w:szCs w:val="20"/>
              </w:rPr>
              <w:t>2022</w:t>
            </w:r>
            <w:r>
              <w:rPr>
                <w:rFonts w:ascii="等线" w:hAnsi="等线" w:eastAsia="等线" w:cs="等线"/>
                <w:spacing w:val="2"/>
                <w:sz w:val="20"/>
                <w:szCs w:val="20"/>
              </w:rPr>
              <w:t>年</w:t>
            </w:r>
            <w:r>
              <w:rPr>
                <w:rFonts w:ascii="Times New Roman" w:hAnsi="Times New Roman" w:eastAsia="Times New Roman" w:cs="Times New Roman"/>
                <w:spacing w:val="2"/>
                <w:sz w:val="20"/>
                <w:szCs w:val="20"/>
              </w:rPr>
              <w:t>5</w:t>
            </w:r>
            <w:r>
              <w:rPr>
                <w:rFonts w:ascii="等线" w:hAnsi="等线" w:eastAsia="等线" w:cs="等线"/>
                <w:spacing w:val="2"/>
                <w:sz w:val="20"/>
                <w:szCs w:val="20"/>
              </w:rPr>
              <w:t>月</w:t>
            </w:r>
          </w:p>
        </w:tc>
        <w:tc>
          <w:tcPr>
            <w:tcW w:w="1856" w:type="dxa"/>
            <w:vAlign w:val="top"/>
          </w:tcPr>
          <w:p w14:paraId="0A774E07">
            <w:pPr>
              <w:spacing w:before="132" w:line="195" w:lineRule="auto"/>
              <w:ind w:left="680"/>
              <w:rPr>
                <w:rFonts w:ascii="Times New Roman" w:hAnsi="Times New Roman" w:eastAsia="Times New Roman" w:cs="Times New Roman"/>
                <w:sz w:val="20"/>
                <w:szCs w:val="20"/>
              </w:rPr>
            </w:pPr>
            <w:r>
              <w:rPr>
                <w:rFonts w:ascii="Times New Roman" w:hAnsi="Times New Roman" w:eastAsia="Times New Roman" w:cs="Times New Roman"/>
                <w:sz w:val="20"/>
                <w:szCs w:val="20"/>
              </w:rPr>
              <w:t>10107</w:t>
            </w:r>
          </w:p>
        </w:tc>
        <w:tc>
          <w:tcPr>
            <w:tcW w:w="1290" w:type="dxa"/>
            <w:vAlign w:val="top"/>
          </w:tcPr>
          <w:p w14:paraId="19E12F34">
            <w:pPr>
              <w:spacing w:before="132" w:line="195" w:lineRule="auto"/>
              <w:ind w:left="4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11.86</w:t>
            </w:r>
          </w:p>
        </w:tc>
        <w:tc>
          <w:tcPr>
            <w:tcW w:w="1290" w:type="dxa"/>
            <w:vAlign w:val="top"/>
          </w:tcPr>
          <w:p w14:paraId="7DCB0A17">
            <w:pPr>
              <w:spacing w:before="132"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c>
          <w:tcPr>
            <w:tcW w:w="1290" w:type="dxa"/>
            <w:vAlign w:val="top"/>
          </w:tcPr>
          <w:p w14:paraId="05776DE7">
            <w:pPr>
              <w:spacing w:before="132"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0.046</w:t>
            </w:r>
          </w:p>
        </w:tc>
        <w:tc>
          <w:tcPr>
            <w:tcW w:w="1305" w:type="dxa"/>
            <w:tcBorders>
              <w:right w:val="single" w:color="000000" w:sz="10" w:space="0"/>
            </w:tcBorders>
            <w:vAlign w:val="top"/>
          </w:tcPr>
          <w:p w14:paraId="35E38548">
            <w:pPr>
              <w:spacing w:before="132" w:line="195"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w:t>
            </w:r>
          </w:p>
        </w:tc>
      </w:tr>
      <w:tr w14:paraId="0D813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494" w:type="dxa"/>
            <w:tcBorders>
              <w:left w:val="single" w:color="000000" w:sz="10" w:space="0"/>
            </w:tcBorders>
            <w:vAlign w:val="top"/>
          </w:tcPr>
          <w:p w14:paraId="58EBC363">
            <w:pPr>
              <w:spacing w:before="96" w:line="216" w:lineRule="auto"/>
              <w:ind w:left="183"/>
              <w:rPr>
                <w:rFonts w:ascii="等线" w:hAnsi="等线" w:eastAsia="等线" w:cs="等线"/>
                <w:sz w:val="20"/>
                <w:szCs w:val="20"/>
              </w:rPr>
            </w:pPr>
            <w:r>
              <w:rPr>
                <w:rFonts w:ascii="Times New Roman" w:hAnsi="Times New Roman" w:eastAsia="Times New Roman" w:cs="Times New Roman"/>
                <w:spacing w:val="2"/>
                <w:sz w:val="20"/>
                <w:szCs w:val="20"/>
              </w:rPr>
              <w:t>2022</w:t>
            </w:r>
            <w:r>
              <w:rPr>
                <w:rFonts w:ascii="等线" w:hAnsi="等线" w:eastAsia="等线" w:cs="等线"/>
                <w:spacing w:val="2"/>
                <w:sz w:val="20"/>
                <w:szCs w:val="20"/>
              </w:rPr>
              <w:t>年</w:t>
            </w:r>
            <w:r>
              <w:rPr>
                <w:rFonts w:ascii="Times New Roman" w:hAnsi="Times New Roman" w:eastAsia="Times New Roman" w:cs="Times New Roman"/>
                <w:spacing w:val="2"/>
                <w:sz w:val="20"/>
                <w:szCs w:val="20"/>
              </w:rPr>
              <w:t>6</w:t>
            </w:r>
            <w:r>
              <w:rPr>
                <w:rFonts w:ascii="等线" w:hAnsi="等线" w:eastAsia="等线" w:cs="等线"/>
                <w:spacing w:val="2"/>
                <w:sz w:val="20"/>
                <w:szCs w:val="20"/>
              </w:rPr>
              <w:t>月</w:t>
            </w:r>
          </w:p>
        </w:tc>
        <w:tc>
          <w:tcPr>
            <w:tcW w:w="1856" w:type="dxa"/>
            <w:vAlign w:val="top"/>
          </w:tcPr>
          <w:p w14:paraId="34F77281">
            <w:pPr>
              <w:spacing w:before="132" w:line="195" w:lineRule="auto"/>
              <w:ind w:left="7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7537</w:t>
            </w:r>
          </w:p>
        </w:tc>
        <w:tc>
          <w:tcPr>
            <w:tcW w:w="1290" w:type="dxa"/>
            <w:vAlign w:val="top"/>
          </w:tcPr>
          <w:p w14:paraId="2EFAFF49">
            <w:pPr>
              <w:spacing w:before="132" w:line="195" w:lineRule="auto"/>
              <w:ind w:left="43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14.46</w:t>
            </w:r>
          </w:p>
        </w:tc>
        <w:tc>
          <w:tcPr>
            <w:tcW w:w="1290" w:type="dxa"/>
            <w:vAlign w:val="top"/>
          </w:tcPr>
          <w:p w14:paraId="3CA794D3">
            <w:pPr>
              <w:spacing w:before="132"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1290" w:type="dxa"/>
            <w:vAlign w:val="top"/>
          </w:tcPr>
          <w:p w14:paraId="23DB1718">
            <w:pPr>
              <w:spacing w:before="132"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0.051</w:t>
            </w:r>
          </w:p>
        </w:tc>
        <w:tc>
          <w:tcPr>
            <w:tcW w:w="1305" w:type="dxa"/>
            <w:tcBorders>
              <w:right w:val="single" w:color="000000" w:sz="10" w:space="0"/>
            </w:tcBorders>
            <w:vAlign w:val="top"/>
          </w:tcPr>
          <w:p w14:paraId="4B9606B8">
            <w:pPr>
              <w:spacing w:before="132" w:line="195"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w:t>
            </w:r>
          </w:p>
        </w:tc>
      </w:tr>
      <w:tr w14:paraId="6B743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494" w:type="dxa"/>
            <w:tcBorders>
              <w:left w:val="single" w:color="000000" w:sz="10" w:space="0"/>
            </w:tcBorders>
            <w:vAlign w:val="top"/>
          </w:tcPr>
          <w:p w14:paraId="28E661FA">
            <w:pPr>
              <w:spacing w:before="99" w:line="216" w:lineRule="auto"/>
              <w:ind w:left="183"/>
              <w:rPr>
                <w:rFonts w:ascii="等线" w:hAnsi="等线" w:eastAsia="等线" w:cs="等线"/>
                <w:sz w:val="20"/>
                <w:szCs w:val="20"/>
              </w:rPr>
            </w:pPr>
            <w:r>
              <w:rPr>
                <w:rFonts w:ascii="Times New Roman" w:hAnsi="Times New Roman" w:eastAsia="Times New Roman" w:cs="Times New Roman"/>
                <w:spacing w:val="2"/>
                <w:sz w:val="20"/>
                <w:szCs w:val="20"/>
              </w:rPr>
              <w:t>2022</w:t>
            </w:r>
            <w:r>
              <w:rPr>
                <w:rFonts w:ascii="等线" w:hAnsi="等线" w:eastAsia="等线" w:cs="等线"/>
                <w:spacing w:val="2"/>
                <w:sz w:val="20"/>
                <w:szCs w:val="20"/>
              </w:rPr>
              <w:t>年</w:t>
            </w:r>
            <w:r>
              <w:rPr>
                <w:rFonts w:ascii="Times New Roman" w:hAnsi="Times New Roman" w:eastAsia="Times New Roman" w:cs="Times New Roman"/>
                <w:spacing w:val="2"/>
                <w:sz w:val="20"/>
                <w:szCs w:val="20"/>
              </w:rPr>
              <w:t>7</w:t>
            </w:r>
            <w:r>
              <w:rPr>
                <w:rFonts w:ascii="等线" w:hAnsi="等线" w:eastAsia="等线" w:cs="等线"/>
                <w:spacing w:val="2"/>
                <w:sz w:val="20"/>
                <w:szCs w:val="20"/>
              </w:rPr>
              <w:t>月</w:t>
            </w:r>
          </w:p>
        </w:tc>
        <w:tc>
          <w:tcPr>
            <w:tcW w:w="1856" w:type="dxa"/>
            <w:vAlign w:val="top"/>
          </w:tcPr>
          <w:p w14:paraId="1E1F5145">
            <w:pPr>
              <w:spacing w:before="134"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9824</w:t>
            </w:r>
          </w:p>
        </w:tc>
        <w:tc>
          <w:tcPr>
            <w:tcW w:w="1290" w:type="dxa"/>
            <w:vAlign w:val="top"/>
          </w:tcPr>
          <w:p w14:paraId="691790AB">
            <w:pPr>
              <w:spacing w:before="134" w:line="195" w:lineRule="auto"/>
              <w:ind w:left="43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12.35</w:t>
            </w:r>
          </w:p>
        </w:tc>
        <w:tc>
          <w:tcPr>
            <w:tcW w:w="1290" w:type="dxa"/>
            <w:vAlign w:val="top"/>
          </w:tcPr>
          <w:p w14:paraId="34C5EA2A">
            <w:pPr>
              <w:spacing w:before="134" w:line="195"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0.11</w:t>
            </w:r>
          </w:p>
        </w:tc>
        <w:tc>
          <w:tcPr>
            <w:tcW w:w="1290" w:type="dxa"/>
            <w:vAlign w:val="top"/>
          </w:tcPr>
          <w:p w14:paraId="0C682884">
            <w:pPr>
              <w:spacing w:before="134"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0.13</w:t>
            </w:r>
          </w:p>
        </w:tc>
        <w:tc>
          <w:tcPr>
            <w:tcW w:w="1305" w:type="dxa"/>
            <w:tcBorders>
              <w:right w:val="single" w:color="000000" w:sz="10" w:space="0"/>
            </w:tcBorders>
            <w:vAlign w:val="top"/>
          </w:tcPr>
          <w:p w14:paraId="43429BDF">
            <w:pPr>
              <w:spacing w:before="134"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2.47</w:t>
            </w:r>
          </w:p>
        </w:tc>
      </w:tr>
      <w:tr w14:paraId="775455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494" w:type="dxa"/>
            <w:tcBorders>
              <w:left w:val="single" w:color="000000" w:sz="10" w:space="0"/>
            </w:tcBorders>
            <w:vAlign w:val="top"/>
          </w:tcPr>
          <w:p w14:paraId="512C8CFC">
            <w:pPr>
              <w:spacing w:before="98" w:line="216" w:lineRule="auto"/>
              <w:ind w:left="183"/>
              <w:rPr>
                <w:rFonts w:ascii="等线" w:hAnsi="等线" w:eastAsia="等线" w:cs="等线"/>
                <w:sz w:val="20"/>
                <w:szCs w:val="20"/>
              </w:rPr>
            </w:pPr>
            <w:r>
              <w:rPr>
                <w:rFonts w:ascii="Times New Roman" w:hAnsi="Times New Roman" w:eastAsia="Times New Roman" w:cs="Times New Roman"/>
                <w:spacing w:val="1"/>
                <w:sz w:val="20"/>
                <w:szCs w:val="20"/>
              </w:rPr>
              <w:t>2022</w:t>
            </w:r>
            <w:r>
              <w:rPr>
                <w:rFonts w:ascii="等线" w:hAnsi="等线" w:eastAsia="等线" w:cs="等线"/>
                <w:spacing w:val="1"/>
                <w:sz w:val="20"/>
                <w:szCs w:val="20"/>
              </w:rPr>
              <w:t>年</w:t>
            </w:r>
            <w:r>
              <w:rPr>
                <w:rFonts w:ascii="Times New Roman" w:hAnsi="Times New Roman" w:eastAsia="Times New Roman" w:cs="Times New Roman"/>
                <w:spacing w:val="1"/>
                <w:sz w:val="20"/>
                <w:szCs w:val="20"/>
              </w:rPr>
              <w:t>8</w:t>
            </w:r>
            <w:r>
              <w:rPr>
                <w:rFonts w:ascii="等线" w:hAnsi="等线" w:eastAsia="等线" w:cs="等线"/>
                <w:spacing w:val="1"/>
                <w:sz w:val="20"/>
                <w:szCs w:val="20"/>
              </w:rPr>
              <w:t>月</w:t>
            </w:r>
          </w:p>
        </w:tc>
        <w:tc>
          <w:tcPr>
            <w:tcW w:w="1856" w:type="dxa"/>
            <w:vAlign w:val="top"/>
          </w:tcPr>
          <w:p w14:paraId="41C93077">
            <w:pPr>
              <w:spacing w:before="134" w:line="195" w:lineRule="auto"/>
              <w:ind w:left="7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7311</w:t>
            </w:r>
          </w:p>
        </w:tc>
        <w:tc>
          <w:tcPr>
            <w:tcW w:w="1290" w:type="dxa"/>
            <w:vAlign w:val="top"/>
          </w:tcPr>
          <w:p w14:paraId="62A17911">
            <w:pPr>
              <w:spacing w:before="134" w:line="195" w:lineRule="auto"/>
              <w:ind w:left="43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14.32</w:t>
            </w:r>
          </w:p>
        </w:tc>
        <w:tc>
          <w:tcPr>
            <w:tcW w:w="1290" w:type="dxa"/>
            <w:vAlign w:val="top"/>
          </w:tcPr>
          <w:p w14:paraId="7B741C34">
            <w:pPr>
              <w:spacing w:before="134"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1290" w:type="dxa"/>
            <w:vAlign w:val="top"/>
          </w:tcPr>
          <w:p w14:paraId="1F7A5900">
            <w:pPr>
              <w:spacing w:before="134"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0.18</w:t>
            </w:r>
          </w:p>
        </w:tc>
        <w:tc>
          <w:tcPr>
            <w:tcW w:w="1305" w:type="dxa"/>
            <w:tcBorders>
              <w:right w:val="single" w:color="000000" w:sz="10" w:space="0"/>
            </w:tcBorders>
            <w:vAlign w:val="top"/>
          </w:tcPr>
          <w:p w14:paraId="1106C182">
            <w:pPr>
              <w:spacing w:before="134" w:line="195"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3.01</w:t>
            </w:r>
          </w:p>
        </w:tc>
      </w:tr>
      <w:tr w14:paraId="32922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494" w:type="dxa"/>
            <w:tcBorders>
              <w:left w:val="single" w:color="000000" w:sz="10" w:space="0"/>
            </w:tcBorders>
            <w:vAlign w:val="top"/>
          </w:tcPr>
          <w:p w14:paraId="1AA22A2D">
            <w:pPr>
              <w:spacing w:before="101" w:line="216" w:lineRule="auto"/>
              <w:ind w:left="183"/>
              <w:rPr>
                <w:rFonts w:ascii="等线" w:hAnsi="等线" w:eastAsia="等线" w:cs="等线"/>
                <w:sz w:val="20"/>
                <w:szCs w:val="20"/>
              </w:rPr>
            </w:pPr>
            <w:r>
              <w:rPr>
                <w:rFonts w:ascii="Times New Roman" w:hAnsi="Times New Roman" w:eastAsia="Times New Roman" w:cs="Times New Roman"/>
                <w:spacing w:val="2"/>
                <w:sz w:val="20"/>
                <w:szCs w:val="20"/>
              </w:rPr>
              <w:t>2022</w:t>
            </w:r>
            <w:r>
              <w:rPr>
                <w:rFonts w:ascii="等线" w:hAnsi="等线" w:eastAsia="等线" w:cs="等线"/>
                <w:spacing w:val="2"/>
                <w:sz w:val="20"/>
                <w:szCs w:val="20"/>
              </w:rPr>
              <w:t>年</w:t>
            </w:r>
            <w:r>
              <w:rPr>
                <w:rFonts w:ascii="Times New Roman" w:hAnsi="Times New Roman" w:eastAsia="Times New Roman" w:cs="Times New Roman"/>
                <w:spacing w:val="2"/>
                <w:sz w:val="20"/>
                <w:szCs w:val="20"/>
              </w:rPr>
              <w:t>9</w:t>
            </w:r>
            <w:r>
              <w:rPr>
                <w:rFonts w:ascii="等线" w:hAnsi="等线" w:eastAsia="等线" w:cs="等线"/>
                <w:spacing w:val="2"/>
                <w:sz w:val="20"/>
                <w:szCs w:val="20"/>
              </w:rPr>
              <w:t>月</w:t>
            </w:r>
          </w:p>
        </w:tc>
        <w:tc>
          <w:tcPr>
            <w:tcW w:w="1856" w:type="dxa"/>
            <w:vAlign w:val="top"/>
          </w:tcPr>
          <w:p w14:paraId="7845F244">
            <w:pPr>
              <w:spacing w:before="136"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9274</w:t>
            </w:r>
          </w:p>
        </w:tc>
        <w:tc>
          <w:tcPr>
            <w:tcW w:w="1290" w:type="dxa"/>
            <w:vAlign w:val="top"/>
          </w:tcPr>
          <w:p w14:paraId="191AED5C">
            <w:pPr>
              <w:spacing w:before="136" w:line="195" w:lineRule="auto"/>
              <w:ind w:left="43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13.40</w:t>
            </w:r>
          </w:p>
        </w:tc>
        <w:tc>
          <w:tcPr>
            <w:tcW w:w="1290" w:type="dxa"/>
            <w:vAlign w:val="top"/>
          </w:tcPr>
          <w:p w14:paraId="20707F1A">
            <w:pPr>
              <w:spacing w:before="136"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0.24</w:t>
            </w:r>
          </w:p>
        </w:tc>
        <w:tc>
          <w:tcPr>
            <w:tcW w:w="1290" w:type="dxa"/>
            <w:vAlign w:val="top"/>
          </w:tcPr>
          <w:p w14:paraId="46A7D26A">
            <w:pPr>
              <w:spacing w:before="136"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0.19</w:t>
            </w:r>
          </w:p>
        </w:tc>
        <w:tc>
          <w:tcPr>
            <w:tcW w:w="1305" w:type="dxa"/>
            <w:tcBorders>
              <w:right w:val="single" w:color="000000" w:sz="10" w:space="0"/>
            </w:tcBorders>
            <w:vAlign w:val="top"/>
          </w:tcPr>
          <w:p w14:paraId="3F19B92C">
            <w:pPr>
              <w:spacing w:before="136" w:line="195" w:lineRule="auto"/>
              <w:ind w:left="4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5.67</w:t>
            </w:r>
          </w:p>
        </w:tc>
      </w:tr>
      <w:tr w14:paraId="69EAB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494" w:type="dxa"/>
            <w:tcBorders>
              <w:left w:val="single" w:color="000000" w:sz="10" w:space="0"/>
            </w:tcBorders>
            <w:vAlign w:val="top"/>
          </w:tcPr>
          <w:p w14:paraId="247A7FA1">
            <w:pPr>
              <w:spacing w:before="100" w:line="216" w:lineRule="auto"/>
              <w:ind w:left="131"/>
              <w:rPr>
                <w:rFonts w:ascii="等线" w:hAnsi="等线" w:eastAsia="等线" w:cs="等线"/>
                <w:sz w:val="20"/>
                <w:szCs w:val="20"/>
              </w:rPr>
            </w:pPr>
            <w:r>
              <w:rPr>
                <w:rFonts w:ascii="Times New Roman" w:hAnsi="Times New Roman" w:eastAsia="Times New Roman" w:cs="Times New Roman"/>
                <w:sz w:val="20"/>
                <w:szCs w:val="20"/>
              </w:rPr>
              <w:t>2022</w:t>
            </w:r>
            <w:r>
              <w:rPr>
                <w:rFonts w:ascii="等线" w:hAnsi="等线" w:eastAsia="等线" w:cs="等线"/>
                <w:sz w:val="20"/>
                <w:szCs w:val="20"/>
              </w:rPr>
              <w:t>年</w:t>
            </w:r>
            <w:r>
              <w:rPr>
                <w:rFonts w:ascii="Times New Roman" w:hAnsi="Times New Roman" w:eastAsia="Times New Roman" w:cs="Times New Roman"/>
                <w:sz w:val="20"/>
                <w:szCs w:val="20"/>
              </w:rPr>
              <w:t>10</w:t>
            </w:r>
            <w:r>
              <w:rPr>
                <w:rFonts w:ascii="等线" w:hAnsi="等线" w:eastAsia="等线" w:cs="等线"/>
                <w:sz w:val="20"/>
                <w:szCs w:val="20"/>
              </w:rPr>
              <w:t>月</w:t>
            </w:r>
          </w:p>
        </w:tc>
        <w:tc>
          <w:tcPr>
            <w:tcW w:w="1856" w:type="dxa"/>
            <w:vAlign w:val="top"/>
          </w:tcPr>
          <w:p w14:paraId="1BC8451A">
            <w:pPr>
              <w:spacing w:before="136" w:line="195" w:lineRule="auto"/>
              <w:ind w:left="6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11535</w:t>
            </w:r>
          </w:p>
        </w:tc>
        <w:tc>
          <w:tcPr>
            <w:tcW w:w="1290" w:type="dxa"/>
            <w:vAlign w:val="top"/>
          </w:tcPr>
          <w:p w14:paraId="17BAA143">
            <w:pPr>
              <w:spacing w:before="136"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9.57</w:t>
            </w:r>
          </w:p>
        </w:tc>
        <w:tc>
          <w:tcPr>
            <w:tcW w:w="1290" w:type="dxa"/>
            <w:vAlign w:val="top"/>
          </w:tcPr>
          <w:p w14:paraId="6695A13C">
            <w:pPr>
              <w:spacing w:before="136"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c>
          <w:tcPr>
            <w:tcW w:w="1290" w:type="dxa"/>
            <w:vAlign w:val="top"/>
          </w:tcPr>
          <w:p w14:paraId="4F12BEAC">
            <w:pPr>
              <w:spacing w:before="136"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0.12</w:t>
            </w:r>
          </w:p>
        </w:tc>
        <w:tc>
          <w:tcPr>
            <w:tcW w:w="1305" w:type="dxa"/>
            <w:tcBorders>
              <w:right w:val="single" w:color="000000" w:sz="10" w:space="0"/>
            </w:tcBorders>
            <w:vAlign w:val="top"/>
          </w:tcPr>
          <w:p w14:paraId="1FE93F0D">
            <w:pPr>
              <w:spacing w:before="136" w:line="195"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6.09</w:t>
            </w:r>
          </w:p>
        </w:tc>
      </w:tr>
      <w:tr w14:paraId="7EB756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494" w:type="dxa"/>
            <w:tcBorders>
              <w:left w:val="single" w:color="000000" w:sz="10" w:space="0"/>
            </w:tcBorders>
            <w:vAlign w:val="top"/>
          </w:tcPr>
          <w:p w14:paraId="177AF08E">
            <w:pPr>
              <w:spacing w:before="103" w:line="216" w:lineRule="auto"/>
              <w:ind w:left="131"/>
              <w:rPr>
                <w:rFonts w:ascii="等线" w:hAnsi="等线" w:eastAsia="等线" w:cs="等线"/>
                <w:sz w:val="20"/>
                <w:szCs w:val="20"/>
              </w:rPr>
            </w:pPr>
            <w:r>
              <w:rPr>
                <w:rFonts w:ascii="Times New Roman" w:hAnsi="Times New Roman" w:eastAsia="Times New Roman" w:cs="Times New Roman"/>
                <w:sz w:val="20"/>
                <w:szCs w:val="20"/>
              </w:rPr>
              <w:t>2022</w:t>
            </w:r>
            <w:r>
              <w:rPr>
                <w:rFonts w:ascii="等线" w:hAnsi="等线" w:eastAsia="等线" w:cs="等线"/>
                <w:sz w:val="20"/>
                <w:szCs w:val="20"/>
              </w:rPr>
              <w:t>年</w:t>
            </w:r>
            <w:r>
              <w:rPr>
                <w:rFonts w:ascii="Times New Roman" w:hAnsi="Times New Roman" w:eastAsia="Times New Roman" w:cs="Times New Roman"/>
                <w:sz w:val="20"/>
                <w:szCs w:val="20"/>
              </w:rPr>
              <w:t>11</w:t>
            </w:r>
            <w:r>
              <w:rPr>
                <w:rFonts w:ascii="等线" w:hAnsi="等线" w:eastAsia="等线" w:cs="等线"/>
                <w:sz w:val="20"/>
                <w:szCs w:val="20"/>
              </w:rPr>
              <w:t>月</w:t>
            </w:r>
          </w:p>
        </w:tc>
        <w:tc>
          <w:tcPr>
            <w:tcW w:w="1856" w:type="dxa"/>
            <w:vAlign w:val="top"/>
          </w:tcPr>
          <w:p w14:paraId="1321B00A">
            <w:pPr>
              <w:spacing w:before="138"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9767</w:t>
            </w:r>
          </w:p>
        </w:tc>
        <w:tc>
          <w:tcPr>
            <w:tcW w:w="1290" w:type="dxa"/>
            <w:vAlign w:val="top"/>
          </w:tcPr>
          <w:p w14:paraId="02D12F1D">
            <w:pPr>
              <w:spacing w:before="138" w:line="195" w:lineRule="auto"/>
              <w:ind w:left="43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18.03</w:t>
            </w:r>
          </w:p>
        </w:tc>
        <w:tc>
          <w:tcPr>
            <w:tcW w:w="1290" w:type="dxa"/>
            <w:vAlign w:val="top"/>
          </w:tcPr>
          <w:p w14:paraId="78ED716B">
            <w:pPr>
              <w:spacing w:before="138" w:line="195"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0.095</w:t>
            </w:r>
          </w:p>
        </w:tc>
        <w:tc>
          <w:tcPr>
            <w:tcW w:w="1290" w:type="dxa"/>
            <w:vAlign w:val="top"/>
          </w:tcPr>
          <w:p w14:paraId="40D4C35F">
            <w:pPr>
              <w:spacing w:before="138"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0.077</w:t>
            </w:r>
          </w:p>
        </w:tc>
        <w:tc>
          <w:tcPr>
            <w:tcW w:w="1305" w:type="dxa"/>
            <w:tcBorders>
              <w:right w:val="single" w:color="000000" w:sz="10" w:space="0"/>
            </w:tcBorders>
            <w:vAlign w:val="top"/>
          </w:tcPr>
          <w:p w14:paraId="5BE2B0E4">
            <w:pPr>
              <w:spacing w:before="138"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2.24</w:t>
            </w:r>
          </w:p>
        </w:tc>
      </w:tr>
      <w:tr w14:paraId="2711C4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494" w:type="dxa"/>
            <w:tcBorders>
              <w:left w:val="single" w:color="000000" w:sz="10" w:space="0"/>
            </w:tcBorders>
            <w:vAlign w:val="top"/>
          </w:tcPr>
          <w:p w14:paraId="487283EA">
            <w:pPr>
              <w:spacing w:before="101" w:line="216" w:lineRule="auto"/>
              <w:ind w:left="131"/>
              <w:rPr>
                <w:rFonts w:ascii="等线" w:hAnsi="等线" w:eastAsia="等线" w:cs="等线"/>
                <w:sz w:val="20"/>
                <w:szCs w:val="20"/>
              </w:rPr>
            </w:pPr>
            <w:r>
              <w:rPr>
                <w:rFonts w:ascii="Times New Roman" w:hAnsi="Times New Roman" w:eastAsia="Times New Roman" w:cs="Times New Roman"/>
                <w:sz w:val="20"/>
                <w:szCs w:val="20"/>
              </w:rPr>
              <w:t>2022</w:t>
            </w:r>
            <w:r>
              <w:rPr>
                <w:rFonts w:ascii="等线" w:hAnsi="等线" w:eastAsia="等线" w:cs="等线"/>
                <w:sz w:val="20"/>
                <w:szCs w:val="20"/>
              </w:rPr>
              <w:t>年</w:t>
            </w:r>
            <w:r>
              <w:rPr>
                <w:rFonts w:ascii="Times New Roman" w:hAnsi="Times New Roman" w:eastAsia="Times New Roman" w:cs="Times New Roman"/>
                <w:sz w:val="20"/>
                <w:szCs w:val="20"/>
              </w:rPr>
              <w:t>12</w:t>
            </w:r>
            <w:r>
              <w:rPr>
                <w:rFonts w:ascii="等线" w:hAnsi="等线" w:eastAsia="等线" w:cs="等线"/>
                <w:sz w:val="20"/>
                <w:szCs w:val="20"/>
              </w:rPr>
              <w:t>月</w:t>
            </w:r>
          </w:p>
        </w:tc>
        <w:tc>
          <w:tcPr>
            <w:tcW w:w="1856" w:type="dxa"/>
            <w:vAlign w:val="top"/>
          </w:tcPr>
          <w:p w14:paraId="5B855F15">
            <w:pPr>
              <w:spacing w:before="137"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9675</w:t>
            </w:r>
          </w:p>
        </w:tc>
        <w:tc>
          <w:tcPr>
            <w:tcW w:w="1290" w:type="dxa"/>
            <w:vAlign w:val="top"/>
          </w:tcPr>
          <w:p w14:paraId="5DFA3695">
            <w:pPr>
              <w:spacing w:before="137" w:line="195" w:lineRule="auto"/>
              <w:ind w:left="43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14.21</w:t>
            </w:r>
          </w:p>
        </w:tc>
        <w:tc>
          <w:tcPr>
            <w:tcW w:w="1290" w:type="dxa"/>
            <w:vAlign w:val="top"/>
          </w:tcPr>
          <w:p w14:paraId="16E74BD0">
            <w:pPr>
              <w:spacing w:before="137" w:line="195"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0.095</w:t>
            </w:r>
          </w:p>
        </w:tc>
        <w:tc>
          <w:tcPr>
            <w:tcW w:w="1290" w:type="dxa"/>
            <w:vAlign w:val="top"/>
          </w:tcPr>
          <w:p w14:paraId="4DC8BE98">
            <w:pPr>
              <w:spacing w:before="137"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0.069</w:t>
            </w:r>
          </w:p>
        </w:tc>
        <w:tc>
          <w:tcPr>
            <w:tcW w:w="1305" w:type="dxa"/>
            <w:tcBorders>
              <w:right w:val="single" w:color="000000" w:sz="10" w:space="0"/>
            </w:tcBorders>
            <w:vAlign w:val="top"/>
          </w:tcPr>
          <w:p w14:paraId="05EE5833">
            <w:pPr>
              <w:spacing w:before="137"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4.17</w:t>
            </w:r>
          </w:p>
        </w:tc>
      </w:tr>
      <w:tr w14:paraId="20F664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494" w:type="dxa"/>
            <w:tcBorders>
              <w:left w:val="single" w:color="000000" w:sz="10" w:space="0"/>
            </w:tcBorders>
            <w:vAlign w:val="top"/>
          </w:tcPr>
          <w:p w14:paraId="7D729197">
            <w:pPr>
              <w:spacing w:before="104" w:line="216" w:lineRule="auto"/>
              <w:ind w:left="183"/>
              <w:rPr>
                <w:rFonts w:ascii="等线" w:hAnsi="等线" w:eastAsia="等线" w:cs="等线"/>
                <w:sz w:val="20"/>
                <w:szCs w:val="20"/>
              </w:rPr>
            </w:pPr>
            <w:r>
              <w:rPr>
                <w:rFonts w:ascii="Times New Roman" w:hAnsi="Times New Roman" w:eastAsia="Times New Roman" w:cs="Times New Roman"/>
                <w:spacing w:val="-1"/>
                <w:sz w:val="20"/>
                <w:szCs w:val="20"/>
              </w:rPr>
              <w:t>2023</w:t>
            </w:r>
            <w:r>
              <w:rPr>
                <w:rFonts w:ascii="等线" w:hAnsi="等线" w:eastAsia="等线" w:cs="等线"/>
                <w:spacing w:val="-1"/>
                <w:sz w:val="20"/>
                <w:szCs w:val="20"/>
              </w:rPr>
              <w:t>年</w:t>
            </w:r>
            <w:r>
              <w:rPr>
                <w:rFonts w:ascii="Times New Roman" w:hAnsi="Times New Roman" w:eastAsia="Times New Roman" w:cs="Times New Roman"/>
                <w:spacing w:val="-1"/>
                <w:sz w:val="20"/>
                <w:szCs w:val="20"/>
              </w:rPr>
              <w:t>1</w:t>
            </w:r>
            <w:r>
              <w:rPr>
                <w:rFonts w:ascii="等线" w:hAnsi="等线" w:eastAsia="等线" w:cs="等线"/>
                <w:spacing w:val="-1"/>
                <w:sz w:val="20"/>
                <w:szCs w:val="20"/>
              </w:rPr>
              <w:t>月</w:t>
            </w:r>
          </w:p>
        </w:tc>
        <w:tc>
          <w:tcPr>
            <w:tcW w:w="1856" w:type="dxa"/>
            <w:vAlign w:val="top"/>
          </w:tcPr>
          <w:p w14:paraId="6AA3B29F">
            <w:pPr>
              <w:spacing w:before="139"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3726</w:t>
            </w:r>
          </w:p>
        </w:tc>
        <w:tc>
          <w:tcPr>
            <w:tcW w:w="1290" w:type="dxa"/>
            <w:vAlign w:val="top"/>
          </w:tcPr>
          <w:p w14:paraId="53C0202D">
            <w:pPr>
              <w:spacing w:before="139" w:line="195" w:lineRule="auto"/>
              <w:ind w:left="43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13.83</w:t>
            </w:r>
          </w:p>
        </w:tc>
        <w:tc>
          <w:tcPr>
            <w:tcW w:w="1290" w:type="dxa"/>
            <w:vAlign w:val="top"/>
          </w:tcPr>
          <w:p w14:paraId="33C06B8F">
            <w:pPr>
              <w:spacing w:before="139" w:line="195" w:lineRule="auto"/>
              <w:ind w:left="4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4.24</w:t>
            </w:r>
          </w:p>
        </w:tc>
        <w:tc>
          <w:tcPr>
            <w:tcW w:w="1290" w:type="dxa"/>
            <w:vAlign w:val="top"/>
          </w:tcPr>
          <w:p w14:paraId="6679D1A5">
            <w:pPr>
              <w:spacing w:before="139"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0.044</w:t>
            </w:r>
          </w:p>
        </w:tc>
        <w:tc>
          <w:tcPr>
            <w:tcW w:w="1305" w:type="dxa"/>
            <w:tcBorders>
              <w:right w:val="single" w:color="000000" w:sz="10" w:space="0"/>
            </w:tcBorders>
            <w:vAlign w:val="top"/>
          </w:tcPr>
          <w:p w14:paraId="7A89E1DD">
            <w:pPr>
              <w:spacing w:before="139"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9.85</w:t>
            </w:r>
          </w:p>
        </w:tc>
      </w:tr>
      <w:tr w14:paraId="77CD72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494" w:type="dxa"/>
            <w:tcBorders>
              <w:left w:val="single" w:color="000000" w:sz="10" w:space="0"/>
            </w:tcBorders>
            <w:vAlign w:val="top"/>
          </w:tcPr>
          <w:p w14:paraId="2DA33E8A">
            <w:pPr>
              <w:spacing w:before="103" w:line="216" w:lineRule="auto"/>
              <w:ind w:left="183"/>
              <w:rPr>
                <w:rFonts w:ascii="等线" w:hAnsi="等线" w:eastAsia="等线" w:cs="等线"/>
                <w:sz w:val="20"/>
                <w:szCs w:val="20"/>
              </w:rPr>
            </w:pPr>
            <w:r>
              <w:rPr>
                <w:rFonts w:ascii="Times New Roman" w:hAnsi="Times New Roman" w:eastAsia="Times New Roman" w:cs="Times New Roman"/>
                <w:spacing w:val="2"/>
                <w:sz w:val="20"/>
                <w:szCs w:val="20"/>
              </w:rPr>
              <w:t>2023</w:t>
            </w:r>
            <w:r>
              <w:rPr>
                <w:rFonts w:ascii="等线" w:hAnsi="等线" w:eastAsia="等线" w:cs="等线"/>
                <w:spacing w:val="2"/>
                <w:sz w:val="20"/>
                <w:szCs w:val="20"/>
              </w:rPr>
              <w:t>年</w:t>
            </w:r>
            <w:r>
              <w:rPr>
                <w:rFonts w:ascii="Times New Roman" w:hAnsi="Times New Roman" w:eastAsia="Times New Roman" w:cs="Times New Roman"/>
                <w:spacing w:val="2"/>
                <w:sz w:val="20"/>
                <w:szCs w:val="20"/>
              </w:rPr>
              <w:t>2</w:t>
            </w:r>
            <w:r>
              <w:rPr>
                <w:rFonts w:ascii="等线" w:hAnsi="等线" w:eastAsia="等线" w:cs="等线"/>
                <w:spacing w:val="2"/>
                <w:sz w:val="20"/>
                <w:szCs w:val="20"/>
              </w:rPr>
              <w:t>月</w:t>
            </w:r>
          </w:p>
        </w:tc>
        <w:tc>
          <w:tcPr>
            <w:tcW w:w="1856" w:type="dxa"/>
            <w:vAlign w:val="top"/>
          </w:tcPr>
          <w:p w14:paraId="1B84351D">
            <w:pPr>
              <w:spacing w:before="139" w:line="195" w:lineRule="auto"/>
              <w:ind w:left="680"/>
              <w:rPr>
                <w:rFonts w:ascii="Times New Roman" w:hAnsi="Times New Roman" w:eastAsia="Times New Roman" w:cs="Times New Roman"/>
                <w:sz w:val="20"/>
                <w:szCs w:val="20"/>
              </w:rPr>
            </w:pPr>
            <w:r>
              <w:rPr>
                <w:rFonts w:ascii="Times New Roman" w:hAnsi="Times New Roman" w:eastAsia="Times New Roman" w:cs="Times New Roman"/>
                <w:sz w:val="20"/>
                <w:szCs w:val="20"/>
              </w:rPr>
              <w:t>10619</w:t>
            </w:r>
          </w:p>
        </w:tc>
        <w:tc>
          <w:tcPr>
            <w:tcW w:w="1290" w:type="dxa"/>
            <w:vAlign w:val="top"/>
          </w:tcPr>
          <w:p w14:paraId="45105E13">
            <w:pPr>
              <w:spacing w:before="139" w:line="195" w:lineRule="auto"/>
              <w:ind w:left="43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18.53</w:t>
            </w:r>
          </w:p>
        </w:tc>
        <w:tc>
          <w:tcPr>
            <w:tcW w:w="1290" w:type="dxa"/>
            <w:vAlign w:val="top"/>
          </w:tcPr>
          <w:p w14:paraId="43B8CA67">
            <w:pPr>
              <w:spacing w:before="139"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1.25</w:t>
            </w:r>
          </w:p>
        </w:tc>
        <w:tc>
          <w:tcPr>
            <w:tcW w:w="1290" w:type="dxa"/>
            <w:vAlign w:val="top"/>
          </w:tcPr>
          <w:p w14:paraId="05D94E04">
            <w:pPr>
              <w:spacing w:before="139"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0.132</w:t>
            </w:r>
          </w:p>
        </w:tc>
        <w:tc>
          <w:tcPr>
            <w:tcW w:w="1305" w:type="dxa"/>
            <w:tcBorders>
              <w:right w:val="single" w:color="000000" w:sz="10" w:space="0"/>
            </w:tcBorders>
            <w:vAlign w:val="top"/>
          </w:tcPr>
          <w:p w14:paraId="4C76F366">
            <w:pPr>
              <w:spacing w:before="139"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4.11</w:t>
            </w:r>
          </w:p>
        </w:tc>
      </w:tr>
      <w:tr w14:paraId="0E338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494" w:type="dxa"/>
            <w:tcBorders>
              <w:left w:val="single" w:color="000000" w:sz="10" w:space="0"/>
            </w:tcBorders>
            <w:vAlign w:val="top"/>
          </w:tcPr>
          <w:p w14:paraId="2D4D4305">
            <w:pPr>
              <w:spacing w:before="106" w:line="216" w:lineRule="auto"/>
              <w:ind w:left="183"/>
              <w:rPr>
                <w:rFonts w:ascii="等线" w:hAnsi="等线" w:eastAsia="等线" w:cs="等线"/>
                <w:sz w:val="20"/>
                <w:szCs w:val="20"/>
              </w:rPr>
            </w:pPr>
            <w:r>
              <w:rPr>
                <w:rFonts w:ascii="Times New Roman" w:hAnsi="Times New Roman" w:eastAsia="Times New Roman" w:cs="Times New Roman"/>
                <w:spacing w:val="2"/>
                <w:sz w:val="20"/>
                <w:szCs w:val="20"/>
              </w:rPr>
              <w:t>2023</w:t>
            </w:r>
            <w:r>
              <w:rPr>
                <w:rFonts w:ascii="等线" w:hAnsi="等线" w:eastAsia="等线" w:cs="等线"/>
                <w:spacing w:val="2"/>
                <w:sz w:val="20"/>
                <w:szCs w:val="20"/>
              </w:rPr>
              <w:t>年</w:t>
            </w:r>
            <w:r>
              <w:rPr>
                <w:rFonts w:ascii="Times New Roman" w:hAnsi="Times New Roman" w:eastAsia="Times New Roman" w:cs="Times New Roman"/>
                <w:spacing w:val="2"/>
                <w:sz w:val="20"/>
                <w:szCs w:val="20"/>
              </w:rPr>
              <w:t>3</w:t>
            </w:r>
            <w:r>
              <w:rPr>
                <w:rFonts w:ascii="等线" w:hAnsi="等线" w:eastAsia="等线" w:cs="等线"/>
                <w:spacing w:val="2"/>
                <w:sz w:val="20"/>
                <w:szCs w:val="20"/>
              </w:rPr>
              <w:t>月</w:t>
            </w:r>
          </w:p>
        </w:tc>
        <w:tc>
          <w:tcPr>
            <w:tcW w:w="1856" w:type="dxa"/>
            <w:vAlign w:val="top"/>
          </w:tcPr>
          <w:p w14:paraId="49159980">
            <w:pPr>
              <w:spacing w:before="141"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9103</w:t>
            </w:r>
          </w:p>
        </w:tc>
        <w:tc>
          <w:tcPr>
            <w:tcW w:w="1290" w:type="dxa"/>
            <w:vAlign w:val="top"/>
          </w:tcPr>
          <w:p w14:paraId="231F77D7">
            <w:pPr>
              <w:spacing w:before="141"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26.32</w:t>
            </w:r>
          </w:p>
        </w:tc>
        <w:tc>
          <w:tcPr>
            <w:tcW w:w="1290" w:type="dxa"/>
            <w:vAlign w:val="top"/>
          </w:tcPr>
          <w:p w14:paraId="13ABE7C2">
            <w:pPr>
              <w:spacing w:before="141" w:line="195"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0.185</w:t>
            </w:r>
          </w:p>
        </w:tc>
        <w:tc>
          <w:tcPr>
            <w:tcW w:w="1290" w:type="dxa"/>
            <w:vAlign w:val="top"/>
          </w:tcPr>
          <w:p w14:paraId="54F1513D">
            <w:pPr>
              <w:spacing w:before="141"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0.19</w:t>
            </w:r>
          </w:p>
        </w:tc>
        <w:tc>
          <w:tcPr>
            <w:tcW w:w="1305" w:type="dxa"/>
            <w:tcBorders>
              <w:right w:val="single" w:color="000000" w:sz="10" w:space="0"/>
            </w:tcBorders>
            <w:vAlign w:val="top"/>
          </w:tcPr>
          <w:p w14:paraId="7DDF5745">
            <w:pPr>
              <w:spacing w:before="141"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2.04</w:t>
            </w:r>
          </w:p>
        </w:tc>
      </w:tr>
      <w:tr w14:paraId="7C99C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494" w:type="dxa"/>
            <w:tcBorders>
              <w:left w:val="single" w:color="000000" w:sz="10" w:space="0"/>
            </w:tcBorders>
            <w:vAlign w:val="top"/>
          </w:tcPr>
          <w:p w14:paraId="514D12F0">
            <w:pPr>
              <w:spacing w:before="105" w:line="216" w:lineRule="auto"/>
              <w:ind w:left="183"/>
              <w:rPr>
                <w:rFonts w:ascii="等线" w:hAnsi="等线" w:eastAsia="等线" w:cs="等线"/>
                <w:sz w:val="20"/>
                <w:szCs w:val="20"/>
              </w:rPr>
            </w:pPr>
            <w:r>
              <w:rPr>
                <w:rFonts w:ascii="Times New Roman" w:hAnsi="Times New Roman" w:eastAsia="Times New Roman" w:cs="Times New Roman"/>
                <w:spacing w:val="2"/>
                <w:sz w:val="20"/>
                <w:szCs w:val="20"/>
              </w:rPr>
              <w:t>2023</w:t>
            </w:r>
            <w:r>
              <w:rPr>
                <w:rFonts w:ascii="等线" w:hAnsi="等线" w:eastAsia="等线" w:cs="等线"/>
                <w:spacing w:val="2"/>
                <w:sz w:val="20"/>
                <w:szCs w:val="20"/>
              </w:rPr>
              <w:t>年</w:t>
            </w:r>
            <w:r>
              <w:rPr>
                <w:rFonts w:ascii="Times New Roman" w:hAnsi="Times New Roman" w:eastAsia="Times New Roman" w:cs="Times New Roman"/>
                <w:spacing w:val="2"/>
                <w:sz w:val="20"/>
                <w:szCs w:val="20"/>
              </w:rPr>
              <w:t>4</w:t>
            </w:r>
            <w:r>
              <w:rPr>
                <w:rFonts w:ascii="等线" w:hAnsi="等线" w:eastAsia="等线" w:cs="等线"/>
                <w:spacing w:val="2"/>
                <w:sz w:val="20"/>
                <w:szCs w:val="20"/>
              </w:rPr>
              <w:t>月</w:t>
            </w:r>
          </w:p>
        </w:tc>
        <w:tc>
          <w:tcPr>
            <w:tcW w:w="1856" w:type="dxa"/>
            <w:vAlign w:val="top"/>
          </w:tcPr>
          <w:p w14:paraId="405F6471">
            <w:pPr>
              <w:spacing w:before="141" w:line="195" w:lineRule="auto"/>
              <w:ind w:left="6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11134</w:t>
            </w:r>
          </w:p>
        </w:tc>
        <w:tc>
          <w:tcPr>
            <w:tcW w:w="1290" w:type="dxa"/>
            <w:vAlign w:val="top"/>
          </w:tcPr>
          <w:p w14:paraId="7628E4DA">
            <w:pPr>
              <w:spacing w:before="141"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25.28</w:t>
            </w:r>
          </w:p>
        </w:tc>
        <w:tc>
          <w:tcPr>
            <w:tcW w:w="1290" w:type="dxa"/>
            <w:vAlign w:val="top"/>
          </w:tcPr>
          <w:p w14:paraId="0D626B2E">
            <w:pPr>
              <w:spacing w:before="141"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0.14</w:t>
            </w:r>
          </w:p>
        </w:tc>
        <w:tc>
          <w:tcPr>
            <w:tcW w:w="1290" w:type="dxa"/>
            <w:vAlign w:val="top"/>
          </w:tcPr>
          <w:p w14:paraId="29092111">
            <w:pPr>
              <w:spacing w:before="141"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0.141</w:t>
            </w:r>
          </w:p>
        </w:tc>
        <w:tc>
          <w:tcPr>
            <w:tcW w:w="1305" w:type="dxa"/>
            <w:tcBorders>
              <w:right w:val="single" w:color="000000" w:sz="10" w:space="0"/>
            </w:tcBorders>
            <w:vAlign w:val="top"/>
          </w:tcPr>
          <w:p w14:paraId="3D95B397">
            <w:pPr>
              <w:spacing w:before="141" w:line="195"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1.68</w:t>
            </w:r>
          </w:p>
        </w:tc>
      </w:tr>
      <w:tr w14:paraId="68612B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494" w:type="dxa"/>
            <w:tcBorders>
              <w:left w:val="single" w:color="000000" w:sz="10" w:space="0"/>
            </w:tcBorders>
            <w:vAlign w:val="top"/>
          </w:tcPr>
          <w:p w14:paraId="2D3A4B28">
            <w:pPr>
              <w:spacing w:before="108" w:line="216" w:lineRule="auto"/>
              <w:ind w:left="183"/>
              <w:rPr>
                <w:rFonts w:ascii="等线" w:hAnsi="等线" w:eastAsia="等线" w:cs="等线"/>
                <w:sz w:val="20"/>
                <w:szCs w:val="20"/>
              </w:rPr>
            </w:pPr>
            <w:r>
              <w:rPr>
                <w:rFonts w:ascii="Times New Roman" w:hAnsi="Times New Roman" w:eastAsia="Times New Roman" w:cs="Times New Roman"/>
                <w:spacing w:val="2"/>
                <w:sz w:val="20"/>
                <w:szCs w:val="20"/>
              </w:rPr>
              <w:t>2023</w:t>
            </w:r>
            <w:r>
              <w:rPr>
                <w:rFonts w:ascii="等线" w:hAnsi="等线" w:eastAsia="等线" w:cs="等线"/>
                <w:spacing w:val="2"/>
                <w:sz w:val="20"/>
                <w:szCs w:val="20"/>
              </w:rPr>
              <w:t>年</w:t>
            </w:r>
            <w:r>
              <w:rPr>
                <w:rFonts w:ascii="Times New Roman" w:hAnsi="Times New Roman" w:eastAsia="Times New Roman" w:cs="Times New Roman"/>
                <w:spacing w:val="2"/>
                <w:sz w:val="20"/>
                <w:szCs w:val="20"/>
              </w:rPr>
              <w:t>5</w:t>
            </w:r>
            <w:r>
              <w:rPr>
                <w:rFonts w:ascii="等线" w:hAnsi="等线" w:eastAsia="等线" w:cs="等线"/>
                <w:spacing w:val="2"/>
                <w:sz w:val="20"/>
                <w:szCs w:val="20"/>
              </w:rPr>
              <w:t>月</w:t>
            </w:r>
          </w:p>
        </w:tc>
        <w:tc>
          <w:tcPr>
            <w:tcW w:w="1856" w:type="dxa"/>
            <w:vAlign w:val="top"/>
          </w:tcPr>
          <w:p w14:paraId="2B3EC722">
            <w:pPr>
              <w:spacing w:before="143"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9308</w:t>
            </w:r>
          </w:p>
        </w:tc>
        <w:tc>
          <w:tcPr>
            <w:tcW w:w="1290" w:type="dxa"/>
            <w:vAlign w:val="top"/>
          </w:tcPr>
          <w:p w14:paraId="6C6273D7">
            <w:pPr>
              <w:spacing w:before="143"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26.31</w:t>
            </w:r>
          </w:p>
        </w:tc>
        <w:tc>
          <w:tcPr>
            <w:tcW w:w="1290" w:type="dxa"/>
            <w:vAlign w:val="top"/>
          </w:tcPr>
          <w:p w14:paraId="1423B333">
            <w:pPr>
              <w:spacing w:before="143"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0.24</w:t>
            </w:r>
          </w:p>
        </w:tc>
        <w:tc>
          <w:tcPr>
            <w:tcW w:w="1290" w:type="dxa"/>
            <w:vAlign w:val="top"/>
          </w:tcPr>
          <w:p w14:paraId="7EA13849">
            <w:pPr>
              <w:spacing w:before="143"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0.097</w:t>
            </w:r>
          </w:p>
        </w:tc>
        <w:tc>
          <w:tcPr>
            <w:tcW w:w="1305" w:type="dxa"/>
            <w:tcBorders>
              <w:right w:val="single" w:color="000000" w:sz="10" w:space="0"/>
            </w:tcBorders>
            <w:vAlign w:val="top"/>
          </w:tcPr>
          <w:p w14:paraId="66F65A53">
            <w:pPr>
              <w:spacing w:before="143" w:line="195"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1.64</w:t>
            </w:r>
          </w:p>
        </w:tc>
      </w:tr>
      <w:tr w14:paraId="044C0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494" w:type="dxa"/>
            <w:tcBorders>
              <w:left w:val="single" w:color="000000" w:sz="10" w:space="0"/>
            </w:tcBorders>
            <w:vAlign w:val="top"/>
          </w:tcPr>
          <w:p w14:paraId="4FD932BA">
            <w:pPr>
              <w:spacing w:before="107" w:line="216" w:lineRule="auto"/>
              <w:ind w:left="183"/>
              <w:rPr>
                <w:rFonts w:ascii="等线" w:hAnsi="等线" w:eastAsia="等线" w:cs="等线"/>
                <w:sz w:val="20"/>
                <w:szCs w:val="20"/>
              </w:rPr>
            </w:pPr>
            <w:r>
              <w:rPr>
                <w:rFonts w:ascii="Times New Roman" w:hAnsi="Times New Roman" w:eastAsia="Times New Roman" w:cs="Times New Roman"/>
                <w:spacing w:val="2"/>
                <w:sz w:val="20"/>
                <w:szCs w:val="20"/>
              </w:rPr>
              <w:t>2023</w:t>
            </w:r>
            <w:r>
              <w:rPr>
                <w:rFonts w:ascii="等线" w:hAnsi="等线" w:eastAsia="等线" w:cs="等线"/>
                <w:spacing w:val="2"/>
                <w:sz w:val="20"/>
                <w:szCs w:val="20"/>
              </w:rPr>
              <w:t>年</w:t>
            </w:r>
            <w:r>
              <w:rPr>
                <w:rFonts w:ascii="Times New Roman" w:hAnsi="Times New Roman" w:eastAsia="Times New Roman" w:cs="Times New Roman"/>
                <w:spacing w:val="2"/>
                <w:sz w:val="20"/>
                <w:szCs w:val="20"/>
              </w:rPr>
              <w:t>6</w:t>
            </w:r>
            <w:r>
              <w:rPr>
                <w:rFonts w:ascii="等线" w:hAnsi="等线" w:eastAsia="等线" w:cs="等线"/>
                <w:spacing w:val="2"/>
                <w:sz w:val="20"/>
                <w:szCs w:val="20"/>
              </w:rPr>
              <w:t>月</w:t>
            </w:r>
          </w:p>
        </w:tc>
        <w:tc>
          <w:tcPr>
            <w:tcW w:w="1856" w:type="dxa"/>
            <w:vAlign w:val="top"/>
          </w:tcPr>
          <w:p w14:paraId="7D79CF2F">
            <w:pPr>
              <w:spacing w:before="143" w:line="195" w:lineRule="auto"/>
              <w:ind w:left="680"/>
              <w:rPr>
                <w:rFonts w:ascii="Times New Roman" w:hAnsi="Times New Roman" w:eastAsia="Times New Roman" w:cs="Times New Roman"/>
                <w:sz w:val="20"/>
                <w:szCs w:val="20"/>
              </w:rPr>
            </w:pPr>
            <w:r>
              <w:rPr>
                <w:rFonts w:ascii="Times New Roman" w:hAnsi="Times New Roman" w:eastAsia="Times New Roman" w:cs="Times New Roman"/>
                <w:sz w:val="20"/>
                <w:szCs w:val="20"/>
              </w:rPr>
              <w:t>10895</w:t>
            </w:r>
          </w:p>
        </w:tc>
        <w:tc>
          <w:tcPr>
            <w:tcW w:w="1290" w:type="dxa"/>
            <w:vAlign w:val="top"/>
          </w:tcPr>
          <w:p w14:paraId="61C690EE">
            <w:pPr>
              <w:spacing w:before="143" w:line="195" w:lineRule="auto"/>
              <w:ind w:left="43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14.73</w:t>
            </w:r>
          </w:p>
        </w:tc>
        <w:tc>
          <w:tcPr>
            <w:tcW w:w="1290" w:type="dxa"/>
            <w:vAlign w:val="top"/>
          </w:tcPr>
          <w:p w14:paraId="3C9B4672">
            <w:pPr>
              <w:spacing w:before="143"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0.24</w:t>
            </w:r>
          </w:p>
        </w:tc>
        <w:tc>
          <w:tcPr>
            <w:tcW w:w="1290" w:type="dxa"/>
            <w:vAlign w:val="top"/>
          </w:tcPr>
          <w:p w14:paraId="062BE93C">
            <w:pPr>
              <w:spacing w:before="143"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0.034</w:t>
            </w:r>
          </w:p>
        </w:tc>
        <w:tc>
          <w:tcPr>
            <w:tcW w:w="1305" w:type="dxa"/>
            <w:tcBorders>
              <w:right w:val="single" w:color="000000" w:sz="10" w:space="0"/>
            </w:tcBorders>
            <w:vAlign w:val="top"/>
          </w:tcPr>
          <w:p w14:paraId="1BDD273B">
            <w:pPr>
              <w:spacing w:before="143"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0.79</w:t>
            </w:r>
          </w:p>
        </w:tc>
      </w:tr>
      <w:tr w14:paraId="2EE747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494" w:type="dxa"/>
            <w:tcBorders>
              <w:left w:val="single" w:color="000000" w:sz="10" w:space="0"/>
            </w:tcBorders>
            <w:vAlign w:val="top"/>
          </w:tcPr>
          <w:p w14:paraId="0E619973">
            <w:pPr>
              <w:spacing w:before="110" w:line="216" w:lineRule="auto"/>
              <w:ind w:left="183"/>
              <w:rPr>
                <w:rFonts w:ascii="等线" w:hAnsi="等线" w:eastAsia="等线" w:cs="等线"/>
                <w:sz w:val="20"/>
                <w:szCs w:val="20"/>
              </w:rPr>
            </w:pPr>
            <w:r>
              <w:rPr>
                <w:rFonts w:ascii="Times New Roman" w:hAnsi="Times New Roman" w:eastAsia="Times New Roman" w:cs="Times New Roman"/>
                <w:spacing w:val="2"/>
                <w:sz w:val="20"/>
                <w:szCs w:val="20"/>
              </w:rPr>
              <w:t>2023</w:t>
            </w:r>
            <w:r>
              <w:rPr>
                <w:rFonts w:ascii="等线" w:hAnsi="等线" w:eastAsia="等线" w:cs="等线"/>
                <w:spacing w:val="2"/>
                <w:sz w:val="20"/>
                <w:szCs w:val="20"/>
              </w:rPr>
              <w:t>年</w:t>
            </w:r>
            <w:r>
              <w:rPr>
                <w:rFonts w:ascii="Times New Roman" w:hAnsi="Times New Roman" w:eastAsia="Times New Roman" w:cs="Times New Roman"/>
                <w:spacing w:val="2"/>
                <w:sz w:val="20"/>
                <w:szCs w:val="20"/>
              </w:rPr>
              <w:t>7</w:t>
            </w:r>
            <w:r>
              <w:rPr>
                <w:rFonts w:ascii="等线" w:hAnsi="等线" w:eastAsia="等线" w:cs="等线"/>
                <w:spacing w:val="2"/>
                <w:sz w:val="20"/>
                <w:szCs w:val="20"/>
              </w:rPr>
              <w:t>月</w:t>
            </w:r>
          </w:p>
        </w:tc>
        <w:tc>
          <w:tcPr>
            <w:tcW w:w="1856" w:type="dxa"/>
            <w:vAlign w:val="top"/>
          </w:tcPr>
          <w:p w14:paraId="7EC204E3">
            <w:pPr>
              <w:spacing w:before="145" w:line="195" w:lineRule="auto"/>
              <w:ind w:left="680"/>
              <w:rPr>
                <w:rFonts w:ascii="Times New Roman" w:hAnsi="Times New Roman" w:eastAsia="Times New Roman" w:cs="Times New Roman"/>
                <w:sz w:val="20"/>
                <w:szCs w:val="20"/>
              </w:rPr>
            </w:pPr>
            <w:r>
              <w:rPr>
                <w:rFonts w:ascii="Times New Roman" w:hAnsi="Times New Roman" w:eastAsia="Times New Roman" w:cs="Times New Roman"/>
                <w:sz w:val="20"/>
                <w:szCs w:val="20"/>
              </w:rPr>
              <w:t>10348</w:t>
            </w:r>
          </w:p>
        </w:tc>
        <w:tc>
          <w:tcPr>
            <w:tcW w:w="1290" w:type="dxa"/>
            <w:vAlign w:val="top"/>
          </w:tcPr>
          <w:p w14:paraId="3A4ABA9E">
            <w:pPr>
              <w:spacing w:before="145" w:line="195" w:lineRule="auto"/>
              <w:ind w:left="43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13.02</w:t>
            </w:r>
          </w:p>
        </w:tc>
        <w:tc>
          <w:tcPr>
            <w:tcW w:w="1290" w:type="dxa"/>
            <w:vAlign w:val="top"/>
          </w:tcPr>
          <w:p w14:paraId="02393C7E">
            <w:pPr>
              <w:spacing w:before="145"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1.12</w:t>
            </w:r>
          </w:p>
        </w:tc>
        <w:tc>
          <w:tcPr>
            <w:tcW w:w="1290" w:type="dxa"/>
            <w:vAlign w:val="top"/>
          </w:tcPr>
          <w:p w14:paraId="5460D476">
            <w:pPr>
              <w:spacing w:before="145"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0.033</w:t>
            </w:r>
          </w:p>
        </w:tc>
        <w:tc>
          <w:tcPr>
            <w:tcW w:w="1305" w:type="dxa"/>
            <w:tcBorders>
              <w:right w:val="single" w:color="000000" w:sz="10" w:space="0"/>
            </w:tcBorders>
            <w:vAlign w:val="top"/>
          </w:tcPr>
          <w:p w14:paraId="7F70C596">
            <w:pPr>
              <w:spacing w:before="145" w:line="195"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3.35</w:t>
            </w:r>
          </w:p>
        </w:tc>
      </w:tr>
      <w:tr w14:paraId="5AE91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494" w:type="dxa"/>
            <w:tcBorders>
              <w:left w:val="single" w:color="000000" w:sz="10" w:space="0"/>
            </w:tcBorders>
            <w:vAlign w:val="top"/>
          </w:tcPr>
          <w:p w14:paraId="7092D741">
            <w:pPr>
              <w:spacing w:before="109" w:line="216" w:lineRule="auto"/>
              <w:ind w:left="183"/>
              <w:rPr>
                <w:rFonts w:ascii="等线" w:hAnsi="等线" w:eastAsia="等线" w:cs="等线"/>
                <w:sz w:val="20"/>
                <w:szCs w:val="20"/>
              </w:rPr>
            </w:pPr>
            <w:r>
              <w:rPr>
                <w:rFonts w:ascii="Times New Roman" w:hAnsi="Times New Roman" w:eastAsia="Times New Roman" w:cs="Times New Roman"/>
                <w:spacing w:val="1"/>
                <w:sz w:val="20"/>
                <w:szCs w:val="20"/>
              </w:rPr>
              <w:t>2023</w:t>
            </w:r>
            <w:r>
              <w:rPr>
                <w:rFonts w:ascii="等线" w:hAnsi="等线" w:eastAsia="等线" w:cs="等线"/>
                <w:spacing w:val="1"/>
                <w:sz w:val="20"/>
                <w:szCs w:val="20"/>
              </w:rPr>
              <w:t>年</w:t>
            </w:r>
            <w:r>
              <w:rPr>
                <w:rFonts w:ascii="Times New Roman" w:hAnsi="Times New Roman" w:eastAsia="Times New Roman" w:cs="Times New Roman"/>
                <w:spacing w:val="1"/>
                <w:sz w:val="20"/>
                <w:szCs w:val="20"/>
              </w:rPr>
              <w:t>8</w:t>
            </w:r>
            <w:r>
              <w:rPr>
                <w:rFonts w:ascii="等线" w:hAnsi="等线" w:eastAsia="等线" w:cs="等线"/>
                <w:spacing w:val="1"/>
                <w:sz w:val="20"/>
                <w:szCs w:val="20"/>
              </w:rPr>
              <w:t>月</w:t>
            </w:r>
          </w:p>
        </w:tc>
        <w:tc>
          <w:tcPr>
            <w:tcW w:w="1856" w:type="dxa"/>
            <w:vAlign w:val="top"/>
          </w:tcPr>
          <w:p w14:paraId="35424C3B">
            <w:pPr>
              <w:spacing w:before="145" w:line="195" w:lineRule="auto"/>
              <w:ind w:left="6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11765</w:t>
            </w:r>
          </w:p>
        </w:tc>
        <w:tc>
          <w:tcPr>
            <w:tcW w:w="1290" w:type="dxa"/>
            <w:vAlign w:val="top"/>
          </w:tcPr>
          <w:p w14:paraId="3DD8136D">
            <w:pPr>
              <w:spacing w:before="145" w:line="195" w:lineRule="auto"/>
              <w:ind w:left="43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12.31</w:t>
            </w:r>
          </w:p>
        </w:tc>
        <w:tc>
          <w:tcPr>
            <w:tcW w:w="1290" w:type="dxa"/>
            <w:vAlign w:val="top"/>
          </w:tcPr>
          <w:p w14:paraId="4B9D4D18">
            <w:pPr>
              <w:spacing w:before="145"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0.12</w:t>
            </w:r>
          </w:p>
        </w:tc>
        <w:tc>
          <w:tcPr>
            <w:tcW w:w="1290" w:type="dxa"/>
            <w:vAlign w:val="top"/>
          </w:tcPr>
          <w:p w14:paraId="7934E260">
            <w:pPr>
              <w:spacing w:before="145"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0.029</w:t>
            </w:r>
          </w:p>
        </w:tc>
        <w:tc>
          <w:tcPr>
            <w:tcW w:w="1305" w:type="dxa"/>
            <w:tcBorders>
              <w:right w:val="single" w:color="000000" w:sz="10" w:space="0"/>
            </w:tcBorders>
            <w:vAlign w:val="top"/>
          </w:tcPr>
          <w:p w14:paraId="17A0B500">
            <w:pPr>
              <w:spacing w:before="145"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2.33</w:t>
            </w:r>
          </w:p>
        </w:tc>
      </w:tr>
      <w:tr w14:paraId="2211E2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494" w:type="dxa"/>
            <w:tcBorders>
              <w:left w:val="single" w:color="000000" w:sz="10" w:space="0"/>
            </w:tcBorders>
            <w:vAlign w:val="top"/>
          </w:tcPr>
          <w:p w14:paraId="018764F3">
            <w:pPr>
              <w:spacing w:before="111" w:line="216" w:lineRule="auto"/>
              <w:ind w:left="183"/>
              <w:rPr>
                <w:rFonts w:ascii="等线" w:hAnsi="等线" w:eastAsia="等线" w:cs="等线"/>
                <w:sz w:val="20"/>
                <w:szCs w:val="20"/>
              </w:rPr>
            </w:pPr>
            <w:r>
              <w:rPr>
                <w:rFonts w:ascii="Times New Roman" w:hAnsi="Times New Roman" w:eastAsia="Times New Roman" w:cs="Times New Roman"/>
                <w:spacing w:val="2"/>
                <w:sz w:val="20"/>
                <w:szCs w:val="20"/>
              </w:rPr>
              <w:t>2023</w:t>
            </w:r>
            <w:r>
              <w:rPr>
                <w:rFonts w:ascii="等线" w:hAnsi="等线" w:eastAsia="等线" w:cs="等线"/>
                <w:spacing w:val="2"/>
                <w:sz w:val="20"/>
                <w:szCs w:val="20"/>
              </w:rPr>
              <w:t>年</w:t>
            </w:r>
            <w:r>
              <w:rPr>
                <w:rFonts w:ascii="Times New Roman" w:hAnsi="Times New Roman" w:eastAsia="Times New Roman" w:cs="Times New Roman"/>
                <w:spacing w:val="2"/>
                <w:sz w:val="20"/>
                <w:szCs w:val="20"/>
              </w:rPr>
              <w:t>9</w:t>
            </w:r>
            <w:r>
              <w:rPr>
                <w:rFonts w:ascii="等线" w:hAnsi="等线" w:eastAsia="等线" w:cs="等线"/>
                <w:spacing w:val="2"/>
                <w:sz w:val="20"/>
                <w:szCs w:val="20"/>
              </w:rPr>
              <w:t>月</w:t>
            </w:r>
          </w:p>
        </w:tc>
        <w:tc>
          <w:tcPr>
            <w:tcW w:w="1856" w:type="dxa"/>
            <w:vAlign w:val="top"/>
          </w:tcPr>
          <w:p w14:paraId="15C049BC">
            <w:pPr>
              <w:spacing w:before="146" w:line="195" w:lineRule="auto"/>
              <w:ind w:left="6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11965</w:t>
            </w:r>
          </w:p>
        </w:tc>
        <w:tc>
          <w:tcPr>
            <w:tcW w:w="1290" w:type="dxa"/>
            <w:vAlign w:val="top"/>
          </w:tcPr>
          <w:p w14:paraId="428ABACC">
            <w:pPr>
              <w:spacing w:before="146" w:line="195" w:lineRule="auto"/>
              <w:ind w:left="43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12.83</w:t>
            </w:r>
          </w:p>
        </w:tc>
        <w:tc>
          <w:tcPr>
            <w:tcW w:w="1290" w:type="dxa"/>
            <w:vAlign w:val="top"/>
          </w:tcPr>
          <w:p w14:paraId="55982C04">
            <w:pPr>
              <w:spacing w:before="146"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0.12</w:t>
            </w:r>
          </w:p>
        </w:tc>
        <w:tc>
          <w:tcPr>
            <w:tcW w:w="1290" w:type="dxa"/>
            <w:vAlign w:val="top"/>
          </w:tcPr>
          <w:p w14:paraId="2971C1BD">
            <w:pPr>
              <w:spacing w:before="146"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0.036</w:t>
            </w:r>
          </w:p>
        </w:tc>
        <w:tc>
          <w:tcPr>
            <w:tcW w:w="1305" w:type="dxa"/>
            <w:tcBorders>
              <w:right w:val="single" w:color="000000" w:sz="10" w:space="0"/>
            </w:tcBorders>
            <w:vAlign w:val="top"/>
          </w:tcPr>
          <w:p w14:paraId="4E9B49C4">
            <w:pPr>
              <w:spacing w:before="146" w:line="195"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3.57</w:t>
            </w:r>
          </w:p>
        </w:tc>
      </w:tr>
      <w:tr w14:paraId="7B0684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494" w:type="dxa"/>
            <w:tcBorders>
              <w:left w:val="single" w:color="000000" w:sz="10" w:space="0"/>
            </w:tcBorders>
            <w:vAlign w:val="top"/>
          </w:tcPr>
          <w:p w14:paraId="1F047501">
            <w:pPr>
              <w:spacing w:before="110" w:line="216" w:lineRule="auto"/>
              <w:ind w:left="131"/>
              <w:rPr>
                <w:rFonts w:ascii="等线" w:hAnsi="等线" w:eastAsia="等线" w:cs="等线"/>
                <w:sz w:val="20"/>
                <w:szCs w:val="20"/>
              </w:rPr>
            </w:pPr>
            <w:r>
              <w:rPr>
                <w:rFonts w:ascii="Times New Roman" w:hAnsi="Times New Roman" w:eastAsia="Times New Roman" w:cs="Times New Roman"/>
                <w:sz w:val="20"/>
                <w:szCs w:val="20"/>
              </w:rPr>
              <w:t>2023</w:t>
            </w:r>
            <w:r>
              <w:rPr>
                <w:rFonts w:ascii="等线" w:hAnsi="等线" w:eastAsia="等线" w:cs="等线"/>
                <w:sz w:val="20"/>
                <w:szCs w:val="20"/>
              </w:rPr>
              <w:t>年</w:t>
            </w:r>
            <w:r>
              <w:rPr>
                <w:rFonts w:ascii="Times New Roman" w:hAnsi="Times New Roman" w:eastAsia="Times New Roman" w:cs="Times New Roman"/>
                <w:sz w:val="20"/>
                <w:szCs w:val="20"/>
              </w:rPr>
              <w:t>10</w:t>
            </w:r>
            <w:r>
              <w:rPr>
                <w:rFonts w:ascii="等线" w:hAnsi="等线" w:eastAsia="等线" w:cs="等线"/>
                <w:sz w:val="20"/>
                <w:szCs w:val="20"/>
              </w:rPr>
              <w:t>月</w:t>
            </w:r>
          </w:p>
        </w:tc>
        <w:tc>
          <w:tcPr>
            <w:tcW w:w="1856" w:type="dxa"/>
            <w:vAlign w:val="top"/>
          </w:tcPr>
          <w:p w14:paraId="4F6429B6">
            <w:pPr>
              <w:spacing w:before="146"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9700</w:t>
            </w:r>
          </w:p>
        </w:tc>
        <w:tc>
          <w:tcPr>
            <w:tcW w:w="1290" w:type="dxa"/>
            <w:vAlign w:val="top"/>
          </w:tcPr>
          <w:p w14:paraId="03488549">
            <w:pPr>
              <w:spacing w:before="146" w:line="195" w:lineRule="auto"/>
              <w:ind w:left="43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14.70</w:t>
            </w:r>
          </w:p>
        </w:tc>
        <w:tc>
          <w:tcPr>
            <w:tcW w:w="1290" w:type="dxa"/>
            <w:vAlign w:val="top"/>
          </w:tcPr>
          <w:p w14:paraId="2CF8CEFD">
            <w:pPr>
              <w:spacing w:before="146"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0.21</w:t>
            </w:r>
          </w:p>
        </w:tc>
        <w:tc>
          <w:tcPr>
            <w:tcW w:w="1290" w:type="dxa"/>
            <w:vAlign w:val="top"/>
          </w:tcPr>
          <w:p w14:paraId="3C750AB7">
            <w:pPr>
              <w:spacing w:before="146"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0.042</w:t>
            </w:r>
          </w:p>
        </w:tc>
        <w:tc>
          <w:tcPr>
            <w:tcW w:w="1305" w:type="dxa"/>
            <w:tcBorders>
              <w:right w:val="single" w:color="000000" w:sz="10" w:space="0"/>
            </w:tcBorders>
            <w:vAlign w:val="top"/>
          </w:tcPr>
          <w:p w14:paraId="4DE27C9C">
            <w:pPr>
              <w:spacing w:before="146" w:line="195"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3.60</w:t>
            </w:r>
          </w:p>
        </w:tc>
      </w:tr>
      <w:tr w14:paraId="71104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494" w:type="dxa"/>
            <w:tcBorders>
              <w:left w:val="single" w:color="000000" w:sz="10" w:space="0"/>
            </w:tcBorders>
            <w:vAlign w:val="top"/>
          </w:tcPr>
          <w:p w14:paraId="13CE42A3">
            <w:pPr>
              <w:spacing w:before="113" w:line="216" w:lineRule="auto"/>
              <w:ind w:left="131"/>
              <w:rPr>
                <w:rFonts w:ascii="等线" w:hAnsi="等线" w:eastAsia="等线" w:cs="等线"/>
                <w:sz w:val="20"/>
                <w:szCs w:val="20"/>
              </w:rPr>
            </w:pPr>
            <w:r>
              <w:rPr>
                <w:rFonts w:ascii="Times New Roman" w:hAnsi="Times New Roman" w:eastAsia="Times New Roman" w:cs="Times New Roman"/>
                <w:sz w:val="20"/>
                <w:szCs w:val="20"/>
              </w:rPr>
              <w:t>2023</w:t>
            </w:r>
            <w:r>
              <w:rPr>
                <w:rFonts w:ascii="等线" w:hAnsi="等线" w:eastAsia="等线" w:cs="等线"/>
                <w:sz w:val="20"/>
                <w:szCs w:val="20"/>
              </w:rPr>
              <w:t>年</w:t>
            </w:r>
            <w:r>
              <w:rPr>
                <w:rFonts w:ascii="Times New Roman" w:hAnsi="Times New Roman" w:eastAsia="Times New Roman" w:cs="Times New Roman"/>
                <w:sz w:val="20"/>
                <w:szCs w:val="20"/>
              </w:rPr>
              <w:t>11</w:t>
            </w:r>
            <w:r>
              <w:rPr>
                <w:rFonts w:ascii="等线" w:hAnsi="等线" w:eastAsia="等线" w:cs="等线"/>
                <w:sz w:val="20"/>
                <w:szCs w:val="20"/>
              </w:rPr>
              <w:t>月</w:t>
            </w:r>
          </w:p>
        </w:tc>
        <w:tc>
          <w:tcPr>
            <w:tcW w:w="1856" w:type="dxa"/>
            <w:vAlign w:val="top"/>
          </w:tcPr>
          <w:p w14:paraId="67910BE3">
            <w:pPr>
              <w:spacing w:before="148" w:line="195" w:lineRule="auto"/>
              <w:ind w:left="680"/>
              <w:rPr>
                <w:rFonts w:ascii="Times New Roman" w:hAnsi="Times New Roman" w:eastAsia="Times New Roman" w:cs="Times New Roman"/>
                <w:sz w:val="20"/>
                <w:szCs w:val="20"/>
              </w:rPr>
            </w:pPr>
            <w:r>
              <w:rPr>
                <w:rFonts w:ascii="Times New Roman" w:hAnsi="Times New Roman" w:eastAsia="Times New Roman" w:cs="Times New Roman"/>
                <w:sz w:val="20"/>
                <w:szCs w:val="20"/>
              </w:rPr>
              <w:t>10086</w:t>
            </w:r>
          </w:p>
        </w:tc>
        <w:tc>
          <w:tcPr>
            <w:tcW w:w="1290" w:type="dxa"/>
            <w:vAlign w:val="top"/>
          </w:tcPr>
          <w:p w14:paraId="58DAC308">
            <w:pPr>
              <w:spacing w:before="148" w:line="195" w:lineRule="auto"/>
              <w:ind w:left="43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16.05</w:t>
            </w:r>
          </w:p>
        </w:tc>
        <w:tc>
          <w:tcPr>
            <w:tcW w:w="1290" w:type="dxa"/>
            <w:vAlign w:val="top"/>
          </w:tcPr>
          <w:p w14:paraId="690830AC">
            <w:pPr>
              <w:spacing w:before="148"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0.34</w:t>
            </w:r>
          </w:p>
        </w:tc>
        <w:tc>
          <w:tcPr>
            <w:tcW w:w="1290" w:type="dxa"/>
            <w:vAlign w:val="top"/>
          </w:tcPr>
          <w:p w14:paraId="5A49A74C">
            <w:pPr>
              <w:spacing w:before="148"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0.029</w:t>
            </w:r>
          </w:p>
        </w:tc>
        <w:tc>
          <w:tcPr>
            <w:tcW w:w="1305" w:type="dxa"/>
            <w:tcBorders>
              <w:right w:val="single" w:color="000000" w:sz="10" w:space="0"/>
            </w:tcBorders>
            <w:vAlign w:val="top"/>
          </w:tcPr>
          <w:p w14:paraId="13E89359">
            <w:pPr>
              <w:spacing w:before="148" w:line="195"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3.12</w:t>
            </w:r>
          </w:p>
        </w:tc>
      </w:tr>
      <w:tr w14:paraId="402A9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494" w:type="dxa"/>
            <w:tcBorders>
              <w:left w:val="single" w:color="000000" w:sz="10" w:space="0"/>
            </w:tcBorders>
            <w:vAlign w:val="top"/>
          </w:tcPr>
          <w:p w14:paraId="4BFBD559">
            <w:pPr>
              <w:spacing w:before="111" w:line="216" w:lineRule="auto"/>
              <w:ind w:left="131"/>
              <w:rPr>
                <w:rFonts w:ascii="等线" w:hAnsi="等线" w:eastAsia="等线" w:cs="等线"/>
                <w:sz w:val="20"/>
                <w:szCs w:val="20"/>
              </w:rPr>
            </w:pPr>
            <w:r>
              <w:rPr>
                <w:rFonts w:ascii="Times New Roman" w:hAnsi="Times New Roman" w:eastAsia="Times New Roman" w:cs="Times New Roman"/>
                <w:sz w:val="20"/>
                <w:szCs w:val="20"/>
              </w:rPr>
              <w:t>2023</w:t>
            </w:r>
            <w:r>
              <w:rPr>
                <w:rFonts w:ascii="等线" w:hAnsi="等线" w:eastAsia="等线" w:cs="等线"/>
                <w:sz w:val="20"/>
                <w:szCs w:val="20"/>
              </w:rPr>
              <w:t>年</w:t>
            </w:r>
            <w:r>
              <w:rPr>
                <w:rFonts w:ascii="Times New Roman" w:hAnsi="Times New Roman" w:eastAsia="Times New Roman" w:cs="Times New Roman"/>
                <w:sz w:val="20"/>
                <w:szCs w:val="20"/>
              </w:rPr>
              <w:t>12</w:t>
            </w:r>
            <w:r>
              <w:rPr>
                <w:rFonts w:ascii="等线" w:hAnsi="等线" w:eastAsia="等线" w:cs="等线"/>
                <w:sz w:val="20"/>
                <w:szCs w:val="20"/>
              </w:rPr>
              <w:t>月</w:t>
            </w:r>
          </w:p>
        </w:tc>
        <w:tc>
          <w:tcPr>
            <w:tcW w:w="1856" w:type="dxa"/>
            <w:vAlign w:val="top"/>
          </w:tcPr>
          <w:p w14:paraId="7EF63F92">
            <w:pPr>
              <w:spacing w:before="147"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9789</w:t>
            </w:r>
          </w:p>
        </w:tc>
        <w:tc>
          <w:tcPr>
            <w:tcW w:w="1290" w:type="dxa"/>
            <w:vAlign w:val="top"/>
          </w:tcPr>
          <w:p w14:paraId="580D0F98">
            <w:pPr>
              <w:spacing w:before="147" w:line="195" w:lineRule="auto"/>
              <w:ind w:left="43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12.23</w:t>
            </w:r>
          </w:p>
        </w:tc>
        <w:tc>
          <w:tcPr>
            <w:tcW w:w="1290" w:type="dxa"/>
            <w:vAlign w:val="top"/>
          </w:tcPr>
          <w:p w14:paraId="3A42A83E">
            <w:pPr>
              <w:spacing w:before="147"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0.62</w:t>
            </w:r>
          </w:p>
        </w:tc>
        <w:tc>
          <w:tcPr>
            <w:tcW w:w="1290" w:type="dxa"/>
            <w:vAlign w:val="top"/>
          </w:tcPr>
          <w:p w14:paraId="114AF3FF">
            <w:pPr>
              <w:spacing w:before="147"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0.072</w:t>
            </w:r>
          </w:p>
        </w:tc>
        <w:tc>
          <w:tcPr>
            <w:tcW w:w="1305" w:type="dxa"/>
            <w:tcBorders>
              <w:right w:val="single" w:color="000000" w:sz="10" w:space="0"/>
            </w:tcBorders>
            <w:vAlign w:val="top"/>
          </w:tcPr>
          <w:p w14:paraId="1CCCEA36">
            <w:pPr>
              <w:spacing w:before="147" w:line="195"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3.24</w:t>
            </w:r>
          </w:p>
        </w:tc>
      </w:tr>
      <w:tr w14:paraId="66300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494" w:type="dxa"/>
            <w:tcBorders>
              <w:left w:val="single" w:color="000000" w:sz="10" w:space="0"/>
            </w:tcBorders>
            <w:vAlign w:val="top"/>
          </w:tcPr>
          <w:p w14:paraId="64B6E4A4">
            <w:pPr>
              <w:spacing w:before="114" w:line="216" w:lineRule="auto"/>
              <w:ind w:left="183"/>
              <w:rPr>
                <w:rFonts w:ascii="等线" w:hAnsi="等线" w:eastAsia="等线" w:cs="等线"/>
                <w:sz w:val="20"/>
                <w:szCs w:val="20"/>
              </w:rPr>
            </w:pPr>
            <w:r>
              <w:rPr>
                <w:rFonts w:ascii="Times New Roman" w:hAnsi="Times New Roman" w:eastAsia="Times New Roman" w:cs="Times New Roman"/>
                <w:spacing w:val="-1"/>
                <w:sz w:val="20"/>
                <w:szCs w:val="20"/>
              </w:rPr>
              <w:t>2024</w:t>
            </w:r>
            <w:r>
              <w:rPr>
                <w:rFonts w:ascii="等线" w:hAnsi="等线" w:eastAsia="等线" w:cs="等线"/>
                <w:spacing w:val="-1"/>
                <w:sz w:val="20"/>
                <w:szCs w:val="20"/>
              </w:rPr>
              <w:t>年</w:t>
            </w:r>
            <w:r>
              <w:rPr>
                <w:rFonts w:ascii="Times New Roman" w:hAnsi="Times New Roman" w:eastAsia="Times New Roman" w:cs="Times New Roman"/>
                <w:spacing w:val="-1"/>
                <w:sz w:val="20"/>
                <w:szCs w:val="20"/>
              </w:rPr>
              <w:t>1</w:t>
            </w:r>
            <w:r>
              <w:rPr>
                <w:rFonts w:ascii="等线" w:hAnsi="等线" w:eastAsia="等线" w:cs="等线"/>
                <w:spacing w:val="-1"/>
                <w:sz w:val="20"/>
                <w:szCs w:val="20"/>
              </w:rPr>
              <w:t>月</w:t>
            </w:r>
          </w:p>
        </w:tc>
        <w:tc>
          <w:tcPr>
            <w:tcW w:w="1856" w:type="dxa"/>
            <w:vAlign w:val="top"/>
          </w:tcPr>
          <w:p w14:paraId="34CDB3CB">
            <w:pPr>
              <w:spacing w:before="149" w:line="195" w:lineRule="auto"/>
              <w:ind w:left="6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11008</w:t>
            </w:r>
          </w:p>
        </w:tc>
        <w:tc>
          <w:tcPr>
            <w:tcW w:w="1290" w:type="dxa"/>
            <w:vAlign w:val="top"/>
          </w:tcPr>
          <w:p w14:paraId="63B50A1B">
            <w:pPr>
              <w:spacing w:before="149"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9.11</w:t>
            </w:r>
          </w:p>
        </w:tc>
        <w:tc>
          <w:tcPr>
            <w:tcW w:w="1290" w:type="dxa"/>
            <w:vAlign w:val="top"/>
          </w:tcPr>
          <w:p w14:paraId="3DC6804C">
            <w:pPr>
              <w:spacing w:before="149" w:line="195"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0.604</w:t>
            </w:r>
          </w:p>
        </w:tc>
        <w:tc>
          <w:tcPr>
            <w:tcW w:w="1290" w:type="dxa"/>
            <w:vAlign w:val="top"/>
          </w:tcPr>
          <w:p w14:paraId="74632BAF">
            <w:pPr>
              <w:spacing w:before="149"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0.040</w:t>
            </w:r>
          </w:p>
        </w:tc>
        <w:tc>
          <w:tcPr>
            <w:tcW w:w="1305" w:type="dxa"/>
            <w:tcBorders>
              <w:right w:val="single" w:color="000000" w:sz="10" w:space="0"/>
            </w:tcBorders>
            <w:vAlign w:val="top"/>
          </w:tcPr>
          <w:p w14:paraId="590E661C">
            <w:pPr>
              <w:spacing w:before="149" w:line="195"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2.779</w:t>
            </w:r>
          </w:p>
        </w:tc>
      </w:tr>
      <w:tr w14:paraId="60B3A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494" w:type="dxa"/>
            <w:tcBorders>
              <w:left w:val="single" w:color="000000" w:sz="10" w:space="0"/>
            </w:tcBorders>
            <w:vAlign w:val="top"/>
          </w:tcPr>
          <w:p w14:paraId="7E645B54">
            <w:pPr>
              <w:spacing w:before="112" w:line="216" w:lineRule="auto"/>
              <w:ind w:left="183"/>
              <w:rPr>
                <w:rFonts w:ascii="等线" w:hAnsi="等线" w:eastAsia="等线" w:cs="等线"/>
                <w:sz w:val="20"/>
                <w:szCs w:val="20"/>
              </w:rPr>
            </w:pPr>
            <w:r>
              <w:rPr>
                <w:rFonts w:ascii="Times New Roman" w:hAnsi="Times New Roman" w:eastAsia="Times New Roman" w:cs="Times New Roman"/>
                <w:spacing w:val="2"/>
                <w:sz w:val="20"/>
                <w:szCs w:val="20"/>
              </w:rPr>
              <w:t>2024</w:t>
            </w:r>
            <w:r>
              <w:rPr>
                <w:rFonts w:ascii="等线" w:hAnsi="等线" w:eastAsia="等线" w:cs="等线"/>
                <w:spacing w:val="2"/>
                <w:sz w:val="20"/>
                <w:szCs w:val="20"/>
              </w:rPr>
              <w:t>年</w:t>
            </w:r>
            <w:r>
              <w:rPr>
                <w:rFonts w:ascii="Times New Roman" w:hAnsi="Times New Roman" w:eastAsia="Times New Roman" w:cs="Times New Roman"/>
                <w:spacing w:val="2"/>
                <w:sz w:val="20"/>
                <w:szCs w:val="20"/>
              </w:rPr>
              <w:t>2</w:t>
            </w:r>
            <w:r>
              <w:rPr>
                <w:rFonts w:ascii="等线" w:hAnsi="等线" w:eastAsia="等线" w:cs="等线"/>
                <w:spacing w:val="2"/>
                <w:sz w:val="20"/>
                <w:szCs w:val="20"/>
              </w:rPr>
              <w:t>月</w:t>
            </w:r>
          </w:p>
        </w:tc>
        <w:tc>
          <w:tcPr>
            <w:tcW w:w="1856" w:type="dxa"/>
            <w:vAlign w:val="top"/>
          </w:tcPr>
          <w:p w14:paraId="350D775E">
            <w:pPr>
              <w:spacing w:before="148" w:line="195" w:lineRule="auto"/>
              <w:ind w:left="7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7377</w:t>
            </w:r>
          </w:p>
        </w:tc>
        <w:tc>
          <w:tcPr>
            <w:tcW w:w="1290" w:type="dxa"/>
            <w:vAlign w:val="top"/>
          </w:tcPr>
          <w:p w14:paraId="6F4038EE">
            <w:pPr>
              <w:spacing w:before="148" w:line="195" w:lineRule="auto"/>
              <w:ind w:left="4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5.37</w:t>
            </w:r>
          </w:p>
        </w:tc>
        <w:tc>
          <w:tcPr>
            <w:tcW w:w="1290" w:type="dxa"/>
            <w:vAlign w:val="top"/>
          </w:tcPr>
          <w:p w14:paraId="273EC38E">
            <w:pPr>
              <w:spacing w:before="148" w:line="195"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0.986</w:t>
            </w:r>
          </w:p>
        </w:tc>
        <w:tc>
          <w:tcPr>
            <w:tcW w:w="1290" w:type="dxa"/>
            <w:vAlign w:val="top"/>
          </w:tcPr>
          <w:p w14:paraId="5D23B452">
            <w:pPr>
              <w:spacing w:before="148"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0.025</w:t>
            </w:r>
          </w:p>
        </w:tc>
        <w:tc>
          <w:tcPr>
            <w:tcW w:w="1305" w:type="dxa"/>
            <w:tcBorders>
              <w:right w:val="single" w:color="000000" w:sz="10" w:space="0"/>
            </w:tcBorders>
            <w:vAlign w:val="top"/>
          </w:tcPr>
          <w:p w14:paraId="1471DE3F">
            <w:pPr>
              <w:spacing w:before="148" w:line="195" w:lineRule="auto"/>
              <w:ind w:left="4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5.226</w:t>
            </w:r>
          </w:p>
        </w:tc>
      </w:tr>
      <w:tr w14:paraId="2C029B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494" w:type="dxa"/>
            <w:tcBorders>
              <w:left w:val="single" w:color="000000" w:sz="10" w:space="0"/>
            </w:tcBorders>
            <w:vAlign w:val="top"/>
          </w:tcPr>
          <w:p w14:paraId="43A73F26">
            <w:pPr>
              <w:spacing w:before="115" w:line="216" w:lineRule="auto"/>
              <w:ind w:left="183"/>
              <w:rPr>
                <w:rFonts w:ascii="等线" w:hAnsi="等线" w:eastAsia="等线" w:cs="等线"/>
                <w:sz w:val="20"/>
                <w:szCs w:val="20"/>
              </w:rPr>
            </w:pPr>
            <w:r>
              <w:rPr>
                <w:rFonts w:ascii="Times New Roman" w:hAnsi="Times New Roman" w:eastAsia="Times New Roman" w:cs="Times New Roman"/>
                <w:spacing w:val="2"/>
                <w:sz w:val="20"/>
                <w:szCs w:val="20"/>
              </w:rPr>
              <w:t>2024</w:t>
            </w:r>
            <w:r>
              <w:rPr>
                <w:rFonts w:ascii="等线" w:hAnsi="等线" w:eastAsia="等线" w:cs="等线"/>
                <w:spacing w:val="2"/>
                <w:sz w:val="20"/>
                <w:szCs w:val="20"/>
              </w:rPr>
              <w:t>年</w:t>
            </w:r>
            <w:r>
              <w:rPr>
                <w:rFonts w:ascii="Times New Roman" w:hAnsi="Times New Roman" w:eastAsia="Times New Roman" w:cs="Times New Roman"/>
                <w:spacing w:val="2"/>
                <w:sz w:val="20"/>
                <w:szCs w:val="20"/>
              </w:rPr>
              <w:t>3</w:t>
            </w:r>
            <w:r>
              <w:rPr>
                <w:rFonts w:ascii="等线" w:hAnsi="等线" w:eastAsia="等线" w:cs="等线"/>
                <w:spacing w:val="2"/>
                <w:sz w:val="20"/>
                <w:szCs w:val="20"/>
              </w:rPr>
              <w:t>月</w:t>
            </w:r>
          </w:p>
        </w:tc>
        <w:tc>
          <w:tcPr>
            <w:tcW w:w="1856" w:type="dxa"/>
            <w:vAlign w:val="top"/>
          </w:tcPr>
          <w:p w14:paraId="0C6A3828">
            <w:pPr>
              <w:spacing w:before="150" w:line="195" w:lineRule="auto"/>
              <w:ind w:left="6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11664</w:t>
            </w:r>
          </w:p>
        </w:tc>
        <w:tc>
          <w:tcPr>
            <w:tcW w:w="1290" w:type="dxa"/>
            <w:vAlign w:val="top"/>
          </w:tcPr>
          <w:p w14:paraId="5C4EB5A7">
            <w:pPr>
              <w:spacing w:before="150"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9.25</w:t>
            </w:r>
          </w:p>
        </w:tc>
        <w:tc>
          <w:tcPr>
            <w:tcW w:w="1290" w:type="dxa"/>
            <w:vAlign w:val="top"/>
          </w:tcPr>
          <w:p w14:paraId="5A330705">
            <w:pPr>
              <w:spacing w:before="150" w:line="195"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0.158</w:t>
            </w:r>
          </w:p>
        </w:tc>
        <w:tc>
          <w:tcPr>
            <w:tcW w:w="1290" w:type="dxa"/>
            <w:vAlign w:val="top"/>
          </w:tcPr>
          <w:p w14:paraId="049456FF">
            <w:pPr>
              <w:spacing w:before="150"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0.059</w:t>
            </w:r>
          </w:p>
        </w:tc>
        <w:tc>
          <w:tcPr>
            <w:tcW w:w="1305" w:type="dxa"/>
            <w:tcBorders>
              <w:right w:val="single" w:color="000000" w:sz="10" w:space="0"/>
            </w:tcBorders>
            <w:vAlign w:val="top"/>
          </w:tcPr>
          <w:p w14:paraId="409686B6">
            <w:pPr>
              <w:spacing w:before="150" w:line="195" w:lineRule="auto"/>
              <w:ind w:left="4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1.722</w:t>
            </w:r>
          </w:p>
        </w:tc>
      </w:tr>
      <w:tr w14:paraId="66EE5A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494" w:type="dxa"/>
            <w:tcBorders>
              <w:left w:val="single" w:color="000000" w:sz="10" w:space="0"/>
            </w:tcBorders>
            <w:vAlign w:val="top"/>
          </w:tcPr>
          <w:p w14:paraId="21334D81">
            <w:pPr>
              <w:spacing w:before="114" w:line="216" w:lineRule="auto"/>
              <w:ind w:left="183"/>
              <w:rPr>
                <w:rFonts w:ascii="等线" w:hAnsi="等线" w:eastAsia="等线" w:cs="等线"/>
                <w:sz w:val="20"/>
                <w:szCs w:val="20"/>
              </w:rPr>
            </w:pPr>
            <w:r>
              <w:rPr>
                <w:rFonts w:ascii="Times New Roman" w:hAnsi="Times New Roman" w:eastAsia="Times New Roman" w:cs="Times New Roman"/>
                <w:spacing w:val="2"/>
                <w:sz w:val="20"/>
                <w:szCs w:val="20"/>
              </w:rPr>
              <w:t>2024</w:t>
            </w:r>
            <w:r>
              <w:rPr>
                <w:rFonts w:ascii="等线" w:hAnsi="等线" w:eastAsia="等线" w:cs="等线"/>
                <w:spacing w:val="2"/>
                <w:sz w:val="20"/>
                <w:szCs w:val="20"/>
              </w:rPr>
              <w:t>年</w:t>
            </w:r>
            <w:r>
              <w:rPr>
                <w:rFonts w:ascii="Times New Roman" w:hAnsi="Times New Roman" w:eastAsia="Times New Roman" w:cs="Times New Roman"/>
                <w:spacing w:val="2"/>
                <w:sz w:val="20"/>
                <w:szCs w:val="20"/>
              </w:rPr>
              <w:t>4</w:t>
            </w:r>
            <w:r>
              <w:rPr>
                <w:rFonts w:ascii="等线" w:hAnsi="等线" w:eastAsia="等线" w:cs="等线"/>
                <w:spacing w:val="2"/>
                <w:sz w:val="20"/>
                <w:szCs w:val="20"/>
              </w:rPr>
              <w:t>月</w:t>
            </w:r>
          </w:p>
        </w:tc>
        <w:tc>
          <w:tcPr>
            <w:tcW w:w="1856" w:type="dxa"/>
            <w:vAlign w:val="top"/>
          </w:tcPr>
          <w:p w14:paraId="3F2C6A7C">
            <w:pPr>
              <w:spacing w:before="150" w:line="195" w:lineRule="auto"/>
              <w:ind w:left="680"/>
              <w:rPr>
                <w:rFonts w:ascii="Times New Roman" w:hAnsi="Times New Roman" w:eastAsia="Times New Roman" w:cs="Times New Roman"/>
                <w:sz w:val="20"/>
                <w:szCs w:val="20"/>
              </w:rPr>
            </w:pPr>
            <w:r>
              <w:rPr>
                <w:rFonts w:ascii="Times New Roman" w:hAnsi="Times New Roman" w:eastAsia="Times New Roman" w:cs="Times New Roman"/>
                <w:sz w:val="20"/>
                <w:szCs w:val="20"/>
              </w:rPr>
              <w:t>16020</w:t>
            </w:r>
          </w:p>
        </w:tc>
        <w:tc>
          <w:tcPr>
            <w:tcW w:w="1290" w:type="dxa"/>
            <w:vAlign w:val="top"/>
          </w:tcPr>
          <w:p w14:paraId="120A8D63">
            <w:pPr>
              <w:spacing w:before="150"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9.11</w:t>
            </w:r>
          </w:p>
        </w:tc>
        <w:tc>
          <w:tcPr>
            <w:tcW w:w="1290" w:type="dxa"/>
            <w:vAlign w:val="top"/>
          </w:tcPr>
          <w:p w14:paraId="5237B04A">
            <w:pPr>
              <w:spacing w:before="150" w:line="195"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w:t>
            </w:r>
          </w:p>
        </w:tc>
        <w:tc>
          <w:tcPr>
            <w:tcW w:w="1290" w:type="dxa"/>
            <w:vAlign w:val="top"/>
          </w:tcPr>
          <w:p w14:paraId="154D8C67">
            <w:pPr>
              <w:spacing w:before="150"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0.050</w:t>
            </w:r>
          </w:p>
        </w:tc>
        <w:tc>
          <w:tcPr>
            <w:tcW w:w="1305" w:type="dxa"/>
            <w:tcBorders>
              <w:right w:val="single" w:color="000000" w:sz="10" w:space="0"/>
            </w:tcBorders>
            <w:vAlign w:val="top"/>
          </w:tcPr>
          <w:p w14:paraId="73821AC0">
            <w:pPr>
              <w:spacing w:before="150" w:line="195"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w:t>
            </w:r>
          </w:p>
        </w:tc>
      </w:tr>
      <w:tr w14:paraId="72E1B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494" w:type="dxa"/>
            <w:tcBorders>
              <w:left w:val="single" w:color="000000" w:sz="10" w:space="0"/>
            </w:tcBorders>
            <w:vAlign w:val="top"/>
          </w:tcPr>
          <w:p w14:paraId="5C9B1710">
            <w:pPr>
              <w:spacing w:before="116" w:line="216" w:lineRule="auto"/>
              <w:ind w:left="183"/>
              <w:rPr>
                <w:rFonts w:ascii="等线" w:hAnsi="等线" w:eastAsia="等线" w:cs="等线"/>
                <w:sz w:val="20"/>
                <w:szCs w:val="20"/>
              </w:rPr>
            </w:pPr>
            <w:r>
              <w:rPr>
                <w:rFonts w:ascii="Times New Roman" w:hAnsi="Times New Roman" w:eastAsia="Times New Roman" w:cs="Times New Roman"/>
                <w:spacing w:val="2"/>
                <w:sz w:val="20"/>
                <w:szCs w:val="20"/>
              </w:rPr>
              <w:t>2024</w:t>
            </w:r>
            <w:r>
              <w:rPr>
                <w:rFonts w:ascii="等线" w:hAnsi="等线" w:eastAsia="等线" w:cs="等线"/>
                <w:spacing w:val="2"/>
                <w:sz w:val="20"/>
                <w:szCs w:val="20"/>
              </w:rPr>
              <w:t>年</w:t>
            </w:r>
            <w:r>
              <w:rPr>
                <w:rFonts w:ascii="Times New Roman" w:hAnsi="Times New Roman" w:eastAsia="Times New Roman" w:cs="Times New Roman"/>
                <w:spacing w:val="2"/>
                <w:sz w:val="20"/>
                <w:szCs w:val="20"/>
              </w:rPr>
              <w:t>5</w:t>
            </w:r>
            <w:r>
              <w:rPr>
                <w:rFonts w:ascii="等线" w:hAnsi="等线" w:eastAsia="等线" w:cs="等线"/>
                <w:spacing w:val="2"/>
                <w:sz w:val="20"/>
                <w:szCs w:val="20"/>
              </w:rPr>
              <w:t>月</w:t>
            </w:r>
          </w:p>
        </w:tc>
        <w:tc>
          <w:tcPr>
            <w:tcW w:w="1856" w:type="dxa"/>
            <w:vAlign w:val="top"/>
          </w:tcPr>
          <w:p w14:paraId="5562C642">
            <w:pPr>
              <w:spacing w:before="151" w:line="195" w:lineRule="auto"/>
              <w:ind w:left="680"/>
              <w:rPr>
                <w:rFonts w:ascii="Times New Roman" w:hAnsi="Times New Roman" w:eastAsia="Times New Roman" w:cs="Times New Roman"/>
                <w:sz w:val="20"/>
                <w:szCs w:val="20"/>
              </w:rPr>
            </w:pPr>
            <w:r>
              <w:rPr>
                <w:rFonts w:ascii="Times New Roman" w:hAnsi="Times New Roman" w:eastAsia="Times New Roman" w:cs="Times New Roman"/>
                <w:sz w:val="20"/>
                <w:szCs w:val="20"/>
              </w:rPr>
              <w:t>15574</w:t>
            </w:r>
          </w:p>
        </w:tc>
        <w:tc>
          <w:tcPr>
            <w:tcW w:w="1290" w:type="dxa"/>
            <w:vAlign w:val="top"/>
          </w:tcPr>
          <w:p w14:paraId="19D9CE86">
            <w:pPr>
              <w:spacing w:before="151"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8.01</w:t>
            </w:r>
          </w:p>
        </w:tc>
        <w:tc>
          <w:tcPr>
            <w:tcW w:w="1290" w:type="dxa"/>
            <w:vAlign w:val="top"/>
          </w:tcPr>
          <w:p w14:paraId="45D8FCC3">
            <w:pPr>
              <w:spacing w:before="151"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0.59</w:t>
            </w:r>
          </w:p>
        </w:tc>
        <w:tc>
          <w:tcPr>
            <w:tcW w:w="1290" w:type="dxa"/>
            <w:vAlign w:val="top"/>
          </w:tcPr>
          <w:p w14:paraId="073AE00B">
            <w:pPr>
              <w:spacing w:before="151"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305" w:type="dxa"/>
            <w:tcBorders>
              <w:right w:val="single" w:color="000000" w:sz="10" w:space="0"/>
            </w:tcBorders>
            <w:vAlign w:val="top"/>
          </w:tcPr>
          <w:p w14:paraId="15682A18">
            <w:pPr>
              <w:spacing w:before="151"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r>
      <w:tr w14:paraId="21ACC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494" w:type="dxa"/>
            <w:tcBorders>
              <w:left w:val="single" w:color="000000" w:sz="10" w:space="0"/>
            </w:tcBorders>
            <w:vAlign w:val="top"/>
          </w:tcPr>
          <w:p w14:paraId="7D5CBF37">
            <w:pPr>
              <w:spacing w:before="115" w:line="216" w:lineRule="auto"/>
              <w:ind w:left="183"/>
              <w:rPr>
                <w:rFonts w:ascii="等线" w:hAnsi="等线" w:eastAsia="等线" w:cs="等线"/>
                <w:sz w:val="20"/>
                <w:szCs w:val="20"/>
              </w:rPr>
            </w:pPr>
            <w:r>
              <w:rPr>
                <w:rFonts w:ascii="Times New Roman" w:hAnsi="Times New Roman" w:eastAsia="Times New Roman" w:cs="Times New Roman"/>
                <w:spacing w:val="2"/>
                <w:sz w:val="20"/>
                <w:szCs w:val="20"/>
              </w:rPr>
              <w:t>2024</w:t>
            </w:r>
            <w:r>
              <w:rPr>
                <w:rFonts w:ascii="等线" w:hAnsi="等线" w:eastAsia="等线" w:cs="等线"/>
                <w:spacing w:val="2"/>
                <w:sz w:val="20"/>
                <w:szCs w:val="20"/>
              </w:rPr>
              <w:t>年</w:t>
            </w:r>
            <w:r>
              <w:rPr>
                <w:rFonts w:ascii="Times New Roman" w:hAnsi="Times New Roman" w:eastAsia="Times New Roman" w:cs="Times New Roman"/>
                <w:spacing w:val="2"/>
                <w:sz w:val="20"/>
                <w:szCs w:val="20"/>
              </w:rPr>
              <w:t>6</w:t>
            </w:r>
            <w:r>
              <w:rPr>
                <w:rFonts w:ascii="等线" w:hAnsi="等线" w:eastAsia="等线" w:cs="等线"/>
                <w:spacing w:val="2"/>
                <w:sz w:val="20"/>
                <w:szCs w:val="20"/>
              </w:rPr>
              <w:t>月</w:t>
            </w:r>
          </w:p>
        </w:tc>
        <w:tc>
          <w:tcPr>
            <w:tcW w:w="1856" w:type="dxa"/>
            <w:vAlign w:val="top"/>
          </w:tcPr>
          <w:p w14:paraId="728CD264">
            <w:pPr>
              <w:spacing w:before="151" w:line="195" w:lineRule="auto"/>
              <w:ind w:left="680"/>
              <w:rPr>
                <w:rFonts w:ascii="Times New Roman" w:hAnsi="Times New Roman" w:eastAsia="Times New Roman" w:cs="Times New Roman"/>
                <w:sz w:val="20"/>
                <w:szCs w:val="20"/>
              </w:rPr>
            </w:pPr>
            <w:r>
              <w:rPr>
                <w:rFonts w:ascii="Times New Roman" w:hAnsi="Times New Roman" w:eastAsia="Times New Roman" w:cs="Times New Roman"/>
                <w:sz w:val="20"/>
                <w:szCs w:val="20"/>
              </w:rPr>
              <w:t>15333</w:t>
            </w:r>
          </w:p>
        </w:tc>
        <w:tc>
          <w:tcPr>
            <w:tcW w:w="1290" w:type="dxa"/>
            <w:vAlign w:val="top"/>
          </w:tcPr>
          <w:p w14:paraId="5CDB6F81">
            <w:pPr>
              <w:spacing w:before="151"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7.80</w:t>
            </w:r>
          </w:p>
        </w:tc>
        <w:tc>
          <w:tcPr>
            <w:tcW w:w="1290" w:type="dxa"/>
            <w:vAlign w:val="top"/>
          </w:tcPr>
          <w:p w14:paraId="6CC8224E">
            <w:pPr>
              <w:spacing w:before="151"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0.13</w:t>
            </w:r>
          </w:p>
        </w:tc>
        <w:tc>
          <w:tcPr>
            <w:tcW w:w="1290" w:type="dxa"/>
            <w:vAlign w:val="top"/>
          </w:tcPr>
          <w:p w14:paraId="4CB7A026">
            <w:pPr>
              <w:spacing w:before="151"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0.034</w:t>
            </w:r>
          </w:p>
        </w:tc>
        <w:tc>
          <w:tcPr>
            <w:tcW w:w="1305" w:type="dxa"/>
            <w:tcBorders>
              <w:right w:val="single" w:color="000000" w:sz="10" w:space="0"/>
            </w:tcBorders>
            <w:vAlign w:val="top"/>
          </w:tcPr>
          <w:p w14:paraId="26067EFC">
            <w:pPr>
              <w:spacing w:before="151"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r>
      <w:tr w14:paraId="3901E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1494" w:type="dxa"/>
            <w:tcBorders>
              <w:left w:val="single" w:color="000000" w:sz="10" w:space="0"/>
              <w:bottom w:val="single" w:color="000000" w:sz="10" w:space="0"/>
            </w:tcBorders>
            <w:vAlign w:val="top"/>
          </w:tcPr>
          <w:p w14:paraId="0BE088C4">
            <w:pPr>
              <w:spacing w:before="117" w:line="216" w:lineRule="auto"/>
              <w:ind w:left="183"/>
              <w:rPr>
                <w:rFonts w:ascii="等线" w:hAnsi="等线" w:eastAsia="等线" w:cs="等线"/>
                <w:sz w:val="20"/>
                <w:szCs w:val="20"/>
              </w:rPr>
            </w:pPr>
            <w:r>
              <w:rPr>
                <w:rFonts w:ascii="Times New Roman" w:hAnsi="Times New Roman" w:eastAsia="Times New Roman" w:cs="Times New Roman"/>
                <w:spacing w:val="2"/>
                <w:sz w:val="20"/>
                <w:szCs w:val="20"/>
              </w:rPr>
              <w:t>2024</w:t>
            </w:r>
            <w:r>
              <w:rPr>
                <w:rFonts w:ascii="等线" w:hAnsi="等线" w:eastAsia="等线" w:cs="等线"/>
                <w:spacing w:val="2"/>
                <w:sz w:val="20"/>
                <w:szCs w:val="20"/>
              </w:rPr>
              <w:t>年</w:t>
            </w:r>
            <w:r>
              <w:rPr>
                <w:rFonts w:ascii="Times New Roman" w:hAnsi="Times New Roman" w:eastAsia="Times New Roman" w:cs="Times New Roman"/>
                <w:spacing w:val="2"/>
                <w:sz w:val="20"/>
                <w:szCs w:val="20"/>
              </w:rPr>
              <w:t>7</w:t>
            </w:r>
            <w:r>
              <w:rPr>
                <w:rFonts w:ascii="等线" w:hAnsi="等线" w:eastAsia="等线" w:cs="等线"/>
                <w:spacing w:val="2"/>
                <w:sz w:val="20"/>
                <w:szCs w:val="20"/>
              </w:rPr>
              <w:t>月</w:t>
            </w:r>
          </w:p>
        </w:tc>
        <w:tc>
          <w:tcPr>
            <w:tcW w:w="1856" w:type="dxa"/>
            <w:tcBorders>
              <w:bottom w:val="single" w:color="000000" w:sz="10" w:space="0"/>
            </w:tcBorders>
            <w:vAlign w:val="top"/>
          </w:tcPr>
          <w:p w14:paraId="376B38E8">
            <w:pPr>
              <w:spacing w:before="152" w:line="195" w:lineRule="auto"/>
              <w:ind w:left="680"/>
              <w:rPr>
                <w:rFonts w:ascii="Times New Roman" w:hAnsi="Times New Roman" w:eastAsia="Times New Roman" w:cs="Times New Roman"/>
                <w:sz w:val="20"/>
                <w:szCs w:val="20"/>
              </w:rPr>
            </w:pPr>
            <w:r>
              <w:rPr>
                <w:rFonts w:ascii="Times New Roman" w:hAnsi="Times New Roman" w:eastAsia="Times New Roman" w:cs="Times New Roman"/>
                <w:sz w:val="20"/>
                <w:szCs w:val="20"/>
              </w:rPr>
              <w:t>13325</w:t>
            </w:r>
          </w:p>
        </w:tc>
        <w:tc>
          <w:tcPr>
            <w:tcW w:w="1290" w:type="dxa"/>
            <w:tcBorders>
              <w:bottom w:val="single" w:color="000000" w:sz="10" w:space="0"/>
            </w:tcBorders>
            <w:vAlign w:val="top"/>
          </w:tcPr>
          <w:p w14:paraId="203DECB3">
            <w:pPr>
              <w:spacing w:before="152"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7.61</w:t>
            </w:r>
          </w:p>
        </w:tc>
        <w:tc>
          <w:tcPr>
            <w:tcW w:w="1290" w:type="dxa"/>
            <w:tcBorders>
              <w:bottom w:val="single" w:color="000000" w:sz="10" w:space="0"/>
            </w:tcBorders>
            <w:vAlign w:val="top"/>
          </w:tcPr>
          <w:p w14:paraId="50CA84F9">
            <w:pPr>
              <w:spacing w:before="152"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c>
          <w:tcPr>
            <w:tcW w:w="1290" w:type="dxa"/>
            <w:tcBorders>
              <w:bottom w:val="single" w:color="000000" w:sz="10" w:space="0"/>
            </w:tcBorders>
            <w:vAlign w:val="top"/>
          </w:tcPr>
          <w:p w14:paraId="0A298358">
            <w:pPr>
              <w:spacing w:before="152"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305" w:type="dxa"/>
            <w:tcBorders>
              <w:bottom w:val="single" w:color="000000" w:sz="10" w:space="0"/>
              <w:right w:val="single" w:color="000000" w:sz="10" w:space="0"/>
            </w:tcBorders>
            <w:vAlign w:val="top"/>
          </w:tcPr>
          <w:p w14:paraId="17E00C18">
            <w:pPr>
              <w:spacing w:before="152"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2.36</w:t>
            </w:r>
          </w:p>
        </w:tc>
      </w:tr>
    </w:tbl>
    <w:p w14:paraId="33E314C3">
      <w:pPr>
        <w:pStyle w:val="2"/>
      </w:pPr>
    </w:p>
    <w:p w14:paraId="6B5DCE59">
      <w:pPr>
        <w:sectPr>
          <w:headerReference r:id="rId33" w:type="default"/>
          <w:footerReference r:id="rId34" w:type="default"/>
          <w:pgSz w:w="11907" w:h="16840"/>
          <w:pgMar w:top="1132" w:right="1700" w:bottom="1259" w:left="1578" w:header="829" w:footer="1097" w:gutter="0"/>
          <w:cols w:space="720" w:num="1"/>
        </w:sectPr>
      </w:pPr>
    </w:p>
    <w:p w14:paraId="3A1BC999">
      <w:pPr>
        <w:spacing w:before="42"/>
      </w:pPr>
    </w:p>
    <w:tbl>
      <w:tblPr>
        <w:tblStyle w:val="5"/>
        <w:tblW w:w="852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94"/>
        <w:gridCol w:w="1856"/>
        <w:gridCol w:w="1290"/>
        <w:gridCol w:w="1290"/>
        <w:gridCol w:w="1290"/>
        <w:gridCol w:w="1305"/>
      </w:tblGrid>
      <w:tr w14:paraId="029E6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94" w:type="dxa"/>
            <w:vMerge w:val="restart"/>
            <w:tcBorders>
              <w:top w:val="single" w:color="000000" w:sz="10" w:space="0"/>
              <w:left w:val="single" w:color="000000" w:sz="10" w:space="0"/>
              <w:bottom w:val="nil"/>
            </w:tcBorders>
            <w:vAlign w:val="top"/>
          </w:tcPr>
          <w:p w14:paraId="58F5F0AC">
            <w:pPr>
              <w:pStyle w:val="6"/>
              <w:spacing w:before="299" w:line="230" w:lineRule="auto"/>
              <w:ind w:left="538"/>
            </w:pPr>
            <w:r>
              <w:rPr>
                <w:b/>
                <w:bCs/>
                <w:spacing w:val="-1"/>
              </w:rPr>
              <w:t>时间</w:t>
            </w:r>
          </w:p>
        </w:tc>
        <w:tc>
          <w:tcPr>
            <w:tcW w:w="1856" w:type="dxa"/>
            <w:vMerge w:val="restart"/>
            <w:tcBorders>
              <w:top w:val="single" w:color="000000" w:sz="10" w:space="0"/>
              <w:bottom w:val="nil"/>
            </w:tcBorders>
            <w:vAlign w:val="top"/>
          </w:tcPr>
          <w:p w14:paraId="4B1C9D58">
            <w:pPr>
              <w:pStyle w:val="6"/>
              <w:spacing w:before="299" w:line="228" w:lineRule="auto"/>
              <w:ind w:left="109"/>
            </w:pPr>
            <w:r>
              <w:rPr>
                <w:b/>
                <w:bCs/>
              </w:rPr>
              <w:t>处理水量（</w:t>
            </w:r>
            <w:r>
              <w:rPr>
                <w:rFonts w:ascii="Times New Roman" w:hAnsi="Times New Roman" w:eastAsia="Times New Roman" w:cs="Times New Roman"/>
                <w:b/>
                <w:bCs/>
              </w:rPr>
              <w:t>m</w:t>
            </w:r>
            <w:r>
              <w:rPr>
                <w:rFonts w:ascii="Times New Roman" w:hAnsi="Times New Roman" w:eastAsia="Times New Roman" w:cs="Times New Roman"/>
                <w:b/>
                <w:bCs/>
                <w:position w:val="6"/>
                <w:sz w:val="13"/>
                <w:szCs w:val="13"/>
              </w:rPr>
              <w:t>3</w:t>
            </w:r>
            <w:r>
              <w:rPr>
                <w:rFonts w:ascii="Times New Roman" w:hAnsi="Times New Roman" w:eastAsia="Times New Roman" w:cs="Times New Roman"/>
                <w:b/>
                <w:bCs/>
              </w:rPr>
              <w:t>/d</w:t>
            </w:r>
            <w:r>
              <w:rPr>
                <w:b/>
                <w:bCs/>
              </w:rPr>
              <w:t>）</w:t>
            </w:r>
          </w:p>
        </w:tc>
        <w:tc>
          <w:tcPr>
            <w:tcW w:w="5175" w:type="dxa"/>
            <w:gridSpan w:val="4"/>
            <w:tcBorders>
              <w:top w:val="single" w:color="000000" w:sz="10" w:space="0"/>
              <w:right w:val="single" w:color="000000" w:sz="10" w:space="0"/>
            </w:tcBorders>
            <w:vAlign w:val="top"/>
          </w:tcPr>
          <w:p w14:paraId="5B3815CB">
            <w:pPr>
              <w:pStyle w:val="6"/>
              <w:spacing w:before="97" w:line="221" w:lineRule="auto"/>
              <w:ind w:left="1737"/>
            </w:pPr>
            <w:r>
              <w:rPr>
                <w:b/>
                <w:bCs/>
                <w:spacing w:val="-1"/>
              </w:rPr>
              <w:t>出水水质（</w:t>
            </w:r>
            <w:r>
              <w:rPr>
                <w:rFonts w:ascii="Times New Roman" w:hAnsi="Times New Roman" w:eastAsia="Times New Roman" w:cs="Times New Roman"/>
                <w:b/>
                <w:bCs/>
                <w:spacing w:val="-1"/>
              </w:rPr>
              <w:t>mg/L</w:t>
            </w:r>
            <w:r>
              <w:rPr>
                <w:b/>
                <w:bCs/>
                <w:spacing w:val="-1"/>
              </w:rPr>
              <w:t>）</w:t>
            </w:r>
          </w:p>
        </w:tc>
      </w:tr>
      <w:tr w14:paraId="3FFF5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494" w:type="dxa"/>
            <w:vMerge w:val="continue"/>
            <w:tcBorders>
              <w:top w:val="nil"/>
              <w:left w:val="single" w:color="000000" w:sz="10" w:space="0"/>
            </w:tcBorders>
            <w:vAlign w:val="top"/>
          </w:tcPr>
          <w:p w14:paraId="1AE0DE05">
            <w:pPr>
              <w:rPr>
                <w:rFonts w:ascii="Arial"/>
                <w:sz w:val="21"/>
              </w:rPr>
            </w:pPr>
          </w:p>
        </w:tc>
        <w:tc>
          <w:tcPr>
            <w:tcW w:w="1856" w:type="dxa"/>
            <w:vMerge w:val="continue"/>
            <w:tcBorders>
              <w:top w:val="nil"/>
            </w:tcBorders>
            <w:vAlign w:val="top"/>
          </w:tcPr>
          <w:p w14:paraId="774AD0BD">
            <w:pPr>
              <w:rPr>
                <w:rFonts w:ascii="Arial"/>
                <w:sz w:val="21"/>
              </w:rPr>
            </w:pPr>
          </w:p>
        </w:tc>
        <w:tc>
          <w:tcPr>
            <w:tcW w:w="1290" w:type="dxa"/>
            <w:vAlign w:val="top"/>
          </w:tcPr>
          <w:p w14:paraId="6D50683D">
            <w:pPr>
              <w:spacing w:before="130" w:line="195" w:lineRule="auto"/>
              <w:ind w:left="416"/>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COD</w:t>
            </w:r>
          </w:p>
        </w:tc>
        <w:tc>
          <w:tcPr>
            <w:tcW w:w="1290" w:type="dxa"/>
            <w:vAlign w:val="top"/>
          </w:tcPr>
          <w:p w14:paraId="108563BC">
            <w:pPr>
              <w:pStyle w:val="6"/>
              <w:spacing w:before="94" w:line="227" w:lineRule="auto"/>
              <w:ind w:left="444"/>
            </w:pPr>
            <w:r>
              <w:rPr>
                <w:b/>
                <w:bCs/>
                <w:spacing w:val="3"/>
              </w:rPr>
              <w:t>氨氮</w:t>
            </w:r>
          </w:p>
        </w:tc>
        <w:tc>
          <w:tcPr>
            <w:tcW w:w="1290" w:type="dxa"/>
            <w:vAlign w:val="top"/>
          </w:tcPr>
          <w:p w14:paraId="066BE330">
            <w:pPr>
              <w:pStyle w:val="6"/>
              <w:spacing w:before="94" w:line="228" w:lineRule="auto"/>
              <w:ind w:left="453"/>
            </w:pPr>
            <w:r>
              <w:rPr>
                <w:b/>
                <w:bCs/>
                <w:spacing w:val="1"/>
              </w:rPr>
              <w:t>总磷</w:t>
            </w:r>
          </w:p>
        </w:tc>
        <w:tc>
          <w:tcPr>
            <w:tcW w:w="1305" w:type="dxa"/>
            <w:tcBorders>
              <w:right w:val="single" w:color="000000" w:sz="10" w:space="0"/>
            </w:tcBorders>
            <w:vAlign w:val="top"/>
          </w:tcPr>
          <w:p w14:paraId="467797D1">
            <w:pPr>
              <w:pStyle w:val="6"/>
              <w:spacing w:before="94" w:line="227" w:lineRule="auto"/>
              <w:ind w:left="456"/>
            </w:pPr>
            <w:r>
              <w:rPr>
                <w:b/>
                <w:bCs/>
                <w:spacing w:val="1"/>
              </w:rPr>
              <w:t>总氮</w:t>
            </w:r>
          </w:p>
        </w:tc>
      </w:tr>
      <w:tr w14:paraId="18CAE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494" w:type="dxa"/>
            <w:tcBorders>
              <w:left w:val="single" w:color="000000" w:sz="10" w:space="0"/>
            </w:tcBorders>
            <w:vAlign w:val="top"/>
          </w:tcPr>
          <w:p w14:paraId="34346E63">
            <w:pPr>
              <w:spacing w:before="98" w:line="216" w:lineRule="auto"/>
              <w:ind w:left="183"/>
              <w:rPr>
                <w:rFonts w:ascii="等线" w:hAnsi="等线" w:eastAsia="等线" w:cs="等线"/>
                <w:sz w:val="20"/>
                <w:szCs w:val="20"/>
              </w:rPr>
            </w:pPr>
            <w:r>
              <w:rPr>
                <w:rFonts w:ascii="Times New Roman" w:hAnsi="Times New Roman" w:eastAsia="Times New Roman" w:cs="Times New Roman"/>
                <w:spacing w:val="1"/>
                <w:sz w:val="20"/>
                <w:szCs w:val="20"/>
              </w:rPr>
              <w:t>2024</w:t>
            </w:r>
            <w:r>
              <w:rPr>
                <w:rFonts w:ascii="等线" w:hAnsi="等线" w:eastAsia="等线" w:cs="等线"/>
                <w:spacing w:val="1"/>
                <w:sz w:val="20"/>
                <w:szCs w:val="20"/>
              </w:rPr>
              <w:t>年</w:t>
            </w:r>
            <w:r>
              <w:rPr>
                <w:rFonts w:ascii="Times New Roman" w:hAnsi="Times New Roman" w:eastAsia="Times New Roman" w:cs="Times New Roman"/>
                <w:spacing w:val="1"/>
                <w:sz w:val="20"/>
                <w:szCs w:val="20"/>
              </w:rPr>
              <w:t>8</w:t>
            </w:r>
            <w:r>
              <w:rPr>
                <w:rFonts w:ascii="等线" w:hAnsi="等线" w:eastAsia="等线" w:cs="等线"/>
                <w:spacing w:val="1"/>
                <w:sz w:val="20"/>
                <w:szCs w:val="20"/>
              </w:rPr>
              <w:t>月</w:t>
            </w:r>
          </w:p>
        </w:tc>
        <w:tc>
          <w:tcPr>
            <w:tcW w:w="1856" w:type="dxa"/>
            <w:vAlign w:val="top"/>
          </w:tcPr>
          <w:p w14:paraId="7352C881">
            <w:pPr>
              <w:spacing w:before="133" w:line="195" w:lineRule="auto"/>
              <w:ind w:left="680"/>
              <w:rPr>
                <w:rFonts w:ascii="Times New Roman" w:hAnsi="Times New Roman" w:eastAsia="Times New Roman" w:cs="Times New Roman"/>
                <w:sz w:val="20"/>
                <w:szCs w:val="20"/>
              </w:rPr>
            </w:pPr>
            <w:r>
              <w:rPr>
                <w:rFonts w:ascii="Times New Roman" w:hAnsi="Times New Roman" w:eastAsia="Times New Roman" w:cs="Times New Roman"/>
                <w:sz w:val="20"/>
                <w:szCs w:val="20"/>
              </w:rPr>
              <w:t>13107</w:t>
            </w:r>
          </w:p>
        </w:tc>
        <w:tc>
          <w:tcPr>
            <w:tcW w:w="1290" w:type="dxa"/>
            <w:vAlign w:val="top"/>
          </w:tcPr>
          <w:p w14:paraId="043752AF">
            <w:pPr>
              <w:spacing w:before="133"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7.97</w:t>
            </w:r>
          </w:p>
        </w:tc>
        <w:tc>
          <w:tcPr>
            <w:tcW w:w="1290" w:type="dxa"/>
            <w:vAlign w:val="top"/>
          </w:tcPr>
          <w:p w14:paraId="4FD3A42E">
            <w:pPr>
              <w:spacing w:before="133"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1290" w:type="dxa"/>
            <w:vAlign w:val="top"/>
          </w:tcPr>
          <w:p w14:paraId="2D77F0F1">
            <w:pPr>
              <w:spacing w:before="133"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c>
          <w:tcPr>
            <w:tcW w:w="1305" w:type="dxa"/>
            <w:tcBorders>
              <w:right w:val="single" w:color="000000" w:sz="10" w:space="0"/>
            </w:tcBorders>
            <w:vAlign w:val="top"/>
          </w:tcPr>
          <w:p w14:paraId="4C4A3D29">
            <w:pPr>
              <w:spacing w:before="133" w:line="195"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1.86</w:t>
            </w:r>
          </w:p>
        </w:tc>
      </w:tr>
      <w:tr w14:paraId="70BF9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494" w:type="dxa"/>
            <w:tcBorders>
              <w:left w:val="single" w:color="000000" w:sz="10" w:space="0"/>
            </w:tcBorders>
            <w:vAlign w:val="top"/>
          </w:tcPr>
          <w:p w14:paraId="211EFF16">
            <w:pPr>
              <w:spacing w:before="102" w:line="216" w:lineRule="auto"/>
              <w:ind w:left="183"/>
              <w:rPr>
                <w:rFonts w:ascii="等线" w:hAnsi="等线" w:eastAsia="等线" w:cs="等线"/>
                <w:sz w:val="20"/>
                <w:szCs w:val="20"/>
              </w:rPr>
            </w:pPr>
            <w:r>
              <w:rPr>
                <w:rFonts w:ascii="Times New Roman" w:hAnsi="Times New Roman" w:eastAsia="Times New Roman" w:cs="Times New Roman"/>
                <w:spacing w:val="2"/>
                <w:sz w:val="20"/>
                <w:szCs w:val="20"/>
              </w:rPr>
              <w:t>2024</w:t>
            </w:r>
            <w:r>
              <w:rPr>
                <w:rFonts w:ascii="等线" w:hAnsi="等线" w:eastAsia="等线" w:cs="等线"/>
                <w:spacing w:val="2"/>
                <w:sz w:val="20"/>
                <w:szCs w:val="20"/>
              </w:rPr>
              <w:t>年</w:t>
            </w:r>
            <w:r>
              <w:rPr>
                <w:rFonts w:ascii="Times New Roman" w:hAnsi="Times New Roman" w:eastAsia="Times New Roman" w:cs="Times New Roman"/>
                <w:spacing w:val="2"/>
                <w:sz w:val="20"/>
                <w:szCs w:val="20"/>
              </w:rPr>
              <w:t>9</w:t>
            </w:r>
            <w:r>
              <w:rPr>
                <w:rFonts w:ascii="等线" w:hAnsi="等线" w:eastAsia="等线" w:cs="等线"/>
                <w:spacing w:val="2"/>
                <w:sz w:val="20"/>
                <w:szCs w:val="20"/>
              </w:rPr>
              <w:t>月</w:t>
            </w:r>
          </w:p>
        </w:tc>
        <w:tc>
          <w:tcPr>
            <w:tcW w:w="1856" w:type="dxa"/>
            <w:vAlign w:val="top"/>
          </w:tcPr>
          <w:p w14:paraId="0FD004D8">
            <w:pPr>
              <w:spacing w:before="137" w:line="195" w:lineRule="auto"/>
              <w:ind w:left="680"/>
              <w:rPr>
                <w:rFonts w:ascii="Times New Roman" w:hAnsi="Times New Roman" w:eastAsia="Times New Roman" w:cs="Times New Roman"/>
                <w:sz w:val="20"/>
                <w:szCs w:val="20"/>
              </w:rPr>
            </w:pPr>
            <w:r>
              <w:rPr>
                <w:rFonts w:ascii="Times New Roman" w:hAnsi="Times New Roman" w:eastAsia="Times New Roman" w:cs="Times New Roman"/>
                <w:sz w:val="20"/>
                <w:szCs w:val="20"/>
              </w:rPr>
              <w:t>14612</w:t>
            </w:r>
          </w:p>
        </w:tc>
        <w:tc>
          <w:tcPr>
            <w:tcW w:w="1290" w:type="dxa"/>
            <w:vAlign w:val="top"/>
          </w:tcPr>
          <w:p w14:paraId="100FB050">
            <w:pPr>
              <w:spacing w:before="137" w:line="195" w:lineRule="auto"/>
              <w:ind w:left="43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10.37</w:t>
            </w:r>
          </w:p>
        </w:tc>
        <w:tc>
          <w:tcPr>
            <w:tcW w:w="1290" w:type="dxa"/>
            <w:vAlign w:val="top"/>
          </w:tcPr>
          <w:p w14:paraId="3A8B9A96">
            <w:pPr>
              <w:spacing w:before="137"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0.13</w:t>
            </w:r>
          </w:p>
        </w:tc>
        <w:tc>
          <w:tcPr>
            <w:tcW w:w="1290" w:type="dxa"/>
            <w:vAlign w:val="top"/>
          </w:tcPr>
          <w:p w14:paraId="65F88F51">
            <w:pPr>
              <w:spacing w:before="137"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0.29</w:t>
            </w:r>
          </w:p>
        </w:tc>
        <w:tc>
          <w:tcPr>
            <w:tcW w:w="1305" w:type="dxa"/>
            <w:tcBorders>
              <w:right w:val="single" w:color="000000" w:sz="10" w:space="0"/>
            </w:tcBorders>
            <w:vAlign w:val="top"/>
          </w:tcPr>
          <w:p w14:paraId="20519425">
            <w:pPr>
              <w:spacing w:before="137" w:line="195"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1.29</w:t>
            </w:r>
          </w:p>
        </w:tc>
      </w:tr>
      <w:tr w14:paraId="27701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494" w:type="dxa"/>
            <w:tcBorders>
              <w:left w:val="single" w:color="000000" w:sz="10" w:space="0"/>
            </w:tcBorders>
            <w:vAlign w:val="top"/>
          </w:tcPr>
          <w:p w14:paraId="7FF4C45F">
            <w:pPr>
              <w:spacing w:before="104" w:line="216" w:lineRule="auto"/>
              <w:ind w:left="131"/>
              <w:rPr>
                <w:rFonts w:ascii="等线" w:hAnsi="等线" w:eastAsia="等线" w:cs="等线"/>
                <w:sz w:val="20"/>
                <w:szCs w:val="20"/>
              </w:rPr>
            </w:pPr>
            <w:r>
              <w:rPr>
                <w:rFonts w:ascii="Times New Roman" w:hAnsi="Times New Roman" w:eastAsia="Times New Roman" w:cs="Times New Roman"/>
                <w:sz w:val="20"/>
                <w:szCs w:val="20"/>
              </w:rPr>
              <w:t>2024</w:t>
            </w:r>
            <w:r>
              <w:rPr>
                <w:rFonts w:ascii="等线" w:hAnsi="等线" w:eastAsia="等线" w:cs="等线"/>
                <w:sz w:val="20"/>
                <w:szCs w:val="20"/>
              </w:rPr>
              <w:t>年</w:t>
            </w:r>
            <w:r>
              <w:rPr>
                <w:rFonts w:ascii="Times New Roman" w:hAnsi="Times New Roman" w:eastAsia="Times New Roman" w:cs="Times New Roman"/>
                <w:sz w:val="20"/>
                <w:szCs w:val="20"/>
              </w:rPr>
              <w:t>10</w:t>
            </w:r>
            <w:r>
              <w:rPr>
                <w:rFonts w:ascii="等线" w:hAnsi="等线" w:eastAsia="等线" w:cs="等线"/>
                <w:sz w:val="20"/>
                <w:szCs w:val="20"/>
              </w:rPr>
              <w:t>月</w:t>
            </w:r>
          </w:p>
        </w:tc>
        <w:tc>
          <w:tcPr>
            <w:tcW w:w="1856" w:type="dxa"/>
            <w:vAlign w:val="top"/>
          </w:tcPr>
          <w:p w14:paraId="0FFA0205">
            <w:pPr>
              <w:spacing w:before="139" w:line="195" w:lineRule="auto"/>
              <w:ind w:left="6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11312</w:t>
            </w:r>
          </w:p>
        </w:tc>
        <w:tc>
          <w:tcPr>
            <w:tcW w:w="1290" w:type="dxa"/>
            <w:vAlign w:val="top"/>
          </w:tcPr>
          <w:p w14:paraId="4140B101">
            <w:pPr>
              <w:spacing w:before="139"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8.87</w:t>
            </w:r>
          </w:p>
        </w:tc>
        <w:tc>
          <w:tcPr>
            <w:tcW w:w="1290" w:type="dxa"/>
            <w:vAlign w:val="top"/>
          </w:tcPr>
          <w:p w14:paraId="488607F6">
            <w:pPr>
              <w:spacing w:before="139"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tc>
        <w:tc>
          <w:tcPr>
            <w:tcW w:w="1290" w:type="dxa"/>
            <w:vAlign w:val="top"/>
          </w:tcPr>
          <w:p w14:paraId="7731EA9B">
            <w:pPr>
              <w:spacing w:before="139"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1305" w:type="dxa"/>
            <w:tcBorders>
              <w:right w:val="single" w:color="000000" w:sz="10" w:space="0"/>
            </w:tcBorders>
            <w:vAlign w:val="top"/>
          </w:tcPr>
          <w:p w14:paraId="452CEC70">
            <w:pPr>
              <w:spacing w:before="139" w:line="195"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1.70</w:t>
            </w:r>
          </w:p>
        </w:tc>
      </w:tr>
      <w:tr w14:paraId="4C63B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494" w:type="dxa"/>
            <w:tcBorders>
              <w:left w:val="single" w:color="000000" w:sz="10" w:space="0"/>
            </w:tcBorders>
            <w:vAlign w:val="top"/>
          </w:tcPr>
          <w:p w14:paraId="5A260034">
            <w:pPr>
              <w:spacing w:before="108" w:line="216" w:lineRule="auto"/>
              <w:ind w:left="131"/>
              <w:rPr>
                <w:rFonts w:ascii="等线" w:hAnsi="等线" w:eastAsia="等线" w:cs="等线"/>
                <w:sz w:val="20"/>
                <w:szCs w:val="20"/>
              </w:rPr>
            </w:pPr>
            <w:r>
              <w:rPr>
                <w:rFonts w:ascii="Times New Roman" w:hAnsi="Times New Roman" w:eastAsia="Times New Roman" w:cs="Times New Roman"/>
                <w:sz w:val="20"/>
                <w:szCs w:val="20"/>
              </w:rPr>
              <w:t>2024</w:t>
            </w:r>
            <w:r>
              <w:rPr>
                <w:rFonts w:ascii="等线" w:hAnsi="等线" w:eastAsia="等线" w:cs="等线"/>
                <w:sz w:val="20"/>
                <w:szCs w:val="20"/>
              </w:rPr>
              <w:t>年</w:t>
            </w:r>
            <w:r>
              <w:rPr>
                <w:rFonts w:ascii="Times New Roman" w:hAnsi="Times New Roman" w:eastAsia="Times New Roman" w:cs="Times New Roman"/>
                <w:sz w:val="20"/>
                <w:szCs w:val="20"/>
              </w:rPr>
              <w:t>11</w:t>
            </w:r>
            <w:r>
              <w:rPr>
                <w:rFonts w:ascii="等线" w:hAnsi="等线" w:eastAsia="等线" w:cs="等线"/>
                <w:sz w:val="20"/>
                <w:szCs w:val="20"/>
              </w:rPr>
              <w:t>月</w:t>
            </w:r>
          </w:p>
        </w:tc>
        <w:tc>
          <w:tcPr>
            <w:tcW w:w="1856" w:type="dxa"/>
            <w:vAlign w:val="top"/>
          </w:tcPr>
          <w:p w14:paraId="5E4EAE3B">
            <w:pPr>
              <w:spacing w:before="143" w:line="195" w:lineRule="auto"/>
              <w:ind w:left="7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8571</w:t>
            </w:r>
          </w:p>
        </w:tc>
        <w:tc>
          <w:tcPr>
            <w:tcW w:w="1290" w:type="dxa"/>
            <w:vAlign w:val="top"/>
          </w:tcPr>
          <w:p w14:paraId="161243BB">
            <w:pPr>
              <w:spacing w:before="143" w:line="195" w:lineRule="auto"/>
              <w:ind w:left="43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10.27</w:t>
            </w:r>
          </w:p>
        </w:tc>
        <w:tc>
          <w:tcPr>
            <w:tcW w:w="1290" w:type="dxa"/>
            <w:vAlign w:val="top"/>
          </w:tcPr>
          <w:p w14:paraId="30490C15">
            <w:pPr>
              <w:spacing w:before="143"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1290" w:type="dxa"/>
            <w:vAlign w:val="top"/>
          </w:tcPr>
          <w:p w14:paraId="04299237">
            <w:pPr>
              <w:spacing w:before="143"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c>
          <w:tcPr>
            <w:tcW w:w="1305" w:type="dxa"/>
            <w:tcBorders>
              <w:right w:val="single" w:color="000000" w:sz="10" w:space="0"/>
            </w:tcBorders>
            <w:vAlign w:val="top"/>
          </w:tcPr>
          <w:p w14:paraId="1E47744F">
            <w:pPr>
              <w:spacing w:before="143" w:line="195"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1.71</w:t>
            </w:r>
          </w:p>
        </w:tc>
      </w:tr>
      <w:tr w14:paraId="2A2FA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494" w:type="dxa"/>
            <w:tcBorders>
              <w:left w:val="single" w:color="000000" w:sz="10" w:space="0"/>
            </w:tcBorders>
            <w:vAlign w:val="top"/>
          </w:tcPr>
          <w:p w14:paraId="474BBC6A">
            <w:pPr>
              <w:spacing w:before="110" w:line="216" w:lineRule="auto"/>
              <w:ind w:left="131"/>
              <w:rPr>
                <w:rFonts w:ascii="等线" w:hAnsi="等线" w:eastAsia="等线" w:cs="等线"/>
                <w:sz w:val="20"/>
                <w:szCs w:val="20"/>
              </w:rPr>
            </w:pPr>
            <w:r>
              <w:rPr>
                <w:rFonts w:ascii="Times New Roman" w:hAnsi="Times New Roman" w:eastAsia="Times New Roman" w:cs="Times New Roman"/>
                <w:sz w:val="20"/>
                <w:szCs w:val="20"/>
              </w:rPr>
              <w:t>2024</w:t>
            </w:r>
            <w:r>
              <w:rPr>
                <w:rFonts w:ascii="等线" w:hAnsi="等线" w:eastAsia="等线" w:cs="等线"/>
                <w:sz w:val="20"/>
                <w:szCs w:val="20"/>
              </w:rPr>
              <w:t>年</w:t>
            </w:r>
            <w:r>
              <w:rPr>
                <w:rFonts w:ascii="Times New Roman" w:hAnsi="Times New Roman" w:eastAsia="Times New Roman" w:cs="Times New Roman"/>
                <w:sz w:val="20"/>
                <w:szCs w:val="20"/>
              </w:rPr>
              <w:t>12</w:t>
            </w:r>
            <w:r>
              <w:rPr>
                <w:rFonts w:ascii="等线" w:hAnsi="等线" w:eastAsia="等线" w:cs="等线"/>
                <w:sz w:val="20"/>
                <w:szCs w:val="20"/>
              </w:rPr>
              <w:t>月</w:t>
            </w:r>
          </w:p>
        </w:tc>
        <w:tc>
          <w:tcPr>
            <w:tcW w:w="1856" w:type="dxa"/>
            <w:vAlign w:val="top"/>
          </w:tcPr>
          <w:p w14:paraId="32E735B3">
            <w:pPr>
              <w:spacing w:before="145" w:line="195" w:lineRule="auto"/>
              <w:ind w:left="7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7682</w:t>
            </w:r>
          </w:p>
        </w:tc>
        <w:tc>
          <w:tcPr>
            <w:tcW w:w="1290" w:type="dxa"/>
            <w:vAlign w:val="top"/>
          </w:tcPr>
          <w:p w14:paraId="3B00CDAF">
            <w:pPr>
              <w:spacing w:before="145" w:line="195"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8.00</w:t>
            </w:r>
          </w:p>
        </w:tc>
        <w:tc>
          <w:tcPr>
            <w:tcW w:w="1290" w:type="dxa"/>
            <w:vAlign w:val="top"/>
          </w:tcPr>
          <w:p w14:paraId="529F86D5">
            <w:pPr>
              <w:spacing w:before="145"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w:t>
            </w:r>
          </w:p>
        </w:tc>
        <w:tc>
          <w:tcPr>
            <w:tcW w:w="1290" w:type="dxa"/>
            <w:vAlign w:val="top"/>
          </w:tcPr>
          <w:p w14:paraId="18C99CDB">
            <w:pPr>
              <w:spacing w:before="145"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305" w:type="dxa"/>
            <w:tcBorders>
              <w:right w:val="single" w:color="000000" w:sz="10" w:space="0"/>
            </w:tcBorders>
            <w:vAlign w:val="top"/>
          </w:tcPr>
          <w:p w14:paraId="58031EEB">
            <w:pPr>
              <w:spacing w:before="145" w:line="195"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1.55</w:t>
            </w:r>
          </w:p>
        </w:tc>
      </w:tr>
      <w:tr w14:paraId="3C7EB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1494" w:type="dxa"/>
            <w:tcBorders>
              <w:left w:val="single" w:color="000000" w:sz="10" w:space="0"/>
              <w:bottom w:val="single" w:color="000000" w:sz="10" w:space="0"/>
            </w:tcBorders>
            <w:vAlign w:val="top"/>
          </w:tcPr>
          <w:p w14:paraId="1B302D1F">
            <w:pPr>
              <w:pStyle w:val="6"/>
              <w:spacing w:before="113" w:line="228" w:lineRule="auto"/>
              <w:ind w:left="320"/>
            </w:pPr>
            <w:r>
              <w:rPr>
                <w:spacing w:val="7"/>
              </w:rPr>
              <w:t>标准限值</w:t>
            </w:r>
          </w:p>
        </w:tc>
        <w:tc>
          <w:tcPr>
            <w:tcW w:w="1856" w:type="dxa"/>
            <w:tcBorders>
              <w:bottom w:val="single" w:color="000000" w:sz="10" w:space="0"/>
            </w:tcBorders>
            <w:vAlign w:val="top"/>
          </w:tcPr>
          <w:p w14:paraId="2436ADAB">
            <w:pPr>
              <w:spacing w:before="146" w:line="199" w:lineRule="auto"/>
              <w:ind w:left="8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90" w:type="dxa"/>
            <w:tcBorders>
              <w:bottom w:val="single" w:color="000000" w:sz="10" w:space="0"/>
            </w:tcBorders>
            <w:vAlign w:val="top"/>
          </w:tcPr>
          <w:p w14:paraId="6984A3A7">
            <w:pPr>
              <w:spacing w:before="145" w:line="194" w:lineRule="auto"/>
              <w:ind w:left="493"/>
              <w:rPr>
                <w:rFonts w:ascii="Times New Roman" w:hAnsi="Times New Roman" w:eastAsia="Times New Roman" w:cs="Times New Roman"/>
                <w:sz w:val="20"/>
                <w:szCs w:val="20"/>
              </w:rPr>
            </w:pPr>
            <w:r>
              <w:rPr>
                <w:rFonts w:ascii="Calibri" w:hAnsi="Calibri" w:eastAsia="Calibri" w:cs="Calibri"/>
                <w:spacing w:val="1"/>
                <w:sz w:val="20"/>
                <w:szCs w:val="20"/>
              </w:rPr>
              <w:t>≤</w:t>
            </w:r>
            <w:r>
              <w:rPr>
                <w:rFonts w:ascii="Times New Roman" w:hAnsi="Times New Roman" w:eastAsia="Times New Roman" w:cs="Times New Roman"/>
                <w:spacing w:val="1"/>
                <w:sz w:val="20"/>
                <w:szCs w:val="20"/>
              </w:rPr>
              <w:t>50</w:t>
            </w:r>
          </w:p>
        </w:tc>
        <w:tc>
          <w:tcPr>
            <w:tcW w:w="1290" w:type="dxa"/>
            <w:tcBorders>
              <w:bottom w:val="single" w:color="000000" w:sz="10" w:space="0"/>
            </w:tcBorders>
            <w:vAlign w:val="top"/>
          </w:tcPr>
          <w:p w14:paraId="3A5071E9">
            <w:pPr>
              <w:pStyle w:val="6"/>
              <w:spacing w:before="113"/>
              <w:ind w:left="286"/>
            </w:pPr>
            <w:r>
              <w:rPr>
                <w:rFonts w:ascii="Calibri" w:hAnsi="Calibri" w:eastAsia="Calibri" w:cs="Calibri"/>
                <w:spacing w:val="3"/>
              </w:rPr>
              <w:t>≤</w:t>
            </w:r>
            <w:r>
              <w:rPr>
                <w:rFonts w:ascii="Times New Roman" w:hAnsi="Times New Roman" w:eastAsia="Times New Roman" w:cs="Times New Roman"/>
                <w:spacing w:val="3"/>
              </w:rPr>
              <w:t>5</w:t>
            </w:r>
            <w:r>
              <w:rPr>
                <w:spacing w:val="3"/>
              </w:rPr>
              <w:t>（</w:t>
            </w:r>
            <w:r>
              <w:rPr>
                <w:rFonts w:ascii="Times New Roman" w:hAnsi="Times New Roman" w:eastAsia="Times New Roman" w:cs="Times New Roman"/>
                <w:spacing w:val="3"/>
              </w:rPr>
              <w:t>8</w:t>
            </w:r>
            <w:r>
              <w:rPr>
                <w:spacing w:val="3"/>
              </w:rPr>
              <w:t>）</w:t>
            </w:r>
          </w:p>
        </w:tc>
        <w:tc>
          <w:tcPr>
            <w:tcW w:w="1290" w:type="dxa"/>
            <w:tcBorders>
              <w:bottom w:val="single" w:color="000000" w:sz="10" w:space="0"/>
            </w:tcBorders>
            <w:vAlign w:val="top"/>
          </w:tcPr>
          <w:p w14:paraId="198F01D3">
            <w:pPr>
              <w:spacing w:before="145" w:line="194" w:lineRule="auto"/>
              <w:ind w:left="474"/>
              <w:rPr>
                <w:rFonts w:ascii="Times New Roman" w:hAnsi="Times New Roman" w:eastAsia="Times New Roman" w:cs="Times New Roman"/>
                <w:sz w:val="20"/>
                <w:szCs w:val="20"/>
              </w:rPr>
            </w:pPr>
            <w:r>
              <w:rPr>
                <w:rFonts w:ascii="Calibri" w:hAnsi="Calibri" w:eastAsia="Calibri" w:cs="Calibri"/>
                <w:spacing w:val="1"/>
                <w:sz w:val="20"/>
                <w:szCs w:val="20"/>
              </w:rPr>
              <w:t>≤</w:t>
            </w:r>
            <w:r>
              <w:rPr>
                <w:rFonts w:ascii="Times New Roman" w:hAnsi="Times New Roman" w:eastAsia="Times New Roman" w:cs="Times New Roman"/>
                <w:spacing w:val="1"/>
                <w:sz w:val="20"/>
                <w:szCs w:val="20"/>
              </w:rPr>
              <w:t>0.5</w:t>
            </w:r>
          </w:p>
        </w:tc>
        <w:tc>
          <w:tcPr>
            <w:tcW w:w="1305" w:type="dxa"/>
            <w:tcBorders>
              <w:bottom w:val="single" w:color="000000" w:sz="10" w:space="0"/>
              <w:right w:val="single" w:color="000000" w:sz="10" w:space="0"/>
            </w:tcBorders>
            <w:vAlign w:val="top"/>
          </w:tcPr>
          <w:p w14:paraId="5D4B7714">
            <w:pPr>
              <w:spacing w:before="145" w:line="194" w:lineRule="auto"/>
              <w:ind w:left="504"/>
              <w:rPr>
                <w:rFonts w:ascii="Times New Roman" w:hAnsi="Times New Roman" w:eastAsia="Times New Roman" w:cs="Times New Roman"/>
                <w:sz w:val="20"/>
                <w:szCs w:val="20"/>
              </w:rPr>
            </w:pPr>
            <w:r>
              <w:rPr>
                <w:rFonts w:ascii="Calibri" w:hAnsi="Calibri" w:eastAsia="Calibri" w:cs="Calibri"/>
                <w:spacing w:val="1"/>
                <w:sz w:val="20"/>
                <w:szCs w:val="20"/>
              </w:rPr>
              <w:t>≤</w:t>
            </w:r>
            <w:r>
              <w:rPr>
                <w:rFonts w:ascii="Times New Roman" w:hAnsi="Times New Roman" w:eastAsia="Times New Roman" w:cs="Times New Roman"/>
                <w:spacing w:val="1"/>
                <w:sz w:val="20"/>
                <w:szCs w:val="20"/>
              </w:rPr>
              <w:t>15</w:t>
            </w:r>
          </w:p>
        </w:tc>
      </w:tr>
    </w:tbl>
    <w:p w14:paraId="7C19B6A4">
      <w:pPr>
        <w:spacing w:before="37" w:line="360" w:lineRule="auto"/>
        <w:ind w:left="132" w:right="61" w:firstLine="509"/>
        <w:jc w:val="both"/>
        <w:rPr>
          <w:rFonts w:ascii="宋体" w:hAnsi="宋体" w:eastAsia="宋体" w:cs="宋体"/>
          <w:sz w:val="24"/>
          <w:szCs w:val="24"/>
        </w:rPr>
      </w:pPr>
      <w:r>
        <w:rPr>
          <w:rFonts w:ascii="宋体" w:hAnsi="宋体" w:eastAsia="宋体" w:cs="宋体"/>
          <w:spacing w:val="-1"/>
          <w:sz w:val="24"/>
          <w:szCs w:val="24"/>
        </w:rPr>
        <w:t>由隆回县工业污水处理厂在线监控数据可知，隆回县工业污</w:t>
      </w:r>
      <w:r>
        <w:rPr>
          <w:rFonts w:ascii="宋体" w:hAnsi="宋体" w:eastAsia="宋体" w:cs="宋体"/>
          <w:spacing w:val="-2"/>
          <w:sz w:val="24"/>
          <w:szCs w:val="24"/>
        </w:rPr>
        <w:t>水处理厂日均处理水量波动较大，</w:t>
      </w:r>
      <w:r>
        <w:rPr>
          <w:rFonts w:ascii="Times New Roman" w:hAnsi="Times New Roman" w:eastAsia="Times New Roman" w:cs="Times New Roman"/>
          <w:spacing w:val="-2"/>
          <w:sz w:val="24"/>
          <w:szCs w:val="24"/>
        </w:rPr>
        <w:t>2024</w:t>
      </w:r>
      <w:r>
        <w:rPr>
          <w:rFonts w:ascii="宋体" w:hAnsi="宋体" w:eastAsia="宋体" w:cs="宋体"/>
          <w:spacing w:val="-2"/>
          <w:sz w:val="24"/>
          <w:szCs w:val="24"/>
        </w:rPr>
        <w:t>年月平均污水处理量达</w:t>
      </w:r>
      <w:r>
        <w:rPr>
          <w:rFonts w:ascii="Times New Roman" w:hAnsi="Times New Roman" w:eastAsia="Times New Roman" w:cs="Times New Roman"/>
          <w:spacing w:val="-2"/>
          <w:sz w:val="24"/>
          <w:szCs w:val="24"/>
        </w:rPr>
        <w:t>1.2</w:t>
      </w:r>
      <w:r>
        <w:rPr>
          <w:rFonts w:ascii="宋体" w:hAnsi="宋体" w:eastAsia="宋体" w:cs="宋体"/>
          <w:spacing w:val="-2"/>
          <w:sz w:val="24"/>
          <w:szCs w:val="24"/>
        </w:rPr>
        <w:t>万</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4"/>
          <w:szCs w:val="24"/>
        </w:rPr>
        <w:t>/d</w:t>
      </w:r>
      <w:r>
        <w:rPr>
          <w:rFonts w:ascii="宋体" w:hAnsi="宋体" w:eastAsia="宋体" w:cs="宋体"/>
          <w:spacing w:val="-2"/>
          <w:sz w:val="24"/>
          <w:szCs w:val="24"/>
        </w:rPr>
        <w:t>。其出水</w:t>
      </w:r>
      <w:r>
        <w:rPr>
          <w:rFonts w:ascii="Times New Roman" w:hAnsi="Times New Roman" w:eastAsia="Times New Roman" w:cs="Times New Roman"/>
          <w:spacing w:val="-2"/>
          <w:sz w:val="24"/>
          <w:szCs w:val="24"/>
        </w:rPr>
        <w:t>COD</w:t>
      </w:r>
      <w:r>
        <w:rPr>
          <w:rFonts w:ascii="宋体" w:hAnsi="宋体" w:eastAsia="宋体" w:cs="宋体"/>
          <w:spacing w:val="-2"/>
          <w:sz w:val="24"/>
          <w:szCs w:val="24"/>
        </w:rPr>
        <w:t>、氨氮、总</w:t>
      </w:r>
      <w:r>
        <w:rPr>
          <w:rFonts w:ascii="宋体" w:hAnsi="宋体" w:eastAsia="宋体" w:cs="宋体"/>
          <w:sz w:val="24"/>
          <w:szCs w:val="24"/>
        </w:rPr>
        <w:t>磷、总氮指标均能达到《城镇污水处理厂污染物排放标准》（</w:t>
      </w:r>
      <w:r>
        <w:rPr>
          <w:rFonts w:ascii="Times New Roman" w:hAnsi="Times New Roman" w:eastAsia="Times New Roman" w:cs="Times New Roman"/>
          <w:sz w:val="24"/>
          <w:szCs w:val="24"/>
        </w:rPr>
        <w:t>GB1</w:t>
      </w:r>
      <w:r>
        <w:rPr>
          <w:rFonts w:ascii="Times New Roman" w:hAnsi="Times New Roman" w:eastAsia="Times New Roman" w:cs="Times New Roman"/>
          <w:spacing w:val="-1"/>
          <w:sz w:val="24"/>
          <w:szCs w:val="24"/>
        </w:rPr>
        <w:t>8918-2002</w:t>
      </w:r>
      <w:r>
        <w:rPr>
          <w:rFonts w:ascii="宋体" w:hAnsi="宋体" w:eastAsia="宋体" w:cs="宋体"/>
          <w:spacing w:val="-1"/>
          <w:sz w:val="24"/>
          <w:szCs w:val="24"/>
        </w:rPr>
        <w:t>）中</w:t>
      </w:r>
      <w:r>
        <w:rPr>
          <w:rFonts w:ascii="宋体" w:hAnsi="宋体" w:eastAsia="宋体" w:cs="宋体"/>
          <w:spacing w:val="-2"/>
          <w:sz w:val="24"/>
          <w:szCs w:val="24"/>
        </w:rPr>
        <w:t>一级</w:t>
      </w:r>
      <w:r>
        <w:rPr>
          <w:rFonts w:ascii="Times New Roman" w:hAnsi="Times New Roman" w:eastAsia="Times New Roman" w:cs="Times New Roman"/>
          <w:spacing w:val="-2"/>
          <w:sz w:val="24"/>
          <w:szCs w:val="24"/>
        </w:rPr>
        <w:t>A</w:t>
      </w:r>
      <w:r>
        <w:rPr>
          <w:rFonts w:ascii="宋体" w:hAnsi="宋体" w:eastAsia="宋体" w:cs="宋体"/>
          <w:spacing w:val="-2"/>
          <w:sz w:val="24"/>
          <w:szCs w:val="24"/>
        </w:rPr>
        <w:t>标准，但排放浓度存在较大的波动，原因与企业外排污</w:t>
      </w:r>
      <w:r>
        <w:rPr>
          <w:rFonts w:ascii="宋体" w:hAnsi="宋体" w:eastAsia="宋体" w:cs="宋体"/>
          <w:spacing w:val="-3"/>
          <w:sz w:val="24"/>
          <w:szCs w:val="24"/>
        </w:rPr>
        <w:t>水浓度、环境条件有</w:t>
      </w:r>
      <w:r>
        <w:rPr>
          <w:rFonts w:ascii="宋体" w:hAnsi="宋体" w:eastAsia="宋体" w:cs="宋体"/>
          <w:spacing w:val="-2"/>
          <w:sz w:val="24"/>
          <w:szCs w:val="24"/>
        </w:rPr>
        <w:t>较大的关系。</w:t>
      </w:r>
    </w:p>
    <w:p w14:paraId="65C67CCF">
      <w:pPr>
        <w:spacing w:before="139" w:line="220" w:lineRule="auto"/>
        <w:ind w:left="127"/>
        <w:outlineLvl w:val="1"/>
        <w:rPr>
          <w:rFonts w:ascii="宋体" w:hAnsi="宋体" w:eastAsia="宋体" w:cs="宋体"/>
          <w:sz w:val="28"/>
          <w:szCs w:val="28"/>
        </w:rPr>
      </w:pPr>
      <w:bookmarkStart w:id="15" w:name="bookmark15"/>
      <w:bookmarkEnd w:id="15"/>
      <w:r>
        <w:rPr>
          <w:rFonts w:ascii="Times New Roman" w:hAnsi="Times New Roman" w:eastAsia="Times New Roman" w:cs="Times New Roman"/>
          <w:b/>
          <w:bCs/>
          <w:spacing w:val="-4"/>
          <w:sz w:val="28"/>
          <w:szCs w:val="28"/>
        </w:rPr>
        <w:t>3.3</w:t>
      </w:r>
      <w:r>
        <w:rPr>
          <w:rFonts w:ascii="宋体" w:hAnsi="宋体" w:eastAsia="宋体" w:cs="宋体"/>
          <w:b/>
          <w:bCs/>
          <w:spacing w:val="-4"/>
          <w:sz w:val="28"/>
          <w:szCs w:val="28"/>
        </w:rPr>
        <w:t>隆回县华茂污水处理厂项目建设及运行情况</w:t>
      </w:r>
    </w:p>
    <w:p w14:paraId="32EB635D">
      <w:pPr>
        <w:spacing w:before="205" w:line="219" w:lineRule="auto"/>
        <w:ind w:left="126"/>
        <w:outlineLvl w:val="2"/>
        <w:rPr>
          <w:rFonts w:ascii="宋体" w:hAnsi="宋体" w:eastAsia="宋体" w:cs="宋体"/>
          <w:sz w:val="24"/>
          <w:szCs w:val="24"/>
        </w:rPr>
      </w:pPr>
      <w:r>
        <w:rPr>
          <w:rFonts w:ascii="Times New Roman" w:hAnsi="Times New Roman" w:eastAsia="Times New Roman" w:cs="Times New Roman"/>
          <w:b/>
          <w:bCs/>
          <w:spacing w:val="-2"/>
          <w:sz w:val="24"/>
          <w:szCs w:val="24"/>
        </w:rPr>
        <w:t>3.3.1</w:t>
      </w:r>
      <w:r>
        <w:rPr>
          <w:rFonts w:ascii="宋体" w:hAnsi="宋体" w:eastAsia="宋体" w:cs="宋体"/>
          <w:b/>
          <w:bCs/>
          <w:spacing w:val="-2"/>
          <w:sz w:val="24"/>
          <w:szCs w:val="24"/>
        </w:rPr>
        <w:t>项目基本情况</w:t>
      </w:r>
    </w:p>
    <w:p w14:paraId="69CDECF3">
      <w:pPr>
        <w:spacing w:before="182" w:line="219" w:lineRule="auto"/>
        <w:ind w:left="616"/>
        <w:rPr>
          <w:rFonts w:ascii="宋体" w:hAnsi="宋体" w:eastAsia="宋体" w:cs="宋体"/>
          <w:sz w:val="24"/>
          <w:szCs w:val="24"/>
        </w:rPr>
      </w:pPr>
      <w:r>
        <w:rPr>
          <w:rFonts w:ascii="宋体" w:hAnsi="宋体" w:eastAsia="宋体" w:cs="宋体"/>
          <w:spacing w:val="-1"/>
          <w:sz w:val="24"/>
          <w:szCs w:val="24"/>
        </w:rPr>
        <w:t>项目名称：隆回县华茂污水处理厂；</w:t>
      </w:r>
    </w:p>
    <w:p w14:paraId="4B2B8AC9">
      <w:pPr>
        <w:spacing w:before="180" w:line="220" w:lineRule="auto"/>
        <w:ind w:left="616"/>
        <w:rPr>
          <w:rFonts w:ascii="宋体" w:hAnsi="宋体" w:eastAsia="宋体" w:cs="宋体"/>
          <w:sz w:val="24"/>
          <w:szCs w:val="24"/>
        </w:rPr>
      </w:pPr>
      <w:r>
        <w:rPr>
          <w:rFonts w:ascii="宋体" w:hAnsi="宋体" w:eastAsia="宋体" w:cs="宋体"/>
          <w:spacing w:val="-2"/>
          <w:sz w:val="24"/>
          <w:szCs w:val="24"/>
        </w:rPr>
        <w:t>项目性质：已建；</w:t>
      </w:r>
    </w:p>
    <w:p w14:paraId="1A2B2E5F">
      <w:pPr>
        <w:spacing w:before="184" w:line="359" w:lineRule="auto"/>
        <w:ind w:left="120" w:firstLine="496"/>
        <w:jc w:val="both"/>
        <w:rPr>
          <w:rFonts w:ascii="宋体" w:hAnsi="宋体" w:eastAsia="宋体" w:cs="宋体"/>
          <w:sz w:val="24"/>
          <w:szCs w:val="24"/>
        </w:rPr>
      </w:pPr>
      <w:r>
        <w:rPr>
          <w:rFonts w:ascii="宋体" w:hAnsi="宋体" w:eastAsia="宋体" w:cs="宋体"/>
          <w:spacing w:val="-7"/>
          <w:sz w:val="24"/>
          <w:szCs w:val="24"/>
        </w:rPr>
        <w:t>项目地点：邵阳市隆回县工业集中区寺山村，其中心经纬度为</w:t>
      </w:r>
      <w:r>
        <w:rPr>
          <w:rFonts w:ascii="Times New Roman" w:hAnsi="Times New Roman" w:eastAsia="Times New Roman" w:cs="Times New Roman"/>
          <w:spacing w:val="-7"/>
          <w:sz w:val="24"/>
          <w:szCs w:val="24"/>
        </w:rPr>
        <w:t>E111.0501910</w:t>
      </w:r>
      <w:r>
        <w:rPr>
          <w:rFonts w:ascii="Times New Roman" w:hAnsi="Times New Roman" w:eastAsia="Times New Roman" w:cs="Times New Roman"/>
          <w:spacing w:val="-8"/>
          <w:sz w:val="24"/>
          <w:szCs w:val="24"/>
        </w:rPr>
        <w:t>44</w:t>
      </w:r>
      <w:r>
        <w:rPr>
          <w:rFonts w:ascii="宋体" w:hAnsi="宋体" w:eastAsia="宋体" w:cs="宋体"/>
          <w:spacing w:val="-8"/>
          <w:sz w:val="24"/>
          <w:szCs w:val="24"/>
        </w:rPr>
        <w:t>，</w:t>
      </w:r>
      <w:r>
        <w:rPr>
          <w:rFonts w:ascii="Times New Roman" w:hAnsi="Times New Roman" w:eastAsia="Times New Roman" w:cs="Times New Roman"/>
          <w:spacing w:val="-2"/>
          <w:sz w:val="24"/>
          <w:szCs w:val="24"/>
        </w:rPr>
        <w:t>N27.090055516</w:t>
      </w:r>
      <w:r>
        <w:rPr>
          <w:rFonts w:ascii="宋体" w:hAnsi="宋体" w:eastAsia="宋体" w:cs="宋体"/>
          <w:spacing w:val="-2"/>
          <w:sz w:val="24"/>
          <w:szCs w:val="24"/>
        </w:rPr>
        <w:t>。入河排污口（元木山电站下游</w:t>
      </w:r>
      <w:r>
        <w:rPr>
          <w:rFonts w:ascii="Times New Roman" w:hAnsi="Times New Roman" w:eastAsia="Times New Roman" w:cs="Times New Roman"/>
          <w:spacing w:val="-2"/>
          <w:sz w:val="24"/>
          <w:szCs w:val="24"/>
        </w:rPr>
        <w:t>2.8m</w:t>
      </w:r>
      <w:r>
        <w:rPr>
          <w:rFonts w:ascii="宋体" w:hAnsi="宋体" w:eastAsia="宋体" w:cs="宋体"/>
          <w:spacing w:val="-2"/>
          <w:sz w:val="24"/>
          <w:szCs w:val="24"/>
        </w:rPr>
        <w:t>处）坐标</w:t>
      </w:r>
      <w:r>
        <w:rPr>
          <w:rFonts w:ascii="宋体" w:hAnsi="宋体" w:eastAsia="宋体" w:cs="宋体"/>
          <w:spacing w:val="-3"/>
          <w:sz w:val="24"/>
          <w:szCs w:val="24"/>
        </w:rPr>
        <w:t>：</w:t>
      </w:r>
      <w:r>
        <w:rPr>
          <w:rFonts w:ascii="Times New Roman" w:hAnsi="Times New Roman" w:eastAsia="Times New Roman" w:cs="Times New Roman"/>
          <w:spacing w:val="-3"/>
          <w:sz w:val="24"/>
          <w:szCs w:val="24"/>
        </w:rPr>
        <w:t>111°3′22.36752″</w:t>
      </w:r>
      <w:r>
        <w:rPr>
          <w:rFonts w:ascii="宋体" w:hAnsi="宋体" w:eastAsia="宋体" w:cs="宋体"/>
          <w:spacing w:val="-3"/>
          <w:sz w:val="24"/>
          <w:szCs w:val="24"/>
        </w:rPr>
        <w:t>，</w:t>
      </w:r>
      <w:r>
        <w:rPr>
          <w:rFonts w:ascii="Times New Roman" w:hAnsi="Times New Roman" w:eastAsia="Times New Roman" w:cs="Times New Roman"/>
          <w:spacing w:val="-1"/>
          <w:sz w:val="24"/>
          <w:szCs w:val="24"/>
        </w:rPr>
        <w:t>N27°4′46.315056″</w:t>
      </w:r>
      <w:r>
        <w:rPr>
          <w:rFonts w:ascii="宋体" w:hAnsi="宋体" w:eastAsia="宋体" w:cs="宋体"/>
          <w:spacing w:val="-15"/>
          <w:sz w:val="24"/>
          <w:szCs w:val="24"/>
        </w:rPr>
        <w:t>；；</w:t>
      </w:r>
    </w:p>
    <w:p w14:paraId="07FBCF8E">
      <w:pPr>
        <w:spacing w:line="219" w:lineRule="auto"/>
        <w:ind w:left="615"/>
        <w:rPr>
          <w:rFonts w:ascii="宋体" w:hAnsi="宋体" w:eastAsia="宋体" w:cs="宋体"/>
          <w:sz w:val="24"/>
          <w:szCs w:val="24"/>
        </w:rPr>
      </w:pPr>
      <w:r>
        <w:rPr>
          <w:rFonts w:ascii="宋体" w:hAnsi="宋体" w:eastAsia="宋体" w:cs="宋体"/>
          <w:spacing w:val="-1"/>
          <w:sz w:val="24"/>
          <w:szCs w:val="24"/>
        </w:rPr>
        <w:t>建设单位：隆回县华茂污水处理有限公司；</w:t>
      </w:r>
    </w:p>
    <w:p w14:paraId="0F8FCE11">
      <w:pPr>
        <w:spacing w:before="181" w:line="219" w:lineRule="auto"/>
        <w:ind w:left="616"/>
        <w:rPr>
          <w:rFonts w:ascii="宋体" w:hAnsi="宋体" w:eastAsia="宋体" w:cs="宋体"/>
          <w:sz w:val="24"/>
          <w:szCs w:val="24"/>
        </w:rPr>
      </w:pPr>
      <w:r>
        <w:rPr>
          <w:rFonts w:ascii="宋体" w:hAnsi="宋体" w:eastAsia="宋体" w:cs="宋体"/>
          <w:spacing w:val="-1"/>
          <w:sz w:val="24"/>
          <w:szCs w:val="24"/>
        </w:rPr>
        <w:t>项目占地：污水处理厂总占地面积</w:t>
      </w:r>
      <w:r>
        <w:rPr>
          <w:rFonts w:ascii="Times New Roman" w:hAnsi="Times New Roman" w:eastAsia="Times New Roman" w:cs="Times New Roman"/>
          <w:spacing w:val="-1"/>
          <w:sz w:val="24"/>
          <w:szCs w:val="24"/>
        </w:rPr>
        <w:t>49803m</w:t>
      </w:r>
      <w:r>
        <w:rPr>
          <w:rFonts w:ascii="Times New Roman" w:hAnsi="Times New Roman" w:eastAsia="Times New Roman" w:cs="Times New Roman"/>
          <w:spacing w:val="-1"/>
          <w:position w:val="7"/>
          <w:sz w:val="15"/>
          <w:szCs w:val="15"/>
        </w:rPr>
        <w:t>2</w:t>
      </w:r>
      <w:r>
        <w:rPr>
          <w:rFonts w:ascii="宋体" w:hAnsi="宋体" w:eastAsia="宋体" w:cs="宋体"/>
          <w:spacing w:val="-1"/>
          <w:sz w:val="24"/>
          <w:szCs w:val="24"/>
        </w:rPr>
        <w:t>；</w:t>
      </w:r>
    </w:p>
    <w:p w14:paraId="7466EC12">
      <w:pPr>
        <w:spacing w:before="182" w:line="219" w:lineRule="auto"/>
        <w:ind w:left="616"/>
        <w:rPr>
          <w:rFonts w:ascii="宋体" w:hAnsi="宋体" w:eastAsia="宋体" w:cs="宋体"/>
          <w:sz w:val="24"/>
          <w:szCs w:val="24"/>
        </w:rPr>
      </w:pPr>
      <w:r>
        <w:rPr>
          <w:rFonts w:ascii="宋体" w:hAnsi="宋体" w:eastAsia="宋体" w:cs="宋体"/>
          <w:spacing w:val="1"/>
          <w:sz w:val="24"/>
          <w:szCs w:val="24"/>
        </w:rPr>
        <w:t>项目工艺：采用</w:t>
      </w:r>
      <w:r>
        <w:rPr>
          <w:rFonts w:ascii="Times New Roman" w:hAnsi="Times New Roman" w:eastAsia="Times New Roman" w:cs="Times New Roman"/>
          <w:spacing w:val="1"/>
          <w:sz w:val="24"/>
          <w:szCs w:val="24"/>
        </w:rPr>
        <w:t>A/A/C</w:t>
      </w:r>
      <w:r>
        <w:rPr>
          <w:rFonts w:ascii="宋体" w:hAnsi="宋体" w:eastAsia="宋体" w:cs="宋体"/>
          <w:spacing w:val="1"/>
          <w:sz w:val="24"/>
          <w:szCs w:val="24"/>
        </w:rPr>
        <w:t>特征的氧化沟</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UV</w:t>
      </w:r>
      <w:r>
        <w:rPr>
          <w:rFonts w:ascii="宋体" w:hAnsi="宋体" w:eastAsia="宋体" w:cs="宋体"/>
          <w:spacing w:val="1"/>
          <w:sz w:val="24"/>
          <w:szCs w:val="24"/>
        </w:rPr>
        <w:t>消毒处理工艺</w:t>
      </w:r>
      <w:r>
        <w:rPr>
          <w:rFonts w:ascii="Times New Roman" w:hAnsi="Times New Roman" w:eastAsia="Times New Roman" w:cs="Times New Roman"/>
          <w:spacing w:val="1"/>
          <w:sz w:val="24"/>
          <w:szCs w:val="24"/>
        </w:rPr>
        <w:t>”</w:t>
      </w:r>
      <w:r>
        <w:rPr>
          <w:rFonts w:ascii="宋体" w:hAnsi="宋体" w:eastAsia="宋体" w:cs="宋体"/>
          <w:sz w:val="24"/>
          <w:szCs w:val="24"/>
        </w:rPr>
        <w:t>的组合工艺；</w:t>
      </w:r>
    </w:p>
    <w:p w14:paraId="18CABA51">
      <w:pPr>
        <w:spacing w:before="182" w:line="219" w:lineRule="auto"/>
        <w:ind w:left="615"/>
        <w:rPr>
          <w:rFonts w:ascii="宋体" w:hAnsi="宋体" w:eastAsia="宋体" w:cs="宋体"/>
          <w:sz w:val="24"/>
          <w:szCs w:val="24"/>
        </w:rPr>
      </w:pPr>
      <w:r>
        <w:rPr>
          <w:rFonts w:ascii="宋体" w:hAnsi="宋体" w:eastAsia="宋体" w:cs="宋体"/>
          <w:spacing w:val="-2"/>
          <w:sz w:val="24"/>
          <w:szCs w:val="24"/>
        </w:rPr>
        <w:t>建设规模：现状处理规模为</w:t>
      </w:r>
      <w:r>
        <w:rPr>
          <w:rFonts w:ascii="Times New Roman" w:hAnsi="Times New Roman" w:eastAsia="Times New Roman" w:cs="Times New Roman"/>
          <w:spacing w:val="-2"/>
          <w:sz w:val="24"/>
          <w:szCs w:val="24"/>
        </w:rPr>
        <w:t>3.0</w:t>
      </w:r>
      <w:r>
        <w:rPr>
          <w:rFonts w:ascii="宋体" w:hAnsi="宋体" w:eastAsia="宋体" w:cs="宋体"/>
          <w:spacing w:val="-2"/>
          <w:sz w:val="24"/>
          <w:szCs w:val="24"/>
        </w:rPr>
        <w:t>万</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4"/>
          <w:szCs w:val="24"/>
        </w:rPr>
        <w:t>/d</w:t>
      </w:r>
      <w:r>
        <w:rPr>
          <w:rFonts w:ascii="宋体" w:hAnsi="宋体" w:eastAsia="宋体" w:cs="宋体"/>
          <w:spacing w:val="-2"/>
          <w:sz w:val="24"/>
          <w:szCs w:val="24"/>
        </w:rPr>
        <w:t>。</w:t>
      </w:r>
    </w:p>
    <w:p w14:paraId="20E1B44E">
      <w:pPr>
        <w:spacing w:before="184" w:line="219" w:lineRule="auto"/>
        <w:ind w:left="612"/>
        <w:rPr>
          <w:rFonts w:ascii="宋体" w:hAnsi="宋体" w:eastAsia="宋体" w:cs="宋体"/>
          <w:sz w:val="24"/>
          <w:szCs w:val="24"/>
        </w:rPr>
      </w:pPr>
      <w:r>
        <w:rPr>
          <w:rFonts w:ascii="宋体" w:hAnsi="宋体" w:eastAsia="宋体" w:cs="宋体"/>
          <w:spacing w:val="-1"/>
          <w:sz w:val="24"/>
          <w:szCs w:val="24"/>
        </w:rPr>
        <w:t>服务范围：隆回县县城规划区。</w:t>
      </w:r>
    </w:p>
    <w:p w14:paraId="3901FF33">
      <w:pPr>
        <w:spacing w:before="180" w:line="357" w:lineRule="auto"/>
        <w:ind w:left="135" w:right="279" w:firstLine="480"/>
        <w:jc w:val="both"/>
        <w:rPr>
          <w:rFonts w:ascii="宋体" w:hAnsi="宋体" w:eastAsia="宋体" w:cs="宋体"/>
          <w:sz w:val="24"/>
          <w:szCs w:val="24"/>
        </w:rPr>
      </w:pPr>
      <w:r>
        <w:rPr>
          <w:rFonts w:ascii="宋体" w:hAnsi="宋体" w:eastAsia="宋体" w:cs="宋体"/>
          <w:spacing w:val="-2"/>
          <w:sz w:val="24"/>
          <w:szCs w:val="24"/>
        </w:rPr>
        <w:t>项目建设：</w:t>
      </w:r>
      <w:r>
        <w:rPr>
          <w:rFonts w:ascii="Times New Roman" w:hAnsi="Times New Roman" w:eastAsia="Times New Roman" w:cs="Times New Roman"/>
          <w:spacing w:val="-2"/>
          <w:sz w:val="24"/>
          <w:szCs w:val="24"/>
        </w:rPr>
        <w:t>2008</w:t>
      </w:r>
      <w:r>
        <w:rPr>
          <w:rFonts w:ascii="宋体" w:hAnsi="宋体" w:eastAsia="宋体" w:cs="宋体"/>
          <w:spacing w:val="-2"/>
          <w:sz w:val="24"/>
          <w:szCs w:val="24"/>
        </w:rPr>
        <w:t>年取得环保局批复《关于隆回县城桃洪镇</w:t>
      </w:r>
      <w:r>
        <w:rPr>
          <w:rFonts w:ascii="Times New Roman" w:hAnsi="Times New Roman" w:eastAsia="Times New Roman" w:cs="Times New Roman"/>
          <w:spacing w:val="-2"/>
          <w:sz w:val="24"/>
          <w:szCs w:val="24"/>
        </w:rPr>
        <w:t>3</w:t>
      </w:r>
      <w:r>
        <w:rPr>
          <w:rFonts w:ascii="宋体" w:hAnsi="宋体" w:eastAsia="宋体" w:cs="宋体"/>
          <w:spacing w:val="-2"/>
          <w:sz w:val="24"/>
          <w:szCs w:val="24"/>
        </w:rPr>
        <w:t>万</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4"/>
          <w:szCs w:val="24"/>
        </w:rPr>
        <w:t>/d</w:t>
      </w:r>
      <w:r>
        <w:rPr>
          <w:rFonts w:ascii="宋体" w:hAnsi="宋体" w:eastAsia="宋体" w:cs="宋体"/>
          <w:spacing w:val="-2"/>
          <w:sz w:val="24"/>
          <w:szCs w:val="24"/>
        </w:rPr>
        <w:t>污水处</w:t>
      </w:r>
      <w:r>
        <w:rPr>
          <w:rFonts w:ascii="宋体" w:hAnsi="宋体" w:eastAsia="宋体" w:cs="宋体"/>
          <w:spacing w:val="-1"/>
          <w:sz w:val="24"/>
          <w:szCs w:val="24"/>
        </w:rPr>
        <w:t>理厂建设工程环境影响报告表的批复》（邵市环评</w:t>
      </w:r>
      <w:r>
        <w:rPr>
          <w:rFonts w:ascii="Times New Roman" w:hAnsi="Times New Roman" w:eastAsia="Times New Roman" w:cs="Times New Roman"/>
          <w:spacing w:val="-1"/>
          <w:sz w:val="24"/>
          <w:szCs w:val="24"/>
        </w:rPr>
        <w:t>[2008]</w:t>
      </w:r>
      <w:r>
        <w:rPr>
          <w:rFonts w:ascii="Times New Roman" w:hAnsi="Times New Roman" w:eastAsia="Times New Roman" w:cs="Times New Roman"/>
          <w:spacing w:val="-2"/>
          <w:sz w:val="24"/>
          <w:szCs w:val="24"/>
        </w:rPr>
        <w:t>23</w:t>
      </w:r>
      <w:r>
        <w:rPr>
          <w:rFonts w:ascii="宋体" w:hAnsi="宋体" w:eastAsia="宋体" w:cs="宋体"/>
          <w:spacing w:val="-2"/>
          <w:sz w:val="24"/>
          <w:szCs w:val="24"/>
        </w:rPr>
        <w:t>号</w:t>
      </w:r>
      <w:r>
        <w:rPr>
          <w:rFonts w:ascii="宋体" w:hAnsi="宋体" w:eastAsia="宋体" w:cs="宋体"/>
          <w:spacing w:val="7"/>
          <w:sz w:val="24"/>
          <w:szCs w:val="24"/>
        </w:rPr>
        <w:t>），</w:t>
      </w:r>
      <w:r>
        <w:rPr>
          <w:rFonts w:ascii="宋体" w:hAnsi="宋体" w:eastAsia="宋体" w:cs="宋体"/>
          <w:spacing w:val="-2"/>
          <w:sz w:val="24"/>
          <w:szCs w:val="24"/>
        </w:rPr>
        <w:t>并于</w:t>
      </w:r>
      <w:r>
        <w:rPr>
          <w:rFonts w:ascii="Times New Roman" w:hAnsi="Times New Roman" w:eastAsia="Times New Roman" w:cs="Times New Roman"/>
          <w:spacing w:val="-2"/>
          <w:sz w:val="24"/>
          <w:szCs w:val="24"/>
        </w:rPr>
        <w:t>2009</w:t>
      </w:r>
      <w:r>
        <w:rPr>
          <w:rFonts w:ascii="宋体" w:hAnsi="宋体" w:eastAsia="宋体" w:cs="宋体"/>
          <w:spacing w:val="-2"/>
          <w:sz w:val="24"/>
          <w:szCs w:val="24"/>
        </w:rPr>
        <w:t>年</w:t>
      </w:r>
      <w:r>
        <w:rPr>
          <w:rFonts w:ascii="Times New Roman" w:hAnsi="Times New Roman" w:eastAsia="Times New Roman" w:cs="Times New Roman"/>
          <w:spacing w:val="-2"/>
          <w:sz w:val="24"/>
          <w:szCs w:val="24"/>
        </w:rPr>
        <w:t>11</w:t>
      </w:r>
      <w:r>
        <w:rPr>
          <w:rFonts w:ascii="宋体" w:hAnsi="宋体" w:eastAsia="宋体" w:cs="宋体"/>
          <w:spacing w:val="-2"/>
          <w:sz w:val="24"/>
          <w:szCs w:val="24"/>
        </w:rPr>
        <w:t>月</w:t>
      </w:r>
      <w:r>
        <w:rPr>
          <w:rFonts w:ascii="Times New Roman" w:hAnsi="Times New Roman" w:eastAsia="Times New Roman" w:cs="Times New Roman"/>
          <w:spacing w:val="-2"/>
          <w:sz w:val="24"/>
          <w:szCs w:val="24"/>
        </w:rPr>
        <w:t>30</w:t>
      </w:r>
      <w:r>
        <w:rPr>
          <w:rFonts w:ascii="宋体" w:hAnsi="宋体" w:eastAsia="宋体" w:cs="宋体"/>
          <w:spacing w:val="-2"/>
          <w:sz w:val="24"/>
          <w:szCs w:val="24"/>
        </w:rPr>
        <w:t>日通过邵阳市生态环境局隆回分局验收（邵环竣监</w:t>
      </w:r>
      <w:r>
        <w:rPr>
          <w:rFonts w:ascii="Times New Roman" w:hAnsi="Times New Roman" w:eastAsia="Times New Roman" w:cs="Times New Roman"/>
          <w:spacing w:val="-2"/>
          <w:sz w:val="24"/>
          <w:szCs w:val="24"/>
        </w:rPr>
        <w:t>[200</w:t>
      </w:r>
      <w:r>
        <w:rPr>
          <w:rFonts w:ascii="Times New Roman" w:hAnsi="Times New Roman" w:eastAsia="Times New Roman" w:cs="Times New Roman"/>
          <w:spacing w:val="-3"/>
          <w:sz w:val="24"/>
          <w:szCs w:val="24"/>
        </w:rPr>
        <w:t>9]088</w:t>
      </w:r>
      <w:r>
        <w:rPr>
          <w:rFonts w:ascii="宋体" w:hAnsi="宋体" w:eastAsia="宋体" w:cs="宋体"/>
          <w:spacing w:val="-3"/>
          <w:sz w:val="24"/>
          <w:szCs w:val="24"/>
        </w:rPr>
        <w:t>号）。</w:t>
      </w:r>
    </w:p>
    <w:p w14:paraId="37338D23">
      <w:pPr>
        <w:spacing w:before="10" w:line="362" w:lineRule="auto"/>
        <w:ind w:left="135" w:right="61" w:firstLine="476"/>
        <w:rPr>
          <w:rFonts w:ascii="宋体" w:hAnsi="宋体" w:eastAsia="宋体" w:cs="宋体"/>
          <w:sz w:val="24"/>
          <w:szCs w:val="24"/>
        </w:rPr>
      </w:pPr>
      <w:r>
        <w:rPr>
          <w:rFonts w:ascii="宋体" w:hAnsi="宋体" w:eastAsia="宋体" w:cs="宋体"/>
          <w:spacing w:val="-4"/>
          <w:sz w:val="24"/>
          <w:szCs w:val="24"/>
        </w:rPr>
        <w:t>入河排污口基本情况：县城生活污水处理厂尾水于隆</w:t>
      </w:r>
      <w:r>
        <w:rPr>
          <w:rFonts w:ascii="宋体" w:hAnsi="宋体" w:eastAsia="宋体" w:cs="宋体"/>
          <w:spacing w:val="-5"/>
          <w:sz w:val="24"/>
          <w:szCs w:val="24"/>
        </w:rPr>
        <w:t>回县工业污水处理厂（一</w:t>
      </w:r>
      <w:r>
        <w:rPr>
          <w:rFonts w:ascii="宋体" w:hAnsi="宋体" w:eastAsia="宋体" w:cs="宋体"/>
          <w:spacing w:val="-1"/>
          <w:sz w:val="24"/>
          <w:szCs w:val="24"/>
        </w:rPr>
        <w:t>期）尾水一起通过沿江北路敷设的排水管，排往</w:t>
      </w:r>
      <w:r>
        <w:rPr>
          <w:rFonts w:ascii="宋体" w:hAnsi="宋体" w:eastAsia="宋体" w:cs="宋体"/>
          <w:spacing w:val="-2"/>
          <w:sz w:val="24"/>
          <w:szCs w:val="24"/>
        </w:rPr>
        <w:t>赧水元木山电站下游约</w:t>
      </w:r>
      <w:r>
        <w:rPr>
          <w:rFonts w:ascii="Times New Roman" w:hAnsi="Times New Roman" w:eastAsia="Times New Roman" w:cs="Times New Roman"/>
          <w:spacing w:val="-2"/>
          <w:sz w:val="24"/>
          <w:szCs w:val="24"/>
        </w:rPr>
        <w:t>2.8m</w:t>
      </w:r>
      <w:r>
        <w:rPr>
          <w:rFonts w:ascii="宋体" w:hAnsi="宋体" w:eastAsia="宋体" w:cs="宋体"/>
          <w:spacing w:val="-2"/>
          <w:sz w:val="24"/>
          <w:szCs w:val="24"/>
        </w:rPr>
        <w:t>处。</w:t>
      </w:r>
    </w:p>
    <w:p w14:paraId="7BF22BC2">
      <w:pPr>
        <w:spacing w:line="362" w:lineRule="auto"/>
        <w:rPr>
          <w:rFonts w:ascii="宋体" w:hAnsi="宋体" w:eastAsia="宋体" w:cs="宋体"/>
          <w:sz w:val="24"/>
          <w:szCs w:val="24"/>
        </w:rPr>
        <w:sectPr>
          <w:headerReference r:id="rId35" w:type="default"/>
          <w:footerReference r:id="rId36" w:type="default"/>
          <w:pgSz w:w="11907" w:h="16840"/>
          <w:pgMar w:top="1132" w:right="1640" w:bottom="1259" w:left="1578" w:header="829" w:footer="1097" w:gutter="0"/>
          <w:cols w:space="720" w:num="1"/>
        </w:sectPr>
      </w:pPr>
    </w:p>
    <w:p w14:paraId="0AFE7F5F">
      <w:pPr>
        <w:pStyle w:val="2"/>
        <w:spacing w:line="241" w:lineRule="auto"/>
      </w:pPr>
    </w:p>
    <w:p w14:paraId="5C40EAA0">
      <w:pPr>
        <w:spacing w:before="78" w:line="219" w:lineRule="auto"/>
        <w:ind w:left="131"/>
        <w:rPr>
          <w:rFonts w:ascii="宋体" w:hAnsi="宋体" w:eastAsia="宋体" w:cs="宋体"/>
          <w:sz w:val="24"/>
          <w:szCs w:val="24"/>
        </w:rPr>
      </w:pPr>
      <w:r>
        <w:rPr>
          <w:rFonts w:ascii="宋体" w:hAnsi="宋体" w:eastAsia="宋体" w:cs="宋体"/>
          <w:spacing w:val="-1"/>
          <w:sz w:val="24"/>
          <w:szCs w:val="24"/>
        </w:rPr>
        <w:t>入河排污口设置在赧水左岸。</w:t>
      </w:r>
    </w:p>
    <w:p w14:paraId="70F1DC49">
      <w:pPr>
        <w:spacing w:before="145" w:line="6471" w:lineRule="exact"/>
        <w:ind w:firstLine="123"/>
      </w:pPr>
      <w:r>
        <w:rPr>
          <w:position w:val="-129"/>
        </w:rPr>
        <w:drawing>
          <wp:inline distT="0" distB="0" distL="0" distR="0">
            <wp:extent cx="5432425" cy="410845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200"/>
                    <a:stretch>
                      <a:fillRect/>
                    </a:stretch>
                  </pic:blipFill>
                  <pic:spPr>
                    <a:xfrm>
                      <a:off x="0" y="0"/>
                      <a:ext cx="5433059" cy="4108703"/>
                    </a:xfrm>
                    <a:prstGeom prst="rect">
                      <a:avLst/>
                    </a:prstGeom>
                  </pic:spPr>
                </pic:pic>
              </a:graphicData>
            </a:graphic>
          </wp:inline>
        </w:drawing>
      </w:r>
    </w:p>
    <w:p w14:paraId="70C4724C">
      <w:pPr>
        <w:spacing w:before="191" w:line="219" w:lineRule="auto"/>
        <w:ind w:left="2078"/>
        <w:rPr>
          <w:rFonts w:ascii="宋体" w:hAnsi="宋体" w:eastAsia="宋体" w:cs="宋体"/>
          <w:sz w:val="24"/>
          <w:szCs w:val="24"/>
        </w:rPr>
      </w:pPr>
      <w:r>
        <w:rPr>
          <w:rFonts w:ascii="宋体" w:hAnsi="宋体" w:eastAsia="宋体" w:cs="宋体"/>
          <w:b/>
          <w:bCs/>
          <w:spacing w:val="-3"/>
          <w:sz w:val="24"/>
          <w:szCs w:val="24"/>
        </w:rPr>
        <w:t>图</w:t>
      </w:r>
      <w:r>
        <w:rPr>
          <w:rFonts w:ascii="Times New Roman" w:hAnsi="Times New Roman" w:eastAsia="Times New Roman" w:cs="Times New Roman"/>
          <w:b/>
          <w:bCs/>
          <w:spacing w:val="-3"/>
          <w:sz w:val="24"/>
          <w:szCs w:val="24"/>
        </w:rPr>
        <w:t>3.3-1</w:t>
      </w:r>
      <w:r>
        <w:rPr>
          <w:rFonts w:ascii="宋体" w:hAnsi="宋体" w:eastAsia="宋体" w:cs="宋体"/>
          <w:b/>
          <w:bCs/>
          <w:spacing w:val="-3"/>
          <w:sz w:val="24"/>
          <w:szCs w:val="24"/>
        </w:rPr>
        <w:t>华茂污水处理厂纳污范围（粉红色线）</w:t>
      </w:r>
    </w:p>
    <w:p w14:paraId="615B185F">
      <w:pPr>
        <w:spacing w:before="183" w:line="219" w:lineRule="auto"/>
        <w:ind w:left="126"/>
        <w:outlineLvl w:val="2"/>
        <w:rPr>
          <w:rFonts w:ascii="宋体" w:hAnsi="宋体" w:eastAsia="宋体" w:cs="宋体"/>
          <w:sz w:val="24"/>
          <w:szCs w:val="24"/>
        </w:rPr>
      </w:pPr>
      <w:r>
        <w:rPr>
          <w:rFonts w:ascii="Times New Roman" w:hAnsi="Times New Roman" w:eastAsia="Times New Roman" w:cs="Times New Roman"/>
          <w:b/>
          <w:bCs/>
          <w:spacing w:val="-2"/>
          <w:sz w:val="24"/>
          <w:szCs w:val="24"/>
        </w:rPr>
        <w:t>3.3.2</w:t>
      </w:r>
      <w:r>
        <w:rPr>
          <w:rFonts w:ascii="宋体" w:hAnsi="宋体" w:eastAsia="宋体" w:cs="宋体"/>
          <w:b/>
          <w:bCs/>
          <w:spacing w:val="-2"/>
          <w:sz w:val="24"/>
          <w:szCs w:val="24"/>
        </w:rPr>
        <w:t>主要建设内容及设备</w:t>
      </w:r>
    </w:p>
    <w:p w14:paraId="53CE831A">
      <w:pPr>
        <w:spacing w:before="176" w:line="228" w:lineRule="auto"/>
        <w:ind w:left="3082"/>
        <w:rPr>
          <w:rFonts w:ascii="宋体" w:hAnsi="宋体" w:eastAsia="宋体" w:cs="宋体"/>
          <w:sz w:val="20"/>
          <w:szCs w:val="20"/>
        </w:rPr>
      </w:pPr>
      <w:r>
        <w:rPr>
          <w:rFonts w:ascii="宋体" w:hAnsi="宋体" w:eastAsia="宋体" w:cs="宋体"/>
          <w:b/>
          <w:bCs/>
          <w:spacing w:val="5"/>
          <w:sz w:val="20"/>
          <w:szCs w:val="20"/>
        </w:rPr>
        <w:t>表</w:t>
      </w:r>
      <w:r>
        <w:rPr>
          <w:rFonts w:ascii="Times New Roman" w:hAnsi="Times New Roman" w:eastAsia="Times New Roman" w:cs="Times New Roman"/>
          <w:b/>
          <w:bCs/>
          <w:spacing w:val="5"/>
          <w:sz w:val="20"/>
          <w:szCs w:val="20"/>
        </w:rPr>
        <w:t>3.3-1</w:t>
      </w:r>
      <w:r>
        <w:rPr>
          <w:rFonts w:ascii="宋体" w:hAnsi="宋体" w:eastAsia="宋体" w:cs="宋体"/>
          <w:b/>
          <w:bCs/>
          <w:spacing w:val="5"/>
          <w:sz w:val="20"/>
          <w:szCs w:val="20"/>
        </w:rPr>
        <w:t>项目构筑物组成一览表</w:t>
      </w:r>
    </w:p>
    <w:p w14:paraId="4BD8A371">
      <w:pPr>
        <w:spacing w:line="131" w:lineRule="exact"/>
      </w:pPr>
    </w:p>
    <w:tbl>
      <w:tblPr>
        <w:tblStyle w:val="5"/>
        <w:tblW w:w="872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6"/>
        <w:gridCol w:w="2615"/>
        <w:gridCol w:w="2699"/>
        <w:gridCol w:w="2714"/>
      </w:tblGrid>
      <w:tr w14:paraId="6E26F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96" w:type="dxa"/>
            <w:tcBorders>
              <w:top w:val="single" w:color="000000" w:sz="10" w:space="0"/>
              <w:left w:val="single" w:color="000000" w:sz="10" w:space="0"/>
            </w:tcBorders>
            <w:vAlign w:val="top"/>
          </w:tcPr>
          <w:p w14:paraId="0FD3CB0E">
            <w:pPr>
              <w:pStyle w:val="6"/>
              <w:spacing w:before="97" w:line="229" w:lineRule="auto"/>
              <w:ind w:left="126"/>
            </w:pPr>
            <w:r>
              <w:rPr>
                <w:b/>
                <w:bCs/>
                <w:spacing w:val="4"/>
              </w:rPr>
              <w:t>序号</w:t>
            </w:r>
          </w:p>
        </w:tc>
        <w:tc>
          <w:tcPr>
            <w:tcW w:w="2615" w:type="dxa"/>
            <w:tcBorders>
              <w:top w:val="single" w:color="000000" w:sz="10" w:space="0"/>
            </w:tcBorders>
            <w:vAlign w:val="top"/>
          </w:tcPr>
          <w:p w14:paraId="74AD938D">
            <w:pPr>
              <w:pStyle w:val="6"/>
              <w:spacing w:before="98" w:line="228" w:lineRule="auto"/>
              <w:ind w:left="889"/>
            </w:pPr>
            <w:r>
              <w:rPr>
                <w:b/>
                <w:bCs/>
                <w:spacing w:val="5"/>
              </w:rPr>
              <w:t>建构筑物</w:t>
            </w:r>
          </w:p>
        </w:tc>
        <w:tc>
          <w:tcPr>
            <w:tcW w:w="2699" w:type="dxa"/>
            <w:tcBorders>
              <w:top w:val="single" w:color="000000" w:sz="10" w:space="0"/>
            </w:tcBorders>
            <w:vAlign w:val="top"/>
          </w:tcPr>
          <w:p w14:paraId="0F22E08A">
            <w:pPr>
              <w:pStyle w:val="6"/>
              <w:spacing w:before="97" w:line="228" w:lineRule="auto"/>
              <w:ind w:left="830"/>
            </w:pPr>
            <w:r>
              <w:rPr>
                <w:b/>
                <w:bCs/>
                <w:spacing w:val="6"/>
              </w:rPr>
              <w:t>功能或设计规模</w:t>
            </w:r>
          </w:p>
        </w:tc>
        <w:tc>
          <w:tcPr>
            <w:tcW w:w="2714" w:type="dxa"/>
            <w:tcBorders>
              <w:top w:val="single" w:color="000000" w:sz="10" w:space="0"/>
              <w:right w:val="single" w:color="000000" w:sz="10" w:space="0"/>
            </w:tcBorders>
            <w:vAlign w:val="top"/>
          </w:tcPr>
          <w:p w14:paraId="019D0DB9">
            <w:pPr>
              <w:pStyle w:val="6"/>
              <w:spacing w:before="97" w:line="228" w:lineRule="auto"/>
              <w:ind w:left="1154"/>
            </w:pPr>
            <w:r>
              <w:rPr>
                <w:b/>
                <w:bCs/>
                <w:spacing w:val="3"/>
              </w:rPr>
              <w:t>数量</w:t>
            </w:r>
          </w:p>
        </w:tc>
      </w:tr>
      <w:tr w14:paraId="44D90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696" w:type="dxa"/>
            <w:tcBorders>
              <w:left w:val="single" w:color="000000" w:sz="10" w:space="0"/>
            </w:tcBorders>
            <w:vAlign w:val="top"/>
          </w:tcPr>
          <w:p w14:paraId="0E6CD361">
            <w:pPr>
              <w:spacing w:before="129" w:line="195" w:lineRule="auto"/>
              <w:ind w:left="291"/>
              <w:rPr>
                <w:rFonts w:ascii="Times New Roman" w:hAnsi="Times New Roman" w:eastAsia="Times New Roman" w:cs="Times New Roman"/>
                <w:sz w:val="20"/>
                <w:szCs w:val="20"/>
              </w:rPr>
            </w:pPr>
            <w:r>
              <w:rPr>
                <w:rFonts w:ascii="Times New Roman" w:hAnsi="Times New Roman" w:eastAsia="Times New Roman" w:cs="Times New Roman"/>
                <w:b/>
                <w:bCs/>
                <w:sz w:val="20"/>
                <w:szCs w:val="20"/>
              </w:rPr>
              <w:t>1</w:t>
            </w:r>
          </w:p>
        </w:tc>
        <w:tc>
          <w:tcPr>
            <w:tcW w:w="2615" w:type="dxa"/>
            <w:vAlign w:val="top"/>
          </w:tcPr>
          <w:p w14:paraId="3F3058A9">
            <w:pPr>
              <w:pStyle w:val="6"/>
              <w:spacing w:before="93" w:line="228" w:lineRule="auto"/>
              <w:ind w:left="887"/>
            </w:pPr>
            <w:r>
              <w:rPr>
                <w:spacing w:val="7"/>
              </w:rPr>
              <w:t>细格栅渠</w:t>
            </w:r>
          </w:p>
        </w:tc>
        <w:tc>
          <w:tcPr>
            <w:tcW w:w="2699" w:type="dxa"/>
            <w:vAlign w:val="top"/>
          </w:tcPr>
          <w:p w14:paraId="27B8A46F">
            <w:pPr>
              <w:spacing w:before="129" w:line="195" w:lineRule="auto"/>
              <w:ind w:left="6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9.0×6.0×1.2.8m</w:t>
            </w:r>
          </w:p>
        </w:tc>
        <w:tc>
          <w:tcPr>
            <w:tcW w:w="2714" w:type="dxa"/>
            <w:tcBorders>
              <w:right w:val="single" w:color="000000" w:sz="10" w:space="0"/>
            </w:tcBorders>
            <w:vAlign w:val="top"/>
          </w:tcPr>
          <w:p w14:paraId="3DE7CD4F">
            <w:pPr>
              <w:pStyle w:val="6"/>
              <w:spacing w:before="93" w:line="230" w:lineRule="auto"/>
              <w:ind w:left="1197"/>
            </w:pPr>
            <w:r>
              <w:rPr>
                <w:rFonts w:ascii="Times New Roman" w:hAnsi="Times New Roman" w:eastAsia="Times New Roman" w:cs="Times New Roman"/>
                <w:spacing w:val="-10"/>
              </w:rPr>
              <w:t>1</w:t>
            </w:r>
            <w:r>
              <w:rPr>
                <w:spacing w:val="-10"/>
              </w:rPr>
              <w:t>座</w:t>
            </w:r>
          </w:p>
        </w:tc>
      </w:tr>
      <w:tr w14:paraId="2AD5B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696" w:type="dxa"/>
            <w:tcBorders>
              <w:left w:val="single" w:color="000000" w:sz="10" w:space="0"/>
            </w:tcBorders>
            <w:vAlign w:val="top"/>
          </w:tcPr>
          <w:p w14:paraId="7CC88916">
            <w:pPr>
              <w:spacing w:before="206" w:line="195" w:lineRule="auto"/>
              <w:ind w:left="283"/>
              <w:rPr>
                <w:rFonts w:ascii="Times New Roman" w:hAnsi="Times New Roman" w:eastAsia="Times New Roman" w:cs="Times New Roman"/>
                <w:sz w:val="20"/>
                <w:szCs w:val="20"/>
              </w:rPr>
            </w:pPr>
            <w:r>
              <w:rPr>
                <w:rFonts w:ascii="Times New Roman" w:hAnsi="Times New Roman" w:eastAsia="Times New Roman" w:cs="Times New Roman"/>
                <w:b/>
                <w:bCs/>
                <w:sz w:val="20"/>
                <w:szCs w:val="20"/>
              </w:rPr>
              <w:t>2</w:t>
            </w:r>
          </w:p>
        </w:tc>
        <w:tc>
          <w:tcPr>
            <w:tcW w:w="2615" w:type="dxa"/>
            <w:vAlign w:val="top"/>
          </w:tcPr>
          <w:p w14:paraId="142381E7">
            <w:pPr>
              <w:pStyle w:val="6"/>
              <w:spacing w:before="168" w:line="228" w:lineRule="auto"/>
              <w:ind w:left="782"/>
            </w:pPr>
            <w:r>
              <w:rPr>
                <w:spacing w:val="7"/>
              </w:rPr>
              <w:t>旋流沉砂池</w:t>
            </w:r>
          </w:p>
        </w:tc>
        <w:tc>
          <w:tcPr>
            <w:tcW w:w="2699" w:type="dxa"/>
            <w:vAlign w:val="top"/>
          </w:tcPr>
          <w:p w14:paraId="78ACDC06">
            <w:pPr>
              <w:pStyle w:val="6"/>
              <w:spacing w:before="33" w:line="232" w:lineRule="auto"/>
              <w:ind w:left="248" w:right="136" w:hanging="101"/>
              <w:rPr>
                <w:rFonts w:ascii="Times New Roman" w:hAnsi="Times New Roman" w:eastAsia="Times New Roman" w:cs="Times New Roman"/>
              </w:rPr>
            </w:pPr>
            <w:r>
              <w:rPr>
                <w:spacing w:val="4"/>
              </w:rPr>
              <w:t>上部直径</w:t>
            </w:r>
            <w:r>
              <w:rPr>
                <w:rFonts w:ascii="Times New Roman" w:hAnsi="Times New Roman" w:eastAsia="Times New Roman" w:cs="Times New Roman"/>
                <w:spacing w:val="4"/>
              </w:rPr>
              <w:t>3.62.8m</w:t>
            </w:r>
            <w:r>
              <w:rPr>
                <w:spacing w:val="4"/>
              </w:rPr>
              <w:t>，下部直</w:t>
            </w:r>
            <w:r>
              <w:rPr>
                <w:spacing w:val="1"/>
              </w:rPr>
              <w:t>径</w:t>
            </w:r>
            <w:r>
              <w:rPr>
                <w:rFonts w:ascii="Times New Roman" w:hAnsi="Times New Roman" w:eastAsia="Times New Roman" w:cs="Times New Roman"/>
                <w:spacing w:val="1"/>
              </w:rPr>
              <w:t>1.2.8m</w:t>
            </w:r>
            <w:r>
              <w:rPr>
                <w:spacing w:val="1"/>
              </w:rPr>
              <w:t>，总高</w:t>
            </w:r>
            <w:r>
              <w:rPr>
                <w:rFonts w:ascii="Times New Roman" w:hAnsi="Times New Roman" w:eastAsia="Times New Roman" w:cs="Times New Roman"/>
                <w:spacing w:val="1"/>
              </w:rPr>
              <w:t>3.72.8m</w:t>
            </w:r>
          </w:p>
        </w:tc>
        <w:tc>
          <w:tcPr>
            <w:tcW w:w="2714" w:type="dxa"/>
            <w:tcBorders>
              <w:right w:val="single" w:color="000000" w:sz="10" w:space="0"/>
            </w:tcBorders>
            <w:vAlign w:val="top"/>
          </w:tcPr>
          <w:p w14:paraId="7E34E79D">
            <w:pPr>
              <w:pStyle w:val="6"/>
              <w:spacing w:before="168" w:line="230" w:lineRule="auto"/>
              <w:ind w:left="1177"/>
            </w:pPr>
            <w:r>
              <w:rPr>
                <w:rFonts w:ascii="Times New Roman" w:hAnsi="Times New Roman" w:eastAsia="Times New Roman" w:cs="Times New Roman"/>
              </w:rPr>
              <w:t>2</w:t>
            </w:r>
            <w:r>
              <w:t>座</w:t>
            </w:r>
          </w:p>
        </w:tc>
      </w:tr>
      <w:tr w14:paraId="61E3E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696" w:type="dxa"/>
            <w:tcBorders>
              <w:left w:val="single" w:color="000000" w:sz="10" w:space="0"/>
            </w:tcBorders>
            <w:vAlign w:val="top"/>
          </w:tcPr>
          <w:p w14:paraId="1F23ECB7">
            <w:pPr>
              <w:spacing w:before="135" w:line="195" w:lineRule="auto"/>
              <w:ind w:left="281"/>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3</w:t>
            </w:r>
          </w:p>
        </w:tc>
        <w:tc>
          <w:tcPr>
            <w:tcW w:w="2615" w:type="dxa"/>
            <w:vAlign w:val="top"/>
          </w:tcPr>
          <w:p w14:paraId="15BA6E74">
            <w:pPr>
              <w:pStyle w:val="6"/>
              <w:spacing w:before="99" w:line="228" w:lineRule="auto"/>
              <w:ind w:left="992"/>
            </w:pPr>
            <w:r>
              <w:rPr>
                <w:spacing w:val="6"/>
              </w:rPr>
              <w:t>配水井</w:t>
            </w:r>
          </w:p>
        </w:tc>
        <w:tc>
          <w:tcPr>
            <w:tcW w:w="2699" w:type="dxa"/>
            <w:vAlign w:val="top"/>
          </w:tcPr>
          <w:p w14:paraId="70B9D7F7">
            <w:pPr>
              <w:pStyle w:val="6"/>
              <w:spacing w:before="99" w:line="228" w:lineRule="auto"/>
              <w:ind w:left="908"/>
              <w:rPr>
                <w:rFonts w:ascii="Times New Roman" w:hAnsi="Times New Roman" w:eastAsia="Times New Roman" w:cs="Times New Roman"/>
              </w:rPr>
            </w:pPr>
            <w:r>
              <w:rPr>
                <w:spacing w:val="4"/>
              </w:rPr>
              <w:t>直径</w:t>
            </w:r>
            <w:r>
              <w:rPr>
                <w:rFonts w:ascii="Times New Roman" w:hAnsi="Times New Roman" w:eastAsia="Times New Roman" w:cs="Times New Roman"/>
                <w:spacing w:val="4"/>
              </w:rPr>
              <w:t>4.0m</w:t>
            </w:r>
          </w:p>
        </w:tc>
        <w:tc>
          <w:tcPr>
            <w:tcW w:w="2714" w:type="dxa"/>
            <w:tcBorders>
              <w:right w:val="single" w:color="000000" w:sz="10" w:space="0"/>
            </w:tcBorders>
            <w:vAlign w:val="top"/>
          </w:tcPr>
          <w:p w14:paraId="311E85E1">
            <w:pPr>
              <w:pStyle w:val="6"/>
              <w:spacing w:before="99" w:line="230" w:lineRule="auto"/>
              <w:ind w:left="1197"/>
            </w:pPr>
            <w:r>
              <w:rPr>
                <w:rFonts w:ascii="Times New Roman" w:hAnsi="Times New Roman" w:eastAsia="Times New Roman" w:cs="Times New Roman"/>
                <w:spacing w:val="-10"/>
              </w:rPr>
              <w:t>1</w:t>
            </w:r>
            <w:r>
              <w:rPr>
                <w:spacing w:val="-10"/>
              </w:rPr>
              <w:t>座</w:t>
            </w:r>
          </w:p>
        </w:tc>
      </w:tr>
      <w:tr w14:paraId="70C0D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696" w:type="dxa"/>
            <w:tcBorders>
              <w:left w:val="single" w:color="000000" w:sz="10" w:space="0"/>
            </w:tcBorders>
            <w:vAlign w:val="top"/>
          </w:tcPr>
          <w:p w14:paraId="64B2FBD6">
            <w:pPr>
              <w:spacing w:before="213" w:line="195" w:lineRule="auto"/>
              <w:ind w:left="283"/>
              <w:rPr>
                <w:rFonts w:ascii="Times New Roman" w:hAnsi="Times New Roman" w:eastAsia="Times New Roman" w:cs="Times New Roman"/>
                <w:sz w:val="20"/>
                <w:szCs w:val="20"/>
              </w:rPr>
            </w:pPr>
            <w:r>
              <w:rPr>
                <w:rFonts w:ascii="Times New Roman" w:hAnsi="Times New Roman" w:eastAsia="Times New Roman" w:cs="Times New Roman"/>
                <w:b/>
                <w:bCs/>
                <w:sz w:val="20"/>
                <w:szCs w:val="20"/>
              </w:rPr>
              <w:t>4</w:t>
            </w:r>
          </w:p>
        </w:tc>
        <w:tc>
          <w:tcPr>
            <w:tcW w:w="2615" w:type="dxa"/>
            <w:vAlign w:val="top"/>
          </w:tcPr>
          <w:p w14:paraId="64251905">
            <w:pPr>
              <w:pStyle w:val="6"/>
              <w:spacing w:before="174" w:line="227" w:lineRule="auto"/>
              <w:ind w:left="992"/>
            </w:pPr>
            <w:r>
              <w:rPr>
                <w:spacing w:val="6"/>
              </w:rPr>
              <w:t>氧化沟</w:t>
            </w:r>
          </w:p>
        </w:tc>
        <w:tc>
          <w:tcPr>
            <w:tcW w:w="2699" w:type="dxa"/>
            <w:vAlign w:val="top"/>
          </w:tcPr>
          <w:p w14:paraId="466D234E">
            <w:pPr>
              <w:pStyle w:val="6"/>
              <w:spacing w:before="40" w:line="227" w:lineRule="auto"/>
              <w:ind w:left="128"/>
            </w:pPr>
            <w:r>
              <w:rPr>
                <w:rFonts w:ascii="Times New Roman" w:hAnsi="Times New Roman" w:eastAsia="Times New Roman" w:cs="Times New Roman"/>
                <w:spacing w:val="4"/>
              </w:rPr>
              <w:t>101.78×37.55×5.0m</w:t>
            </w:r>
            <w:r>
              <w:rPr>
                <w:spacing w:val="4"/>
              </w:rPr>
              <w:t>（缺氧、</w:t>
            </w:r>
          </w:p>
          <w:p w14:paraId="637A9672">
            <w:pPr>
              <w:pStyle w:val="6"/>
              <w:spacing w:before="25" w:line="208" w:lineRule="auto"/>
              <w:ind w:left="1041"/>
            </w:pPr>
            <w:r>
              <w:rPr>
                <w:spacing w:val="2"/>
              </w:rPr>
              <w:t>厌氧）</w:t>
            </w:r>
          </w:p>
        </w:tc>
        <w:tc>
          <w:tcPr>
            <w:tcW w:w="2714" w:type="dxa"/>
            <w:tcBorders>
              <w:right w:val="single" w:color="000000" w:sz="10" w:space="0"/>
            </w:tcBorders>
            <w:vAlign w:val="top"/>
          </w:tcPr>
          <w:p w14:paraId="1D3FA231">
            <w:pPr>
              <w:pStyle w:val="6"/>
              <w:spacing w:before="174" w:line="230" w:lineRule="auto"/>
              <w:ind w:left="1177"/>
            </w:pPr>
            <w:r>
              <w:rPr>
                <w:rFonts w:ascii="Times New Roman" w:hAnsi="Times New Roman" w:eastAsia="Times New Roman" w:cs="Times New Roman"/>
              </w:rPr>
              <w:t>2</w:t>
            </w:r>
            <w:r>
              <w:t>座</w:t>
            </w:r>
          </w:p>
        </w:tc>
      </w:tr>
      <w:tr w14:paraId="51363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696" w:type="dxa"/>
            <w:tcBorders>
              <w:left w:val="single" w:color="000000" w:sz="10" w:space="0"/>
            </w:tcBorders>
            <w:vAlign w:val="top"/>
          </w:tcPr>
          <w:p w14:paraId="37CA64A7">
            <w:pPr>
              <w:spacing w:before="144" w:line="192" w:lineRule="auto"/>
              <w:ind w:left="285"/>
              <w:rPr>
                <w:rFonts w:ascii="Times New Roman" w:hAnsi="Times New Roman" w:eastAsia="Times New Roman" w:cs="Times New Roman"/>
                <w:sz w:val="20"/>
                <w:szCs w:val="20"/>
              </w:rPr>
            </w:pPr>
            <w:r>
              <w:rPr>
                <w:rFonts w:ascii="Times New Roman" w:hAnsi="Times New Roman" w:eastAsia="Times New Roman" w:cs="Times New Roman"/>
                <w:b/>
                <w:bCs/>
                <w:sz w:val="20"/>
                <w:szCs w:val="20"/>
              </w:rPr>
              <w:t>5</w:t>
            </w:r>
          </w:p>
        </w:tc>
        <w:tc>
          <w:tcPr>
            <w:tcW w:w="2615" w:type="dxa"/>
            <w:vAlign w:val="top"/>
          </w:tcPr>
          <w:p w14:paraId="459D37F7">
            <w:pPr>
              <w:pStyle w:val="6"/>
              <w:spacing w:before="105" w:line="228" w:lineRule="auto"/>
              <w:ind w:left="992"/>
            </w:pPr>
            <w:r>
              <w:rPr>
                <w:spacing w:val="6"/>
              </w:rPr>
              <w:t>沉淀池</w:t>
            </w:r>
          </w:p>
        </w:tc>
        <w:tc>
          <w:tcPr>
            <w:tcW w:w="2699" w:type="dxa"/>
            <w:vAlign w:val="top"/>
          </w:tcPr>
          <w:p w14:paraId="612792D7">
            <w:pPr>
              <w:pStyle w:val="6"/>
              <w:spacing w:before="104" w:line="228" w:lineRule="auto"/>
              <w:ind w:left="354"/>
              <w:rPr>
                <w:rFonts w:ascii="Times New Roman" w:hAnsi="Times New Roman" w:eastAsia="Times New Roman" w:cs="Times New Roman"/>
              </w:rPr>
            </w:pPr>
            <w:r>
              <w:rPr>
                <w:spacing w:val="2"/>
              </w:rPr>
              <w:t>直径</w:t>
            </w:r>
            <w:r>
              <w:rPr>
                <w:rFonts w:ascii="Times New Roman" w:hAnsi="Times New Roman" w:eastAsia="Times New Roman" w:cs="Times New Roman"/>
                <w:spacing w:val="2"/>
              </w:rPr>
              <w:t>38m</w:t>
            </w:r>
            <w:r>
              <w:rPr>
                <w:spacing w:val="2"/>
              </w:rPr>
              <w:t>，深</w:t>
            </w:r>
            <w:r>
              <w:rPr>
                <w:rFonts w:ascii="Times New Roman" w:hAnsi="Times New Roman" w:eastAsia="Times New Roman" w:cs="Times New Roman"/>
                <w:spacing w:val="2"/>
              </w:rPr>
              <w:t>5.82.8m</w:t>
            </w:r>
          </w:p>
        </w:tc>
        <w:tc>
          <w:tcPr>
            <w:tcW w:w="2714" w:type="dxa"/>
            <w:tcBorders>
              <w:right w:val="single" w:color="000000" w:sz="10" w:space="0"/>
            </w:tcBorders>
            <w:vAlign w:val="top"/>
          </w:tcPr>
          <w:p w14:paraId="1559213E">
            <w:pPr>
              <w:pStyle w:val="6"/>
              <w:spacing w:before="105" w:line="230" w:lineRule="auto"/>
              <w:ind w:left="1177"/>
            </w:pPr>
            <w:r>
              <w:rPr>
                <w:rFonts w:ascii="Times New Roman" w:hAnsi="Times New Roman" w:eastAsia="Times New Roman" w:cs="Times New Roman"/>
              </w:rPr>
              <w:t>2</w:t>
            </w:r>
            <w:r>
              <w:t>座</w:t>
            </w:r>
          </w:p>
        </w:tc>
      </w:tr>
      <w:tr w14:paraId="085B59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696" w:type="dxa"/>
            <w:tcBorders>
              <w:left w:val="single" w:color="000000" w:sz="10" w:space="0"/>
            </w:tcBorders>
            <w:vAlign w:val="top"/>
          </w:tcPr>
          <w:p w14:paraId="4330FF64">
            <w:pPr>
              <w:spacing w:before="144" w:line="195" w:lineRule="auto"/>
              <w:ind w:left="285"/>
              <w:rPr>
                <w:rFonts w:ascii="Times New Roman" w:hAnsi="Times New Roman" w:eastAsia="Times New Roman" w:cs="Times New Roman"/>
                <w:sz w:val="20"/>
                <w:szCs w:val="20"/>
              </w:rPr>
            </w:pPr>
            <w:r>
              <w:rPr>
                <w:rFonts w:ascii="Times New Roman" w:hAnsi="Times New Roman" w:eastAsia="Times New Roman" w:cs="Times New Roman"/>
                <w:b/>
                <w:bCs/>
                <w:sz w:val="20"/>
                <w:szCs w:val="20"/>
              </w:rPr>
              <w:t>6</w:t>
            </w:r>
          </w:p>
        </w:tc>
        <w:tc>
          <w:tcPr>
            <w:tcW w:w="2615" w:type="dxa"/>
            <w:vAlign w:val="top"/>
          </w:tcPr>
          <w:p w14:paraId="7131783B">
            <w:pPr>
              <w:pStyle w:val="6"/>
              <w:spacing w:before="107" w:line="228" w:lineRule="auto"/>
              <w:ind w:left="992"/>
            </w:pPr>
            <w:r>
              <w:rPr>
                <w:spacing w:val="6"/>
              </w:rPr>
              <w:t>配水井</w:t>
            </w:r>
          </w:p>
        </w:tc>
        <w:tc>
          <w:tcPr>
            <w:tcW w:w="2699" w:type="dxa"/>
            <w:vAlign w:val="top"/>
          </w:tcPr>
          <w:p w14:paraId="1ECF7A0E">
            <w:pPr>
              <w:pStyle w:val="6"/>
              <w:spacing w:before="107" w:line="228" w:lineRule="auto"/>
              <w:ind w:left="908"/>
              <w:rPr>
                <w:rFonts w:ascii="Times New Roman" w:hAnsi="Times New Roman" w:eastAsia="Times New Roman" w:cs="Times New Roman"/>
              </w:rPr>
            </w:pPr>
            <w:r>
              <w:rPr>
                <w:spacing w:val="4"/>
              </w:rPr>
              <w:t>直径</w:t>
            </w:r>
            <w:r>
              <w:rPr>
                <w:rFonts w:ascii="Times New Roman" w:hAnsi="Times New Roman" w:eastAsia="Times New Roman" w:cs="Times New Roman"/>
                <w:spacing w:val="4"/>
              </w:rPr>
              <w:t>4.0m</w:t>
            </w:r>
          </w:p>
        </w:tc>
        <w:tc>
          <w:tcPr>
            <w:tcW w:w="2714" w:type="dxa"/>
            <w:tcBorders>
              <w:right w:val="single" w:color="000000" w:sz="10" w:space="0"/>
            </w:tcBorders>
            <w:vAlign w:val="top"/>
          </w:tcPr>
          <w:p w14:paraId="78D4A93C">
            <w:pPr>
              <w:pStyle w:val="6"/>
              <w:spacing w:before="108" w:line="230" w:lineRule="auto"/>
              <w:ind w:left="1197"/>
            </w:pPr>
            <w:r>
              <w:rPr>
                <w:rFonts w:ascii="Times New Roman" w:hAnsi="Times New Roman" w:eastAsia="Times New Roman" w:cs="Times New Roman"/>
                <w:spacing w:val="-10"/>
              </w:rPr>
              <w:t>1</w:t>
            </w:r>
            <w:r>
              <w:rPr>
                <w:spacing w:val="-10"/>
              </w:rPr>
              <w:t>座</w:t>
            </w:r>
          </w:p>
        </w:tc>
      </w:tr>
      <w:tr w14:paraId="56263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696" w:type="dxa"/>
            <w:tcBorders>
              <w:left w:val="single" w:color="000000" w:sz="10" w:space="0"/>
            </w:tcBorders>
            <w:vAlign w:val="top"/>
          </w:tcPr>
          <w:p w14:paraId="78874C17">
            <w:pPr>
              <w:spacing w:before="147" w:line="192" w:lineRule="auto"/>
              <w:ind w:left="285"/>
              <w:rPr>
                <w:rFonts w:ascii="Times New Roman" w:hAnsi="Times New Roman" w:eastAsia="Times New Roman" w:cs="Times New Roman"/>
                <w:sz w:val="20"/>
                <w:szCs w:val="20"/>
              </w:rPr>
            </w:pPr>
            <w:r>
              <w:rPr>
                <w:rFonts w:ascii="Times New Roman" w:hAnsi="Times New Roman" w:eastAsia="Times New Roman" w:cs="Times New Roman"/>
                <w:b/>
                <w:bCs/>
                <w:sz w:val="20"/>
                <w:szCs w:val="20"/>
              </w:rPr>
              <w:t>7</w:t>
            </w:r>
          </w:p>
        </w:tc>
        <w:tc>
          <w:tcPr>
            <w:tcW w:w="2615" w:type="dxa"/>
            <w:vAlign w:val="top"/>
          </w:tcPr>
          <w:p w14:paraId="2C5971DE">
            <w:pPr>
              <w:pStyle w:val="6"/>
              <w:spacing w:before="108" w:line="228" w:lineRule="auto"/>
              <w:ind w:left="996"/>
            </w:pPr>
            <w:r>
              <w:rPr>
                <w:spacing w:val="5"/>
              </w:rPr>
              <w:t>消毒池</w:t>
            </w:r>
          </w:p>
        </w:tc>
        <w:tc>
          <w:tcPr>
            <w:tcW w:w="2699" w:type="dxa"/>
            <w:vAlign w:val="top"/>
          </w:tcPr>
          <w:p w14:paraId="4ECB1324">
            <w:pPr>
              <w:spacing w:before="144" w:line="195" w:lineRule="auto"/>
              <w:ind w:left="70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7.2×3.0×1.29m</w:t>
            </w:r>
          </w:p>
        </w:tc>
        <w:tc>
          <w:tcPr>
            <w:tcW w:w="2714" w:type="dxa"/>
            <w:tcBorders>
              <w:right w:val="single" w:color="000000" w:sz="10" w:space="0"/>
            </w:tcBorders>
            <w:vAlign w:val="top"/>
          </w:tcPr>
          <w:p w14:paraId="78B45F57">
            <w:pPr>
              <w:pStyle w:val="6"/>
              <w:spacing w:before="108" w:line="230" w:lineRule="auto"/>
              <w:ind w:left="1197"/>
            </w:pPr>
            <w:r>
              <w:rPr>
                <w:rFonts w:ascii="Times New Roman" w:hAnsi="Times New Roman" w:eastAsia="Times New Roman" w:cs="Times New Roman"/>
                <w:spacing w:val="-10"/>
              </w:rPr>
              <w:t>1</w:t>
            </w:r>
            <w:r>
              <w:rPr>
                <w:spacing w:val="-10"/>
              </w:rPr>
              <w:t>座</w:t>
            </w:r>
          </w:p>
        </w:tc>
      </w:tr>
      <w:tr w14:paraId="3343D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696" w:type="dxa"/>
            <w:tcBorders>
              <w:left w:val="single" w:color="000000" w:sz="10" w:space="0"/>
            </w:tcBorders>
            <w:vAlign w:val="top"/>
          </w:tcPr>
          <w:p w14:paraId="545D3B74">
            <w:pPr>
              <w:spacing w:before="148" w:line="194" w:lineRule="auto"/>
              <w:ind w:left="285"/>
              <w:rPr>
                <w:rFonts w:ascii="Times New Roman" w:hAnsi="Times New Roman" w:eastAsia="Times New Roman" w:cs="Times New Roman"/>
                <w:sz w:val="20"/>
                <w:szCs w:val="20"/>
              </w:rPr>
            </w:pPr>
            <w:r>
              <w:rPr>
                <w:rFonts w:ascii="Times New Roman" w:hAnsi="Times New Roman" w:eastAsia="Times New Roman" w:cs="Times New Roman"/>
                <w:b/>
                <w:bCs/>
                <w:sz w:val="20"/>
                <w:szCs w:val="20"/>
              </w:rPr>
              <w:t>8</w:t>
            </w:r>
          </w:p>
        </w:tc>
        <w:tc>
          <w:tcPr>
            <w:tcW w:w="2615" w:type="dxa"/>
            <w:vAlign w:val="top"/>
          </w:tcPr>
          <w:p w14:paraId="383F993A">
            <w:pPr>
              <w:pStyle w:val="6"/>
              <w:spacing w:before="111" w:line="228" w:lineRule="auto"/>
              <w:ind w:left="888"/>
            </w:pPr>
            <w:r>
              <w:rPr>
                <w:spacing w:val="6"/>
              </w:rPr>
              <w:t>污泥泵站</w:t>
            </w:r>
          </w:p>
        </w:tc>
        <w:tc>
          <w:tcPr>
            <w:tcW w:w="2699" w:type="dxa"/>
            <w:vAlign w:val="top"/>
          </w:tcPr>
          <w:p w14:paraId="298F4FAA">
            <w:pPr>
              <w:spacing w:before="147" w:line="195" w:lineRule="auto"/>
              <w:ind w:left="8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15.0×4.2.8m</w:t>
            </w:r>
          </w:p>
        </w:tc>
        <w:tc>
          <w:tcPr>
            <w:tcW w:w="2714" w:type="dxa"/>
            <w:tcBorders>
              <w:right w:val="single" w:color="000000" w:sz="10" w:space="0"/>
            </w:tcBorders>
            <w:vAlign w:val="top"/>
          </w:tcPr>
          <w:p w14:paraId="03DDF9B3">
            <w:pPr>
              <w:spacing w:before="127" w:line="216" w:lineRule="auto"/>
              <w:ind w:left="987"/>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67.2.8m</w:t>
            </w:r>
            <w:r>
              <w:rPr>
                <w:rFonts w:ascii="Times New Roman" w:hAnsi="Times New Roman" w:eastAsia="Times New Roman" w:cs="Times New Roman"/>
                <w:spacing w:val="3"/>
                <w:position w:val="6"/>
                <w:sz w:val="13"/>
                <w:szCs w:val="13"/>
              </w:rPr>
              <w:t>2</w:t>
            </w:r>
          </w:p>
        </w:tc>
      </w:tr>
      <w:tr w14:paraId="5C27E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696" w:type="dxa"/>
            <w:tcBorders>
              <w:left w:val="single" w:color="000000" w:sz="10" w:space="0"/>
            </w:tcBorders>
            <w:vAlign w:val="top"/>
          </w:tcPr>
          <w:p w14:paraId="25142B4E">
            <w:pPr>
              <w:spacing w:before="148" w:line="195" w:lineRule="auto"/>
              <w:ind w:left="284"/>
              <w:rPr>
                <w:rFonts w:ascii="Times New Roman" w:hAnsi="Times New Roman" w:eastAsia="Times New Roman" w:cs="Times New Roman"/>
                <w:sz w:val="20"/>
                <w:szCs w:val="20"/>
              </w:rPr>
            </w:pPr>
            <w:r>
              <w:rPr>
                <w:rFonts w:ascii="Times New Roman" w:hAnsi="Times New Roman" w:eastAsia="Times New Roman" w:cs="Times New Roman"/>
                <w:b/>
                <w:bCs/>
                <w:sz w:val="20"/>
                <w:szCs w:val="20"/>
              </w:rPr>
              <w:t>9</w:t>
            </w:r>
          </w:p>
        </w:tc>
        <w:tc>
          <w:tcPr>
            <w:tcW w:w="2615" w:type="dxa"/>
            <w:vAlign w:val="top"/>
          </w:tcPr>
          <w:p w14:paraId="129B5376">
            <w:pPr>
              <w:pStyle w:val="6"/>
              <w:spacing w:before="112" w:line="230" w:lineRule="auto"/>
              <w:ind w:left="782"/>
            </w:pPr>
            <w:r>
              <w:rPr>
                <w:spacing w:val="7"/>
              </w:rPr>
              <w:t>污泥回流池</w:t>
            </w:r>
          </w:p>
        </w:tc>
        <w:tc>
          <w:tcPr>
            <w:tcW w:w="2699" w:type="dxa"/>
            <w:vAlign w:val="top"/>
          </w:tcPr>
          <w:p w14:paraId="7BBC7C03">
            <w:pPr>
              <w:spacing w:before="148" w:line="195" w:lineRule="auto"/>
              <w:ind w:left="7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15.0×4.5×5.0m</w:t>
            </w:r>
          </w:p>
        </w:tc>
        <w:tc>
          <w:tcPr>
            <w:tcW w:w="2714" w:type="dxa"/>
            <w:tcBorders>
              <w:right w:val="single" w:color="000000" w:sz="10" w:space="0"/>
            </w:tcBorders>
            <w:vAlign w:val="top"/>
          </w:tcPr>
          <w:p w14:paraId="35781764">
            <w:pPr>
              <w:pStyle w:val="6"/>
              <w:spacing w:before="112" w:line="230" w:lineRule="auto"/>
              <w:ind w:left="1197"/>
            </w:pPr>
            <w:r>
              <w:rPr>
                <w:rFonts w:ascii="Times New Roman" w:hAnsi="Times New Roman" w:eastAsia="Times New Roman" w:cs="Times New Roman"/>
                <w:spacing w:val="-10"/>
              </w:rPr>
              <w:t>1</w:t>
            </w:r>
            <w:r>
              <w:rPr>
                <w:spacing w:val="-10"/>
              </w:rPr>
              <w:t>座</w:t>
            </w:r>
          </w:p>
        </w:tc>
      </w:tr>
      <w:tr w14:paraId="1B6FB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696" w:type="dxa"/>
            <w:tcBorders>
              <w:left w:val="single" w:color="000000" w:sz="10" w:space="0"/>
            </w:tcBorders>
            <w:vAlign w:val="top"/>
          </w:tcPr>
          <w:p w14:paraId="687377E3">
            <w:pPr>
              <w:spacing w:before="151" w:line="195" w:lineRule="auto"/>
              <w:ind w:left="238"/>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10</w:t>
            </w:r>
          </w:p>
        </w:tc>
        <w:tc>
          <w:tcPr>
            <w:tcW w:w="2615" w:type="dxa"/>
            <w:vAlign w:val="top"/>
          </w:tcPr>
          <w:p w14:paraId="13560E1C">
            <w:pPr>
              <w:pStyle w:val="6"/>
              <w:spacing w:before="115" w:line="228" w:lineRule="auto"/>
              <w:ind w:left="780"/>
            </w:pPr>
            <w:r>
              <w:rPr>
                <w:spacing w:val="8"/>
              </w:rPr>
              <w:t>剩余污泥池</w:t>
            </w:r>
          </w:p>
        </w:tc>
        <w:tc>
          <w:tcPr>
            <w:tcW w:w="2699" w:type="dxa"/>
            <w:vAlign w:val="top"/>
          </w:tcPr>
          <w:p w14:paraId="2E335194">
            <w:pPr>
              <w:spacing w:before="151" w:line="195" w:lineRule="auto"/>
              <w:ind w:left="7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15.0×3.0×5.0m</w:t>
            </w:r>
          </w:p>
        </w:tc>
        <w:tc>
          <w:tcPr>
            <w:tcW w:w="2714" w:type="dxa"/>
            <w:tcBorders>
              <w:right w:val="single" w:color="000000" w:sz="10" w:space="0"/>
            </w:tcBorders>
            <w:vAlign w:val="top"/>
          </w:tcPr>
          <w:p w14:paraId="4A5440B5">
            <w:pPr>
              <w:pStyle w:val="6"/>
              <w:spacing w:before="115" w:line="230" w:lineRule="auto"/>
              <w:ind w:left="1197"/>
            </w:pPr>
            <w:r>
              <w:rPr>
                <w:rFonts w:ascii="Times New Roman" w:hAnsi="Times New Roman" w:eastAsia="Times New Roman" w:cs="Times New Roman"/>
                <w:spacing w:val="-10"/>
              </w:rPr>
              <w:t>1</w:t>
            </w:r>
            <w:r>
              <w:rPr>
                <w:spacing w:val="-10"/>
              </w:rPr>
              <w:t>座</w:t>
            </w:r>
          </w:p>
        </w:tc>
      </w:tr>
      <w:tr w14:paraId="1217E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696" w:type="dxa"/>
            <w:tcBorders>
              <w:left w:val="single" w:color="000000" w:sz="10" w:space="0"/>
              <w:bottom w:val="single" w:color="000000" w:sz="10" w:space="0"/>
            </w:tcBorders>
            <w:vAlign w:val="top"/>
          </w:tcPr>
          <w:p w14:paraId="33FE3E59">
            <w:pPr>
              <w:spacing w:before="154" w:line="195" w:lineRule="auto"/>
              <w:ind w:left="246"/>
              <w:rPr>
                <w:rFonts w:ascii="Times New Roman" w:hAnsi="Times New Roman" w:eastAsia="Times New Roman" w:cs="Times New Roman"/>
                <w:sz w:val="20"/>
                <w:szCs w:val="20"/>
              </w:rPr>
            </w:pPr>
            <w:r>
              <w:rPr>
                <w:rFonts w:ascii="Times New Roman" w:hAnsi="Times New Roman" w:eastAsia="Times New Roman" w:cs="Times New Roman"/>
                <w:b/>
                <w:bCs/>
                <w:spacing w:val="-5"/>
                <w:sz w:val="20"/>
                <w:szCs w:val="20"/>
              </w:rPr>
              <w:t>11</w:t>
            </w:r>
          </w:p>
        </w:tc>
        <w:tc>
          <w:tcPr>
            <w:tcW w:w="2615" w:type="dxa"/>
            <w:tcBorders>
              <w:bottom w:val="single" w:color="000000" w:sz="10" w:space="0"/>
            </w:tcBorders>
            <w:vAlign w:val="top"/>
          </w:tcPr>
          <w:p w14:paraId="6931323E">
            <w:pPr>
              <w:pStyle w:val="6"/>
              <w:spacing w:before="118" w:line="228" w:lineRule="auto"/>
              <w:ind w:left="782"/>
            </w:pPr>
            <w:r>
              <w:rPr>
                <w:spacing w:val="7"/>
              </w:rPr>
              <w:t>污泥脱水间</w:t>
            </w:r>
          </w:p>
        </w:tc>
        <w:tc>
          <w:tcPr>
            <w:tcW w:w="2699" w:type="dxa"/>
            <w:tcBorders>
              <w:bottom w:val="single" w:color="000000" w:sz="10" w:space="0"/>
            </w:tcBorders>
            <w:vAlign w:val="top"/>
          </w:tcPr>
          <w:p w14:paraId="38A483D5">
            <w:pPr>
              <w:spacing w:before="154" w:line="195" w:lineRule="auto"/>
              <w:ind w:left="9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30.0×12m</w:t>
            </w:r>
          </w:p>
        </w:tc>
        <w:tc>
          <w:tcPr>
            <w:tcW w:w="2714" w:type="dxa"/>
            <w:tcBorders>
              <w:bottom w:val="single" w:color="000000" w:sz="10" w:space="0"/>
              <w:right w:val="single" w:color="000000" w:sz="10" w:space="0"/>
            </w:tcBorders>
            <w:vAlign w:val="top"/>
          </w:tcPr>
          <w:p w14:paraId="2DF34EB2">
            <w:pPr>
              <w:spacing w:before="134" w:line="216" w:lineRule="auto"/>
              <w:ind w:left="1087"/>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432m</w:t>
            </w:r>
            <w:r>
              <w:rPr>
                <w:rFonts w:ascii="Times New Roman" w:hAnsi="Times New Roman" w:eastAsia="Times New Roman" w:cs="Times New Roman"/>
                <w:spacing w:val="4"/>
                <w:position w:val="6"/>
                <w:sz w:val="13"/>
                <w:szCs w:val="13"/>
              </w:rPr>
              <w:t>2</w:t>
            </w:r>
          </w:p>
        </w:tc>
      </w:tr>
    </w:tbl>
    <w:p w14:paraId="4E6568D6">
      <w:pPr>
        <w:pStyle w:val="2"/>
      </w:pPr>
    </w:p>
    <w:p w14:paraId="1DA9A958">
      <w:pPr>
        <w:sectPr>
          <w:headerReference r:id="rId37" w:type="default"/>
          <w:footerReference r:id="rId38" w:type="default"/>
          <w:pgSz w:w="11907" w:h="16840"/>
          <w:pgMar w:top="1132" w:right="1578" w:bottom="1259" w:left="1578" w:header="829" w:footer="1097" w:gutter="0"/>
          <w:cols w:space="720" w:num="1"/>
        </w:sectPr>
      </w:pPr>
    </w:p>
    <w:p w14:paraId="2933FFCD">
      <w:pPr>
        <w:spacing w:before="42"/>
      </w:pPr>
    </w:p>
    <w:tbl>
      <w:tblPr>
        <w:tblStyle w:val="5"/>
        <w:tblW w:w="8724" w:type="dxa"/>
        <w:tblInd w:w="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6"/>
        <w:gridCol w:w="2615"/>
        <w:gridCol w:w="2699"/>
        <w:gridCol w:w="2714"/>
      </w:tblGrid>
      <w:tr w14:paraId="53F48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696" w:type="dxa"/>
            <w:tcBorders>
              <w:top w:val="single" w:color="000000" w:sz="10" w:space="0"/>
              <w:left w:val="single" w:color="000000" w:sz="10" w:space="0"/>
            </w:tcBorders>
            <w:vAlign w:val="top"/>
          </w:tcPr>
          <w:p w14:paraId="271F6E04">
            <w:pPr>
              <w:pStyle w:val="6"/>
              <w:spacing w:before="97" w:line="229" w:lineRule="auto"/>
              <w:ind w:left="126"/>
            </w:pPr>
            <w:r>
              <w:rPr>
                <w:b/>
                <w:bCs/>
                <w:spacing w:val="4"/>
              </w:rPr>
              <w:t>序号</w:t>
            </w:r>
          </w:p>
        </w:tc>
        <w:tc>
          <w:tcPr>
            <w:tcW w:w="2615" w:type="dxa"/>
            <w:tcBorders>
              <w:top w:val="single" w:color="000000" w:sz="10" w:space="0"/>
            </w:tcBorders>
            <w:vAlign w:val="top"/>
          </w:tcPr>
          <w:p w14:paraId="72BC1A8E">
            <w:pPr>
              <w:pStyle w:val="6"/>
              <w:spacing w:before="98" w:line="228" w:lineRule="auto"/>
              <w:ind w:left="889"/>
            </w:pPr>
            <w:r>
              <w:rPr>
                <w:b/>
                <w:bCs/>
                <w:spacing w:val="5"/>
              </w:rPr>
              <w:t>建构筑物</w:t>
            </w:r>
          </w:p>
        </w:tc>
        <w:tc>
          <w:tcPr>
            <w:tcW w:w="2699" w:type="dxa"/>
            <w:tcBorders>
              <w:top w:val="single" w:color="000000" w:sz="10" w:space="0"/>
            </w:tcBorders>
            <w:vAlign w:val="top"/>
          </w:tcPr>
          <w:p w14:paraId="5937CAD3">
            <w:pPr>
              <w:pStyle w:val="6"/>
              <w:spacing w:before="97" w:line="228" w:lineRule="auto"/>
              <w:ind w:left="830"/>
            </w:pPr>
            <w:r>
              <w:rPr>
                <w:b/>
                <w:bCs/>
                <w:spacing w:val="6"/>
              </w:rPr>
              <w:t>功能或设计规模</w:t>
            </w:r>
          </w:p>
        </w:tc>
        <w:tc>
          <w:tcPr>
            <w:tcW w:w="2714" w:type="dxa"/>
            <w:tcBorders>
              <w:top w:val="single" w:color="000000" w:sz="10" w:space="0"/>
              <w:right w:val="single" w:color="000000" w:sz="10" w:space="0"/>
            </w:tcBorders>
            <w:vAlign w:val="top"/>
          </w:tcPr>
          <w:p w14:paraId="6EAE886F">
            <w:pPr>
              <w:pStyle w:val="6"/>
              <w:spacing w:before="97" w:line="228" w:lineRule="auto"/>
              <w:ind w:left="1154"/>
            </w:pPr>
            <w:r>
              <w:rPr>
                <w:b/>
                <w:bCs/>
                <w:spacing w:val="3"/>
              </w:rPr>
              <w:t>数量</w:t>
            </w:r>
          </w:p>
        </w:tc>
      </w:tr>
      <w:tr w14:paraId="5B276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96" w:type="dxa"/>
            <w:tcBorders>
              <w:left w:val="single" w:color="000000" w:sz="10" w:space="0"/>
            </w:tcBorders>
            <w:vAlign w:val="top"/>
          </w:tcPr>
          <w:p w14:paraId="0DD662F7">
            <w:pPr>
              <w:spacing w:before="135" w:line="195" w:lineRule="auto"/>
              <w:ind w:left="238"/>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12</w:t>
            </w:r>
          </w:p>
        </w:tc>
        <w:tc>
          <w:tcPr>
            <w:tcW w:w="2615" w:type="dxa"/>
            <w:vAlign w:val="top"/>
          </w:tcPr>
          <w:p w14:paraId="4E1496AA">
            <w:pPr>
              <w:pStyle w:val="6"/>
              <w:spacing w:before="100" w:line="228" w:lineRule="auto"/>
              <w:ind w:left="800"/>
            </w:pPr>
            <w:r>
              <w:rPr>
                <w:spacing w:val="4"/>
              </w:rPr>
              <w:t>中央控制室</w:t>
            </w:r>
          </w:p>
        </w:tc>
        <w:tc>
          <w:tcPr>
            <w:tcW w:w="2699" w:type="dxa"/>
            <w:vAlign w:val="top"/>
          </w:tcPr>
          <w:p w14:paraId="7923A218">
            <w:pPr>
              <w:spacing w:before="135" w:line="195" w:lineRule="auto"/>
              <w:ind w:left="1318"/>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w:t>
            </w:r>
          </w:p>
        </w:tc>
        <w:tc>
          <w:tcPr>
            <w:tcW w:w="2714" w:type="dxa"/>
            <w:tcBorders>
              <w:right w:val="single" w:color="000000" w:sz="10" w:space="0"/>
            </w:tcBorders>
            <w:vAlign w:val="top"/>
          </w:tcPr>
          <w:p w14:paraId="1273C64B">
            <w:pPr>
              <w:spacing w:before="115" w:line="216" w:lineRule="auto"/>
              <w:ind w:left="1094"/>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540m</w:t>
            </w:r>
            <w:r>
              <w:rPr>
                <w:rFonts w:ascii="Times New Roman" w:hAnsi="Times New Roman" w:eastAsia="Times New Roman" w:cs="Times New Roman"/>
                <w:spacing w:val="3"/>
                <w:position w:val="6"/>
                <w:sz w:val="13"/>
                <w:szCs w:val="13"/>
              </w:rPr>
              <w:t>2</w:t>
            </w:r>
          </w:p>
        </w:tc>
      </w:tr>
      <w:tr w14:paraId="43E8E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696" w:type="dxa"/>
            <w:tcBorders>
              <w:left w:val="single" w:color="000000" w:sz="10" w:space="0"/>
            </w:tcBorders>
            <w:vAlign w:val="top"/>
          </w:tcPr>
          <w:p w14:paraId="1DF351B5">
            <w:pPr>
              <w:spacing w:before="79" w:line="191" w:lineRule="auto"/>
              <w:ind w:left="238"/>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13</w:t>
            </w:r>
          </w:p>
        </w:tc>
        <w:tc>
          <w:tcPr>
            <w:tcW w:w="2615" w:type="dxa"/>
            <w:vAlign w:val="top"/>
          </w:tcPr>
          <w:p w14:paraId="17774917">
            <w:pPr>
              <w:pStyle w:val="6"/>
              <w:spacing w:before="43" w:line="203" w:lineRule="auto"/>
              <w:ind w:left="994"/>
            </w:pPr>
            <w:r>
              <w:rPr>
                <w:spacing w:val="6"/>
              </w:rPr>
              <w:t>综合楼</w:t>
            </w:r>
          </w:p>
        </w:tc>
        <w:tc>
          <w:tcPr>
            <w:tcW w:w="2699" w:type="dxa"/>
            <w:vAlign w:val="top"/>
          </w:tcPr>
          <w:p w14:paraId="370ACF98">
            <w:pPr>
              <w:pStyle w:val="6"/>
              <w:spacing w:before="43" w:line="203" w:lineRule="auto"/>
              <w:ind w:left="1166"/>
            </w:pPr>
            <w:r>
              <w:rPr>
                <w:spacing w:val="-5"/>
              </w:rPr>
              <w:t>四层</w:t>
            </w:r>
          </w:p>
        </w:tc>
        <w:tc>
          <w:tcPr>
            <w:tcW w:w="2714" w:type="dxa"/>
            <w:tcBorders>
              <w:right w:val="single" w:color="000000" w:sz="10" w:space="0"/>
            </w:tcBorders>
            <w:vAlign w:val="top"/>
          </w:tcPr>
          <w:p w14:paraId="7A87F5F8">
            <w:pPr>
              <w:spacing w:before="59" w:line="212" w:lineRule="auto"/>
              <w:ind w:left="1056"/>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1512m</w:t>
            </w:r>
            <w:r>
              <w:rPr>
                <w:rFonts w:ascii="Times New Roman" w:hAnsi="Times New Roman" w:eastAsia="Times New Roman" w:cs="Times New Roman"/>
                <w:spacing w:val="1"/>
                <w:position w:val="6"/>
                <w:sz w:val="13"/>
                <w:szCs w:val="13"/>
              </w:rPr>
              <w:t>2</w:t>
            </w:r>
          </w:p>
        </w:tc>
      </w:tr>
      <w:tr w14:paraId="3275A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696" w:type="dxa"/>
            <w:tcBorders>
              <w:left w:val="single" w:color="000000" w:sz="10" w:space="0"/>
            </w:tcBorders>
            <w:vAlign w:val="top"/>
          </w:tcPr>
          <w:p w14:paraId="2394FD01">
            <w:pPr>
              <w:spacing w:before="144" w:line="195" w:lineRule="auto"/>
              <w:ind w:left="238"/>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14</w:t>
            </w:r>
          </w:p>
        </w:tc>
        <w:tc>
          <w:tcPr>
            <w:tcW w:w="2615" w:type="dxa"/>
            <w:vAlign w:val="top"/>
          </w:tcPr>
          <w:p w14:paraId="036FC47A">
            <w:pPr>
              <w:pStyle w:val="6"/>
              <w:spacing w:before="108" w:line="227" w:lineRule="auto"/>
              <w:ind w:left="990"/>
            </w:pPr>
            <w:r>
              <w:rPr>
                <w:spacing w:val="7"/>
              </w:rPr>
              <w:t>传达室</w:t>
            </w:r>
          </w:p>
        </w:tc>
        <w:tc>
          <w:tcPr>
            <w:tcW w:w="2699" w:type="dxa"/>
            <w:vAlign w:val="top"/>
          </w:tcPr>
          <w:p w14:paraId="5C7C2363">
            <w:pPr>
              <w:spacing w:before="140" w:line="199" w:lineRule="auto"/>
              <w:ind w:left="1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714" w:type="dxa"/>
            <w:tcBorders>
              <w:right w:val="single" w:color="000000" w:sz="10" w:space="0"/>
            </w:tcBorders>
            <w:vAlign w:val="top"/>
          </w:tcPr>
          <w:p w14:paraId="6B5D3F4A">
            <w:pPr>
              <w:spacing w:before="124" w:line="216" w:lineRule="auto"/>
              <w:ind w:left="1141"/>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20m</w:t>
            </w:r>
            <w:r>
              <w:rPr>
                <w:rFonts w:ascii="Times New Roman" w:hAnsi="Times New Roman" w:eastAsia="Times New Roman" w:cs="Times New Roman"/>
                <w:spacing w:val="3"/>
                <w:position w:val="5"/>
                <w:sz w:val="13"/>
                <w:szCs w:val="13"/>
              </w:rPr>
              <w:t>2</w:t>
            </w:r>
          </w:p>
        </w:tc>
      </w:tr>
      <w:tr w14:paraId="3D8FB0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696" w:type="dxa"/>
            <w:tcBorders>
              <w:left w:val="single" w:color="000000" w:sz="10" w:space="0"/>
              <w:bottom w:val="single" w:color="000000" w:sz="10" w:space="0"/>
            </w:tcBorders>
            <w:vAlign w:val="top"/>
          </w:tcPr>
          <w:p w14:paraId="74E9C03B">
            <w:pPr>
              <w:spacing w:before="148" w:line="195" w:lineRule="auto"/>
              <w:ind w:left="238"/>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15</w:t>
            </w:r>
          </w:p>
        </w:tc>
        <w:tc>
          <w:tcPr>
            <w:tcW w:w="2615" w:type="dxa"/>
            <w:tcBorders>
              <w:bottom w:val="single" w:color="000000" w:sz="10" w:space="0"/>
            </w:tcBorders>
            <w:vAlign w:val="top"/>
          </w:tcPr>
          <w:p w14:paraId="5DE3B251">
            <w:pPr>
              <w:pStyle w:val="6"/>
              <w:spacing w:before="112" w:line="228" w:lineRule="auto"/>
              <w:ind w:left="888"/>
            </w:pPr>
            <w:r>
              <w:rPr>
                <w:spacing w:val="6"/>
              </w:rPr>
              <w:t>辅助用房</w:t>
            </w:r>
          </w:p>
        </w:tc>
        <w:tc>
          <w:tcPr>
            <w:tcW w:w="2699" w:type="dxa"/>
            <w:tcBorders>
              <w:bottom w:val="single" w:color="000000" w:sz="10" w:space="0"/>
            </w:tcBorders>
            <w:vAlign w:val="top"/>
          </w:tcPr>
          <w:p w14:paraId="15C5008E">
            <w:pPr>
              <w:spacing w:before="144" w:line="199" w:lineRule="auto"/>
              <w:ind w:left="13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714" w:type="dxa"/>
            <w:tcBorders>
              <w:bottom w:val="single" w:color="000000" w:sz="10" w:space="0"/>
              <w:right w:val="single" w:color="000000" w:sz="10" w:space="0"/>
            </w:tcBorders>
            <w:vAlign w:val="top"/>
          </w:tcPr>
          <w:p w14:paraId="60BE4F0C">
            <w:pPr>
              <w:spacing w:before="130" w:line="213" w:lineRule="auto"/>
              <w:ind w:left="1092"/>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324m</w:t>
            </w:r>
            <w:r>
              <w:rPr>
                <w:rFonts w:ascii="Times New Roman" w:hAnsi="Times New Roman" w:eastAsia="Times New Roman" w:cs="Times New Roman"/>
                <w:spacing w:val="3"/>
                <w:position w:val="5"/>
                <w:sz w:val="13"/>
                <w:szCs w:val="13"/>
              </w:rPr>
              <w:t>2</w:t>
            </w:r>
          </w:p>
        </w:tc>
      </w:tr>
    </w:tbl>
    <w:p w14:paraId="6776BA30">
      <w:pPr>
        <w:spacing w:before="36" w:line="219" w:lineRule="auto"/>
        <w:ind w:left="205"/>
        <w:outlineLvl w:val="2"/>
        <w:rPr>
          <w:rFonts w:ascii="宋体" w:hAnsi="宋体" w:eastAsia="宋体" w:cs="宋体"/>
          <w:sz w:val="24"/>
          <w:szCs w:val="24"/>
        </w:rPr>
      </w:pPr>
      <w:r>
        <w:rPr>
          <w:rFonts w:ascii="Times New Roman" w:hAnsi="Times New Roman" w:eastAsia="Times New Roman" w:cs="Times New Roman"/>
          <w:b/>
          <w:bCs/>
          <w:spacing w:val="-2"/>
          <w:sz w:val="24"/>
          <w:szCs w:val="24"/>
        </w:rPr>
        <w:t>3.3.3</w:t>
      </w:r>
      <w:r>
        <w:rPr>
          <w:rFonts w:ascii="宋体" w:hAnsi="宋体" w:eastAsia="宋体" w:cs="宋体"/>
          <w:b/>
          <w:bCs/>
          <w:spacing w:val="-2"/>
          <w:sz w:val="24"/>
          <w:szCs w:val="24"/>
        </w:rPr>
        <w:t>进出水水质</w:t>
      </w:r>
    </w:p>
    <w:p w14:paraId="126606E0">
      <w:pPr>
        <w:spacing w:before="183" w:line="359" w:lineRule="auto"/>
        <w:ind w:left="222" w:right="95" w:firstLine="483"/>
        <w:rPr>
          <w:rFonts w:ascii="宋体" w:hAnsi="宋体" w:eastAsia="宋体" w:cs="宋体"/>
          <w:sz w:val="24"/>
          <w:szCs w:val="24"/>
        </w:rPr>
      </w:pPr>
      <w:r>
        <w:rPr>
          <w:rFonts w:ascii="宋体" w:hAnsi="宋体" w:eastAsia="宋体" w:cs="宋体"/>
          <w:spacing w:val="-2"/>
          <w:sz w:val="24"/>
          <w:szCs w:val="24"/>
        </w:rPr>
        <w:t>隆回县华茂污水处理厂出水水质标准执行《城镇污水处理厂污染物排放标准》（</w:t>
      </w:r>
      <w:r>
        <w:rPr>
          <w:rFonts w:ascii="Times New Roman" w:hAnsi="Times New Roman" w:eastAsia="Times New Roman" w:cs="Times New Roman"/>
          <w:spacing w:val="-2"/>
          <w:sz w:val="24"/>
          <w:szCs w:val="24"/>
        </w:rPr>
        <w:t>GB18918-2002</w:t>
      </w:r>
      <w:r>
        <w:rPr>
          <w:rFonts w:ascii="宋体" w:hAnsi="宋体" w:eastAsia="宋体" w:cs="宋体"/>
          <w:spacing w:val="-2"/>
          <w:sz w:val="24"/>
          <w:szCs w:val="24"/>
        </w:rPr>
        <w:t>）中一级</w:t>
      </w:r>
      <w:r>
        <w:rPr>
          <w:rFonts w:ascii="Times New Roman" w:hAnsi="Times New Roman" w:eastAsia="Times New Roman" w:cs="Times New Roman"/>
          <w:spacing w:val="-2"/>
          <w:sz w:val="24"/>
          <w:szCs w:val="24"/>
        </w:rPr>
        <w:t>B</w:t>
      </w:r>
      <w:r>
        <w:rPr>
          <w:rFonts w:ascii="宋体" w:hAnsi="宋体" w:eastAsia="宋体" w:cs="宋体"/>
          <w:spacing w:val="-2"/>
          <w:sz w:val="24"/>
          <w:szCs w:val="24"/>
        </w:rPr>
        <w:t>标准。</w:t>
      </w:r>
    </w:p>
    <w:p w14:paraId="00E491CC">
      <w:pPr>
        <w:spacing w:line="210" w:lineRule="auto"/>
        <w:ind w:left="2132"/>
        <w:rPr>
          <w:rFonts w:ascii="宋体" w:hAnsi="宋体" w:eastAsia="宋体" w:cs="宋体"/>
          <w:sz w:val="24"/>
          <w:szCs w:val="24"/>
        </w:rPr>
      </w:pPr>
      <w:r>
        <w:rPr>
          <w:rFonts w:ascii="宋体" w:hAnsi="宋体" w:eastAsia="宋体" w:cs="宋体"/>
          <w:b/>
          <w:bCs/>
          <w:spacing w:val="-1"/>
          <w:sz w:val="24"/>
          <w:szCs w:val="24"/>
        </w:rPr>
        <w:t>表</w:t>
      </w:r>
      <w:r>
        <w:rPr>
          <w:rFonts w:ascii="Times New Roman" w:hAnsi="Times New Roman" w:eastAsia="Times New Roman" w:cs="Times New Roman"/>
          <w:b/>
          <w:bCs/>
          <w:spacing w:val="-1"/>
          <w:sz w:val="24"/>
          <w:szCs w:val="24"/>
        </w:rPr>
        <w:t>3.3-2</w:t>
      </w:r>
      <w:r>
        <w:rPr>
          <w:rFonts w:ascii="宋体" w:hAnsi="宋体" w:eastAsia="宋体" w:cs="宋体"/>
          <w:b/>
          <w:bCs/>
          <w:spacing w:val="-1"/>
          <w:sz w:val="24"/>
          <w:szCs w:val="24"/>
        </w:rPr>
        <w:t>设计进、出水水质（单</w:t>
      </w:r>
      <w:r>
        <w:rPr>
          <w:rFonts w:ascii="宋体" w:hAnsi="宋体" w:eastAsia="宋体" w:cs="宋体"/>
          <w:b/>
          <w:bCs/>
          <w:spacing w:val="-2"/>
          <w:sz w:val="24"/>
          <w:szCs w:val="24"/>
        </w:rPr>
        <w:t>位：</w:t>
      </w:r>
      <w:r>
        <w:rPr>
          <w:rFonts w:ascii="Times New Roman" w:hAnsi="Times New Roman" w:eastAsia="Times New Roman" w:cs="Times New Roman"/>
          <w:b/>
          <w:bCs/>
          <w:spacing w:val="-2"/>
          <w:sz w:val="24"/>
          <w:szCs w:val="24"/>
        </w:rPr>
        <w:t>mg/L</w:t>
      </w:r>
      <w:r>
        <w:rPr>
          <w:rFonts w:ascii="宋体" w:hAnsi="宋体" w:eastAsia="宋体" w:cs="宋体"/>
          <w:b/>
          <w:bCs/>
          <w:spacing w:val="-2"/>
          <w:sz w:val="24"/>
          <w:szCs w:val="24"/>
        </w:rPr>
        <w:t>）</w:t>
      </w:r>
    </w:p>
    <w:p w14:paraId="718CE8E8">
      <w:pPr>
        <w:spacing w:line="25" w:lineRule="auto"/>
        <w:rPr>
          <w:rFonts w:ascii="Arial"/>
          <w:sz w:val="2"/>
        </w:rPr>
      </w:pPr>
    </w:p>
    <w:tbl>
      <w:tblPr>
        <w:tblStyle w:val="5"/>
        <w:tblW w:w="8881"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1"/>
        <w:gridCol w:w="1266"/>
        <w:gridCol w:w="1267"/>
        <w:gridCol w:w="1266"/>
        <w:gridCol w:w="1266"/>
        <w:gridCol w:w="1268"/>
        <w:gridCol w:w="1267"/>
      </w:tblGrid>
      <w:tr w14:paraId="337C5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281" w:type="dxa"/>
            <w:tcBorders>
              <w:top w:val="single" w:color="000000" w:sz="10" w:space="0"/>
              <w:left w:val="single" w:color="000000" w:sz="10" w:space="0"/>
            </w:tcBorders>
            <w:vAlign w:val="top"/>
          </w:tcPr>
          <w:p w14:paraId="40AB5C26">
            <w:pPr>
              <w:pStyle w:val="6"/>
              <w:spacing w:before="35" w:line="215" w:lineRule="auto"/>
              <w:ind w:left="214"/>
            </w:pPr>
            <w:r>
              <w:rPr>
                <w:b/>
                <w:bCs/>
                <w:spacing w:val="5"/>
              </w:rPr>
              <w:t>水质指标</w:t>
            </w:r>
          </w:p>
        </w:tc>
        <w:tc>
          <w:tcPr>
            <w:tcW w:w="1266" w:type="dxa"/>
            <w:tcBorders>
              <w:top w:val="single" w:color="000000" w:sz="10" w:space="0"/>
            </w:tcBorders>
            <w:vAlign w:val="top"/>
          </w:tcPr>
          <w:p w14:paraId="0E00DD1B">
            <w:pPr>
              <w:spacing w:before="71" w:line="195" w:lineRule="auto"/>
              <w:ind w:left="395"/>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COD</w:t>
            </w:r>
          </w:p>
        </w:tc>
        <w:tc>
          <w:tcPr>
            <w:tcW w:w="1267" w:type="dxa"/>
            <w:tcBorders>
              <w:top w:val="single" w:color="000000" w:sz="10" w:space="0"/>
            </w:tcBorders>
            <w:vAlign w:val="top"/>
          </w:tcPr>
          <w:p w14:paraId="75DC10CB">
            <w:pPr>
              <w:spacing w:before="71" w:line="202" w:lineRule="auto"/>
              <w:ind w:left="368"/>
              <w:rPr>
                <w:rFonts w:ascii="Times New Roman" w:hAnsi="Times New Roman" w:eastAsia="Times New Roman" w:cs="Times New Roman"/>
                <w:sz w:val="13"/>
                <w:szCs w:val="13"/>
              </w:rPr>
            </w:pPr>
            <w:r>
              <w:rPr>
                <w:rFonts w:ascii="Times New Roman" w:hAnsi="Times New Roman" w:eastAsia="Times New Roman" w:cs="Times New Roman"/>
                <w:b/>
                <w:bCs/>
                <w:sz w:val="20"/>
                <w:szCs w:val="20"/>
              </w:rPr>
              <w:t>BOD</w:t>
            </w:r>
            <w:r>
              <w:rPr>
                <w:rFonts w:ascii="Times New Roman" w:hAnsi="Times New Roman" w:eastAsia="Times New Roman" w:cs="Times New Roman"/>
                <w:b/>
                <w:bCs/>
                <w:spacing w:val="19"/>
                <w:position w:val="-1"/>
                <w:sz w:val="13"/>
                <w:szCs w:val="13"/>
              </w:rPr>
              <w:t>5</w:t>
            </w:r>
          </w:p>
        </w:tc>
        <w:tc>
          <w:tcPr>
            <w:tcW w:w="1266" w:type="dxa"/>
            <w:tcBorders>
              <w:top w:val="single" w:color="000000" w:sz="10" w:space="0"/>
            </w:tcBorders>
            <w:vAlign w:val="top"/>
          </w:tcPr>
          <w:p w14:paraId="6B43BAC3">
            <w:pPr>
              <w:spacing w:before="71" w:line="195" w:lineRule="auto"/>
              <w:ind w:left="521"/>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SS</w:t>
            </w:r>
          </w:p>
        </w:tc>
        <w:tc>
          <w:tcPr>
            <w:tcW w:w="1266" w:type="dxa"/>
            <w:tcBorders>
              <w:top w:val="single" w:color="000000" w:sz="10" w:space="0"/>
            </w:tcBorders>
            <w:vAlign w:val="top"/>
          </w:tcPr>
          <w:p w14:paraId="3A0838EC">
            <w:pPr>
              <w:spacing w:before="74" w:line="192" w:lineRule="auto"/>
              <w:ind w:left="504"/>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TP</w:t>
            </w:r>
          </w:p>
        </w:tc>
        <w:tc>
          <w:tcPr>
            <w:tcW w:w="1268" w:type="dxa"/>
            <w:tcBorders>
              <w:top w:val="single" w:color="000000" w:sz="10" w:space="0"/>
            </w:tcBorders>
            <w:vAlign w:val="top"/>
          </w:tcPr>
          <w:p w14:paraId="214453E0">
            <w:pPr>
              <w:spacing w:before="74" w:line="202" w:lineRule="auto"/>
              <w:ind w:left="335"/>
              <w:rPr>
                <w:rFonts w:ascii="Times New Roman" w:hAnsi="Times New Roman" w:eastAsia="Times New Roman" w:cs="Times New Roman"/>
                <w:sz w:val="20"/>
                <w:szCs w:val="20"/>
              </w:rPr>
            </w:pPr>
            <w:r>
              <w:rPr>
                <w:rFonts w:ascii="Times New Roman" w:hAnsi="Times New Roman" w:eastAsia="Times New Roman" w:cs="Times New Roman"/>
                <w:b/>
                <w:bCs/>
                <w:sz w:val="20"/>
                <w:szCs w:val="20"/>
              </w:rPr>
              <w:t>NH</w:t>
            </w:r>
            <w:r>
              <w:rPr>
                <w:rFonts w:ascii="Times New Roman" w:hAnsi="Times New Roman" w:eastAsia="Times New Roman" w:cs="Times New Roman"/>
                <w:b/>
                <w:bCs/>
                <w:spacing w:val="8"/>
                <w:sz w:val="13"/>
                <w:szCs w:val="13"/>
              </w:rPr>
              <w:t>3</w:t>
            </w:r>
            <w:r>
              <w:rPr>
                <w:rFonts w:ascii="Times New Roman" w:hAnsi="Times New Roman" w:eastAsia="Times New Roman" w:cs="Times New Roman"/>
                <w:b/>
                <w:bCs/>
                <w:spacing w:val="8"/>
                <w:sz w:val="20"/>
                <w:szCs w:val="20"/>
              </w:rPr>
              <w:t>-N</w:t>
            </w:r>
          </w:p>
        </w:tc>
        <w:tc>
          <w:tcPr>
            <w:tcW w:w="1267" w:type="dxa"/>
            <w:tcBorders>
              <w:top w:val="single" w:color="000000" w:sz="10" w:space="0"/>
              <w:right w:val="single" w:color="000000" w:sz="10" w:space="0"/>
            </w:tcBorders>
            <w:vAlign w:val="top"/>
          </w:tcPr>
          <w:p w14:paraId="3BD0F083">
            <w:pPr>
              <w:spacing w:before="74" w:line="192" w:lineRule="auto"/>
              <w:ind w:left="493"/>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TN</w:t>
            </w:r>
          </w:p>
        </w:tc>
      </w:tr>
      <w:tr w14:paraId="33069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1281" w:type="dxa"/>
            <w:tcBorders>
              <w:left w:val="single" w:color="000000" w:sz="10" w:space="0"/>
            </w:tcBorders>
            <w:vAlign w:val="top"/>
          </w:tcPr>
          <w:p w14:paraId="5B50B5F0">
            <w:pPr>
              <w:pStyle w:val="6"/>
              <w:spacing w:before="102" w:line="228" w:lineRule="auto"/>
              <w:ind w:left="209"/>
            </w:pPr>
            <w:r>
              <w:rPr>
                <w:spacing w:val="7"/>
              </w:rPr>
              <w:t>进水浓度</w:t>
            </w:r>
          </w:p>
        </w:tc>
        <w:tc>
          <w:tcPr>
            <w:tcW w:w="1266" w:type="dxa"/>
            <w:vAlign w:val="top"/>
          </w:tcPr>
          <w:p w14:paraId="64343C4D">
            <w:pPr>
              <w:spacing w:before="133" w:line="194" w:lineRule="auto"/>
              <w:ind w:left="419"/>
              <w:rPr>
                <w:rFonts w:ascii="Times New Roman" w:hAnsi="Times New Roman" w:eastAsia="Times New Roman" w:cs="Times New Roman"/>
                <w:sz w:val="20"/>
                <w:szCs w:val="20"/>
              </w:rPr>
            </w:pPr>
            <w:r>
              <w:rPr>
                <w:rFonts w:ascii="Calibri" w:hAnsi="Calibri" w:eastAsia="Calibri" w:cs="Calibri"/>
                <w:spacing w:val="2"/>
                <w:sz w:val="20"/>
                <w:szCs w:val="20"/>
              </w:rPr>
              <w:t>≤</w:t>
            </w:r>
            <w:r>
              <w:rPr>
                <w:rFonts w:ascii="Times New Roman" w:hAnsi="Times New Roman" w:eastAsia="Times New Roman" w:cs="Times New Roman"/>
                <w:spacing w:val="2"/>
                <w:sz w:val="20"/>
                <w:szCs w:val="20"/>
              </w:rPr>
              <w:t>300</w:t>
            </w:r>
          </w:p>
        </w:tc>
        <w:tc>
          <w:tcPr>
            <w:tcW w:w="1267" w:type="dxa"/>
            <w:vAlign w:val="top"/>
          </w:tcPr>
          <w:p w14:paraId="2177D7CE">
            <w:pPr>
              <w:spacing w:before="133" w:line="194" w:lineRule="auto"/>
              <w:ind w:left="423"/>
              <w:rPr>
                <w:rFonts w:ascii="Times New Roman" w:hAnsi="Times New Roman" w:eastAsia="Times New Roman" w:cs="Times New Roman"/>
                <w:sz w:val="20"/>
                <w:szCs w:val="20"/>
              </w:rPr>
            </w:pPr>
            <w:r>
              <w:rPr>
                <w:rFonts w:ascii="Calibri" w:hAnsi="Calibri" w:eastAsia="Calibri" w:cs="Calibri"/>
                <w:spacing w:val="3"/>
                <w:sz w:val="20"/>
                <w:szCs w:val="20"/>
              </w:rPr>
              <w:t>≤</w:t>
            </w:r>
            <w:r>
              <w:rPr>
                <w:rFonts w:ascii="Times New Roman" w:hAnsi="Times New Roman" w:eastAsia="Times New Roman" w:cs="Times New Roman"/>
                <w:spacing w:val="3"/>
                <w:sz w:val="20"/>
                <w:szCs w:val="20"/>
              </w:rPr>
              <w:t>150</w:t>
            </w:r>
          </w:p>
        </w:tc>
        <w:tc>
          <w:tcPr>
            <w:tcW w:w="1266" w:type="dxa"/>
            <w:vAlign w:val="top"/>
          </w:tcPr>
          <w:p w14:paraId="603C9BD5">
            <w:pPr>
              <w:spacing w:before="133" w:line="194" w:lineRule="auto"/>
              <w:ind w:left="425"/>
              <w:rPr>
                <w:rFonts w:ascii="Times New Roman" w:hAnsi="Times New Roman" w:eastAsia="Times New Roman" w:cs="Times New Roman"/>
                <w:sz w:val="20"/>
                <w:szCs w:val="20"/>
              </w:rPr>
            </w:pPr>
            <w:r>
              <w:rPr>
                <w:rFonts w:ascii="Calibri" w:hAnsi="Calibri" w:eastAsia="Calibri" w:cs="Calibri"/>
                <w:spacing w:val="3"/>
                <w:sz w:val="20"/>
                <w:szCs w:val="20"/>
              </w:rPr>
              <w:t>≤</w:t>
            </w:r>
            <w:r>
              <w:rPr>
                <w:rFonts w:ascii="Times New Roman" w:hAnsi="Times New Roman" w:eastAsia="Times New Roman" w:cs="Times New Roman"/>
                <w:spacing w:val="3"/>
                <w:sz w:val="20"/>
                <w:szCs w:val="20"/>
              </w:rPr>
              <w:t>250</w:t>
            </w:r>
          </w:p>
        </w:tc>
        <w:tc>
          <w:tcPr>
            <w:tcW w:w="1266" w:type="dxa"/>
            <w:vAlign w:val="top"/>
          </w:tcPr>
          <w:p w14:paraId="21395FD0">
            <w:pPr>
              <w:spacing w:before="133" w:line="194" w:lineRule="auto"/>
              <w:ind w:left="455"/>
              <w:rPr>
                <w:rFonts w:ascii="Times New Roman" w:hAnsi="Times New Roman" w:eastAsia="Times New Roman" w:cs="Times New Roman"/>
                <w:sz w:val="20"/>
                <w:szCs w:val="20"/>
              </w:rPr>
            </w:pPr>
            <w:r>
              <w:rPr>
                <w:rFonts w:ascii="Calibri" w:hAnsi="Calibri" w:eastAsia="Calibri" w:cs="Calibri"/>
                <w:spacing w:val="2"/>
                <w:sz w:val="20"/>
                <w:szCs w:val="20"/>
              </w:rPr>
              <w:t>≤</w:t>
            </w:r>
            <w:r>
              <w:rPr>
                <w:rFonts w:ascii="Times New Roman" w:hAnsi="Times New Roman" w:eastAsia="Times New Roman" w:cs="Times New Roman"/>
                <w:spacing w:val="2"/>
                <w:sz w:val="20"/>
                <w:szCs w:val="20"/>
              </w:rPr>
              <w:t>4.0</w:t>
            </w:r>
          </w:p>
        </w:tc>
        <w:tc>
          <w:tcPr>
            <w:tcW w:w="1268" w:type="dxa"/>
            <w:vAlign w:val="top"/>
          </w:tcPr>
          <w:p w14:paraId="57F41564">
            <w:pPr>
              <w:spacing w:before="133" w:line="194" w:lineRule="auto"/>
              <w:ind w:left="488"/>
              <w:rPr>
                <w:rFonts w:ascii="Times New Roman" w:hAnsi="Times New Roman" w:eastAsia="Times New Roman" w:cs="Times New Roman"/>
                <w:sz w:val="20"/>
                <w:szCs w:val="20"/>
              </w:rPr>
            </w:pPr>
            <w:r>
              <w:rPr>
                <w:rFonts w:ascii="Calibri" w:hAnsi="Calibri" w:eastAsia="Calibri" w:cs="Calibri"/>
                <w:spacing w:val="1"/>
                <w:sz w:val="20"/>
                <w:szCs w:val="20"/>
              </w:rPr>
              <w:t>≤</w:t>
            </w:r>
            <w:r>
              <w:rPr>
                <w:rFonts w:ascii="Times New Roman" w:hAnsi="Times New Roman" w:eastAsia="Times New Roman" w:cs="Times New Roman"/>
                <w:spacing w:val="1"/>
                <w:sz w:val="20"/>
                <w:szCs w:val="20"/>
              </w:rPr>
              <w:t>30</w:t>
            </w:r>
          </w:p>
        </w:tc>
        <w:tc>
          <w:tcPr>
            <w:tcW w:w="1267" w:type="dxa"/>
            <w:tcBorders>
              <w:right w:val="single" w:color="000000" w:sz="10" w:space="0"/>
            </w:tcBorders>
            <w:vAlign w:val="top"/>
          </w:tcPr>
          <w:p w14:paraId="5DC68237">
            <w:pPr>
              <w:spacing w:before="133" w:line="194" w:lineRule="auto"/>
              <w:ind w:left="482"/>
              <w:rPr>
                <w:rFonts w:ascii="Times New Roman" w:hAnsi="Times New Roman" w:eastAsia="Times New Roman" w:cs="Times New Roman"/>
                <w:sz w:val="20"/>
                <w:szCs w:val="20"/>
              </w:rPr>
            </w:pPr>
            <w:r>
              <w:rPr>
                <w:rFonts w:ascii="Calibri" w:hAnsi="Calibri" w:eastAsia="Calibri" w:cs="Calibri"/>
                <w:spacing w:val="2"/>
                <w:sz w:val="20"/>
                <w:szCs w:val="20"/>
              </w:rPr>
              <w:t>≤</w:t>
            </w:r>
            <w:r>
              <w:rPr>
                <w:rFonts w:ascii="Times New Roman" w:hAnsi="Times New Roman" w:eastAsia="Times New Roman" w:cs="Times New Roman"/>
                <w:spacing w:val="2"/>
                <w:sz w:val="20"/>
                <w:szCs w:val="20"/>
              </w:rPr>
              <w:t>40</w:t>
            </w:r>
          </w:p>
        </w:tc>
      </w:tr>
      <w:tr w14:paraId="571DE0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1281" w:type="dxa"/>
            <w:tcBorders>
              <w:left w:val="single" w:color="000000" w:sz="10" w:space="0"/>
              <w:bottom w:val="single" w:color="000000" w:sz="10" w:space="0"/>
            </w:tcBorders>
            <w:vAlign w:val="top"/>
          </w:tcPr>
          <w:p w14:paraId="466B6F53">
            <w:pPr>
              <w:pStyle w:val="6"/>
              <w:spacing w:before="113" w:line="228" w:lineRule="auto"/>
              <w:ind w:left="229"/>
            </w:pPr>
            <w:r>
              <w:rPr>
                <w:spacing w:val="2"/>
              </w:rPr>
              <w:t>出水水质</w:t>
            </w:r>
          </w:p>
        </w:tc>
        <w:tc>
          <w:tcPr>
            <w:tcW w:w="1266" w:type="dxa"/>
            <w:tcBorders>
              <w:bottom w:val="single" w:color="000000" w:sz="10" w:space="0"/>
            </w:tcBorders>
            <w:vAlign w:val="top"/>
          </w:tcPr>
          <w:p w14:paraId="6D22213A">
            <w:pPr>
              <w:spacing w:before="146" w:line="194" w:lineRule="auto"/>
              <w:ind w:left="472"/>
              <w:rPr>
                <w:rFonts w:ascii="Times New Roman" w:hAnsi="Times New Roman" w:eastAsia="Times New Roman" w:cs="Times New Roman"/>
                <w:sz w:val="20"/>
                <w:szCs w:val="20"/>
              </w:rPr>
            </w:pPr>
            <w:r>
              <w:rPr>
                <w:rFonts w:ascii="Calibri" w:hAnsi="Calibri" w:eastAsia="Calibri" w:cs="Calibri"/>
                <w:spacing w:val="1"/>
                <w:sz w:val="20"/>
                <w:szCs w:val="20"/>
              </w:rPr>
              <w:t>≤</w:t>
            </w:r>
            <w:r>
              <w:rPr>
                <w:rFonts w:ascii="Times New Roman" w:hAnsi="Times New Roman" w:eastAsia="Times New Roman" w:cs="Times New Roman"/>
                <w:spacing w:val="1"/>
                <w:sz w:val="20"/>
                <w:szCs w:val="20"/>
              </w:rPr>
              <w:t>60</w:t>
            </w:r>
          </w:p>
        </w:tc>
        <w:tc>
          <w:tcPr>
            <w:tcW w:w="1267" w:type="dxa"/>
            <w:tcBorders>
              <w:bottom w:val="single" w:color="000000" w:sz="10" w:space="0"/>
            </w:tcBorders>
            <w:vAlign w:val="top"/>
          </w:tcPr>
          <w:p w14:paraId="2AA2A0CE">
            <w:pPr>
              <w:spacing w:before="146" w:line="194" w:lineRule="auto"/>
              <w:ind w:left="475"/>
              <w:rPr>
                <w:rFonts w:ascii="Times New Roman" w:hAnsi="Times New Roman" w:eastAsia="Times New Roman" w:cs="Times New Roman"/>
                <w:sz w:val="20"/>
                <w:szCs w:val="20"/>
              </w:rPr>
            </w:pPr>
            <w:r>
              <w:rPr>
                <w:rFonts w:ascii="Calibri" w:hAnsi="Calibri" w:eastAsia="Calibri" w:cs="Calibri"/>
                <w:spacing w:val="1"/>
                <w:sz w:val="20"/>
                <w:szCs w:val="20"/>
              </w:rPr>
              <w:t>≤</w:t>
            </w:r>
            <w:r>
              <w:rPr>
                <w:rFonts w:ascii="Times New Roman" w:hAnsi="Times New Roman" w:eastAsia="Times New Roman" w:cs="Times New Roman"/>
                <w:spacing w:val="1"/>
                <w:sz w:val="20"/>
                <w:szCs w:val="20"/>
              </w:rPr>
              <w:t>20</w:t>
            </w:r>
          </w:p>
        </w:tc>
        <w:tc>
          <w:tcPr>
            <w:tcW w:w="1266" w:type="dxa"/>
            <w:tcBorders>
              <w:bottom w:val="single" w:color="000000" w:sz="10" w:space="0"/>
            </w:tcBorders>
            <w:vAlign w:val="top"/>
          </w:tcPr>
          <w:p w14:paraId="18BDCA0C">
            <w:pPr>
              <w:spacing w:before="146" w:line="194" w:lineRule="auto"/>
              <w:ind w:left="478"/>
              <w:rPr>
                <w:rFonts w:ascii="Times New Roman" w:hAnsi="Times New Roman" w:eastAsia="Times New Roman" w:cs="Times New Roman"/>
                <w:sz w:val="20"/>
                <w:szCs w:val="20"/>
              </w:rPr>
            </w:pPr>
            <w:r>
              <w:rPr>
                <w:rFonts w:ascii="Calibri" w:hAnsi="Calibri" w:eastAsia="Calibri" w:cs="Calibri"/>
                <w:spacing w:val="1"/>
                <w:sz w:val="20"/>
                <w:szCs w:val="20"/>
              </w:rPr>
              <w:t>≤</w:t>
            </w:r>
            <w:r>
              <w:rPr>
                <w:rFonts w:ascii="Times New Roman" w:hAnsi="Times New Roman" w:eastAsia="Times New Roman" w:cs="Times New Roman"/>
                <w:spacing w:val="1"/>
                <w:sz w:val="20"/>
                <w:szCs w:val="20"/>
              </w:rPr>
              <w:t>20</w:t>
            </w:r>
          </w:p>
        </w:tc>
        <w:tc>
          <w:tcPr>
            <w:tcW w:w="1266" w:type="dxa"/>
            <w:tcBorders>
              <w:bottom w:val="single" w:color="000000" w:sz="10" w:space="0"/>
            </w:tcBorders>
            <w:vAlign w:val="top"/>
          </w:tcPr>
          <w:p w14:paraId="254B2021">
            <w:pPr>
              <w:spacing w:before="146" w:line="194" w:lineRule="auto"/>
              <w:ind w:left="455"/>
              <w:rPr>
                <w:rFonts w:ascii="Times New Roman" w:hAnsi="Times New Roman" w:eastAsia="Times New Roman" w:cs="Times New Roman"/>
                <w:sz w:val="20"/>
                <w:szCs w:val="20"/>
              </w:rPr>
            </w:pPr>
            <w:r>
              <w:rPr>
                <w:rFonts w:ascii="Calibri" w:hAnsi="Calibri" w:eastAsia="Calibri" w:cs="Calibri"/>
                <w:spacing w:val="2"/>
                <w:sz w:val="20"/>
                <w:szCs w:val="20"/>
              </w:rPr>
              <w:t>≤</w:t>
            </w:r>
            <w:r>
              <w:rPr>
                <w:rFonts w:ascii="Times New Roman" w:hAnsi="Times New Roman" w:eastAsia="Times New Roman" w:cs="Times New Roman"/>
                <w:spacing w:val="2"/>
                <w:sz w:val="20"/>
                <w:szCs w:val="20"/>
              </w:rPr>
              <w:t>1.0</w:t>
            </w:r>
          </w:p>
        </w:tc>
        <w:tc>
          <w:tcPr>
            <w:tcW w:w="1268" w:type="dxa"/>
            <w:tcBorders>
              <w:bottom w:val="single" w:color="000000" w:sz="10" w:space="0"/>
            </w:tcBorders>
            <w:vAlign w:val="top"/>
          </w:tcPr>
          <w:p w14:paraId="747BAE62">
            <w:pPr>
              <w:pStyle w:val="6"/>
              <w:spacing w:before="113"/>
              <w:ind w:left="226"/>
            </w:pPr>
            <w:r>
              <w:rPr>
                <w:rFonts w:ascii="Calibri" w:hAnsi="Calibri" w:eastAsia="Calibri" w:cs="Calibri"/>
                <w:spacing w:val="3"/>
              </w:rPr>
              <w:t>≤</w:t>
            </w:r>
            <w:r>
              <w:rPr>
                <w:rFonts w:ascii="Times New Roman" w:hAnsi="Times New Roman" w:eastAsia="Times New Roman" w:cs="Times New Roman"/>
                <w:spacing w:val="3"/>
              </w:rPr>
              <w:t>8</w:t>
            </w:r>
            <w:r>
              <w:rPr>
                <w:spacing w:val="3"/>
              </w:rPr>
              <w:t>（</w:t>
            </w:r>
            <w:r>
              <w:rPr>
                <w:rFonts w:ascii="Times New Roman" w:hAnsi="Times New Roman" w:eastAsia="Times New Roman" w:cs="Times New Roman"/>
                <w:spacing w:val="3"/>
              </w:rPr>
              <w:t>15</w:t>
            </w:r>
            <w:r>
              <w:rPr>
                <w:spacing w:val="3"/>
              </w:rPr>
              <w:t>）</w:t>
            </w:r>
          </w:p>
        </w:tc>
        <w:tc>
          <w:tcPr>
            <w:tcW w:w="1267" w:type="dxa"/>
            <w:tcBorders>
              <w:bottom w:val="single" w:color="000000" w:sz="10" w:space="0"/>
              <w:right w:val="single" w:color="000000" w:sz="10" w:space="0"/>
            </w:tcBorders>
            <w:vAlign w:val="top"/>
          </w:tcPr>
          <w:p w14:paraId="1885B3BF">
            <w:pPr>
              <w:spacing w:before="146" w:line="194" w:lineRule="auto"/>
              <w:ind w:left="482"/>
              <w:rPr>
                <w:rFonts w:ascii="Times New Roman" w:hAnsi="Times New Roman" w:eastAsia="Times New Roman" w:cs="Times New Roman"/>
                <w:sz w:val="20"/>
                <w:szCs w:val="20"/>
              </w:rPr>
            </w:pPr>
            <w:r>
              <w:rPr>
                <w:rFonts w:ascii="Calibri" w:hAnsi="Calibri" w:eastAsia="Calibri" w:cs="Calibri"/>
                <w:spacing w:val="2"/>
                <w:sz w:val="20"/>
                <w:szCs w:val="20"/>
              </w:rPr>
              <w:t>≤</w:t>
            </w:r>
            <w:r>
              <w:rPr>
                <w:rFonts w:ascii="Times New Roman" w:hAnsi="Times New Roman" w:eastAsia="Times New Roman" w:cs="Times New Roman"/>
                <w:spacing w:val="2"/>
                <w:sz w:val="20"/>
                <w:szCs w:val="20"/>
              </w:rPr>
              <w:t>20</w:t>
            </w:r>
          </w:p>
        </w:tc>
      </w:tr>
    </w:tbl>
    <w:p w14:paraId="2498CFC3">
      <w:pPr>
        <w:spacing w:before="31" w:line="228" w:lineRule="auto"/>
        <w:ind w:left="630"/>
        <w:rPr>
          <w:rFonts w:ascii="宋体" w:hAnsi="宋体" w:eastAsia="宋体" w:cs="宋体"/>
          <w:sz w:val="20"/>
          <w:szCs w:val="20"/>
        </w:rPr>
      </w:pPr>
      <w:r>
        <w:rPr>
          <w:rFonts w:ascii="宋体" w:hAnsi="宋体" w:eastAsia="宋体" w:cs="宋体"/>
          <w:spacing w:val="9"/>
          <w:sz w:val="20"/>
          <w:szCs w:val="20"/>
        </w:rPr>
        <w:t>注：括号外数值为水温</w:t>
      </w:r>
      <w:r>
        <w:rPr>
          <w:rFonts w:ascii="Times New Roman" w:hAnsi="Times New Roman" w:eastAsia="Times New Roman" w:cs="Times New Roman"/>
          <w:spacing w:val="9"/>
          <w:sz w:val="20"/>
          <w:szCs w:val="20"/>
        </w:rPr>
        <w:t>&gt;12℃</w:t>
      </w:r>
      <w:r>
        <w:rPr>
          <w:rFonts w:ascii="宋体" w:hAnsi="宋体" w:eastAsia="宋体" w:cs="宋体"/>
          <w:spacing w:val="9"/>
          <w:sz w:val="20"/>
          <w:szCs w:val="20"/>
        </w:rPr>
        <w:t>时的控制指标，括号内数值为</w:t>
      </w:r>
      <w:r>
        <w:rPr>
          <w:rFonts w:ascii="宋体" w:hAnsi="宋体" w:eastAsia="宋体" w:cs="宋体"/>
          <w:spacing w:val="8"/>
          <w:sz w:val="20"/>
          <w:szCs w:val="20"/>
        </w:rPr>
        <w:t>水温</w:t>
      </w:r>
      <w:r>
        <w:rPr>
          <w:rFonts w:ascii="Times New Roman" w:hAnsi="Times New Roman" w:eastAsia="Times New Roman" w:cs="Times New Roman"/>
          <w:spacing w:val="8"/>
          <w:sz w:val="20"/>
          <w:szCs w:val="20"/>
        </w:rPr>
        <w:t>≤12℃</w:t>
      </w:r>
      <w:r>
        <w:rPr>
          <w:rFonts w:ascii="宋体" w:hAnsi="宋体" w:eastAsia="宋体" w:cs="宋体"/>
          <w:spacing w:val="8"/>
          <w:sz w:val="20"/>
          <w:szCs w:val="20"/>
        </w:rPr>
        <w:t>时的控制指标。</w:t>
      </w:r>
    </w:p>
    <w:p w14:paraId="2F161DD8">
      <w:pPr>
        <w:spacing w:before="166" w:line="219" w:lineRule="auto"/>
        <w:ind w:left="205"/>
        <w:outlineLvl w:val="2"/>
        <w:rPr>
          <w:rFonts w:ascii="宋体" w:hAnsi="宋体" w:eastAsia="宋体" w:cs="宋体"/>
          <w:sz w:val="24"/>
          <w:szCs w:val="24"/>
        </w:rPr>
      </w:pPr>
      <w:r>
        <w:rPr>
          <w:rFonts w:ascii="Times New Roman" w:hAnsi="Times New Roman" w:eastAsia="Times New Roman" w:cs="Times New Roman"/>
          <w:b/>
          <w:bCs/>
          <w:spacing w:val="-2"/>
          <w:sz w:val="24"/>
          <w:szCs w:val="24"/>
        </w:rPr>
        <w:t>3.3.4</w:t>
      </w:r>
      <w:r>
        <w:rPr>
          <w:rFonts w:ascii="宋体" w:hAnsi="宋体" w:eastAsia="宋体" w:cs="宋体"/>
          <w:b/>
          <w:bCs/>
          <w:spacing w:val="-2"/>
          <w:sz w:val="24"/>
          <w:szCs w:val="24"/>
        </w:rPr>
        <w:t>污水厂运行情况</w:t>
      </w:r>
    </w:p>
    <w:p w14:paraId="5414B64F">
      <w:pPr>
        <w:spacing w:before="181" w:line="359" w:lineRule="auto"/>
        <w:ind w:left="214" w:right="420" w:firstLine="480"/>
        <w:rPr>
          <w:rFonts w:ascii="宋体" w:hAnsi="宋体" w:eastAsia="宋体" w:cs="宋体"/>
          <w:sz w:val="24"/>
          <w:szCs w:val="24"/>
        </w:rPr>
      </w:pPr>
      <w:r>
        <w:rPr>
          <w:rFonts w:ascii="宋体" w:hAnsi="宋体" w:eastAsia="宋体" w:cs="宋体"/>
          <w:spacing w:val="-4"/>
          <w:sz w:val="24"/>
          <w:szCs w:val="24"/>
        </w:rPr>
        <w:t>为了解隆回县华茂污水处理厂运行情况，本评价收集了隆回县华茂污水处理</w:t>
      </w:r>
      <w:r>
        <w:rPr>
          <w:rFonts w:ascii="宋体" w:hAnsi="宋体" w:eastAsia="宋体" w:cs="宋体"/>
          <w:spacing w:val="-2"/>
          <w:sz w:val="24"/>
          <w:szCs w:val="24"/>
        </w:rPr>
        <w:t>厂的在线监控数据，具体见表</w:t>
      </w:r>
      <w:r>
        <w:rPr>
          <w:rFonts w:ascii="Times New Roman" w:hAnsi="Times New Roman" w:eastAsia="Times New Roman" w:cs="Times New Roman"/>
          <w:spacing w:val="-2"/>
          <w:sz w:val="24"/>
          <w:szCs w:val="24"/>
        </w:rPr>
        <w:t>3.3-3</w:t>
      </w:r>
      <w:r>
        <w:rPr>
          <w:rFonts w:ascii="宋体" w:hAnsi="宋体" w:eastAsia="宋体" w:cs="宋体"/>
          <w:spacing w:val="-2"/>
          <w:sz w:val="24"/>
          <w:szCs w:val="24"/>
        </w:rPr>
        <w:t>。</w:t>
      </w:r>
    </w:p>
    <w:p w14:paraId="69CAEBAA">
      <w:pPr>
        <w:spacing w:line="213" w:lineRule="auto"/>
        <w:ind w:left="1923"/>
        <w:rPr>
          <w:rFonts w:ascii="宋体" w:hAnsi="宋体" w:eastAsia="宋体" w:cs="宋体"/>
          <w:sz w:val="24"/>
          <w:szCs w:val="24"/>
        </w:rPr>
      </w:pPr>
      <w:r>
        <w:rPr>
          <w:rFonts w:ascii="宋体" w:hAnsi="宋体" w:eastAsia="宋体" w:cs="宋体"/>
          <w:b/>
          <w:bCs/>
          <w:spacing w:val="-2"/>
          <w:sz w:val="24"/>
          <w:szCs w:val="24"/>
        </w:rPr>
        <w:t>表</w:t>
      </w:r>
      <w:r>
        <w:rPr>
          <w:rFonts w:ascii="Times New Roman" w:hAnsi="Times New Roman" w:eastAsia="Times New Roman" w:cs="Times New Roman"/>
          <w:b/>
          <w:bCs/>
          <w:spacing w:val="-2"/>
          <w:sz w:val="24"/>
          <w:szCs w:val="24"/>
        </w:rPr>
        <w:t>3.3-3</w:t>
      </w:r>
      <w:r>
        <w:rPr>
          <w:rFonts w:ascii="宋体" w:hAnsi="宋体" w:eastAsia="宋体" w:cs="宋体"/>
          <w:b/>
          <w:bCs/>
          <w:spacing w:val="-2"/>
          <w:sz w:val="24"/>
          <w:szCs w:val="24"/>
        </w:rPr>
        <w:t>隆回县华茂污水处理厂出水水质一览表</w:t>
      </w:r>
    </w:p>
    <w:tbl>
      <w:tblPr>
        <w:tblStyle w:val="5"/>
        <w:tblW w:w="8525" w:type="dxa"/>
        <w:tblInd w:w="19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0"/>
        <w:gridCol w:w="1930"/>
        <w:gridCol w:w="1290"/>
        <w:gridCol w:w="1290"/>
        <w:gridCol w:w="1290"/>
        <w:gridCol w:w="1305"/>
      </w:tblGrid>
      <w:tr w14:paraId="218F5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0" w:type="dxa"/>
            <w:vMerge w:val="restart"/>
            <w:tcBorders>
              <w:top w:val="single" w:color="000000" w:sz="10" w:space="0"/>
              <w:left w:val="single" w:color="000000" w:sz="10" w:space="0"/>
              <w:bottom w:val="nil"/>
            </w:tcBorders>
            <w:vAlign w:val="top"/>
          </w:tcPr>
          <w:p w14:paraId="405C626A">
            <w:pPr>
              <w:pStyle w:val="6"/>
              <w:spacing w:before="172" w:line="230" w:lineRule="auto"/>
              <w:ind w:left="501"/>
            </w:pPr>
            <w:r>
              <w:rPr>
                <w:b/>
                <w:bCs/>
                <w:spacing w:val="-1"/>
              </w:rPr>
              <w:t>时间</w:t>
            </w:r>
          </w:p>
        </w:tc>
        <w:tc>
          <w:tcPr>
            <w:tcW w:w="1930" w:type="dxa"/>
            <w:vMerge w:val="restart"/>
            <w:tcBorders>
              <w:top w:val="single" w:color="000000" w:sz="10" w:space="0"/>
              <w:bottom w:val="nil"/>
            </w:tcBorders>
            <w:vAlign w:val="top"/>
          </w:tcPr>
          <w:p w14:paraId="75A94F32">
            <w:pPr>
              <w:pStyle w:val="6"/>
              <w:spacing w:before="172" w:line="228" w:lineRule="auto"/>
              <w:ind w:right="15"/>
              <w:jc w:val="right"/>
            </w:pPr>
            <w:r>
              <w:rPr>
                <w:b/>
                <w:bCs/>
                <w:spacing w:val="-1"/>
              </w:rPr>
              <w:t>处理水量（</w:t>
            </w:r>
            <w:r>
              <w:rPr>
                <w:spacing w:val="-1"/>
              </w:rPr>
              <w:t>万</w:t>
            </w:r>
            <w:r>
              <w:rPr>
                <w:rFonts w:ascii="Times New Roman" w:hAnsi="Times New Roman" w:eastAsia="Times New Roman" w:cs="Times New Roman"/>
                <w:b/>
                <w:bCs/>
                <w:spacing w:val="-1"/>
              </w:rPr>
              <w:t>m</w:t>
            </w:r>
            <w:r>
              <w:rPr>
                <w:rFonts w:ascii="Times New Roman" w:hAnsi="Times New Roman" w:eastAsia="Times New Roman" w:cs="Times New Roman"/>
                <w:b/>
                <w:bCs/>
                <w:spacing w:val="-1"/>
                <w:position w:val="6"/>
                <w:sz w:val="13"/>
                <w:szCs w:val="13"/>
              </w:rPr>
              <w:t>3</w:t>
            </w:r>
            <w:r>
              <w:rPr>
                <w:rFonts w:ascii="Times New Roman" w:hAnsi="Times New Roman" w:eastAsia="Times New Roman" w:cs="Times New Roman"/>
                <w:b/>
                <w:bCs/>
                <w:spacing w:val="-1"/>
              </w:rPr>
              <w:t>/d</w:t>
            </w:r>
            <w:r>
              <w:rPr>
                <w:b/>
                <w:bCs/>
                <w:spacing w:val="-1"/>
              </w:rPr>
              <w:t>）</w:t>
            </w:r>
          </w:p>
        </w:tc>
        <w:tc>
          <w:tcPr>
            <w:tcW w:w="5175" w:type="dxa"/>
            <w:gridSpan w:val="4"/>
            <w:tcBorders>
              <w:top w:val="single" w:color="000000" w:sz="10" w:space="0"/>
              <w:right w:val="single" w:color="000000" w:sz="10" w:space="0"/>
            </w:tcBorders>
            <w:vAlign w:val="top"/>
          </w:tcPr>
          <w:p w14:paraId="2BE65991">
            <w:pPr>
              <w:pStyle w:val="6"/>
              <w:spacing w:before="36" w:line="214" w:lineRule="auto"/>
              <w:ind w:left="1737"/>
            </w:pPr>
            <w:r>
              <w:rPr>
                <w:b/>
                <w:bCs/>
                <w:spacing w:val="-1"/>
              </w:rPr>
              <w:t>出水水质（</w:t>
            </w:r>
            <w:r>
              <w:rPr>
                <w:rFonts w:ascii="Times New Roman" w:hAnsi="Times New Roman" w:eastAsia="Times New Roman" w:cs="Times New Roman"/>
                <w:b/>
                <w:bCs/>
                <w:spacing w:val="-1"/>
              </w:rPr>
              <w:t>mg/L</w:t>
            </w:r>
            <w:r>
              <w:rPr>
                <w:b/>
                <w:bCs/>
                <w:spacing w:val="-1"/>
              </w:rPr>
              <w:t>）</w:t>
            </w:r>
          </w:p>
        </w:tc>
      </w:tr>
      <w:tr w14:paraId="126D76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420" w:type="dxa"/>
            <w:vMerge w:val="continue"/>
            <w:tcBorders>
              <w:top w:val="nil"/>
              <w:left w:val="single" w:color="000000" w:sz="10" w:space="0"/>
            </w:tcBorders>
            <w:vAlign w:val="top"/>
          </w:tcPr>
          <w:p w14:paraId="382F680B">
            <w:pPr>
              <w:rPr>
                <w:rFonts w:ascii="Arial"/>
                <w:sz w:val="21"/>
              </w:rPr>
            </w:pPr>
          </w:p>
        </w:tc>
        <w:tc>
          <w:tcPr>
            <w:tcW w:w="1930" w:type="dxa"/>
            <w:vMerge w:val="continue"/>
            <w:tcBorders>
              <w:top w:val="nil"/>
            </w:tcBorders>
            <w:vAlign w:val="top"/>
          </w:tcPr>
          <w:p w14:paraId="0889B0A9">
            <w:pPr>
              <w:rPr>
                <w:rFonts w:ascii="Arial"/>
                <w:sz w:val="21"/>
              </w:rPr>
            </w:pPr>
          </w:p>
        </w:tc>
        <w:tc>
          <w:tcPr>
            <w:tcW w:w="1290" w:type="dxa"/>
            <w:vAlign w:val="top"/>
          </w:tcPr>
          <w:p w14:paraId="79386959">
            <w:pPr>
              <w:spacing w:before="65" w:line="195" w:lineRule="auto"/>
              <w:ind w:left="416"/>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COD</w:t>
            </w:r>
          </w:p>
        </w:tc>
        <w:tc>
          <w:tcPr>
            <w:tcW w:w="1290" w:type="dxa"/>
            <w:vAlign w:val="top"/>
          </w:tcPr>
          <w:p w14:paraId="59359313">
            <w:pPr>
              <w:pStyle w:val="6"/>
              <w:spacing w:before="29" w:line="215" w:lineRule="auto"/>
              <w:ind w:left="443"/>
            </w:pPr>
            <w:r>
              <w:rPr>
                <w:b/>
                <w:bCs/>
                <w:spacing w:val="3"/>
              </w:rPr>
              <w:t>氨氮</w:t>
            </w:r>
          </w:p>
        </w:tc>
        <w:tc>
          <w:tcPr>
            <w:tcW w:w="1290" w:type="dxa"/>
            <w:vAlign w:val="top"/>
          </w:tcPr>
          <w:p w14:paraId="3628C655">
            <w:pPr>
              <w:pStyle w:val="6"/>
              <w:spacing w:before="29" w:line="215" w:lineRule="auto"/>
              <w:ind w:left="452"/>
            </w:pPr>
            <w:r>
              <w:rPr>
                <w:b/>
                <w:bCs/>
                <w:spacing w:val="1"/>
              </w:rPr>
              <w:t>总磷</w:t>
            </w:r>
          </w:p>
        </w:tc>
        <w:tc>
          <w:tcPr>
            <w:tcW w:w="1305" w:type="dxa"/>
            <w:tcBorders>
              <w:right w:val="single" w:color="000000" w:sz="10" w:space="0"/>
            </w:tcBorders>
            <w:vAlign w:val="top"/>
          </w:tcPr>
          <w:p w14:paraId="6D93B9D1">
            <w:pPr>
              <w:pStyle w:val="6"/>
              <w:spacing w:before="29" w:line="215" w:lineRule="auto"/>
              <w:ind w:left="456"/>
            </w:pPr>
            <w:r>
              <w:rPr>
                <w:b/>
                <w:bCs/>
                <w:spacing w:val="1"/>
              </w:rPr>
              <w:t>总氮</w:t>
            </w:r>
          </w:p>
        </w:tc>
      </w:tr>
      <w:tr w14:paraId="7B69B5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420" w:type="dxa"/>
            <w:tcBorders>
              <w:left w:val="single" w:color="000000" w:sz="10" w:space="0"/>
            </w:tcBorders>
            <w:vAlign w:val="top"/>
          </w:tcPr>
          <w:p w14:paraId="3074621E">
            <w:pPr>
              <w:spacing w:before="107" w:line="216" w:lineRule="auto"/>
              <w:ind w:left="147"/>
              <w:rPr>
                <w:rFonts w:ascii="等线" w:hAnsi="等线" w:eastAsia="等线" w:cs="等线"/>
                <w:sz w:val="20"/>
                <w:szCs w:val="20"/>
              </w:rPr>
            </w:pPr>
            <w:r>
              <w:rPr>
                <w:rFonts w:ascii="Times New Roman" w:hAnsi="Times New Roman" w:eastAsia="Times New Roman" w:cs="Times New Roman"/>
                <w:spacing w:val="-1"/>
                <w:sz w:val="20"/>
                <w:szCs w:val="20"/>
              </w:rPr>
              <w:t>2023</w:t>
            </w:r>
            <w:r>
              <w:rPr>
                <w:rFonts w:ascii="等线" w:hAnsi="等线" w:eastAsia="等线" w:cs="等线"/>
                <w:spacing w:val="-1"/>
                <w:sz w:val="20"/>
                <w:szCs w:val="20"/>
              </w:rPr>
              <w:t>年</w:t>
            </w:r>
            <w:r>
              <w:rPr>
                <w:rFonts w:ascii="Times New Roman" w:hAnsi="Times New Roman" w:eastAsia="Times New Roman" w:cs="Times New Roman"/>
                <w:spacing w:val="-1"/>
                <w:sz w:val="20"/>
                <w:szCs w:val="20"/>
              </w:rPr>
              <w:t>1</w:t>
            </w:r>
            <w:r>
              <w:rPr>
                <w:rFonts w:ascii="等线" w:hAnsi="等线" w:eastAsia="等线" w:cs="等线"/>
                <w:spacing w:val="-1"/>
                <w:sz w:val="20"/>
                <w:szCs w:val="20"/>
              </w:rPr>
              <w:t>月</w:t>
            </w:r>
          </w:p>
        </w:tc>
        <w:tc>
          <w:tcPr>
            <w:tcW w:w="1930" w:type="dxa"/>
            <w:vAlign w:val="top"/>
          </w:tcPr>
          <w:p w14:paraId="0892124B">
            <w:pPr>
              <w:spacing w:before="143"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2.46</w:t>
            </w:r>
          </w:p>
        </w:tc>
        <w:tc>
          <w:tcPr>
            <w:tcW w:w="1290" w:type="dxa"/>
            <w:vAlign w:val="top"/>
          </w:tcPr>
          <w:p w14:paraId="019EA430">
            <w:pPr>
              <w:spacing w:before="143"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290" w:type="dxa"/>
            <w:vAlign w:val="top"/>
          </w:tcPr>
          <w:p w14:paraId="0688AAD0">
            <w:pPr>
              <w:spacing w:before="143"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2.95</w:t>
            </w:r>
          </w:p>
        </w:tc>
        <w:tc>
          <w:tcPr>
            <w:tcW w:w="1290" w:type="dxa"/>
            <w:vAlign w:val="top"/>
          </w:tcPr>
          <w:p w14:paraId="7A528350">
            <w:pPr>
              <w:spacing w:before="143"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0.34</w:t>
            </w:r>
          </w:p>
        </w:tc>
        <w:tc>
          <w:tcPr>
            <w:tcW w:w="1305" w:type="dxa"/>
            <w:tcBorders>
              <w:right w:val="single" w:color="000000" w:sz="10" w:space="0"/>
            </w:tcBorders>
            <w:vAlign w:val="top"/>
          </w:tcPr>
          <w:p w14:paraId="4C3FAD32">
            <w:pPr>
              <w:spacing w:before="143"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10.97</w:t>
            </w:r>
          </w:p>
        </w:tc>
      </w:tr>
      <w:tr w14:paraId="56B9B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1420" w:type="dxa"/>
            <w:tcBorders>
              <w:left w:val="single" w:color="000000" w:sz="10" w:space="0"/>
            </w:tcBorders>
            <w:vAlign w:val="top"/>
          </w:tcPr>
          <w:p w14:paraId="12730435">
            <w:pPr>
              <w:spacing w:before="108" w:line="216" w:lineRule="auto"/>
              <w:ind w:left="147"/>
              <w:rPr>
                <w:rFonts w:ascii="等线" w:hAnsi="等线" w:eastAsia="等线" w:cs="等线"/>
                <w:sz w:val="20"/>
                <w:szCs w:val="20"/>
              </w:rPr>
            </w:pPr>
            <w:r>
              <w:rPr>
                <w:rFonts w:ascii="Times New Roman" w:hAnsi="Times New Roman" w:eastAsia="Times New Roman" w:cs="Times New Roman"/>
                <w:spacing w:val="2"/>
                <w:sz w:val="20"/>
                <w:szCs w:val="20"/>
              </w:rPr>
              <w:t>2023</w:t>
            </w:r>
            <w:r>
              <w:rPr>
                <w:rFonts w:ascii="等线" w:hAnsi="等线" w:eastAsia="等线" w:cs="等线"/>
                <w:spacing w:val="2"/>
                <w:sz w:val="20"/>
                <w:szCs w:val="20"/>
              </w:rPr>
              <w:t>年</w:t>
            </w:r>
            <w:r>
              <w:rPr>
                <w:rFonts w:ascii="Times New Roman" w:hAnsi="Times New Roman" w:eastAsia="Times New Roman" w:cs="Times New Roman"/>
                <w:spacing w:val="2"/>
                <w:sz w:val="20"/>
                <w:szCs w:val="20"/>
              </w:rPr>
              <w:t>2</w:t>
            </w:r>
            <w:r>
              <w:rPr>
                <w:rFonts w:ascii="等线" w:hAnsi="等线" w:eastAsia="等线" w:cs="等线"/>
                <w:spacing w:val="2"/>
                <w:sz w:val="20"/>
                <w:szCs w:val="20"/>
              </w:rPr>
              <w:t>月</w:t>
            </w:r>
          </w:p>
        </w:tc>
        <w:tc>
          <w:tcPr>
            <w:tcW w:w="1930" w:type="dxa"/>
            <w:vAlign w:val="top"/>
          </w:tcPr>
          <w:p w14:paraId="5AB900A5">
            <w:pPr>
              <w:spacing w:before="146"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2.44</w:t>
            </w:r>
          </w:p>
        </w:tc>
        <w:tc>
          <w:tcPr>
            <w:tcW w:w="1290" w:type="dxa"/>
            <w:vAlign w:val="top"/>
          </w:tcPr>
          <w:p w14:paraId="71EF5044">
            <w:pPr>
              <w:spacing w:before="146"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16.82</w:t>
            </w:r>
          </w:p>
        </w:tc>
        <w:tc>
          <w:tcPr>
            <w:tcW w:w="1290" w:type="dxa"/>
            <w:vAlign w:val="top"/>
          </w:tcPr>
          <w:p w14:paraId="01361E6A">
            <w:pPr>
              <w:spacing w:before="146"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3.49</w:t>
            </w:r>
          </w:p>
        </w:tc>
        <w:tc>
          <w:tcPr>
            <w:tcW w:w="1290" w:type="dxa"/>
            <w:vAlign w:val="top"/>
          </w:tcPr>
          <w:p w14:paraId="29D19D5E">
            <w:pPr>
              <w:spacing w:before="146"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0.27</w:t>
            </w:r>
          </w:p>
        </w:tc>
        <w:tc>
          <w:tcPr>
            <w:tcW w:w="1305" w:type="dxa"/>
            <w:tcBorders>
              <w:right w:val="single" w:color="000000" w:sz="10" w:space="0"/>
            </w:tcBorders>
            <w:vAlign w:val="top"/>
          </w:tcPr>
          <w:p w14:paraId="24055F97">
            <w:pPr>
              <w:spacing w:before="146"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11.23</w:t>
            </w:r>
          </w:p>
        </w:tc>
      </w:tr>
      <w:tr w14:paraId="65FE6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1420" w:type="dxa"/>
            <w:tcBorders>
              <w:left w:val="single" w:color="000000" w:sz="10" w:space="0"/>
            </w:tcBorders>
            <w:vAlign w:val="top"/>
          </w:tcPr>
          <w:p w14:paraId="43654EF6">
            <w:pPr>
              <w:spacing w:before="110" w:line="216" w:lineRule="auto"/>
              <w:ind w:left="147"/>
              <w:rPr>
                <w:rFonts w:ascii="等线" w:hAnsi="等线" w:eastAsia="等线" w:cs="等线"/>
                <w:sz w:val="20"/>
                <w:szCs w:val="20"/>
              </w:rPr>
            </w:pPr>
            <w:r>
              <w:rPr>
                <w:rFonts w:ascii="Times New Roman" w:hAnsi="Times New Roman" w:eastAsia="Times New Roman" w:cs="Times New Roman"/>
                <w:spacing w:val="2"/>
                <w:sz w:val="20"/>
                <w:szCs w:val="20"/>
              </w:rPr>
              <w:t>2023</w:t>
            </w:r>
            <w:r>
              <w:rPr>
                <w:rFonts w:ascii="等线" w:hAnsi="等线" w:eastAsia="等线" w:cs="等线"/>
                <w:spacing w:val="2"/>
                <w:sz w:val="20"/>
                <w:szCs w:val="20"/>
              </w:rPr>
              <w:t>年</w:t>
            </w:r>
            <w:r>
              <w:rPr>
                <w:rFonts w:ascii="Times New Roman" w:hAnsi="Times New Roman" w:eastAsia="Times New Roman" w:cs="Times New Roman"/>
                <w:spacing w:val="2"/>
                <w:sz w:val="20"/>
                <w:szCs w:val="20"/>
              </w:rPr>
              <w:t>3</w:t>
            </w:r>
            <w:r>
              <w:rPr>
                <w:rFonts w:ascii="等线" w:hAnsi="等线" w:eastAsia="等线" w:cs="等线"/>
                <w:spacing w:val="2"/>
                <w:sz w:val="20"/>
                <w:szCs w:val="20"/>
              </w:rPr>
              <w:t>月</w:t>
            </w:r>
          </w:p>
        </w:tc>
        <w:tc>
          <w:tcPr>
            <w:tcW w:w="1930" w:type="dxa"/>
            <w:vAlign w:val="top"/>
          </w:tcPr>
          <w:p w14:paraId="6E351950">
            <w:pPr>
              <w:spacing w:before="145"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2.63</w:t>
            </w:r>
          </w:p>
        </w:tc>
        <w:tc>
          <w:tcPr>
            <w:tcW w:w="1290" w:type="dxa"/>
            <w:vAlign w:val="top"/>
          </w:tcPr>
          <w:p w14:paraId="1768B95B">
            <w:pPr>
              <w:spacing w:before="145"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15.32</w:t>
            </w:r>
          </w:p>
        </w:tc>
        <w:tc>
          <w:tcPr>
            <w:tcW w:w="1290" w:type="dxa"/>
            <w:vAlign w:val="top"/>
          </w:tcPr>
          <w:p w14:paraId="4D4245BA">
            <w:pPr>
              <w:spacing w:before="145"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3.28</w:t>
            </w:r>
          </w:p>
        </w:tc>
        <w:tc>
          <w:tcPr>
            <w:tcW w:w="1290" w:type="dxa"/>
            <w:vAlign w:val="top"/>
          </w:tcPr>
          <w:p w14:paraId="538E7166">
            <w:pPr>
              <w:spacing w:before="145"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0.33</w:t>
            </w:r>
          </w:p>
        </w:tc>
        <w:tc>
          <w:tcPr>
            <w:tcW w:w="1305" w:type="dxa"/>
            <w:tcBorders>
              <w:right w:val="single" w:color="000000" w:sz="10" w:space="0"/>
            </w:tcBorders>
            <w:vAlign w:val="top"/>
          </w:tcPr>
          <w:p w14:paraId="0DE62176">
            <w:pPr>
              <w:spacing w:before="145"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11.10</w:t>
            </w:r>
          </w:p>
        </w:tc>
      </w:tr>
      <w:tr w14:paraId="65184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420" w:type="dxa"/>
            <w:tcBorders>
              <w:left w:val="single" w:color="000000" w:sz="10" w:space="0"/>
            </w:tcBorders>
            <w:vAlign w:val="top"/>
          </w:tcPr>
          <w:p w14:paraId="014F000E">
            <w:pPr>
              <w:spacing w:before="109" w:line="216" w:lineRule="auto"/>
              <w:ind w:left="147"/>
              <w:rPr>
                <w:rFonts w:ascii="等线" w:hAnsi="等线" w:eastAsia="等线" w:cs="等线"/>
                <w:sz w:val="20"/>
                <w:szCs w:val="20"/>
              </w:rPr>
            </w:pPr>
            <w:r>
              <w:rPr>
                <w:rFonts w:ascii="Times New Roman" w:hAnsi="Times New Roman" w:eastAsia="Times New Roman" w:cs="Times New Roman"/>
                <w:spacing w:val="2"/>
                <w:sz w:val="20"/>
                <w:szCs w:val="20"/>
              </w:rPr>
              <w:t>2023</w:t>
            </w:r>
            <w:r>
              <w:rPr>
                <w:rFonts w:ascii="等线" w:hAnsi="等线" w:eastAsia="等线" w:cs="等线"/>
                <w:spacing w:val="2"/>
                <w:sz w:val="20"/>
                <w:szCs w:val="20"/>
              </w:rPr>
              <w:t>年</w:t>
            </w:r>
            <w:r>
              <w:rPr>
                <w:rFonts w:ascii="Times New Roman" w:hAnsi="Times New Roman" w:eastAsia="Times New Roman" w:cs="Times New Roman"/>
                <w:spacing w:val="2"/>
                <w:sz w:val="20"/>
                <w:szCs w:val="20"/>
              </w:rPr>
              <w:t>4</w:t>
            </w:r>
            <w:r>
              <w:rPr>
                <w:rFonts w:ascii="等线" w:hAnsi="等线" w:eastAsia="等线" w:cs="等线"/>
                <w:spacing w:val="2"/>
                <w:sz w:val="20"/>
                <w:szCs w:val="20"/>
              </w:rPr>
              <w:t>月</w:t>
            </w:r>
          </w:p>
        </w:tc>
        <w:tc>
          <w:tcPr>
            <w:tcW w:w="1930" w:type="dxa"/>
            <w:vAlign w:val="top"/>
          </w:tcPr>
          <w:p w14:paraId="4B36E11E">
            <w:pPr>
              <w:spacing w:before="147"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2.57</w:t>
            </w:r>
          </w:p>
        </w:tc>
        <w:tc>
          <w:tcPr>
            <w:tcW w:w="1290" w:type="dxa"/>
            <w:vAlign w:val="top"/>
          </w:tcPr>
          <w:p w14:paraId="1334BB24">
            <w:pPr>
              <w:spacing w:before="147"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13.77</w:t>
            </w:r>
          </w:p>
        </w:tc>
        <w:tc>
          <w:tcPr>
            <w:tcW w:w="1290" w:type="dxa"/>
            <w:vAlign w:val="top"/>
          </w:tcPr>
          <w:p w14:paraId="35F96573">
            <w:pPr>
              <w:spacing w:before="147"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2.59</w:t>
            </w:r>
          </w:p>
        </w:tc>
        <w:tc>
          <w:tcPr>
            <w:tcW w:w="1290" w:type="dxa"/>
            <w:vAlign w:val="top"/>
          </w:tcPr>
          <w:p w14:paraId="69044394">
            <w:pPr>
              <w:spacing w:before="147"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0.37</w:t>
            </w:r>
          </w:p>
        </w:tc>
        <w:tc>
          <w:tcPr>
            <w:tcW w:w="1305" w:type="dxa"/>
            <w:tcBorders>
              <w:right w:val="single" w:color="000000" w:sz="10" w:space="0"/>
            </w:tcBorders>
            <w:vAlign w:val="top"/>
          </w:tcPr>
          <w:p w14:paraId="7FEF9153">
            <w:pPr>
              <w:spacing w:before="147"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10.21</w:t>
            </w:r>
          </w:p>
        </w:tc>
      </w:tr>
      <w:tr w14:paraId="79018B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420" w:type="dxa"/>
            <w:tcBorders>
              <w:left w:val="single" w:color="000000" w:sz="10" w:space="0"/>
            </w:tcBorders>
            <w:vAlign w:val="top"/>
          </w:tcPr>
          <w:p w14:paraId="5221C910">
            <w:pPr>
              <w:spacing w:before="112" w:line="216" w:lineRule="auto"/>
              <w:ind w:left="147"/>
              <w:rPr>
                <w:rFonts w:ascii="等线" w:hAnsi="等线" w:eastAsia="等线" w:cs="等线"/>
                <w:sz w:val="20"/>
                <w:szCs w:val="20"/>
              </w:rPr>
            </w:pPr>
            <w:r>
              <w:rPr>
                <w:rFonts w:ascii="Times New Roman" w:hAnsi="Times New Roman" w:eastAsia="Times New Roman" w:cs="Times New Roman"/>
                <w:spacing w:val="1"/>
                <w:sz w:val="20"/>
                <w:szCs w:val="20"/>
              </w:rPr>
              <w:t>2023</w:t>
            </w:r>
            <w:r>
              <w:rPr>
                <w:rFonts w:ascii="等线" w:hAnsi="等线" w:eastAsia="等线" w:cs="等线"/>
                <w:spacing w:val="1"/>
                <w:sz w:val="20"/>
                <w:szCs w:val="20"/>
              </w:rPr>
              <w:t>年</w:t>
            </w:r>
            <w:r>
              <w:rPr>
                <w:rFonts w:ascii="Times New Roman" w:hAnsi="Times New Roman" w:eastAsia="Times New Roman" w:cs="Times New Roman"/>
                <w:spacing w:val="1"/>
                <w:sz w:val="20"/>
                <w:szCs w:val="20"/>
              </w:rPr>
              <w:t>5</w:t>
            </w:r>
            <w:r>
              <w:rPr>
                <w:rFonts w:ascii="等线" w:hAnsi="等线" w:eastAsia="等线" w:cs="等线"/>
                <w:spacing w:val="1"/>
                <w:sz w:val="20"/>
                <w:szCs w:val="20"/>
              </w:rPr>
              <w:t>月</w:t>
            </w:r>
          </w:p>
        </w:tc>
        <w:tc>
          <w:tcPr>
            <w:tcW w:w="1930" w:type="dxa"/>
            <w:vAlign w:val="top"/>
          </w:tcPr>
          <w:p w14:paraId="7F2E9899">
            <w:pPr>
              <w:spacing w:before="148"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2.69</w:t>
            </w:r>
          </w:p>
        </w:tc>
        <w:tc>
          <w:tcPr>
            <w:tcW w:w="1290" w:type="dxa"/>
            <w:vAlign w:val="top"/>
          </w:tcPr>
          <w:p w14:paraId="3AFA1161">
            <w:pPr>
              <w:spacing w:before="148"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15.68</w:t>
            </w:r>
          </w:p>
        </w:tc>
        <w:tc>
          <w:tcPr>
            <w:tcW w:w="1290" w:type="dxa"/>
            <w:vAlign w:val="top"/>
          </w:tcPr>
          <w:p w14:paraId="661B971B">
            <w:pPr>
              <w:spacing w:before="148"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3.02</w:t>
            </w:r>
          </w:p>
        </w:tc>
        <w:tc>
          <w:tcPr>
            <w:tcW w:w="1290" w:type="dxa"/>
            <w:vAlign w:val="top"/>
          </w:tcPr>
          <w:p w14:paraId="487B5F9A">
            <w:pPr>
              <w:spacing w:before="148"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0.44</w:t>
            </w:r>
          </w:p>
        </w:tc>
        <w:tc>
          <w:tcPr>
            <w:tcW w:w="1305" w:type="dxa"/>
            <w:tcBorders>
              <w:right w:val="single" w:color="000000" w:sz="10" w:space="0"/>
            </w:tcBorders>
            <w:vAlign w:val="top"/>
          </w:tcPr>
          <w:p w14:paraId="73DED619">
            <w:pPr>
              <w:spacing w:before="148" w:line="195" w:lineRule="auto"/>
              <w:ind w:left="47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9.35</w:t>
            </w:r>
          </w:p>
        </w:tc>
      </w:tr>
      <w:tr w14:paraId="30741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420" w:type="dxa"/>
            <w:tcBorders>
              <w:left w:val="single" w:color="000000" w:sz="10" w:space="0"/>
            </w:tcBorders>
            <w:vAlign w:val="top"/>
          </w:tcPr>
          <w:p w14:paraId="68F36207">
            <w:pPr>
              <w:spacing w:before="115" w:line="216" w:lineRule="auto"/>
              <w:ind w:left="147"/>
              <w:rPr>
                <w:rFonts w:ascii="等线" w:hAnsi="等线" w:eastAsia="等线" w:cs="等线"/>
                <w:sz w:val="20"/>
                <w:szCs w:val="20"/>
              </w:rPr>
            </w:pPr>
            <w:r>
              <w:rPr>
                <w:rFonts w:ascii="Times New Roman" w:hAnsi="Times New Roman" w:eastAsia="Times New Roman" w:cs="Times New Roman"/>
                <w:spacing w:val="1"/>
                <w:sz w:val="20"/>
                <w:szCs w:val="20"/>
              </w:rPr>
              <w:t>2023</w:t>
            </w:r>
            <w:r>
              <w:rPr>
                <w:rFonts w:ascii="等线" w:hAnsi="等线" w:eastAsia="等线" w:cs="等线"/>
                <w:spacing w:val="1"/>
                <w:sz w:val="20"/>
                <w:szCs w:val="20"/>
              </w:rPr>
              <w:t>年</w:t>
            </w:r>
            <w:r>
              <w:rPr>
                <w:rFonts w:ascii="Times New Roman" w:hAnsi="Times New Roman" w:eastAsia="Times New Roman" w:cs="Times New Roman"/>
                <w:spacing w:val="1"/>
                <w:sz w:val="20"/>
                <w:szCs w:val="20"/>
              </w:rPr>
              <w:t>6</w:t>
            </w:r>
            <w:r>
              <w:rPr>
                <w:rFonts w:ascii="等线" w:hAnsi="等线" w:eastAsia="等线" w:cs="等线"/>
                <w:spacing w:val="1"/>
                <w:sz w:val="20"/>
                <w:szCs w:val="20"/>
              </w:rPr>
              <w:t>月</w:t>
            </w:r>
          </w:p>
        </w:tc>
        <w:tc>
          <w:tcPr>
            <w:tcW w:w="1930" w:type="dxa"/>
            <w:vAlign w:val="top"/>
          </w:tcPr>
          <w:p w14:paraId="443E2EA5">
            <w:pPr>
              <w:spacing w:before="151"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2.53</w:t>
            </w:r>
          </w:p>
        </w:tc>
        <w:tc>
          <w:tcPr>
            <w:tcW w:w="1290" w:type="dxa"/>
            <w:vAlign w:val="top"/>
          </w:tcPr>
          <w:p w14:paraId="0EDCA266">
            <w:pPr>
              <w:spacing w:before="151"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15.27</w:t>
            </w:r>
          </w:p>
        </w:tc>
        <w:tc>
          <w:tcPr>
            <w:tcW w:w="1290" w:type="dxa"/>
            <w:vAlign w:val="top"/>
          </w:tcPr>
          <w:p w14:paraId="5BA17DF6">
            <w:pPr>
              <w:spacing w:before="151"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2.08</w:t>
            </w:r>
          </w:p>
        </w:tc>
        <w:tc>
          <w:tcPr>
            <w:tcW w:w="1290" w:type="dxa"/>
            <w:vAlign w:val="top"/>
          </w:tcPr>
          <w:p w14:paraId="0B827385">
            <w:pPr>
              <w:spacing w:before="151"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0.40</w:t>
            </w:r>
          </w:p>
        </w:tc>
        <w:tc>
          <w:tcPr>
            <w:tcW w:w="1305" w:type="dxa"/>
            <w:tcBorders>
              <w:right w:val="single" w:color="000000" w:sz="10" w:space="0"/>
            </w:tcBorders>
            <w:vAlign w:val="top"/>
          </w:tcPr>
          <w:p w14:paraId="4B708F98">
            <w:pPr>
              <w:spacing w:before="151" w:line="195" w:lineRule="auto"/>
              <w:ind w:left="4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7.67</w:t>
            </w:r>
          </w:p>
        </w:tc>
      </w:tr>
      <w:tr w14:paraId="18BDF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420" w:type="dxa"/>
            <w:tcBorders>
              <w:left w:val="single" w:color="000000" w:sz="10" w:space="0"/>
            </w:tcBorders>
            <w:vAlign w:val="top"/>
          </w:tcPr>
          <w:p w14:paraId="2436C275">
            <w:pPr>
              <w:spacing w:before="116" w:line="216" w:lineRule="auto"/>
              <w:ind w:left="147"/>
              <w:rPr>
                <w:rFonts w:ascii="等线" w:hAnsi="等线" w:eastAsia="等线" w:cs="等线"/>
                <w:sz w:val="20"/>
                <w:szCs w:val="20"/>
              </w:rPr>
            </w:pPr>
            <w:r>
              <w:rPr>
                <w:rFonts w:ascii="Times New Roman" w:hAnsi="Times New Roman" w:eastAsia="Times New Roman" w:cs="Times New Roman"/>
                <w:spacing w:val="2"/>
                <w:sz w:val="20"/>
                <w:szCs w:val="20"/>
              </w:rPr>
              <w:t>2023</w:t>
            </w:r>
            <w:r>
              <w:rPr>
                <w:rFonts w:ascii="等线" w:hAnsi="等线" w:eastAsia="等线" w:cs="等线"/>
                <w:spacing w:val="2"/>
                <w:sz w:val="20"/>
                <w:szCs w:val="20"/>
              </w:rPr>
              <w:t>年</w:t>
            </w:r>
            <w:r>
              <w:rPr>
                <w:rFonts w:ascii="Times New Roman" w:hAnsi="Times New Roman" w:eastAsia="Times New Roman" w:cs="Times New Roman"/>
                <w:spacing w:val="2"/>
                <w:sz w:val="20"/>
                <w:szCs w:val="20"/>
              </w:rPr>
              <w:t>7</w:t>
            </w:r>
            <w:r>
              <w:rPr>
                <w:rFonts w:ascii="等线" w:hAnsi="等线" w:eastAsia="等线" w:cs="等线"/>
                <w:spacing w:val="2"/>
                <w:sz w:val="20"/>
                <w:szCs w:val="20"/>
              </w:rPr>
              <w:t>月</w:t>
            </w:r>
          </w:p>
        </w:tc>
        <w:tc>
          <w:tcPr>
            <w:tcW w:w="1930" w:type="dxa"/>
            <w:vAlign w:val="top"/>
          </w:tcPr>
          <w:p w14:paraId="38A4FEA7">
            <w:pPr>
              <w:spacing w:before="152"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2.56</w:t>
            </w:r>
          </w:p>
        </w:tc>
        <w:tc>
          <w:tcPr>
            <w:tcW w:w="1290" w:type="dxa"/>
            <w:vAlign w:val="top"/>
          </w:tcPr>
          <w:p w14:paraId="2E660380">
            <w:pPr>
              <w:spacing w:before="152"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14.45</w:t>
            </w:r>
          </w:p>
        </w:tc>
        <w:tc>
          <w:tcPr>
            <w:tcW w:w="1290" w:type="dxa"/>
            <w:vAlign w:val="top"/>
          </w:tcPr>
          <w:p w14:paraId="17B6FF4F">
            <w:pPr>
              <w:spacing w:before="152"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3.93</w:t>
            </w:r>
          </w:p>
        </w:tc>
        <w:tc>
          <w:tcPr>
            <w:tcW w:w="1290" w:type="dxa"/>
            <w:vAlign w:val="top"/>
          </w:tcPr>
          <w:p w14:paraId="483A5639">
            <w:pPr>
              <w:spacing w:before="152"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0.56</w:t>
            </w:r>
          </w:p>
        </w:tc>
        <w:tc>
          <w:tcPr>
            <w:tcW w:w="1305" w:type="dxa"/>
            <w:tcBorders>
              <w:right w:val="single" w:color="000000" w:sz="10" w:space="0"/>
            </w:tcBorders>
            <w:vAlign w:val="top"/>
          </w:tcPr>
          <w:p w14:paraId="54D6059D">
            <w:pPr>
              <w:spacing w:before="152" w:line="195" w:lineRule="auto"/>
              <w:ind w:left="47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9.30</w:t>
            </w:r>
          </w:p>
        </w:tc>
      </w:tr>
      <w:tr w14:paraId="2A3D5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420" w:type="dxa"/>
            <w:tcBorders>
              <w:left w:val="single" w:color="000000" w:sz="10" w:space="0"/>
            </w:tcBorders>
            <w:vAlign w:val="top"/>
          </w:tcPr>
          <w:p w14:paraId="70100AF7">
            <w:pPr>
              <w:spacing w:before="119" w:line="216" w:lineRule="auto"/>
              <w:ind w:left="147"/>
              <w:rPr>
                <w:rFonts w:ascii="等线" w:hAnsi="等线" w:eastAsia="等线" w:cs="等线"/>
                <w:sz w:val="20"/>
                <w:szCs w:val="20"/>
              </w:rPr>
            </w:pPr>
            <w:r>
              <w:rPr>
                <w:rFonts w:ascii="Times New Roman" w:hAnsi="Times New Roman" w:eastAsia="Times New Roman" w:cs="Times New Roman"/>
                <w:sz w:val="20"/>
                <w:szCs w:val="20"/>
              </w:rPr>
              <w:t>2023</w:t>
            </w:r>
            <w:r>
              <w:rPr>
                <w:rFonts w:ascii="等线" w:hAnsi="等线" w:eastAsia="等线" w:cs="等线"/>
                <w:sz w:val="20"/>
                <w:szCs w:val="20"/>
              </w:rPr>
              <w:t>年</w:t>
            </w:r>
            <w:r>
              <w:rPr>
                <w:rFonts w:ascii="Times New Roman" w:hAnsi="Times New Roman" w:eastAsia="Times New Roman" w:cs="Times New Roman"/>
                <w:sz w:val="20"/>
                <w:szCs w:val="20"/>
              </w:rPr>
              <w:t>8</w:t>
            </w:r>
            <w:r>
              <w:rPr>
                <w:rFonts w:ascii="等线" w:hAnsi="等线" w:eastAsia="等线" w:cs="等线"/>
                <w:sz w:val="20"/>
                <w:szCs w:val="20"/>
              </w:rPr>
              <w:t>月</w:t>
            </w:r>
          </w:p>
        </w:tc>
        <w:tc>
          <w:tcPr>
            <w:tcW w:w="1930" w:type="dxa"/>
            <w:vAlign w:val="top"/>
          </w:tcPr>
          <w:p w14:paraId="5307EDFC">
            <w:pPr>
              <w:spacing w:before="155"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2.57</w:t>
            </w:r>
          </w:p>
        </w:tc>
        <w:tc>
          <w:tcPr>
            <w:tcW w:w="1290" w:type="dxa"/>
            <w:vAlign w:val="top"/>
          </w:tcPr>
          <w:p w14:paraId="14A59777">
            <w:pPr>
              <w:spacing w:before="155"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14.23</w:t>
            </w:r>
          </w:p>
        </w:tc>
        <w:tc>
          <w:tcPr>
            <w:tcW w:w="1290" w:type="dxa"/>
            <w:vAlign w:val="top"/>
          </w:tcPr>
          <w:p w14:paraId="50E5D063">
            <w:pPr>
              <w:spacing w:before="155"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2.73</w:t>
            </w:r>
          </w:p>
        </w:tc>
        <w:tc>
          <w:tcPr>
            <w:tcW w:w="1290" w:type="dxa"/>
            <w:vAlign w:val="top"/>
          </w:tcPr>
          <w:p w14:paraId="4FE7EF72">
            <w:pPr>
              <w:spacing w:before="155"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0.61</w:t>
            </w:r>
          </w:p>
        </w:tc>
        <w:tc>
          <w:tcPr>
            <w:tcW w:w="1305" w:type="dxa"/>
            <w:tcBorders>
              <w:right w:val="single" w:color="000000" w:sz="10" w:space="0"/>
            </w:tcBorders>
            <w:vAlign w:val="top"/>
          </w:tcPr>
          <w:p w14:paraId="0B9554FF">
            <w:pPr>
              <w:spacing w:before="155" w:line="195" w:lineRule="auto"/>
              <w:ind w:left="484"/>
              <w:rPr>
                <w:rFonts w:ascii="Times New Roman" w:hAnsi="Times New Roman" w:eastAsia="Times New Roman" w:cs="Times New Roman"/>
                <w:sz w:val="20"/>
                <w:szCs w:val="20"/>
              </w:rPr>
            </w:pPr>
            <w:r>
              <w:rPr>
                <w:rFonts w:ascii="Times New Roman" w:hAnsi="Times New Roman" w:eastAsia="Times New Roman" w:cs="Times New Roman"/>
                <w:sz w:val="20"/>
                <w:szCs w:val="20"/>
              </w:rPr>
              <w:t>8.98</w:t>
            </w:r>
          </w:p>
        </w:tc>
      </w:tr>
      <w:tr w14:paraId="5EA98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1420" w:type="dxa"/>
            <w:tcBorders>
              <w:left w:val="single" w:color="000000" w:sz="10" w:space="0"/>
            </w:tcBorders>
            <w:vAlign w:val="top"/>
          </w:tcPr>
          <w:p w14:paraId="04B88364">
            <w:pPr>
              <w:spacing w:before="120" w:line="216" w:lineRule="auto"/>
              <w:ind w:left="147"/>
              <w:rPr>
                <w:rFonts w:ascii="等线" w:hAnsi="等线" w:eastAsia="等线" w:cs="等线"/>
                <w:sz w:val="20"/>
                <w:szCs w:val="20"/>
              </w:rPr>
            </w:pPr>
            <w:r>
              <w:rPr>
                <w:rFonts w:ascii="Times New Roman" w:hAnsi="Times New Roman" w:eastAsia="Times New Roman" w:cs="Times New Roman"/>
                <w:spacing w:val="2"/>
                <w:sz w:val="20"/>
                <w:szCs w:val="20"/>
              </w:rPr>
              <w:t>2023</w:t>
            </w:r>
            <w:r>
              <w:rPr>
                <w:rFonts w:ascii="等线" w:hAnsi="等线" w:eastAsia="等线" w:cs="等线"/>
                <w:spacing w:val="2"/>
                <w:sz w:val="20"/>
                <w:szCs w:val="20"/>
              </w:rPr>
              <w:t>年</w:t>
            </w:r>
            <w:r>
              <w:rPr>
                <w:rFonts w:ascii="Times New Roman" w:hAnsi="Times New Roman" w:eastAsia="Times New Roman" w:cs="Times New Roman"/>
                <w:spacing w:val="2"/>
                <w:sz w:val="20"/>
                <w:szCs w:val="20"/>
              </w:rPr>
              <w:t>9</w:t>
            </w:r>
            <w:r>
              <w:rPr>
                <w:rFonts w:ascii="等线" w:hAnsi="等线" w:eastAsia="等线" w:cs="等线"/>
                <w:spacing w:val="2"/>
                <w:sz w:val="20"/>
                <w:szCs w:val="20"/>
              </w:rPr>
              <w:t>月</w:t>
            </w:r>
          </w:p>
        </w:tc>
        <w:tc>
          <w:tcPr>
            <w:tcW w:w="1930" w:type="dxa"/>
            <w:vAlign w:val="top"/>
          </w:tcPr>
          <w:p w14:paraId="11E998C8">
            <w:pPr>
              <w:spacing w:before="158"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2.64</w:t>
            </w:r>
          </w:p>
        </w:tc>
        <w:tc>
          <w:tcPr>
            <w:tcW w:w="1290" w:type="dxa"/>
            <w:vAlign w:val="top"/>
          </w:tcPr>
          <w:p w14:paraId="5A0965AB">
            <w:pPr>
              <w:spacing w:before="158"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15.00</w:t>
            </w:r>
          </w:p>
        </w:tc>
        <w:tc>
          <w:tcPr>
            <w:tcW w:w="1290" w:type="dxa"/>
            <w:vAlign w:val="top"/>
          </w:tcPr>
          <w:p w14:paraId="75A3337E">
            <w:pPr>
              <w:spacing w:before="158" w:line="195" w:lineRule="auto"/>
              <w:ind w:left="4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4.25</w:t>
            </w:r>
          </w:p>
        </w:tc>
        <w:tc>
          <w:tcPr>
            <w:tcW w:w="1290" w:type="dxa"/>
            <w:vAlign w:val="top"/>
          </w:tcPr>
          <w:p w14:paraId="0140B357">
            <w:pPr>
              <w:spacing w:before="158"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0.59</w:t>
            </w:r>
          </w:p>
        </w:tc>
        <w:tc>
          <w:tcPr>
            <w:tcW w:w="1305" w:type="dxa"/>
            <w:tcBorders>
              <w:right w:val="single" w:color="000000" w:sz="10" w:space="0"/>
            </w:tcBorders>
            <w:vAlign w:val="top"/>
          </w:tcPr>
          <w:p w14:paraId="188DC3B1">
            <w:pPr>
              <w:spacing w:before="158"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10.88</w:t>
            </w:r>
          </w:p>
        </w:tc>
      </w:tr>
      <w:tr w14:paraId="40F36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420" w:type="dxa"/>
            <w:tcBorders>
              <w:left w:val="single" w:color="000000" w:sz="10" w:space="0"/>
            </w:tcBorders>
            <w:vAlign w:val="top"/>
          </w:tcPr>
          <w:p w14:paraId="0AE99B4D">
            <w:pPr>
              <w:spacing w:before="122" w:line="216" w:lineRule="auto"/>
              <w:ind w:left="101"/>
              <w:rPr>
                <w:rFonts w:ascii="等线" w:hAnsi="等线" w:eastAsia="等线" w:cs="等线"/>
                <w:sz w:val="20"/>
                <w:szCs w:val="20"/>
              </w:rPr>
            </w:pPr>
            <w:r>
              <w:rPr>
                <w:rFonts w:ascii="Times New Roman" w:hAnsi="Times New Roman" w:eastAsia="Times New Roman" w:cs="Times New Roman"/>
                <w:spacing w:val="-1"/>
                <w:sz w:val="20"/>
                <w:szCs w:val="20"/>
              </w:rPr>
              <w:t>2023</w:t>
            </w:r>
            <w:r>
              <w:rPr>
                <w:rFonts w:ascii="等线" w:hAnsi="等线" w:eastAsia="等线" w:cs="等线"/>
                <w:spacing w:val="-1"/>
                <w:sz w:val="20"/>
                <w:szCs w:val="20"/>
              </w:rPr>
              <w:t>年</w:t>
            </w:r>
            <w:r>
              <w:rPr>
                <w:rFonts w:ascii="Times New Roman" w:hAnsi="Times New Roman" w:eastAsia="Times New Roman" w:cs="Times New Roman"/>
                <w:spacing w:val="-1"/>
                <w:sz w:val="20"/>
                <w:szCs w:val="20"/>
              </w:rPr>
              <w:t>10</w:t>
            </w:r>
            <w:r>
              <w:rPr>
                <w:rFonts w:ascii="等线" w:hAnsi="等线" w:eastAsia="等线" w:cs="等线"/>
                <w:spacing w:val="-1"/>
                <w:sz w:val="20"/>
                <w:szCs w:val="20"/>
              </w:rPr>
              <w:t>月</w:t>
            </w:r>
          </w:p>
        </w:tc>
        <w:tc>
          <w:tcPr>
            <w:tcW w:w="1930" w:type="dxa"/>
            <w:vAlign w:val="top"/>
          </w:tcPr>
          <w:p w14:paraId="0DE8E8F0">
            <w:pPr>
              <w:spacing w:before="157"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2.18</w:t>
            </w:r>
          </w:p>
        </w:tc>
        <w:tc>
          <w:tcPr>
            <w:tcW w:w="1290" w:type="dxa"/>
            <w:vAlign w:val="top"/>
          </w:tcPr>
          <w:p w14:paraId="2ACB1E38">
            <w:pPr>
              <w:spacing w:before="157"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13.99</w:t>
            </w:r>
          </w:p>
        </w:tc>
        <w:tc>
          <w:tcPr>
            <w:tcW w:w="1290" w:type="dxa"/>
            <w:vAlign w:val="top"/>
          </w:tcPr>
          <w:p w14:paraId="54C4DCCB">
            <w:pPr>
              <w:spacing w:before="157"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3.70</w:t>
            </w:r>
          </w:p>
        </w:tc>
        <w:tc>
          <w:tcPr>
            <w:tcW w:w="1290" w:type="dxa"/>
            <w:vAlign w:val="top"/>
          </w:tcPr>
          <w:p w14:paraId="5DDC4A20">
            <w:pPr>
              <w:spacing w:before="157"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0.49</w:t>
            </w:r>
          </w:p>
        </w:tc>
        <w:tc>
          <w:tcPr>
            <w:tcW w:w="1305" w:type="dxa"/>
            <w:tcBorders>
              <w:right w:val="single" w:color="000000" w:sz="10" w:space="0"/>
            </w:tcBorders>
            <w:vAlign w:val="top"/>
          </w:tcPr>
          <w:p w14:paraId="31E94C4A">
            <w:pPr>
              <w:spacing w:before="157"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11.49</w:t>
            </w:r>
          </w:p>
        </w:tc>
      </w:tr>
      <w:tr w14:paraId="3B844F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420" w:type="dxa"/>
            <w:tcBorders>
              <w:left w:val="single" w:color="000000" w:sz="10" w:space="0"/>
            </w:tcBorders>
            <w:vAlign w:val="top"/>
          </w:tcPr>
          <w:p w14:paraId="3E73414F">
            <w:pPr>
              <w:spacing w:before="125" w:line="216" w:lineRule="auto"/>
              <w:ind w:left="101"/>
              <w:rPr>
                <w:rFonts w:ascii="等线" w:hAnsi="等线" w:eastAsia="等线" w:cs="等线"/>
                <w:sz w:val="20"/>
                <w:szCs w:val="20"/>
              </w:rPr>
            </w:pPr>
            <w:r>
              <w:rPr>
                <w:rFonts w:ascii="Times New Roman" w:hAnsi="Times New Roman" w:eastAsia="Times New Roman" w:cs="Times New Roman"/>
                <w:spacing w:val="-1"/>
                <w:sz w:val="20"/>
                <w:szCs w:val="20"/>
              </w:rPr>
              <w:t>2023</w:t>
            </w:r>
            <w:r>
              <w:rPr>
                <w:rFonts w:ascii="等线" w:hAnsi="等线" w:eastAsia="等线" w:cs="等线"/>
                <w:spacing w:val="-1"/>
                <w:sz w:val="20"/>
                <w:szCs w:val="20"/>
              </w:rPr>
              <w:t>年</w:t>
            </w:r>
            <w:r>
              <w:rPr>
                <w:rFonts w:ascii="Times New Roman" w:hAnsi="Times New Roman" w:eastAsia="Times New Roman" w:cs="Times New Roman"/>
                <w:spacing w:val="-1"/>
                <w:sz w:val="20"/>
                <w:szCs w:val="20"/>
              </w:rPr>
              <w:t>11</w:t>
            </w:r>
            <w:r>
              <w:rPr>
                <w:rFonts w:ascii="等线" w:hAnsi="等线" w:eastAsia="等线" w:cs="等线"/>
                <w:spacing w:val="-1"/>
                <w:sz w:val="20"/>
                <w:szCs w:val="20"/>
              </w:rPr>
              <w:t>月</w:t>
            </w:r>
          </w:p>
        </w:tc>
        <w:tc>
          <w:tcPr>
            <w:tcW w:w="1930" w:type="dxa"/>
            <w:vAlign w:val="top"/>
          </w:tcPr>
          <w:p w14:paraId="52FCFED7">
            <w:pPr>
              <w:spacing w:before="160"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2.52</w:t>
            </w:r>
          </w:p>
        </w:tc>
        <w:tc>
          <w:tcPr>
            <w:tcW w:w="1290" w:type="dxa"/>
            <w:vAlign w:val="top"/>
          </w:tcPr>
          <w:p w14:paraId="36D3E04A">
            <w:pPr>
              <w:spacing w:before="160"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13.32</w:t>
            </w:r>
          </w:p>
        </w:tc>
        <w:tc>
          <w:tcPr>
            <w:tcW w:w="1290" w:type="dxa"/>
            <w:vAlign w:val="top"/>
          </w:tcPr>
          <w:p w14:paraId="613B1E60">
            <w:pPr>
              <w:spacing w:before="160"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2.44</w:t>
            </w:r>
          </w:p>
        </w:tc>
        <w:tc>
          <w:tcPr>
            <w:tcW w:w="1290" w:type="dxa"/>
            <w:vAlign w:val="top"/>
          </w:tcPr>
          <w:p w14:paraId="30BFE24F">
            <w:pPr>
              <w:spacing w:before="160"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0.65</w:t>
            </w:r>
          </w:p>
        </w:tc>
        <w:tc>
          <w:tcPr>
            <w:tcW w:w="1305" w:type="dxa"/>
            <w:tcBorders>
              <w:right w:val="single" w:color="000000" w:sz="10" w:space="0"/>
            </w:tcBorders>
            <w:vAlign w:val="top"/>
          </w:tcPr>
          <w:p w14:paraId="0901CE3B">
            <w:pPr>
              <w:spacing w:before="160"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10.85</w:t>
            </w:r>
          </w:p>
        </w:tc>
      </w:tr>
      <w:tr w14:paraId="15CA2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420" w:type="dxa"/>
            <w:tcBorders>
              <w:left w:val="single" w:color="000000" w:sz="10" w:space="0"/>
            </w:tcBorders>
            <w:vAlign w:val="top"/>
          </w:tcPr>
          <w:p w14:paraId="18BD8B8D">
            <w:pPr>
              <w:spacing w:before="125" w:line="216" w:lineRule="auto"/>
              <w:ind w:left="101"/>
              <w:rPr>
                <w:rFonts w:ascii="等线" w:hAnsi="等线" w:eastAsia="等线" w:cs="等线"/>
                <w:sz w:val="20"/>
                <w:szCs w:val="20"/>
              </w:rPr>
            </w:pPr>
            <w:r>
              <w:rPr>
                <w:rFonts w:ascii="Times New Roman" w:hAnsi="Times New Roman" w:eastAsia="Times New Roman" w:cs="Times New Roman"/>
                <w:spacing w:val="-1"/>
                <w:sz w:val="20"/>
                <w:szCs w:val="20"/>
              </w:rPr>
              <w:t>2023</w:t>
            </w:r>
            <w:r>
              <w:rPr>
                <w:rFonts w:ascii="等线" w:hAnsi="等线" w:eastAsia="等线" w:cs="等线"/>
                <w:spacing w:val="-1"/>
                <w:sz w:val="20"/>
                <w:szCs w:val="20"/>
              </w:rPr>
              <w:t>年</w:t>
            </w:r>
            <w:r>
              <w:rPr>
                <w:rFonts w:ascii="Times New Roman" w:hAnsi="Times New Roman" w:eastAsia="Times New Roman" w:cs="Times New Roman"/>
                <w:spacing w:val="-1"/>
                <w:sz w:val="20"/>
                <w:szCs w:val="20"/>
              </w:rPr>
              <w:t>12</w:t>
            </w:r>
            <w:r>
              <w:rPr>
                <w:rFonts w:ascii="等线" w:hAnsi="等线" w:eastAsia="等线" w:cs="等线"/>
                <w:spacing w:val="-1"/>
                <w:sz w:val="20"/>
                <w:szCs w:val="20"/>
              </w:rPr>
              <w:t>月</w:t>
            </w:r>
          </w:p>
        </w:tc>
        <w:tc>
          <w:tcPr>
            <w:tcW w:w="1930" w:type="dxa"/>
            <w:vAlign w:val="top"/>
          </w:tcPr>
          <w:p w14:paraId="17E4AEC8">
            <w:pPr>
              <w:spacing w:before="161"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2.25</w:t>
            </w:r>
          </w:p>
        </w:tc>
        <w:tc>
          <w:tcPr>
            <w:tcW w:w="1290" w:type="dxa"/>
            <w:vAlign w:val="top"/>
          </w:tcPr>
          <w:p w14:paraId="158E7F6D">
            <w:pPr>
              <w:spacing w:before="161"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14.20</w:t>
            </w:r>
          </w:p>
        </w:tc>
        <w:tc>
          <w:tcPr>
            <w:tcW w:w="1290" w:type="dxa"/>
            <w:vAlign w:val="top"/>
          </w:tcPr>
          <w:p w14:paraId="27BE1010">
            <w:pPr>
              <w:spacing w:before="161" w:line="195" w:lineRule="auto"/>
              <w:ind w:left="4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4.10</w:t>
            </w:r>
          </w:p>
        </w:tc>
        <w:tc>
          <w:tcPr>
            <w:tcW w:w="1290" w:type="dxa"/>
            <w:vAlign w:val="top"/>
          </w:tcPr>
          <w:p w14:paraId="1C1201F7">
            <w:pPr>
              <w:spacing w:before="161"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0.56</w:t>
            </w:r>
          </w:p>
        </w:tc>
        <w:tc>
          <w:tcPr>
            <w:tcW w:w="1305" w:type="dxa"/>
            <w:tcBorders>
              <w:right w:val="single" w:color="000000" w:sz="10" w:space="0"/>
            </w:tcBorders>
            <w:vAlign w:val="top"/>
          </w:tcPr>
          <w:p w14:paraId="085AB3EF">
            <w:pPr>
              <w:spacing w:before="161"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12.50</w:t>
            </w:r>
          </w:p>
        </w:tc>
      </w:tr>
      <w:tr w14:paraId="059E0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1420" w:type="dxa"/>
            <w:tcBorders>
              <w:left w:val="single" w:color="000000" w:sz="10" w:space="0"/>
            </w:tcBorders>
            <w:vAlign w:val="top"/>
          </w:tcPr>
          <w:p w14:paraId="5CBB3ED7">
            <w:pPr>
              <w:spacing w:before="128" w:line="216" w:lineRule="auto"/>
              <w:ind w:left="147"/>
              <w:rPr>
                <w:rFonts w:ascii="等线" w:hAnsi="等线" w:eastAsia="等线" w:cs="等线"/>
                <w:sz w:val="20"/>
                <w:szCs w:val="20"/>
              </w:rPr>
            </w:pPr>
            <w:r>
              <w:rPr>
                <w:rFonts w:ascii="Times New Roman" w:hAnsi="Times New Roman" w:eastAsia="Times New Roman" w:cs="Times New Roman"/>
                <w:spacing w:val="-1"/>
                <w:sz w:val="20"/>
                <w:szCs w:val="20"/>
              </w:rPr>
              <w:t>2024</w:t>
            </w:r>
            <w:r>
              <w:rPr>
                <w:rFonts w:ascii="等线" w:hAnsi="等线" w:eastAsia="等线" w:cs="等线"/>
                <w:spacing w:val="-1"/>
                <w:sz w:val="20"/>
                <w:szCs w:val="20"/>
              </w:rPr>
              <w:t>年</w:t>
            </w:r>
            <w:r>
              <w:rPr>
                <w:rFonts w:ascii="Times New Roman" w:hAnsi="Times New Roman" w:eastAsia="Times New Roman" w:cs="Times New Roman"/>
                <w:spacing w:val="-1"/>
                <w:sz w:val="20"/>
                <w:szCs w:val="20"/>
              </w:rPr>
              <w:t>1</w:t>
            </w:r>
            <w:r>
              <w:rPr>
                <w:rFonts w:ascii="等线" w:hAnsi="等线" w:eastAsia="等线" w:cs="等线"/>
                <w:spacing w:val="-1"/>
                <w:sz w:val="20"/>
                <w:szCs w:val="20"/>
              </w:rPr>
              <w:t>月</w:t>
            </w:r>
          </w:p>
        </w:tc>
        <w:tc>
          <w:tcPr>
            <w:tcW w:w="1930" w:type="dxa"/>
            <w:vAlign w:val="top"/>
          </w:tcPr>
          <w:p w14:paraId="146304B8">
            <w:pPr>
              <w:spacing w:before="164"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2.64</w:t>
            </w:r>
          </w:p>
        </w:tc>
        <w:tc>
          <w:tcPr>
            <w:tcW w:w="1290" w:type="dxa"/>
            <w:vAlign w:val="top"/>
          </w:tcPr>
          <w:p w14:paraId="213C6A2D">
            <w:pPr>
              <w:spacing w:before="164"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13.10</w:t>
            </w:r>
          </w:p>
        </w:tc>
        <w:tc>
          <w:tcPr>
            <w:tcW w:w="1290" w:type="dxa"/>
            <w:vAlign w:val="top"/>
          </w:tcPr>
          <w:p w14:paraId="19E9F601">
            <w:pPr>
              <w:spacing w:before="164"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2.96</w:t>
            </w:r>
          </w:p>
        </w:tc>
        <w:tc>
          <w:tcPr>
            <w:tcW w:w="1290" w:type="dxa"/>
            <w:vAlign w:val="top"/>
          </w:tcPr>
          <w:p w14:paraId="6C5D0701">
            <w:pPr>
              <w:spacing w:before="164"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0.52</w:t>
            </w:r>
          </w:p>
        </w:tc>
        <w:tc>
          <w:tcPr>
            <w:tcW w:w="1305" w:type="dxa"/>
            <w:tcBorders>
              <w:right w:val="single" w:color="000000" w:sz="10" w:space="0"/>
            </w:tcBorders>
            <w:vAlign w:val="top"/>
          </w:tcPr>
          <w:p w14:paraId="5D5DCF32">
            <w:pPr>
              <w:spacing w:before="164"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11.35</w:t>
            </w:r>
          </w:p>
        </w:tc>
      </w:tr>
      <w:tr w14:paraId="7E9FD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420" w:type="dxa"/>
            <w:tcBorders>
              <w:left w:val="single" w:color="000000" w:sz="10" w:space="0"/>
              <w:bottom w:val="single" w:color="000000" w:sz="10" w:space="0"/>
            </w:tcBorders>
            <w:vAlign w:val="top"/>
          </w:tcPr>
          <w:p w14:paraId="640A3AB0">
            <w:pPr>
              <w:spacing w:before="128" w:line="216" w:lineRule="auto"/>
              <w:ind w:left="147"/>
              <w:rPr>
                <w:rFonts w:ascii="等线" w:hAnsi="等线" w:eastAsia="等线" w:cs="等线"/>
                <w:sz w:val="20"/>
                <w:szCs w:val="20"/>
              </w:rPr>
            </w:pPr>
            <w:r>
              <w:rPr>
                <w:rFonts w:ascii="Times New Roman" w:hAnsi="Times New Roman" w:eastAsia="Times New Roman" w:cs="Times New Roman"/>
                <w:spacing w:val="2"/>
                <w:sz w:val="20"/>
                <w:szCs w:val="20"/>
              </w:rPr>
              <w:t>2024</w:t>
            </w:r>
            <w:r>
              <w:rPr>
                <w:rFonts w:ascii="等线" w:hAnsi="等线" w:eastAsia="等线" w:cs="等线"/>
                <w:spacing w:val="2"/>
                <w:sz w:val="20"/>
                <w:szCs w:val="20"/>
              </w:rPr>
              <w:t>年</w:t>
            </w:r>
            <w:r>
              <w:rPr>
                <w:rFonts w:ascii="Times New Roman" w:hAnsi="Times New Roman" w:eastAsia="Times New Roman" w:cs="Times New Roman"/>
                <w:spacing w:val="2"/>
                <w:sz w:val="20"/>
                <w:szCs w:val="20"/>
              </w:rPr>
              <w:t>2</w:t>
            </w:r>
            <w:r>
              <w:rPr>
                <w:rFonts w:ascii="等线" w:hAnsi="等线" w:eastAsia="等线" w:cs="等线"/>
                <w:spacing w:val="2"/>
                <w:sz w:val="20"/>
                <w:szCs w:val="20"/>
              </w:rPr>
              <w:t>月</w:t>
            </w:r>
          </w:p>
        </w:tc>
        <w:tc>
          <w:tcPr>
            <w:tcW w:w="1930" w:type="dxa"/>
            <w:tcBorders>
              <w:bottom w:val="single" w:color="000000" w:sz="10" w:space="0"/>
            </w:tcBorders>
            <w:vAlign w:val="top"/>
          </w:tcPr>
          <w:p w14:paraId="0CE85B89">
            <w:pPr>
              <w:spacing w:before="166"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2.59</w:t>
            </w:r>
          </w:p>
        </w:tc>
        <w:tc>
          <w:tcPr>
            <w:tcW w:w="1290" w:type="dxa"/>
            <w:tcBorders>
              <w:bottom w:val="single" w:color="000000" w:sz="10" w:space="0"/>
            </w:tcBorders>
            <w:vAlign w:val="top"/>
          </w:tcPr>
          <w:p w14:paraId="60FB7014">
            <w:pPr>
              <w:spacing w:before="166"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14.90</w:t>
            </w:r>
          </w:p>
        </w:tc>
        <w:tc>
          <w:tcPr>
            <w:tcW w:w="1290" w:type="dxa"/>
            <w:tcBorders>
              <w:bottom w:val="single" w:color="000000" w:sz="10" w:space="0"/>
            </w:tcBorders>
            <w:vAlign w:val="top"/>
          </w:tcPr>
          <w:p w14:paraId="0DAD08FD">
            <w:pPr>
              <w:spacing w:before="166" w:line="195" w:lineRule="auto"/>
              <w:ind w:left="4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4.28</w:t>
            </w:r>
          </w:p>
        </w:tc>
        <w:tc>
          <w:tcPr>
            <w:tcW w:w="1290" w:type="dxa"/>
            <w:tcBorders>
              <w:bottom w:val="single" w:color="000000" w:sz="10" w:space="0"/>
            </w:tcBorders>
            <w:vAlign w:val="top"/>
          </w:tcPr>
          <w:p w14:paraId="2C41D097">
            <w:pPr>
              <w:spacing w:before="166"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0.60</w:t>
            </w:r>
          </w:p>
        </w:tc>
        <w:tc>
          <w:tcPr>
            <w:tcW w:w="1305" w:type="dxa"/>
            <w:tcBorders>
              <w:bottom w:val="single" w:color="000000" w:sz="10" w:space="0"/>
              <w:right w:val="single" w:color="000000" w:sz="10" w:space="0"/>
            </w:tcBorders>
            <w:vAlign w:val="top"/>
          </w:tcPr>
          <w:p w14:paraId="443370FF">
            <w:pPr>
              <w:spacing w:before="166"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12.88</w:t>
            </w:r>
          </w:p>
        </w:tc>
      </w:tr>
    </w:tbl>
    <w:p w14:paraId="59CC2D46">
      <w:pPr>
        <w:pStyle w:val="2"/>
      </w:pPr>
    </w:p>
    <w:p w14:paraId="1F65ECF5">
      <w:pPr>
        <w:sectPr>
          <w:headerReference r:id="rId39" w:type="default"/>
          <w:footerReference r:id="rId40" w:type="default"/>
          <w:pgSz w:w="11907" w:h="16840"/>
          <w:pgMar w:top="1132" w:right="1500" w:bottom="1259" w:left="1499" w:header="829" w:footer="1096" w:gutter="0"/>
          <w:cols w:space="720" w:num="1"/>
        </w:sectPr>
      </w:pPr>
    </w:p>
    <w:p w14:paraId="3EC74A40">
      <w:pPr>
        <w:spacing w:before="42"/>
      </w:pPr>
    </w:p>
    <w:tbl>
      <w:tblPr>
        <w:tblStyle w:val="5"/>
        <w:tblW w:w="852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0"/>
        <w:gridCol w:w="1930"/>
        <w:gridCol w:w="1290"/>
        <w:gridCol w:w="1290"/>
        <w:gridCol w:w="1290"/>
        <w:gridCol w:w="1305"/>
      </w:tblGrid>
      <w:tr w14:paraId="734D3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0" w:type="dxa"/>
            <w:vMerge w:val="restart"/>
            <w:tcBorders>
              <w:top w:val="single" w:color="000000" w:sz="10" w:space="0"/>
              <w:left w:val="single" w:color="000000" w:sz="10" w:space="0"/>
              <w:bottom w:val="nil"/>
            </w:tcBorders>
            <w:vAlign w:val="top"/>
          </w:tcPr>
          <w:p w14:paraId="118F323E">
            <w:pPr>
              <w:pStyle w:val="6"/>
              <w:spacing w:before="174" w:line="230" w:lineRule="auto"/>
              <w:ind w:left="501"/>
            </w:pPr>
            <w:r>
              <w:rPr>
                <w:b/>
                <w:bCs/>
                <w:spacing w:val="-1"/>
              </w:rPr>
              <w:t>时间</w:t>
            </w:r>
          </w:p>
        </w:tc>
        <w:tc>
          <w:tcPr>
            <w:tcW w:w="1930" w:type="dxa"/>
            <w:vMerge w:val="restart"/>
            <w:tcBorders>
              <w:top w:val="single" w:color="000000" w:sz="10" w:space="0"/>
              <w:bottom w:val="nil"/>
            </w:tcBorders>
            <w:vAlign w:val="top"/>
          </w:tcPr>
          <w:p w14:paraId="0A9C2228">
            <w:pPr>
              <w:pStyle w:val="6"/>
              <w:spacing w:before="174" w:line="228" w:lineRule="auto"/>
              <w:ind w:right="15"/>
              <w:jc w:val="right"/>
            </w:pPr>
            <w:r>
              <w:rPr>
                <w:b/>
                <w:bCs/>
                <w:spacing w:val="-1"/>
              </w:rPr>
              <w:t>处理水量（</w:t>
            </w:r>
            <w:r>
              <w:rPr>
                <w:spacing w:val="-1"/>
              </w:rPr>
              <w:t>万</w:t>
            </w:r>
            <w:r>
              <w:rPr>
                <w:rFonts w:ascii="Times New Roman" w:hAnsi="Times New Roman" w:eastAsia="Times New Roman" w:cs="Times New Roman"/>
                <w:b/>
                <w:bCs/>
                <w:spacing w:val="-1"/>
              </w:rPr>
              <w:t>m</w:t>
            </w:r>
            <w:r>
              <w:rPr>
                <w:rFonts w:ascii="Times New Roman" w:hAnsi="Times New Roman" w:eastAsia="Times New Roman" w:cs="Times New Roman"/>
                <w:b/>
                <w:bCs/>
                <w:spacing w:val="-1"/>
                <w:position w:val="6"/>
                <w:sz w:val="13"/>
                <w:szCs w:val="13"/>
              </w:rPr>
              <w:t>3</w:t>
            </w:r>
            <w:r>
              <w:rPr>
                <w:rFonts w:ascii="Times New Roman" w:hAnsi="Times New Roman" w:eastAsia="Times New Roman" w:cs="Times New Roman"/>
                <w:b/>
                <w:bCs/>
                <w:spacing w:val="-1"/>
              </w:rPr>
              <w:t>/d</w:t>
            </w:r>
            <w:r>
              <w:rPr>
                <w:b/>
                <w:bCs/>
                <w:spacing w:val="-1"/>
              </w:rPr>
              <w:t>）</w:t>
            </w:r>
          </w:p>
        </w:tc>
        <w:tc>
          <w:tcPr>
            <w:tcW w:w="5175" w:type="dxa"/>
            <w:gridSpan w:val="4"/>
            <w:tcBorders>
              <w:top w:val="single" w:color="000000" w:sz="10" w:space="0"/>
              <w:right w:val="single" w:color="000000" w:sz="10" w:space="0"/>
            </w:tcBorders>
            <w:vAlign w:val="top"/>
          </w:tcPr>
          <w:p w14:paraId="123A0781">
            <w:pPr>
              <w:pStyle w:val="6"/>
              <w:spacing w:before="35" w:line="215" w:lineRule="auto"/>
              <w:ind w:left="1737"/>
            </w:pPr>
            <w:r>
              <w:rPr>
                <w:b/>
                <w:bCs/>
                <w:spacing w:val="-1"/>
              </w:rPr>
              <w:t>出水水质（</w:t>
            </w:r>
            <w:r>
              <w:rPr>
                <w:rFonts w:ascii="Times New Roman" w:hAnsi="Times New Roman" w:eastAsia="Times New Roman" w:cs="Times New Roman"/>
                <w:b/>
                <w:bCs/>
                <w:spacing w:val="-1"/>
              </w:rPr>
              <w:t>mg/L</w:t>
            </w:r>
            <w:r>
              <w:rPr>
                <w:b/>
                <w:bCs/>
                <w:spacing w:val="-1"/>
              </w:rPr>
              <w:t>）</w:t>
            </w:r>
          </w:p>
        </w:tc>
      </w:tr>
      <w:tr w14:paraId="30D59A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1420" w:type="dxa"/>
            <w:vMerge w:val="continue"/>
            <w:tcBorders>
              <w:top w:val="nil"/>
              <w:left w:val="single" w:color="000000" w:sz="10" w:space="0"/>
            </w:tcBorders>
            <w:vAlign w:val="top"/>
          </w:tcPr>
          <w:p w14:paraId="5F69815D">
            <w:pPr>
              <w:rPr>
                <w:rFonts w:ascii="Arial"/>
                <w:sz w:val="21"/>
              </w:rPr>
            </w:pPr>
          </w:p>
        </w:tc>
        <w:tc>
          <w:tcPr>
            <w:tcW w:w="1930" w:type="dxa"/>
            <w:vMerge w:val="continue"/>
            <w:tcBorders>
              <w:top w:val="nil"/>
            </w:tcBorders>
            <w:vAlign w:val="top"/>
          </w:tcPr>
          <w:p w14:paraId="3AB63A3A">
            <w:pPr>
              <w:rPr>
                <w:rFonts w:ascii="Arial"/>
                <w:sz w:val="21"/>
              </w:rPr>
            </w:pPr>
          </w:p>
        </w:tc>
        <w:tc>
          <w:tcPr>
            <w:tcW w:w="1290" w:type="dxa"/>
            <w:vAlign w:val="top"/>
          </w:tcPr>
          <w:p w14:paraId="0A08C484">
            <w:pPr>
              <w:spacing w:before="66" w:line="195" w:lineRule="auto"/>
              <w:ind w:left="416"/>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COD</w:t>
            </w:r>
          </w:p>
        </w:tc>
        <w:tc>
          <w:tcPr>
            <w:tcW w:w="1290" w:type="dxa"/>
            <w:vAlign w:val="top"/>
          </w:tcPr>
          <w:p w14:paraId="706B544E">
            <w:pPr>
              <w:pStyle w:val="6"/>
              <w:spacing w:before="31" w:line="212" w:lineRule="auto"/>
              <w:ind w:left="443"/>
            </w:pPr>
            <w:r>
              <w:rPr>
                <w:b/>
                <w:bCs/>
                <w:spacing w:val="3"/>
              </w:rPr>
              <w:t>氨氮</w:t>
            </w:r>
          </w:p>
        </w:tc>
        <w:tc>
          <w:tcPr>
            <w:tcW w:w="1290" w:type="dxa"/>
            <w:vAlign w:val="top"/>
          </w:tcPr>
          <w:p w14:paraId="615A0EA2">
            <w:pPr>
              <w:pStyle w:val="6"/>
              <w:spacing w:before="31" w:line="212" w:lineRule="auto"/>
              <w:ind w:left="452"/>
            </w:pPr>
            <w:r>
              <w:rPr>
                <w:b/>
                <w:bCs/>
                <w:spacing w:val="1"/>
              </w:rPr>
              <w:t>总磷</w:t>
            </w:r>
          </w:p>
        </w:tc>
        <w:tc>
          <w:tcPr>
            <w:tcW w:w="1305" w:type="dxa"/>
            <w:tcBorders>
              <w:right w:val="single" w:color="000000" w:sz="10" w:space="0"/>
            </w:tcBorders>
            <w:vAlign w:val="top"/>
          </w:tcPr>
          <w:p w14:paraId="629312BC">
            <w:pPr>
              <w:pStyle w:val="6"/>
              <w:spacing w:before="31" w:line="212" w:lineRule="auto"/>
              <w:ind w:left="456"/>
            </w:pPr>
            <w:r>
              <w:rPr>
                <w:b/>
                <w:bCs/>
                <w:spacing w:val="1"/>
              </w:rPr>
              <w:t>总氮</w:t>
            </w:r>
          </w:p>
        </w:tc>
      </w:tr>
      <w:tr w14:paraId="22A38E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420" w:type="dxa"/>
            <w:tcBorders>
              <w:left w:val="single" w:color="000000" w:sz="10" w:space="0"/>
            </w:tcBorders>
            <w:vAlign w:val="top"/>
          </w:tcPr>
          <w:p w14:paraId="60ACF48E">
            <w:pPr>
              <w:spacing w:before="107" w:line="216" w:lineRule="auto"/>
              <w:ind w:left="147"/>
              <w:rPr>
                <w:rFonts w:ascii="等线" w:hAnsi="等线" w:eastAsia="等线" w:cs="等线"/>
                <w:sz w:val="20"/>
                <w:szCs w:val="20"/>
              </w:rPr>
            </w:pPr>
            <w:r>
              <w:rPr>
                <w:rFonts w:ascii="Times New Roman" w:hAnsi="Times New Roman" w:eastAsia="Times New Roman" w:cs="Times New Roman"/>
                <w:spacing w:val="2"/>
                <w:sz w:val="20"/>
                <w:szCs w:val="20"/>
              </w:rPr>
              <w:t>2024</w:t>
            </w:r>
            <w:r>
              <w:rPr>
                <w:rFonts w:ascii="等线" w:hAnsi="等线" w:eastAsia="等线" w:cs="等线"/>
                <w:spacing w:val="2"/>
                <w:sz w:val="20"/>
                <w:szCs w:val="20"/>
              </w:rPr>
              <w:t>年</w:t>
            </w:r>
            <w:r>
              <w:rPr>
                <w:rFonts w:ascii="Times New Roman" w:hAnsi="Times New Roman" w:eastAsia="Times New Roman" w:cs="Times New Roman"/>
                <w:spacing w:val="2"/>
                <w:sz w:val="20"/>
                <w:szCs w:val="20"/>
              </w:rPr>
              <w:t>3</w:t>
            </w:r>
            <w:r>
              <w:rPr>
                <w:rFonts w:ascii="等线" w:hAnsi="等线" w:eastAsia="等线" w:cs="等线"/>
                <w:spacing w:val="2"/>
                <w:sz w:val="20"/>
                <w:szCs w:val="20"/>
              </w:rPr>
              <w:t>月</w:t>
            </w:r>
          </w:p>
        </w:tc>
        <w:tc>
          <w:tcPr>
            <w:tcW w:w="1930" w:type="dxa"/>
            <w:vAlign w:val="top"/>
          </w:tcPr>
          <w:p w14:paraId="69084CDD">
            <w:pPr>
              <w:spacing w:before="143"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2.74</w:t>
            </w:r>
          </w:p>
        </w:tc>
        <w:tc>
          <w:tcPr>
            <w:tcW w:w="1290" w:type="dxa"/>
            <w:vAlign w:val="top"/>
          </w:tcPr>
          <w:p w14:paraId="2253B588">
            <w:pPr>
              <w:spacing w:before="143"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11.97</w:t>
            </w:r>
          </w:p>
        </w:tc>
        <w:tc>
          <w:tcPr>
            <w:tcW w:w="1290" w:type="dxa"/>
            <w:vAlign w:val="top"/>
          </w:tcPr>
          <w:p w14:paraId="365EB536">
            <w:pPr>
              <w:spacing w:before="143" w:line="195" w:lineRule="auto"/>
              <w:ind w:left="4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4.44</w:t>
            </w:r>
          </w:p>
        </w:tc>
        <w:tc>
          <w:tcPr>
            <w:tcW w:w="1290" w:type="dxa"/>
            <w:vAlign w:val="top"/>
          </w:tcPr>
          <w:p w14:paraId="56B1BE1D">
            <w:pPr>
              <w:spacing w:before="143"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0.49</w:t>
            </w:r>
          </w:p>
        </w:tc>
        <w:tc>
          <w:tcPr>
            <w:tcW w:w="1305" w:type="dxa"/>
            <w:tcBorders>
              <w:right w:val="single" w:color="000000" w:sz="10" w:space="0"/>
            </w:tcBorders>
            <w:vAlign w:val="top"/>
          </w:tcPr>
          <w:p w14:paraId="2682AB2D">
            <w:pPr>
              <w:spacing w:before="143" w:line="195" w:lineRule="auto"/>
              <w:ind w:left="47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9.43</w:t>
            </w:r>
          </w:p>
        </w:tc>
      </w:tr>
      <w:tr w14:paraId="6E6BC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420" w:type="dxa"/>
            <w:tcBorders>
              <w:left w:val="single" w:color="000000" w:sz="10" w:space="0"/>
            </w:tcBorders>
            <w:vAlign w:val="top"/>
          </w:tcPr>
          <w:p w14:paraId="7E3F13B7">
            <w:pPr>
              <w:spacing w:before="110" w:line="216" w:lineRule="auto"/>
              <w:ind w:left="147"/>
              <w:rPr>
                <w:rFonts w:ascii="等线" w:hAnsi="等线" w:eastAsia="等线" w:cs="等线"/>
                <w:sz w:val="20"/>
                <w:szCs w:val="20"/>
              </w:rPr>
            </w:pPr>
            <w:r>
              <w:rPr>
                <w:rFonts w:ascii="Times New Roman" w:hAnsi="Times New Roman" w:eastAsia="Times New Roman" w:cs="Times New Roman"/>
                <w:spacing w:val="2"/>
                <w:sz w:val="20"/>
                <w:szCs w:val="20"/>
              </w:rPr>
              <w:t>2024</w:t>
            </w:r>
            <w:r>
              <w:rPr>
                <w:rFonts w:ascii="等线" w:hAnsi="等线" w:eastAsia="等线" w:cs="等线"/>
                <w:spacing w:val="2"/>
                <w:sz w:val="20"/>
                <w:szCs w:val="20"/>
              </w:rPr>
              <w:t>年</w:t>
            </w:r>
            <w:r>
              <w:rPr>
                <w:rFonts w:ascii="Times New Roman" w:hAnsi="Times New Roman" w:eastAsia="Times New Roman" w:cs="Times New Roman"/>
                <w:spacing w:val="2"/>
                <w:sz w:val="20"/>
                <w:szCs w:val="20"/>
              </w:rPr>
              <w:t>4</w:t>
            </w:r>
            <w:r>
              <w:rPr>
                <w:rFonts w:ascii="等线" w:hAnsi="等线" w:eastAsia="等线" w:cs="等线"/>
                <w:spacing w:val="2"/>
                <w:sz w:val="20"/>
                <w:szCs w:val="20"/>
              </w:rPr>
              <w:t>月</w:t>
            </w:r>
          </w:p>
        </w:tc>
        <w:tc>
          <w:tcPr>
            <w:tcW w:w="1930" w:type="dxa"/>
            <w:vAlign w:val="top"/>
          </w:tcPr>
          <w:p w14:paraId="7C0C61A0">
            <w:pPr>
              <w:spacing w:before="146"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2.31</w:t>
            </w:r>
          </w:p>
        </w:tc>
        <w:tc>
          <w:tcPr>
            <w:tcW w:w="1290" w:type="dxa"/>
            <w:vAlign w:val="top"/>
          </w:tcPr>
          <w:p w14:paraId="2A0EF4A7">
            <w:pPr>
              <w:spacing w:before="146"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11.53</w:t>
            </w:r>
          </w:p>
        </w:tc>
        <w:tc>
          <w:tcPr>
            <w:tcW w:w="1290" w:type="dxa"/>
            <w:vAlign w:val="top"/>
          </w:tcPr>
          <w:p w14:paraId="7F0AE271">
            <w:pPr>
              <w:spacing w:before="146"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2.39</w:t>
            </w:r>
          </w:p>
        </w:tc>
        <w:tc>
          <w:tcPr>
            <w:tcW w:w="1290" w:type="dxa"/>
            <w:vAlign w:val="top"/>
          </w:tcPr>
          <w:p w14:paraId="124BEEB5">
            <w:pPr>
              <w:spacing w:before="146"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0.37</w:t>
            </w:r>
          </w:p>
        </w:tc>
        <w:tc>
          <w:tcPr>
            <w:tcW w:w="1305" w:type="dxa"/>
            <w:tcBorders>
              <w:right w:val="single" w:color="000000" w:sz="10" w:space="0"/>
            </w:tcBorders>
            <w:vAlign w:val="top"/>
          </w:tcPr>
          <w:p w14:paraId="673F8349">
            <w:pPr>
              <w:spacing w:before="146" w:line="195" w:lineRule="auto"/>
              <w:ind w:left="48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6.68</w:t>
            </w:r>
          </w:p>
        </w:tc>
      </w:tr>
      <w:tr w14:paraId="013BD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420" w:type="dxa"/>
            <w:tcBorders>
              <w:left w:val="single" w:color="000000" w:sz="10" w:space="0"/>
            </w:tcBorders>
            <w:vAlign w:val="top"/>
          </w:tcPr>
          <w:p w14:paraId="2255A377">
            <w:pPr>
              <w:spacing w:before="111" w:line="216" w:lineRule="auto"/>
              <w:ind w:left="147"/>
              <w:rPr>
                <w:rFonts w:ascii="等线" w:hAnsi="等线" w:eastAsia="等线" w:cs="等线"/>
                <w:sz w:val="20"/>
                <w:szCs w:val="20"/>
              </w:rPr>
            </w:pPr>
            <w:r>
              <w:rPr>
                <w:rFonts w:ascii="Times New Roman" w:hAnsi="Times New Roman" w:eastAsia="Times New Roman" w:cs="Times New Roman"/>
                <w:spacing w:val="1"/>
                <w:sz w:val="20"/>
                <w:szCs w:val="20"/>
              </w:rPr>
              <w:t>2024</w:t>
            </w:r>
            <w:r>
              <w:rPr>
                <w:rFonts w:ascii="等线" w:hAnsi="等线" w:eastAsia="等线" w:cs="等线"/>
                <w:spacing w:val="1"/>
                <w:sz w:val="20"/>
                <w:szCs w:val="20"/>
              </w:rPr>
              <w:t>年</w:t>
            </w:r>
            <w:r>
              <w:rPr>
                <w:rFonts w:ascii="Times New Roman" w:hAnsi="Times New Roman" w:eastAsia="Times New Roman" w:cs="Times New Roman"/>
                <w:spacing w:val="1"/>
                <w:sz w:val="20"/>
                <w:szCs w:val="20"/>
              </w:rPr>
              <w:t>5</w:t>
            </w:r>
            <w:r>
              <w:rPr>
                <w:rFonts w:ascii="等线" w:hAnsi="等线" w:eastAsia="等线" w:cs="等线"/>
                <w:spacing w:val="1"/>
                <w:sz w:val="20"/>
                <w:szCs w:val="20"/>
              </w:rPr>
              <w:t>月</w:t>
            </w:r>
          </w:p>
        </w:tc>
        <w:tc>
          <w:tcPr>
            <w:tcW w:w="1930" w:type="dxa"/>
            <w:vAlign w:val="top"/>
          </w:tcPr>
          <w:p w14:paraId="35AF92B1">
            <w:pPr>
              <w:spacing w:before="147"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2.80</w:t>
            </w:r>
          </w:p>
        </w:tc>
        <w:tc>
          <w:tcPr>
            <w:tcW w:w="1290" w:type="dxa"/>
            <w:vAlign w:val="top"/>
          </w:tcPr>
          <w:p w14:paraId="2F919F9C">
            <w:pPr>
              <w:spacing w:before="147"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11.68</w:t>
            </w:r>
          </w:p>
        </w:tc>
        <w:tc>
          <w:tcPr>
            <w:tcW w:w="1290" w:type="dxa"/>
            <w:vAlign w:val="top"/>
          </w:tcPr>
          <w:p w14:paraId="181538F5">
            <w:pPr>
              <w:spacing w:before="147"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2.74</w:t>
            </w:r>
          </w:p>
        </w:tc>
        <w:tc>
          <w:tcPr>
            <w:tcW w:w="1290" w:type="dxa"/>
            <w:vAlign w:val="top"/>
          </w:tcPr>
          <w:p w14:paraId="2C65FF5C">
            <w:pPr>
              <w:spacing w:before="147"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0.58</w:t>
            </w:r>
          </w:p>
        </w:tc>
        <w:tc>
          <w:tcPr>
            <w:tcW w:w="1305" w:type="dxa"/>
            <w:tcBorders>
              <w:right w:val="single" w:color="000000" w:sz="10" w:space="0"/>
            </w:tcBorders>
            <w:vAlign w:val="top"/>
          </w:tcPr>
          <w:p w14:paraId="4CA11EDF">
            <w:pPr>
              <w:spacing w:before="147" w:line="195" w:lineRule="auto"/>
              <w:ind w:left="47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9.55</w:t>
            </w:r>
          </w:p>
        </w:tc>
      </w:tr>
      <w:tr w14:paraId="043C6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420" w:type="dxa"/>
            <w:tcBorders>
              <w:left w:val="single" w:color="000000" w:sz="10" w:space="0"/>
            </w:tcBorders>
            <w:vAlign w:val="top"/>
          </w:tcPr>
          <w:p w14:paraId="00947E49">
            <w:pPr>
              <w:spacing w:before="114" w:line="216" w:lineRule="auto"/>
              <w:ind w:left="147"/>
              <w:rPr>
                <w:rFonts w:ascii="等线" w:hAnsi="等线" w:eastAsia="等线" w:cs="等线"/>
                <w:sz w:val="20"/>
                <w:szCs w:val="20"/>
              </w:rPr>
            </w:pPr>
            <w:r>
              <w:rPr>
                <w:rFonts w:ascii="Times New Roman" w:hAnsi="Times New Roman" w:eastAsia="Times New Roman" w:cs="Times New Roman"/>
                <w:spacing w:val="1"/>
                <w:sz w:val="20"/>
                <w:szCs w:val="20"/>
              </w:rPr>
              <w:t>2024</w:t>
            </w:r>
            <w:r>
              <w:rPr>
                <w:rFonts w:ascii="等线" w:hAnsi="等线" w:eastAsia="等线" w:cs="等线"/>
                <w:spacing w:val="1"/>
                <w:sz w:val="20"/>
                <w:szCs w:val="20"/>
              </w:rPr>
              <w:t>年</w:t>
            </w:r>
            <w:r>
              <w:rPr>
                <w:rFonts w:ascii="Times New Roman" w:hAnsi="Times New Roman" w:eastAsia="Times New Roman" w:cs="Times New Roman"/>
                <w:spacing w:val="1"/>
                <w:sz w:val="20"/>
                <w:szCs w:val="20"/>
              </w:rPr>
              <w:t>6</w:t>
            </w:r>
            <w:r>
              <w:rPr>
                <w:rFonts w:ascii="等线" w:hAnsi="等线" w:eastAsia="等线" w:cs="等线"/>
                <w:spacing w:val="1"/>
                <w:sz w:val="20"/>
                <w:szCs w:val="20"/>
              </w:rPr>
              <w:t>月</w:t>
            </w:r>
          </w:p>
        </w:tc>
        <w:tc>
          <w:tcPr>
            <w:tcW w:w="1930" w:type="dxa"/>
            <w:vAlign w:val="top"/>
          </w:tcPr>
          <w:p w14:paraId="0B8637F1">
            <w:pPr>
              <w:spacing w:before="150"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2.41</w:t>
            </w:r>
          </w:p>
        </w:tc>
        <w:tc>
          <w:tcPr>
            <w:tcW w:w="1290" w:type="dxa"/>
            <w:vAlign w:val="top"/>
          </w:tcPr>
          <w:p w14:paraId="4082B2E7">
            <w:pPr>
              <w:spacing w:before="150"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11.70</w:t>
            </w:r>
          </w:p>
        </w:tc>
        <w:tc>
          <w:tcPr>
            <w:tcW w:w="1290" w:type="dxa"/>
            <w:vAlign w:val="top"/>
          </w:tcPr>
          <w:p w14:paraId="79BD579D">
            <w:pPr>
              <w:spacing w:before="150"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2.13</w:t>
            </w:r>
          </w:p>
        </w:tc>
        <w:tc>
          <w:tcPr>
            <w:tcW w:w="1290" w:type="dxa"/>
            <w:vAlign w:val="top"/>
          </w:tcPr>
          <w:p w14:paraId="6E9C1FBA">
            <w:pPr>
              <w:spacing w:before="150"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0.61</w:t>
            </w:r>
          </w:p>
        </w:tc>
        <w:tc>
          <w:tcPr>
            <w:tcW w:w="1305" w:type="dxa"/>
            <w:tcBorders>
              <w:right w:val="single" w:color="000000" w:sz="10" w:space="0"/>
            </w:tcBorders>
            <w:vAlign w:val="top"/>
          </w:tcPr>
          <w:p w14:paraId="4077EF39">
            <w:pPr>
              <w:spacing w:before="150"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10.28</w:t>
            </w:r>
          </w:p>
        </w:tc>
      </w:tr>
      <w:tr w14:paraId="66315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420" w:type="dxa"/>
            <w:tcBorders>
              <w:left w:val="single" w:color="000000" w:sz="10" w:space="0"/>
            </w:tcBorders>
            <w:vAlign w:val="top"/>
          </w:tcPr>
          <w:p w14:paraId="3A8D98E4">
            <w:pPr>
              <w:spacing w:before="115" w:line="216" w:lineRule="auto"/>
              <w:ind w:left="147"/>
              <w:rPr>
                <w:rFonts w:ascii="等线" w:hAnsi="等线" w:eastAsia="等线" w:cs="等线"/>
                <w:sz w:val="20"/>
                <w:szCs w:val="20"/>
              </w:rPr>
            </w:pPr>
            <w:r>
              <w:rPr>
                <w:rFonts w:ascii="Times New Roman" w:hAnsi="Times New Roman" w:eastAsia="Times New Roman" w:cs="Times New Roman"/>
                <w:spacing w:val="2"/>
                <w:sz w:val="20"/>
                <w:szCs w:val="20"/>
              </w:rPr>
              <w:t>2024</w:t>
            </w:r>
            <w:r>
              <w:rPr>
                <w:rFonts w:ascii="等线" w:hAnsi="等线" w:eastAsia="等线" w:cs="等线"/>
                <w:spacing w:val="2"/>
                <w:sz w:val="20"/>
                <w:szCs w:val="20"/>
              </w:rPr>
              <w:t>年</w:t>
            </w:r>
            <w:r>
              <w:rPr>
                <w:rFonts w:ascii="Times New Roman" w:hAnsi="Times New Roman" w:eastAsia="Times New Roman" w:cs="Times New Roman"/>
                <w:spacing w:val="2"/>
                <w:sz w:val="20"/>
                <w:szCs w:val="20"/>
              </w:rPr>
              <w:t>7</w:t>
            </w:r>
            <w:r>
              <w:rPr>
                <w:rFonts w:ascii="等线" w:hAnsi="等线" w:eastAsia="等线" w:cs="等线"/>
                <w:spacing w:val="2"/>
                <w:sz w:val="20"/>
                <w:szCs w:val="20"/>
              </w:rPr>
              <w:t>月</w:t>
            </w:r>
          </w:p>
        </w:tc>
        <w:tc>
          <w:tcPr>
            <w:tcW w:w="1930" w:type="dxa"/>
            <w:vAlign w:val="top"/>
          </w:tcPr>
          <w:p w14:paraId="3D38B02C">
            <w:pPr>
              <w:spacing w:before="153"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1290" w:type="dxa"/>
            <w:vAlign w:val="top"/>
          </w:tcPr>
          <w:p w14:paraId="03A6F133">
            <w:pPr>
              <w:spacing w:before="153"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13.63</w:t>
            </w:r>
          </w:p>
        </w:tc>
        <w:tc>
          <w:tcPr>
            <w:tcW w:w="1290" w:type="dxa"/>
            <w:vAlign w:val="top"/>
          </w:tcPr>
          <w:p w14:paraId="153509CD">
            <w:pPr>
              <w:spacing w:before="153"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2.98</w:t>
            </w:r>
          </w:p>
        </w:tc>
        <w:tc>
          <w:tcPr>
            <w:tcW w:w="1290" w:type="dxa"/>
            <w:vAlign w:val="top"/>
          </w:tcPr>
          <w:p w14:paraId="45C99307">
            <w:pPr>
              <w:spacing w:before="153"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0.63</w:t>
            </w:r>
          </w:p>
        </w:tc>
        <w:tc>
          <w:tcPr>
            <w:tcW w:w="1305" w:type="dxa"/>
            <w:tcBorders>
              <w:right w:val="single" w:color="000000" w:sz="10" w:space="0"/>
            </w:tcBorders>
            <w:vAlign w:val="top"/>
          </w:tcPr>
          <w:p w14:paraId="210F4AC2">
            <w:pPr>
              <w:spacing w:before="153"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10.53</w:t>
            </w:r>
          </w:p>
        </w:tc>
      </w:tr>
      <w:tr w14:paraId="18071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420" w:type="dxa"/>
            <w:tcBorders>
              <w:left w:val="single" w:color="000000" w:sz="10" w:space="0"/>
            </w:tcBorders>
            <w:vAlign w:val="top"/>
          </w:tcPr>
          <w:p w14:paraId="40E4C281">
            <w:pPr>
              <w:spacing w:before="118" w:line="216" w:lineRule="auto"/>
              <w:ind w:left="147"/>
              <w:rPr>
                <w:rFonts w:ascii="等线" w:hAnsi="等线" w:eastAsia="等线" w:cs="等线"/>
                <w:sz w:val="20"/>
                <w:szCs w:val="20"/>
              </w:rPr>
            </w:pPr>
            <w:r>
              <w:rPr>
                <w:rFonts w:ascii="Times New Roman" w:hAnsi="Times New Roman" w:eastAsia="Times New Roman" w:cs="Times New Roman"/>
                <w:sz w:val="20"/>
                <w:szCs w:val="20"/>
              </w:rPr>
              <w:t>2024</w:t>
            </w:r>
            <w:r>
              <w:rPr>
                <w:rFonts w:ascii="等线" w:hAnsi="等线" w:eastAsia="等线" w:cs="等线"/>
                <w:sz w:val="20"/>
                <w:szCs w:val="20"/>
              </w:rPr>
              <w:t>年</w:t>
            </w:r>
            <w:r>
              <w:rPr>
                <w:rFonts w:ascii="Times New Roman" w:hAnsi="Times New Roman" w:eastAsia="Times New Roman" w:cs="Times New Roman"/>
                <w:sz w:val="20"/>
                <w:szCs w:val="20"/>
              </w:rPr>
              <w:t>8</w:t>
            </w:r>
            <w:r>
              <w:rPr>
                <w:rFonts w:ascii="等线" w:hAnsi="等线" w:eastAsia="等线" w:cs="等线"/>
                <w:sz w:val="20"/>
                <w:szCs w:val="20"/>
              </w:rPr>
              <w:t>月</w:t>
            </w:r>
          </w:p>
        </w:tc>
        <w:tc>
          <w:tcPr>
            <w:tcW w:w="1930" w:type="dxa"/>
            <w:vAlign w:val="top"/>
          </w:tcPr>
          <w:p w14:paraId="47947C36">
            <w:pPr>
              <w:spacing w:before="153"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2.64</w:t>
            </w:r>
          </w:p>
        </w:tc>
        <w:tc>
          <w:tcPr>
            <w:tcW w:w="1290" w:type="dxa"/>
            <w:vAlign w:val="top"/>
          </w:tcPr>
          <w:p w14:paraId="3806CEBF">
            <w:pPr>
              <w:spacing w:before="153"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19.12</w:t>
            </w:r>
          </w:p>
        </w:tc>
        <w:tc>
          <w:tcPr>
            <w:tcW w:w="1290" w:type="dxa"/>
            <w:vAlign w:val="top"/>
          </w:tcPr>
          <w:p w14:paraId="6F5A8ED5">
            <w:pPr>
              <w:spacing w:before="153"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2.20</w:t>
            </w:r>
          </w:p>
        </w:tc>
        <w:tc>
          <w:tcPr>
            <w:tcW w:w="1290" w:type="dxa"/>
            <w:vAlign w:val="top"/>
          </w:tcPr>
          <w:p w14:paraId="57FDE7E3">
            <w:pPr>
              <w:spacing w:before="153"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0.68</w:t>
            </w:r>
          </w:p>
        </w:tc>
        <w:tc>
          <w:tcPr>
            <w:tcW w:w="1305" w:type="dxa"/>
            <w:tcBorders>
              <w:right w:val="single" w:color="000000" w:sz="10" w:space="0"/>
            </w:tcBorders>
            <w:vAlign w:val="top"/>
          </w:tcPr>
          <w:p w14:paraId="7CCEE3F1">
            <w:pPr>
              <w:spacing w:before="153" w:line="195" w:lineRule="auto"/>
              <w:ind w:left="47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9.76</w:t>
            </w:r>
          </w:p>
        </w:tc>
      </w:tr>
      <w:tr w14:paraId="4CC4C2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420" w:type="dxa"/>
            <w:tcBorders>
              <w:left w:val="single" w:color="000000" w:sz="10" w:space="0"/>
            </w:tcBorders>
            <w:vAlign w:val="top"/>
          </w:tcPr>
          <w:p w14:paraId="7AB60BD4">
            <w:pPr>
              <w:spacing w:before="121" w:line="216" w:lineRule="auto"/>
              <w:ind w:left="147"/>
              <w:rPr>
                <w:rFonts w:ascii="等线" w:hAnsi="等线" w:eastAsia="等线" w:cs="等线"/>
                <w:sz w:val="20"/>
                <w:szCs w:val="20"/>
              </w:rPr>
            </w:pPr>
            <w:r>
              <w:rPr>
                <w:rFonts w:ascii="Times New Roman" w:hAnsi="Times New Roman" w:eastAsia="Times New Roman" w:cs="Times New Roman"/>
                <w:spacing w:val="2"/>
                <w:sz w:val="20"/>
                <w:szCs w:val="20"/>
              </w:rPr>
              <w:t>2024</w:t>
            </w:r>
            <w:r>
              <w:rPr>
                <w:rFonts w:ascii="等线" w:hAnsi="等线" w:eastAsia="等线" w:cs="等线"/>
                <w:spacing w:val="2"/>
                <w:sz w:val="20"/>
                <w:szCs w:val="20"/>
              </w:rPr>
              <w:t>年</w:t>
            </w:r>
            <w:r>
              <w:rPr>
                <w:rFonts w:ascii="Times New Roman" w:hAnsi="Times New Roman" w:eastAsia="Times New Roman" w:cs="Times New Roman"/>
                <w:spacing w:val="2"/>
                <w:sz w:val="20"/>
                <w:szCs w:val="20"/>
              </w:rPr>
              <w:t>9</w:t>
            </w:r>
            <w:r>
              <w:rPr>
                <w:rFonts w:ascii="等线" w:hAnsi="等线" w:eastAsia="等线" w:cs="等线"/>
                <w:spacing w:val="2"/>
                <w:sz w:val="20"/>
                <w:szCs w:val="20"/>
              </w:rPr>
              <w:t>月</w:t>
            </w:r>
          </w:p>
        </w:tc>
        <w:tc>
          <w:tcPr>
            <w:tcW w:w="1930" w:type="dxa"/>
            <w:vAlign w:val="top"/>
          </w:tcPr>
          <w:p w14:paraId="35FC2CAC">
            <w:pPr>
              <w:spacing w:before="156"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2.57</w:t>
            </w:r>
          </w:p>
        </w:tc>
        <w:tc>
          <w:tcPr>
            <w:tcW w:w="1290" w:type="dxa"/>
            <w:vAlign w:val="top"/>
          </w:tcPr>
          <w:p w14:paraId="77036311">
            <w:pPr>
              <w:spacing w:before="156"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16.06</w:t>
            </w:r>
          </w:p>
        </w:tc>
        <w:tc>
          <w:tcPr>
            <w:tcW w:w="1290" w:type="dxa"/>
            <w:vAlign w:val="top"/>
          </w:tcPr>
          <w:p w14:paraId="14B7DA4F">
            <w:pPr>
              <w:spacing w:before="156"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2.89</w:t>
            </w:r>
          </w:p>
        </w:tc>
        <w:tc>
          <w:tcPr>
            <w:tcW w:w="1290" w:type="dxa"/>
            <w:vAlign w:val="top"/>
          </w:tcPr>
          <w:p w14:paraId="698F4C91">
            <w:pPr>
              <w:spacing w:before="156"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0.55</w:t>
            </w:r>
          </w:p>
        </w:tc>
        <w:tc>
          <w:tcPr>
            <w:tcW w:w="1305" w:type="dxa"/>
            <w:tcBorders>
              <w:right w:val="single" w:color="000000" w:sz="10" w:space="0"/>
            </w:tcBorders>
            <w:vAlign w:val="top"/>
          </w:tcPr>
          <w:p w14:paraId="3E0C797A">
            <w:pPr>
              <w:spacing w:before="156"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10.56</w:t>
            </w:r>
          </w:p>
        </w:tc>
      </w:tr>
      <w:tr w14:paraId="75D8A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420" w:type="dxa"/>
            <w:tcBorders>
              <w:left w:val="single" w:color="000000" w:sz="10" w:space="0"/>
            </w:tcBorders>
            <w:vAlign w:val="top"/>
          </w:tcPr>
          <w:p w14:paraId="55E98AFD">
            <w:pPr>
              <w:spacing w:before="121" w:line="216" w:lineRule="auto"/>
              <w:ind w:left="101"/>
              <w:rPr>
                <w:rFonts w:ascii="等线" w:hAnsi="等线" w:eastAsia="等线" w:cs="等线"/>
                <w:sz w:val="20"/>
                <w:szCs w:val="20"/>
              </w:rPr>
            </w:pPr>
            <w:r>
              <w:rPr>
                <w:rFonts w:ascii="Times New Roman" w:hAnsi="Times New Roman" w:eastAsia="Times New Roman" w:cs="Times New Roman"/>
                <w:spacing w:val="-1"/>
                <w:sz w:val="20"/>
                <w:szCs w:val="20"/>
              </w:rPr>
              <w:t>2024</w:t>
            </w:r>
            <w:r>
              <w:rPr>
                <w:rFonts w:ascii="等线" w:hAnsi="等线" w:eastAsia="等线" w:cs="等线"/>
                <w:spacing w:val="-1"/>
                <w:sz w:val="20"/>
                <w:szCs w:val="20"/>
              </w:rPr>
              <w:t>年</w:t>
            </w:r>
            <w:r>
              <w:rPr>
                <w:rFonts w:ascii="Times New Roman" w:hAnsi="Times New Roman" w:eastAsia="Times New Roman" w:cs="Times New Roman"/>
                <w:spacing w:val="-1"/>
                <w:sz w:val="20"/>
                <w:szCs w:val="20"/>
              </w:rPr>
              <w:t>10</w:t>
            </w:r>
            <w:r>
              <w:rPr>
                <w:rFonts w:ascii="等线" w:hAnsi="等线" w:eastAsia="等线" w:cs="等线"/>
                <w:spacing w:val="-1"/>
                <w:sz w:val="20"/>
                <w:szCs w:val="20"/>
              </w:rPr>
              <w:t>月</w:t>
            </w:r>
          </w:p>
        </w:tc>
        <w:tc>
          <w:tcPr>
            <w:tcW w:w="1930" w:type="dxa"/>
            <w:vAlign w:val="top"/>
          </w:tcPr>
          <w:p w14:paraId="23DA1EE7">
            <w:pPr>
              <w:spacing w:before="157"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2.39</w:t>
            </w:r>
          </w:p>
        </w:tc>
        <w:tc>
          <w:tcPr>
            <w:tcW w:w="1290" w:type="dxa"/>
            <w:vAlign w:val="top"/>
          </w:tcPr>
          <w:p w14:paraId="00B49E54">
            <w:pPr>
              <w:spacing w:before="157"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14.50</w:t>
            </w:r>
          </w:p>
        </w:tc>
        <w:tc>
          <w:tcPr>
            <w:tcW w:w="1290" w:type="dxa"/>
            <w:vAlign w:val="top"/>
          </w:tcPr>
          <w:p w14:paraId="3F4A9C24">
            <w:pPr>
              <w:spacing w:before="157"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2.57</w:t>
            </w:r>
          </w:p>
        </w:tc>
        <w:tc>
          <w:tcPr>
            <w:tcW w:w="1290" w:type="dxa"/>
            <w:vAlign w:val="top"/>
          </w:tcPr>
          <w:p w14:paraId="48A033F3">
            <w:pPr>
              <w:spacing w:before="157"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0.46</w:t>
            </w:r>
          </w:p>
        </w:tc>
        <w:tc>
          <w:tcPr>
            <w:tcW w:w="1305" w:type="dxa"/>
            <w:tcBorders>
              <w:right w:val="single" w:color="000000" w:sz="10" w:space="0"/>
            </w:tcBorders>
            <w:vAlign w:val="top"/>
          </w:tcPr>
          <w:p w14:paraId="4ED16BB5">
            <w:pPr>
              <w:spacing w:before="157"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12.05</w:t>
            </w:r>
          </w:p>
        </w:tc>
      </w:tr>
      <w:tr w14:paraId="3F79B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420" w:type="dxa"/>
            <w:tcBorders>
              <w:left w:val="single" w:color="000000" w:sz="10" w:space="0"/>
            </w:tcBorders>
            <w:vAlign w:val="top"/>
          </w:tcPr>
          <w:p w14:paraId="61BD7A6A">
            <w:pPr>
              <w:spacing w:before="124" w:line="216" w:lineRule="auto"/>
              <w:ind w:left="101"/>
              <w:rPr>
                <w:rFonts w:ascii="等线" w:hAnsi="等线" w:eastAsia="等线" w:cs="等线"/>
                <w:sz w:val="20"/>
                <w:szCs w:val="20"/>
              </w:rPr>
            </w:pPr>
            <w:r>
              <w:rPr>
                <w:rFonts w:ascii="Times New Roman" w:hAnsi="Times New Roman" w:eastAsia="Times New Roman" w:cs="Times New Roman"/>
                <w:spacing w:val="-1"/>
                <w:sz w:val="20"/>
                <w:szCs w:val="20"/>
              </w:rPr>
              <w:t>2024</w:t>
            </w:r>
            <w:r>
              <w:rPr>
                <w:rFonts w:ascii="等线" w:hAnsi="等线" w:eastAsia="等线" w:cs="等线"/>
                <w:spacing w:val="-1"/>
                <w:sz w:val="20"/>
                <w:szCs w:val="20"/>
              </w:rPr>
              <w:t>年</w:t>
            </w:r>
            <w:r>
              <w:rPr>
                <w:rFonts w:ascii="Times New Roman" w:hAnsi="Times New Roman" w:eastAsia="Times New Roman" w:cs="Times New Roman"/>
                <w:spacing w:val="-1"/>
                <w:sz w:val="20"/>
                <w:szCs w:val="20"/>
              </w:rPr>
              <w:t>11</w:t>
            </w:r>
            <w:r>
              <w:rPr>
                <w:rFonts w:ascii="等线" w:hAnsi="等线" w:eastAsia="等线" w:cs="等线"/>
                <w:spacing w:val="-1"/>
                <w:sz w:val="20"/>
                <w:szCs w:val="20"/>
              </w:rPr>
              <w:t>月</w:t>
            </w:r>
          </w:p>
        </w:tc>
        <w:tc>
          <w:tcPr>
            <w:tcW w:w="1930" w:type="dxa"/>
            <w:vAlign w:val="top"/>
          </w:tcPr>
          <w:p w14:paraId="589B1605">
            <w:pPr>
              <w:spacing w:before="160"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2.44</w:t>
            </w:r>
          </w:p>
        </w:tc>
        <w:tc>
          <w:tcPr>
            <w:tcW w:w="1290" w:type="dxa"/>
            <w:vAlign w:val="top"/>
          </w:tcPr>
          <w:p w14:paraId="189ECF2E">
            <w:pPr>
              <w:spacing w:before="160"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11.69</w:t>
            </w:r>
          </w:p>
        </w:tc>
        <w:tc>
          <w:tcPr>
            <w:tcW w:w="1290" w:type="dxa"/>
            <w:vAlign w:val="top"/>
          </w:tcPr>
          <w:p w14:paraId="018BB929">
            <w:pPr>
              <w:spacing w:before="160" w:line="195" w:lineRule="auto"/>
              <w:ind w:left="4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4.03</w:t>
            </w:r>
          </w:p>
        </w:tc>
        <w:tc>
          <w:tcPr>
            <w:tcW w:w="1290" w:type="dxa"/>
            <w:vAlign w:val="top"/>
          </w:tcPr>
          <w:p w14:paraId="6B0329AF">
            <w:pPr>
              <w:spacing w:before="160"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0.63</w:t>
            </w:r>
          </w:p>
        </w:tc>
        <w:tc>
          <w:tcPr>
            <w:tcW w:w="1305" w:type="dxa"/>
            <w:tcBorders>
              <w:right w:val="single" w:color="000000" w:sz="10" w:space="0"/>
            </w:tcBorders>
            <w:vAlign w:val="top"/>
          </w:tcPr>
          <w:p w14:paraId="7519267E">
            <w:pPr>
              <w:spacing w:before="160"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13.26</w:t>
            </w:r>
          </w:p>
        </w:tc>
      </w:tr>
      <w:tr w14:paraId="750A6A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420" w:type="dxa"/>
            <w:tcBorders>
              <w:left w:val="single" w:color="000000" w:sz="10" w:space="0"/>
            </w:tcBorders>
            <w:vAlign w:val="top"/>
          </w:tcPr>
          <w:p w14:paraId="19CCFE16">
            <w:pPr>
              <w:spacing w:before="125" w:line="216" w:lineRule="auto"/>
              <w:ind w:left="101"/>
              <w:rPr>
                <w:rFonts w:ascii="等线" w:hAnsi="等线" w:eastAsia="等线" w:cs="等线"/>
                <w:sz w:val="20"/>
                <w:szCs w:val="20"/>
              </w:rPr>
            </w:pPr>
            <w:r>
              <w:rPr>
                <w:rFonts w:ascii="Times New Roman" w:hAnsi="Times New Roman" w:eastAsia="Times New Roman" w:cs="Times New Roman"/>
                <w:spacing w:val="-1"/>
                <w:sz w:val="20"/>
                <w:szCs w:val="20"/>
              </w:rPr>
              <w:t>2024</w:t>
            </w:r>
            <w:r>
              <w:rPr>
                <w:rFonts w:ascii="等线" w:hAnsi="等线" w:eastAsia="等线" w:cs="等线"/>
                <w:spacing w:val="-1"/>
                <w:sz w:val="20"/>
                <w:szCs w:val="20"/>
              </w:rPr>
              <w:t>年</w:t>
            </w:r>
            <w:r>
              <w:rPr>
                <w:rFonts w:ascii="Times New Roman" w:hAnsi="Times New Roman" w:eastAsia="Times New Roman" w:cs="Times New Roman"/>
                <w:spacing w:val="-1"/>
                <w:sz w:val="20"/>
                <w:szCs w:val="20"/>
              </w:rPr>
              <w:t>12</w:t>
            </w:r>
            <w:r>
              <w:rPr>
                <w:rFonts w:ascii="等线" w:hAnsi="等线" w:eastAsia="等线" w:cs="等线"/>
                <w:spacing w:val="-1"/>
                <w:sz w:val="20"/>
                <w:szCs w:val="20"/>
              </w:rPr>
              <w:t>月</w:t>
            </w:r>
          </w:p>
        </w:tc>
        <w:tc>
          <w:tcPr>
            <w:tcW w:w="1930" w:type="dxa"/>
            <w:vAlign w:val="top"/>
          </w:tcPr>
          <w:p w14:paraId="7BF30FFA">
            <w:pPr>
              <w:spacing w:before="163"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2.46</w:t>
            </w:r>
          </w:p>
        </w:tc>
        <w:tc>
          <w:tcPr>
            <w:tcW w:w="1290" w:type="dxa"/>
            <w:vAlign w:val="top"/>
          </w:tcPr>
          <w:p w14:paraId="2CB1305E">
            <w:pPr>
              <w:spacing w:before="163"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11.83</w:t>
            </w:r>
          </w:p>
        </w:tc>
        <w:tc>
          <w:tcPr>
            <w:tcW w:w="1290" w:type="dxa"/>
            <w:vAlign w:val="top"/>
          </w:tcPr>
          <w:p w14:paraId="43DA1460">
            <w:pPr>
              <w:spacing w:before="163"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3.31</w:t>
            </w:r>
          </w:p>
        </w:tc>
        <w:tc>
          <w:tcPr>
            <w:tcW w:w="1290" w:type="dxa"/>
            <w:vAlign w:val="top"/>
          </w:tcPr>
          <w:p w14:paraId="4730DB71">
            <w:pPr>
              <w:spacing w:before="163"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0.73</w:t>
            </w:r>
          </w:p>
        </w:tc>
        <w:tc>
          <w:tcPr>
            <w:tcW w:w="1305" w:type="dxa"/>
            <w:tcBorders>
              <w:right w:val="single" w:color="000000" w:sz="10" w:space="0"/>
            </w:tcBorders>
            <w:vAlign w:val="top"/>
          </w:tcPr>
          <w:p w14:paraId="4FE387FA">
            <w:pPr>
              <w:spacing w:before="163"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13.42</w:t>
            </w:r>
          </w:p>
        </w:tc>
      </w:tr>
      <w:tr w14:paraId="43DA26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1420" w:type="dxa"/>
            <w:tcBorders>
              <w:left w:val="single" w:color="000000" w:sz="10" w:space="0"/>
              <w:bottom w:val="single" w:color="000000" w:sz="10" w:space="0"/>
            </w:tcBorders>
            <w:vAlign w:val="top"/>
          </w:tcPr>
          <w:p w14:paraId="27179635">
            <w:pPr>
              <w:spacing w:before="127" w:line="217" w:lineRule="auto"/>
              <w:ind w:left="282"/>
              <w:rPr>
                <w:rFonts w:ascii="等线" w:hAnsi="等线" w:eastAsia="等线" w:cs="等线"/>
                <w:sz w:val="20"/>
                <w:szCs w:val="20"/>
              </w:rPr>
            </w:pPr>
            <w:r>
              <w:rPr>
                <w:rFonts w:ascii="等线" w:hAnsi="等线" w:eastAsia="等线" w:cs="等线"/>
                <w:spacing w:val="7"/>
                <w:sz w:val="20"/>
                <w:szCs w:val="20"/>
              </w:rPr>
              <w:t>标准限值</w:t>
            </w:r>
          </w:p>
        </w:tc>
        <w:tc>
          <w:tcPr>
            <w:tcW w:w="1930" w:type="dxa"/>
            <w:tcBorders>
              <w:bottom w:val="single" w:color="000000" w:sz="10" w:space="0"/>
            </w:tcBorders>
            <w:vAlign w:val="top"/>
          </w:tcPr>
          <w:p w14:paraId="5E65ABF3">
            <w:pPr>
              <w:spacing w:before="160" w:line="199" w:lineRule="auto"/>
              <w:ind w:left="9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90" w:type="dxa"/>
            <w:tcBorders>
              <w:bottom w:val="single" w:color="000000" w:sz="10" w:space="0"/>
            </w:tcBorders>
            <w:vAlign w:val="top"/>
          </w:tcPr>
          <w:p w14:paraId="65D60B90">
            <w:pPr>
              <w:spacing w:before="163" w:line="195" w:lineRule="auto"/>
              <w:ind w:left="546"/>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290" w:type="dxa"/>
            <w:tcBorders>
              <w:bottom w:val="single" w:color="000000" w:sz="10" w:space="0"/>
            </w:tcBorders>
            <w:vAlign w:val="top"/>
          </w:tcPr>
          <w:p w14:paraId="30EE3548">
            <w:pPr>
              <w:pStyle w:val="6"/>
              <w:spacing w:before="127"/>
              <w:ind w:left="292"/>
            </w:pPr>
            <w:r>
              <w:rPr>
                <w:rFonts w:ascii="Times New Roman" w:hAnsi="Times New Roman" w:eastAsia="Times New Roman" w:cs="Times New Roman"/>
                <w:spacing w:val="2"/>
              </w:rPr>
              <w:t>8</w:t>
            </w:r>
            <w:r>
              <w:rPr>
                <w:spacing w:val="2"/>
              </w:rPr>
              <w:t>（</w:t>
            </w:r>
            <w:r>
              <w:rPr>
                <w:rFonts w:ascii="Times New Roman" w:hAnsi="Times New Roman" w:eastAsia="Times New Roman" w:cs="Times New Roman"/>
                <w:spacing w:val="2"/>
              </w:rPr>
              <w:t>15</w:t>
            </w:r>
            <w:r>
              <w:rPr>
                <w:spacing w:val="2"/>
              </w:rPr>
              <w:t>）</w:t>
            </w:r>
          </w:p>
        </w:tc>
        <w:tc>
          <w:tcPr>
            <w:tcW w:w="1290" w:type="dxa"/>
            <w:tcBorders>
              <w:bottom w:val="single" w:color="000000" w:sz="10" w:space="0"/>
            </w:tcBorders>
            <w:vAlign w:val="top"/>
          </w:tcPr>
          <w:p w14:paraId="6317DD8A">
            <w:pPr>
              <w:spacing w:before="163" w:line="195" w:lineRule="auto"/>
              <w:ind w:left="54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305" w:type="dxa"/>
            <w:tcBorders>
              <w:bottom w:val="single" w:color="000000" w:sz="10" w:space="0"/>
              <w:right w:val="single" w:color="000000" w:sz="10" w:space="0"/>
            </w:tcBorders>
            <w:vAlign w:val="top"/>
          </w:tcPr>
          <w:p w14:paraId="0229A283">
            <w:pPr>
              <w:spacing w:before="163" w:line="195" w:lineRule="auto"/>
              <w:ind w:left="5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bl>
    <w:p w14:paraId="77F89DA8">
      <w:pPr>
        <w:spacing w:before="37" w:line="360" w:lineRule="auto"/>
        <w:ind w:left="32" w:right="71" w:firstLine="510"/>
        <w:jc w:val="both"/>
        <w:rPr>
          <w:rFonts w:ascii="宋体" w:hAnsi="宋体" w:eastAsia="宋体" w:cs="宋体"/>
          <w:sz w:val="24"/>
          <w:szCs w:val="24"/>
        </w:rPr>
      </w:pPr>
      <w:r>
        <w:rPr>
          <w:rFonts w:ascii="宋体" w:hAnsi="宋体" w:eastAsia="宋体" w:cs="宋体"/>
          <w:spacing w:val="-1"/>
          <w:sz w:val="24"/>
          <w:szCs w:val="24"/>
        </w:rPr>
        <w:t>由隆回县华茂污水处理厂在线监控数据可知，隆回县华茂污</w:t>
      </w:r>
      <w:r>
        <w:rPr>
          <w:rFonts w:ascii="宋体" w:hAnsi="宋体" w:eastAsia="宋体" w:cs="宋体"/>
          <w:spacing w:val="-2"/>
          <w:sz w:val="24"/>
          <w:szCs w:val="24"/>
        </w:rPr>
        <w:t>水处理厂日均处理水量较为稳定，约为</w:t>
      </w:r>
      <w:r>
        <w:rPr>
          <w:rFonts w:ascii="Times New Roman" w:hAnsi="Times New Roman" w:eastAsia="Times New Roman" w:cs="Times New Roman"/>
          <w:spacing w:val="-2"/>
          <w:sz w:val="24"/>
          <w:szCs w:val="24"/>
        </w:rPr>
        <w:t>2.5</w:t>
      </w:r>
      <w:r>
        <w:rPr>
          <w:rFonts w:ascii="宋体" w:hAnsi="宋体" w:eastAsia="宋体" w:cs="宋体"/>
          <w:spacing w:val="-2"/>
          <w:sz w:val="24"/>
          <w:szCs w:val="24"/>
        </w:rPr>
        <w:t>万</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4"/>
          <w:szCs w:val="24"/>
        </w:rPr>
        <w:t>/d</w:t>
      </w:r>
      <w:r>
        <w:rPr>
          <w:rFonts w:ascii="宋体" w:hAnsi="宋体" w:eastAsia="宋体" w:cs="宋体"/>
          <w:spacing w:val="-2"/>
          <w:sz w:val="24"/>
          <w:szCs w:val="24"/>
        </w:rPr>
        <w:t>。其出水</w:t>
      </w:r>
      <w:r>
        <w:rPr>
          <w:rFonts w:ascii="Times New Roman" w:hAnsi="Times New Roman" w:eastAsia="Times New Roman" w:cs="Times New Roman"/>
          <w:spacing w:val="-2"/>
          <w:sz w:val="24"/>
          <w:szCs w:val="24"/>
        </w:rPr>
        <w:t>COD</w:t>
      </w:r>
      <w:r>
        <w:rPr>
          <w:rFonts w:ascii="宋体" w:hAnsi="宋体" w:eastAsia="宋体" w:cs="宋体"/>
          <w:spacing w:val="-2"/>
          <w:sz w:val="24"/>
          <w:szCs w:val="24"/>
        </w:rPr>
        <w:t>、氨氮、总磷、总氮指标均能稳定</w:t>
      </w:r>
      <w:r>
        <w:rPr>
          <w:rFonts w:ascii="宋体" w:hAnsi="宋体" w:eastAsia="宋体" w:cs="宋体"/>
          <w:sz w:val="24"/>
          <w:szCs w:val="24"/>
        </w:rPr>
        <w:t>达到《城镇污水处理厂污染物排放标准》（</w:t>
      </w:r>
      <w:r>
        <w:rPr>
          <w:rFonts w:ascii="Times New Roman" w:hAnsi="Times New Roman" w:eastAsia="Times New Roman" w:cs="Times New Roman"/>
          <w:sz w:val="24"/>
          <w:szCs w:val="24"/>
        </w:rPr>
        <w:t>GB18918-</w:t>
      </w:r>
      <w:r>
        <w:rPr>
          <w:rFonts w:ascii="Times New Roman" w:hAnsi="Times New Roman" w:eastAsia="Times New Roman" w:cs="Times New Roman"/>
          <w:spacing w:val="-1"/>
          <w:sz w:val="24"/>
          <w:szCs w:val="24"/>
        </w:rPr>
        <w:t>2002</w:t>
      </w:r>
      <w:r>
        <w:rPr>
          <w:rFonts w:ascii="宋体" w:hAnsi="宋体" w:eastAsia="宋体" w:cs="宋体"/>
          <w:spacing w:val="-1"/>
          <w:sz w:val="24"/>
          <w:szCs w:val="24"/>
        </w:rPr>
        <w:t>）中一级</w:t>
      </w:r>
      <w:r>
        <w:rPr>
          <w:rFonts w:ascii="Times New Roman" w:hAnsi="Times New Roman" w:eastAsia="Times New Roman" w:cs="Times New Roman"/>
          <w:spacing w:val="-1"/>
          <w:sz w:val="24"/>
          <w:szCs w:val="24"/>
        </w:rPr>
        <w:t>B</w:t>
      </w:r>
      <w:r>
        <w:rPr>
          <w:rFonts w:ascii="宋体" w:hAnsi="宋体" w:eastAsia="宋体" w:cs="宋体"/>
          <w:spacing w:val="-1"/>
          <w:sz w:val="24"/>
          <w:szCs w:val="24"/>
        </w:rPr>
        <w:t>标准。</w:t>
      </w:r>
    </w:p>
    <w:p w14:paraId="3898D631">
      <w:pPr>
        <w:spacing w:before="140" w:line="220" w:lineRule="auto"/>
        <w:ind w:left="28"/>
        <w:outlineLvl w:val="1"/>
        <w:rPr>
          <w:rFonts w:ascii="宋体" w:hAnsi="宋体" w:eastAsia="宋体" w:cs="宋体"/>
          <w:sz w:val="28"/>
          <w:szCs w:val="28"/>
        </w:rPr>
      </w:pPr>
      <w:bookmarkStart w:id="16" w:name="bookmark16"/>
      <w:bookmarkEnd w:id="16"/>
      <w:r>
        <w:rPr>
          <w:rFonts w:ascii="Times New Roman" w:hAnsi="Times New Roman" w:eastAsia="Times New Roman" w:cs="Times New Roman"/>
          <w:b/>
          <w:bCs/>
          <w:spacing w:val="-2"/>
          <w:sz w:val="28"/>
          <w:szCs w:val="28"/>
        </w:rPr>
        <w:t>3.4</w:t>
      </w:r>
      <w:r>
        <w:rPr>
          <w:rFonts w:ascii="宋体" w:hAnsi="宋体" w:eastAsia="宋体" w:cs="宋体"/>
          <w:b/>
          <w:bCs/>
          <w:spacing w:val="-2"/>
          <w:sz w:val="28"/>
          <w:szCs w:val="28"/>
        </w:rPr>
        <w:t>项目所在区域概况</w:t>
      </w:r>
    </w:p>
    <w:p w14:paraId="4FA62464">
      <w:pPr>
        <w:spacing w:before="205" w:line="220" w:lineRule="auto"/>
        <w:ind w:left="27"/>
        <w:outlineLvl w:val="2"/>
        <w:rPr>
          <w:rFonts w:ascii="宋体" w:hAnsi="宋体" w:eastAsia="宋体" w:cs="宋体"/>
          <w:sz w:val="24"/>
          <w:szCs w:val="24"/>
        </w:rPr>
      </w:pPr>
      <w:r>
        <w:rPr>
          <w:rFonts w:ascii="Times New Roman" w:hAnsi="Times New Roman" w:eastAsia="Times New Roman" w:cs="Times New Roman"/>
          <w:b/>
          <w:bCs/>
          <w:spacing w:val="-2"/>
          <w:sz w:val="24"/>
          <w:szCs w:val="24"/>
        </w:rPr>
        <w:t>3.4.1</w:t>
      </w:r>
      <w:r>
        <w:rPr>
          <w:rFonts w:ascii="宋体" w:hAnsi="宋体" w:eastAsia="宋体" w:cs="宋体"/>
          <w:b/>
          <w:bCs/>
          <w:spacing w:val="-2"/>
          <w:sz w:val="24"/>
          <w:szCs w:val="24"/>
        </w:rPr>
        <w:t>地理位置及行政区划</w:t>
      </w:r>
    </w:p>
    <w:p w14:paraId="5F9853CD">
      <w:pPr>
        <w:spacing w:before="183" w:line="359" w:lineRule="auto"/>
        <w:ind w:left="33" w:right="23" w:firstLine="495"/>
        <w:jc w:val="both"/>
        <w:rPr>
          <w:rFonts w:ascii="宋体" w:hAnsi="宋体" w:eastAsia="宋体" w:cs="宋体"/>
          <w:sz w:val="24"/>
          <w:szCs w:val="24"/>
        </w:rPr>
      </w:pPr>
      <w:r>
        <w:rPr>
          <w:rFonts w:ascii="宋体" w:hAnsi="宋体" w:eastAsia="宋体" w:cs="宋体"/>
          <w:spacing w:val="-1"/>
          <w:sz w:val="24"/>
          <w:szCs w:val="24"/>
        </w:rPr>
        <w:t>隆回位于湘中偏西南，总面积</w:t>
      </w:r>
      <w:r>
        <w:rPr>
          <w:rFonts w:ascii="Times New Roman" w:hAnsi="Times New Roman" w:eastAsia="Times New Roman" w:cs="Times New Roman"/>
          <w:spacing w:val="-1"/>
          <w:sz w:val="24"/>
          <w:szCs w:val="24"/>
        </w:rPr>
        <w:t>2868</w:t>
      </w:r>
      <w:r>
        <w:rPr>
          <w:rFonts w:ascii="宋体" w:hAnsi="宋体" w:eastAsia="宋体" w:cs="宋体"/>
          <w:spacing w:val="-1"/>
          <w:sz w:val="24"/>
          <w:szCs w:val="24"/>
        </w:rPr>
        <w:t>平方公里，地</w:t>
      </w:r>
      <w:r>
        <w:rPr>
          <w:rFonts w:ascii="宋体" w:hAnsi="宋体" w:eastAsia="宋体" w:cs="宋体"/>
          <w:spacing w:val="-2"/>
          <w:sz w:val="24"/>
          <w:szCs w:val="24"/>
        </w:rPr>
        <w:t>处湘中稍偏西南。位于东经</w:t>
      </w:r>
      <w:r>
        <w:rPr>
          <w:rFonts w:ascii="Times New Roman" w:hAnsi="Times New Roman" w:eastAsia="Times New Roman" w:cs="Times New Roman"/>
          <w:spacing w:val="1"/>
          <w:sz w:val="24"/>
          <w:szCs w:val="24"/>
        </w:rPr>
        <w:t>110</w:t>
      </w:r>
      <w:r>
        <w:rPr>
          <w:rFonts w:ascii="宋体" w:hAnsi="宋体" w:eastAsia="宋体" w:cs="宋体"/>
          <w:spacing w:val="1"/>
          <w:sz w:val="24"/>
          <w:szCs w:val="24"/>
        </w:rPr>
        <w:t>°</w:t>
      </w:r>
      <w:r>
        <w:rPr>
          <w:rFonts w:ascii="Times New Roman" w:hAnsi="Times New Roman" w:eastAsia="Times New Roman" w:cs="Times New Roman"/>
          <w:spacing w:val="1"/>
          <w:sz w:val="24"/>
          <w:szCs w:val="24"/>
        </w:rPr>
        <w:t>38</w:t>
      </w:r>
      <w:r>
        <w:rPr>
          <w:rFonts w:ascii="宋体" w:hAnsi="宋体" w:eastAsia="宋体" w:cs="宋体"/>
          <w:spacing w:val="1"/>
          <w:sz w:val="24"/>
          <w:szCs w:val="24"/>
        </w:rPr>
        <w:t>´~</w:t>
      </w:r>
      <w:r>
        <w:rPr>
          <w:rFonts w:ascii="Times New Roman" w:hAnsi="Times New Roman" w:eastAsia="Times New Roman" w:cs="Times New Roman"/>
          <w:spacing w:val="1"/>
          <w:sz w:val="24"/>
          <w:szCs w:val="24"/>
        </w:rPr>
        <w:t>111</w:t>
      </w:r>
      <w:r>
        <w:rPr>
          <w:rFonts w:ascii="宋体" w:hAnsi="宋体" w:eastAsia="宋体" w:cs="宋体"/>
          <w:spacing w:val="1"/>
          <w:sz w:val="24"/>
          <w:szCs w:val="24"/>
        </w:rPr>
        <w:t>°</w:t>
      </w:r>
      <w:r>
        <w:rPr>
          <w:rFonts w:ascii="Times New Roman" w:hAnsi="Times New Roman" w:eastAsia="Times New Roman" w:cs="Times New Roman"/>
          <w:spacing w:val="1"/>
          <w:sz w:val="24"/>
          <w:szCs w:val="24"/>
        </w:rPr>
        <w:t>15</w:t>
      </w:r>
      <w:r>
        <w:rPr>
          <w:rFonts w:ascii="宋体" w:hAnsi="宋体" w:eastAsia="宋体" w:cs="宋体"/>
          <w:spacing w:val="1"/>
          <w:sz w:val="24"/>
          <w:szCs w:val="24"/>
        </w:rPr>
        <w:t>´。北纬</w:t>
      </w:r>
      <w:r>
        <w:rPr>
          <w:rFonts w:ascii="Times New Roman" w:hAnsi="Times New Roman" w:eastAsia="Times New Roman" w:cs="Times New Roman"/>
          <w:spacing w:val="1"/>
          <w:sz w:val="24"/>
          <w:szCs w:val="24"/>
        </w:rPr>
        <w:t>27</w:t>
      </w:r>
      <w:r>
        <w:rPr>
          <w:rFonts w:ascii="宋体" w:hAnsi="宋体" w:eastAsia="宋体" w:cs="宋体"/>
          <w:spacing w:val="1"/>
          <w:sz w:val="24"/>
          <w:szCs w:val="24"/>
        </w:rPr>
        <w:t>°</w:t>
      </w:r>
      <w:r>
        <w:rPr>
          <w:rFonts w:ascii="Times New Roman" w:hAnsi="Times New Roman" w:eastAsia="Times New Roman" w:cs="Times New Roman"/>
          <w:spacing w:val="1"/>
          <w:sz w:val="24"/>
          <w:szCs w:val="24"/>
        </w:rPr>
        <w:t>00</w:t>
      </w:r>
      <w:r>
        <w:rPr>
          <w:rFonts w:ascii="宋体" w:hAnsi="宋体" w:eastAsia="宋体" w:cs="宋体"/>
          <w:spacing w:val="1"/>
          <w:sz w:val="24"/>
          <w:szCs w:val="24"/>
        </w:rPr>
        <w:t>´~</w:t>
      </w:r>
      <w:r>
        <w:rPr>
          <w:rFonts w:ascii="Times New Roman" w:hAnsi="Times New Roman" w:eastAsia="Times New Roman" w:cs="Times New Roman"/>
          <w:spacing w:val="1"/>
          <w:sz w:val="24"/>
          <w:szCs w:val="24"/>
        </w:rPr>
        <w:t>27</w:t>
      </w:r>
      <w:r>
        <w:rPr>
          <w:rFonts w:ascii="宋体" w:hAnsi="宋体" w:eastAsia="宋体" w:cs="宋体"/>
          <w:spacing w:val="1"/>
          <w:sz w:val="24"/>
          <w:szCs w:val="24"/>
        </w:rPr>
        <w:t>°</w:t>
      </w:r>
      <w:r>
        <w:rPr>
          <w:rFonts w:ascii="Times New Roman" w:hAnsi="Times New Roman" w:eastAsia="Times New Roman" w:cs="Times New Roman"/>
          <w:spacing w:val="1"/>
          <w:sz w:val="24"/>
          <w:szCs w:val="24"/>
        </w:rPr>
        <w:t>40</w:t>
      </w:r>
      <w:r>
        <w:rPr>
          <w:rFonts w:ascii="宋体" w:hAnsi="宋体" w:eastAsia="宋体" w:cs="宋体"/>
          <w:spacing w:val="1"/>
          <w:sz w:val="24"/>
          <w:szCs w:val="24"/>
        </w:rPr>
        <w:t>´。东邻新邵县，西连</w:t>
      </w:r>
      <w:r>
        <w:rPr>
          <w:rFonts w:ascii="宋体" w:hAnsi="宋体" w:eastAsia="宋体" w:cs="宋体"/>
          <w:sz w:val="24"/>
          <w:szCs w:val="24"/>
        </w:rPr>
        <w:t>洞口县，南接</w:t>
      </w:r>
      <w:r>
        <w:rPr>
          <w:rFonts w:ascii="宋体" w:hAnsi="宋体" w:eastAsia="宋体" w:cs="宋体"/>
          <w:spacing w:val="-2"/>
          <w:sz w:val="24"/>
          <w:szCs w:val="24"/>
        </w:rPr>
        <w:t>邵阳、武冈县，北毗溆浦、新化县。东西宽</w:t>
      </w:r>
      <w:r>
        <w:rPr>
          <w:rFonts w:ascii="Times New Roman" w:hAnsi="Times New Roman" w:eastAsia="Times New Roman" w:cs="Times New Roman"/>
          <w:spacing w:val="-2"/>
          <w:sz w:val="24"/>
          <w:szCs w:val="24"/>
        </w:rPr>
        <w:t>61.4</w:t>
      </w:r>
      <w:r>
        <w:rPr>
          <w:rFonts w:ascii="宋体" w:hAnsi="宋体" w:eastAsia="宋体" w:cs="宋体"/>
          <w:spacing w:val="-2"/>
          <w:sz w:val="24"/>
          <w:szCs w:val="24"/>
        </w:rPr>
        <w:t>公里，南北长</w:t>
      </w:r>
      <w:r>
        <w:rPr>
          <w:rFonts w:ascii="Times New Roman" w:hAnsi="Times New Roman" w:eastAsia="Times New Roman" w:cs="Times New Roman"/>
          <w:spacing w:val="-2"/>
          <w:sz w:val="24"/>
          <w:szCs w:val="24"/>
        </w:rPr>
        <w:t>74.6</w:t>
      </w:r>
      <w:r>
        <w:rPr>
          <w:rFonts w:ascii="宋体" w:hAnsi="宋体" w:eastAsia="宋体" w:cs="宋体"/>
          <w:spacing w:val="-2"/>
          <w:sz w:val="24"/>
          <w:szCs w:val="24"/>
        </w:rPr>
        <w:t>公里，占</w:t>
      </w:r>
      <w:r>
        <w:rPr>
          <w:rFonts w:ascii="宋体" w:hAnsi="宋体" w:eastAsia="宋体" w:cs="宋体"/>
          <w:spacing w:val="-3"/>
          <w:sz w:val="24"/>
          <w:szCs w:val="24"/>
        </w:rPr>
        <w:t>全省</w:t>
      </w:r>
      <w:r>
        <w:rPr>
          <w:rFonts w:ascii="宋体" w:hAnsi="宋体" w:eastAsia="宋体" w:cs="宋体"/>
          <w:spacing w:val="-1"/>
          <w:sz w:val="24"/>
          <w:szCs w:val="24"/>
        </w:rPr>
        <w:t>总面积的</w:t>
      </w:r>
      <w:r>
        <w:rPr>
          <w:rFonts w:ascii="Times New Roman" w:hAnsi="Times New Roman" w:eastAsia="Times New Roman" w:cs="Times New Roman"/>
          <w:spacing w:val="-1"/>
          <w:sz w:val="24"/>
          <w:szCs w:val="24"/>
        </w:rPr>
        <w:t>1.35%</w:t>
      </w:r>
      <w:r>
        <w:rPr>
          <w:rFonts w:ascii="宋体" w:hAnsi="宋体" w:eastAsia="宋体" w:cs="宋体"/>
          <w:spacing w:val="-1"/>
          <w:sz w:val="24"/>
          <w:szCs w:val="24"/>
        </w:rPr>
        <w:t>。县城距省长沙</w:t>
      </w:r>
      <w:r>
        <w:rPr>
          <w:rFonts w:ascii="Times New Roman" w:hAnsi="Times New Roman" w:eastAsia="Times New Roman" w:cs="Times New Roman"/>
          <w:spacing w:val="-1"/>
          <w:sz w:val="24"/>
          <w:szCs w:val="24"/>
        </w:rPr>
        <w:t>283</w:t>
      </w:r>
      <w:r>
        <w:rPr>
          <w:rFonts w:ascii="宋体" w:hAnsi="宋体" w:eastAsia="宋体" w:cs="宋体"/>
          <w:spacing w:val="-1"/>
          <w:sz w:val="24"/>
          <w:szCs w:val="24"/>
        </w:rPr>
        <w:t>公里，距邵阳</w:t>
      </w:r>
      <w:r>
        <w:rPr>
          <w:rFonts w:ascii="宋体" w:hAnsi="宋体" w:eastAsia="宋体" w:cs="宋体"/>
          <w:spacing w:val="-2"/>
          <w:sz w:val="24"/>
          <w:szCs w:val="24"/>
        </w:rPr>
        <w:t>市</w:t>
      </w:r>
      <w:r>
        <w:rPr>
          <w:rFonts w:ascii="Times New Roman" w:hAnsi="Times New Roman" w:eastAsia="Times New Roman" w:cs="Times New Roman"/>
          <w:spacing w:val="-2"/>
          <w:sz w:val="24"/>
          <w:szCs w:val="24"/>
        </w:rPr>
        <w:t>56</w:t>
      </w:r>
      <w:r>
        <w:rPr>
          <w:rFonts w:ascii="宋体" w:hAnsi="宋体" w:eastAsia="宋体" w:cs="宋体"/>
          <w:spacing w:val="-2"/>
          <w:sz w:val="24"/>
          <w:szCs w:val="24"/>
        </w:rPr>
        <w:t>公里。</w:t>
      </w:r>
      <w:r>
        <w:rPr>
          <w:rFonts w:ascii="Times New Roman" w:hAnsi="Times New Roman" w:eastAsia="Times New Roman" w:cs="Times New Roman"/>
          <w:spacing w:val="-2"/>
          <w:sz w:val="24"/>
          <w:szCs w:val="24"/>
        </w:rPr>
        <w:t>2022</w:t>
      </w:r>
      <w:r>
        <w:rPr>
          <w:rFonts w:ascii="宋体" w:hAnsi="宋体" w:eastAsia="宋体" w:cs="宋体"/>
          <w:spacing w:val="-2"/>
          <w:sz w:val="24"/>
          <w:szCs w:val="24"/>
        </w:rPr>
        <w:t>年，县辖</w:t>
      </w:r>
      <w:r>
        <w:rPr>
          <w:rFonts w:ascii="Times New Roman" w:hAnsi="Times New Roman" w:eastAsia="Times New Roman" w:cs="Times New Roman"/>
          <w:spacing w:val="-2"/>
          <w:sz w:val="24"/>
          <w:szCs w:val="24"/>
        </w:rPr>
        <w:t>18</w:t>
      </w:r>
      <w:r>
        <w:rPr>
          <w:rFonts w:ascii="宋体" w:hAnsi="宋体" w:eastAsia="宋体" w:cs="宋体"/>
          <w:spacing w:val="1"/>
          <w:sz w:val="24"/>
          <w:szCs w:val="24"/>
        </w:rPr>
        <w:t>个建制镇，</w:t>
      </w:r>
      <w:r>
        <w:rPr>
          <w:rFonts w:ascii="Times New Roman" w:hAnsi="Times New Roman" w:eastAsia="Times New Roman" w:cs="Times New Roman"/>
          <w:spacing w:val="1"/>
          <w:sz w:val="24"/>
          <w:szCs w:val="24"/>
        </w:rPr>
        <w:t>5</w:t>
      </w:r>
      <w:r>
        <w:rPr>
          <w:rFonts w:ascii="宋体" w:hAnsi="宋体" w:eastAsia="宋体" w:cs="宋体"/>
          <w:spacing w:val="1"/>
          <w:sz w:val="24"/>
          <w:szCs w:val="24"/>
        </w:rPr>
        <w:t>个乡（其中少数民族乡</w:t>
      </w:r>
      <w:r>
        <w:rPr>
          <w:rFonts w:ascii="Times New Roman" w:hAnsi="Times New Roman" w:eastAsia="Times New Roman" w:cs="Times New Roman"/>
          <w:spacing w:val="1"/>
          <w:sz w:val="24"/>
          <w:szCs w:val="24"/>
        </w:rPr>
        <w:t>2</w:t>
      </w:r>
      <w:r>
        <w:rPr>
          <w:rFonts w:ascii="宋体" w:hAnsi="宋体" w:eastAsia="宋体" w:cs="宋体"/>
          <w:spacing w:val="1"/>
          <w:sz w:val="24"/>
          <w:szCs w:val="24"/>
        </w:rPr>
        <w:t>个</w:t>
      </w:r>
      <w:r>
        <w:rPr>
          <w:rFonts w:ascii="宋体" w:hAnsi="宋体" w:eastAsia="宋体" w:cs="宋体"/>
          <w:spacing w:val="4"/>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个街道办事处，</w:t>
      </w:r>
      <w:r>
        <w:rPr>
          <w:rFonts w:ascii="Times New Roman" w:hAnsi="Times New Roman" w:eastAsia="Times New Roman" w:cs="Times New Roman"/>
          <w:spacing w:val="1"/>
          <w:sz w:val="24"/>
          <w:szCs w:val="24"/>
        </w:rPr>
        <w:t>506</w:t>
      </w:r>
      <w:r>
        <w:rPr>
          <w:rFonts w:ascii="宋体" w:hAnsi="宋体" w:eastAsia="宋体" w:cs="宋体"/>
          <w:spacing w:val="1"/>
          <w:sz w:val="24"/>
          <w:szCs w:val="24"/>
        </w:rPr>
        <w:t>个行政村，</w:t>
      </w:r>
      <w:r>
        <w:rPr>
          <w:rFonts w:ascii="Times New Roman" w:hAnsi="Times New Roman" w:eastAsia="Times New Roman" w:cs="Times New Roman"/>
          <w:spacing w:val="1"/>
          <w:sz w:val="24"/>
          <w:szCs w:val="24"/>
        </w:rPr>
        <w:t>25</w:t>
      </w:r>
      <w:r>
        <w:rPr>
          <w:rFonts w:ascii="宋体" w:hAnsi="宋体" w:eastAsia="宋体" w:cs="宋体"/>
          <w:spacing w:val="-1"/>
          <w:sz w:val="24"/>
          <w:szCs w:val="24"/>
        </w:rPr>
        <w:t>个居委会，</w:t>
      </w:r>
      <w:r>
        <w:rPr>
          <w:rFonts w:ascii="Times New Roman" w:hAnsi="Times New Roman" w:eastAsia="Times New Roman" w:cs="Times New Roman"/>
          <w:spacing w:val="-1"/>
          <w:sz w:val="24"/>
          <w:szCs w:val="24"/>
        </w:rPr>
        <w:t>41</w:t>
      </w:r>
      <w:r>
        <w:rPr>
          <w:rFonts w:ascii="宋体" w:hAnsi="宋体" w:eastAsia="宋体" w:cs="宋体"/>
          <w:spacing w:val="-1"/>
          <w:sz w:val="24"/>
          <w:szCs w:val="24"/>
        </w:rPr>
        <w:t>个社区居委会。</w:t>
      </w:r>
      <w:r>
        <w:rPr>
          <w:rFonts w:ascii="Times New Roman" w:hAnsi="Times New Roman" w:eastAsia="Times New Roman" w:cs="Times New Roman"/>
          <w:spacing w:val="-1"/>
          <w:sz w:val="24"/>
          <w:szCs w:val="24"/>
        </w:rPr>
        <w:t>2022</w:t>
      </w:r>
      <w:r>
        <w:rPr>
          <w:rFonts w:ascii="宋体" w:hAnsi="宋体" w:eastAsia="宋体" w:cs="宋体"/>
          <w:spacing w:val="-2"/>
          <w:sz w:val="24"/>
          <w:szCs w:val="24"/>
        </w:rPr>
        <w:t>年末全县总人口为</w:t>
      </w:r>
      <w:r>
        <w:rPr>
          <w:rFonts w:ascii="Times New Roman" w:hAnsi="Times New Roman" w:eastAsia="Times New Roman" w:cs="Times New Roman"/>
          <w:spacing w:val="-2"/>
          <w:sz w:val="24"/>
          <w:szCs w:val="24"/>
        </w:rPr>
        <w:t>128</w:t>
      </w:r>
      <w:r>
        <w:rPr>
          <w:rFonts w:ascii="宋体" w:hAnsi="宋体" w:eastAsia="宋体" w:cs="宋体"/>
          <w:spacing w:val="-2"/>
          <w:sz w:val="24"/>
          <w:szCs w:val="24"/>
        </w:rPr>
        <w:t>余万人，常住人口</w:t>
      </w:r>
      <w:r>
        <w:rPr>
          <w:rFonts w:ascii="Times New Roman" w:hAnsi="Times New Roman" w:eastAsia="Times New Roman" w:cs="Times New Roman"/>
          <w:spacing w:val="-2"/>
          <w:sz w:val="24"/>
          <w:szCs w:val="24"/>
        </w:rPr>
        <w:t>100</w:t>
      </w:r>
      <w:r>
        <w:rPr>
          <w:rFonts w:ascii="宋体" w:hAnsi="宋体" w:eastAsia="宋体" w:cs="宋体"/>
          <w:spacing w:val="-1"/>
          <w:sz w:val="24"/>
          <w:szCs w:val="24"/>
        </w:rPr>
        <w:t>万人。有汉族、回族、瑶族、苗族、蒙古族等</w:t>
      </w:r>
      <w:r>
        <w:rPr>
          <w:rFonts w:ascii="Times New Roman" w:hAnsi="Times New Roman" w:eastAsia="Times New Roman" w:cs="Times New Roman"/>
          <w:spacing w:val="-1"/>
          <w:sz w:val="24"/>
          <w:szCs w:val="24"/>
        </w:rPr>
        <w:t>24</w:t>
      </w:r>
      <w:r>
        <w:rPr>
          <w:rFonts w:ascii="宋体" w:hAnsi="宋体" w:eastAsia="宋体" w:cs="宋体"/>
          <w:spacing w:val="-1"/>
          <w:sz w:val="24"/>
          <w:szCs w:val="24"/>
        </w:rPr>
        <w:t>个民族，是革命老区县、湖南省特色县域经济重点县。</w:t>
      </w:r>
    </w:p>
    <w:p w14:paraId="4D901B71">
      <w:pPr>
        <w:spacing w:before="6" w:line="359" w:lineRule="auto"/>
        <w:ind w:left="33" w:right="21" w:firstLine="495"/>
        <w:rPr>
          <w:rFonts w:ascii="宋体" w:hAnsi="宋体" w:eastAsia="宋体" w:cs="宋体"/>
          <w:sz w:val="24"/>
          <w:szCs w:val="24"/>
        </w:rPr>
      </w:pPr>
      <w:r>
        <w:rPr>
          <w:rFonts w:ascii="宋体" w:hAnsi="宋体" w:eastAsia="宋体" w:cs="宋体"/>
          <w:spacing w:val="2"/>
          <w:sz w:val="24"/>
          <w:szCs w:val="24"/>
        </w:rPr>
        <w:t>隆回县域面积</w:t>
      </w:r>
      <w:r>
        <w:rPr>
          <w:rFonts w:ascii="Times New Roman" w:hAnsi="Times New Roman" w:eastAsia="Times New Roman" w:cs="Times New Roman"/>
          <w:spacing w:val="2"/>
          <w:sz w:val="24"/>
          <w:szCs w:val="24"/>
        </w:rPr>
        <w:t>2866</w:t>
      </w:r>
      <w:r>
        <w:rPr>
          <w:rFonts w:ascii="宋体" w:hAnsi="宋体" w:eastAsia="宋体" w:cs="宋体"/>
          <w:spacing w:val="2"/>
          <w:sz w:val="24"/>
          <w:szCs w:val="24"/>
        </w:rPr>
        <w:t>平方公里，</w:t>
      </w:r>
      <w:r>
        <w:rPr>
          <w:rFonts w:ascii="Times New Roman" w:hAnsi="Times New Roman" w:eastAsia="Times New Roman" w:cs="Times New Roman"/>
          <w:spacing w:val="2"/>
          <w:sz w:val="24"/>
          <w:szCs w:val="24"/>
        </w:rPr>
        <w:t>2016</w:t>
      </w:r>
      <w:r>
        <w:rPr>
          <w:rFonts w:ascii="宋体" w:hAnsi="宋体" w:eastAsia="宋体" w:cs="宋体"/>
          <w:spacing w:val="2"/>
          <w:sz w:val="24"/>
          <w:szCs w:val="24"/>
        </w:rPr>
        <w:t>年，隆回县辖</w:t>
      </w:r>
      <w:r>
        <w:rPr>
          <w:rFonts w:ascii="Times New Roman" w:hAnsi="Times New Roman" w:eastAsia="Times New Roman" w:cs="Times New Roman"/>
          <w:spacing w:val="2"/>
          <w:sz w:val="24"/>
          <w:szCs w:val="24"/>
        </w:rPr>
        <w:t>19</w:t>
      </w:r>
      <w:r>
        <w:rPr>
          <w:rFonts w:ascii="宋体" w:hAnsi="宋体" w:eastAsia="宋体" w:cs="宋体"/>
          <w:spacing w:val="2"/>
          <w:sz w:val="24"/>
          <w:szCs w:val="24"/>
        </w:rPr>
        <w:t>个镇、</w:t>
      </w:r>
      <w:r>
        <w:rPr>
          <w:rFonts w:ascii="Times New Roman" w:hAnsi="Times New Roman" w:eastAsia="Times New Roman" w:cs="Times New Roman"/>
          <w:spacing w:val="2"/>
          <w:sz w:val="24"/>
          <w:szCs w:val="24"/>
        </w:rPr>
        <w:t>5</w:t>
      </w:r>
      <w:r>
        <w:rPr>
          <w:rFonts w:ascii="宋体" w:hAnsi="宋体" w:eastAsia="宋体" w:cs="宋体"/>
          <w:spacing w:val="2"/>
          <w:sz w:val="24"/>
          <w:szCs w:val="24"/>
        </w:rPr>
        <w:t>个乡（其</w:t>
      </w:r>
      <w:r>
        <w:rPr>
          <w:rFonts w:ascii="宋体" w:hAnsi="宋体" w:eastAsia="宋体" w:cs="宋体"/>
          <w:spacing w:val="1"/>
          <w:sz w:val="24"/>
          <w:szCs w:val="24"/>
        </w:rPr>
        <w:t>中</w:t>
      </w:r>
      <w:r>
        <w:rPr>
          <w:rFonts w:ascii="Times New Roman" w:hAnsi="Times New Roman" w:eastAsia="Times New Roman" w:cs="Times New Roman"/>
          <w:spacing w:val="1"/>
          <w:sz w:val="24"/>
          <w:szCs w:val="24"/>
        </w:rPr>
        <w:t>2</w:t>
      </w:r>
      <w:r>
        <w:rPr>
          <w:rFonts w:ascii="宋体" w:hAnsi="宋体" w:eastAsia="宋体" w:cs="宋体"/>
          <w:spacing w:val="2"/>
          <w:sz w:val="24"/>
          <w:szCs w:val="24"/>
        </w:rPr>
        <w:t>个民族乡</w:t>
      </w:r>
      <w:r>
        <w:rPr>
          <w:rFonts w:ascii="宋体" w:hAnsi="宋体" w:eastAsia="宋体" w:cs="宋体"/>
          <w:spacing w:val="14"/>
          <w:sz w:val="24"/>
          <w:szCs w:val="24"/>
        </w:rPr>
        <w:t>）：</w:t>
      </w:r>
      <w:r>
        <w:rPr>
          <w:rFonts w:ascii="宋体" w:hAnsi="宋体" w:eastAsia="宋体" w:cs="宋体"/>
          <w:spacing w:val="2"/>
          <w:sz w:val="24"/>
          <w:szCs w:val="24"/>
        </w:rPr>
        <w:t>桃洪镇、小沙江镇、金石桥镇、司门前镇、高平镇、六都寨镇、荷</w:t>
      </w:r>
      <w:r>
        <w:rPr>
          <w:rFonts w:ascii="宋体" w:hAnsi="宋体" w:eastAsia="宋体" w:cs="宋体"/>
          <w:spacing w:val="3"/>
          <w:sz w:val="24"/>
          <w:szCs w:val="24"/>
        </w:rPr>
        <w:t>香桥镇、横板桥镇、周旺镇、滩头镇、鸭田镇、西洋江</w:t>
      </w:r>
      <w:r>
        <w:rPr>
          <w:rFonts w:ascii="宋体" w:hAnsi="宋体" w:eastAsia="宋体" w:cs="宋体"/>
          <w:spacing w:val="2"/>
          <w:sz w:val="24"/>
          <w:szCs w:val="24"/>
        </w:rPr>
        <w:t>镇、岩口镇、麻塘山乡、</w:t>
      </w:r>
      <w:r>
        <w:rPr>
          <w:rFonts w:ascii="宋体" w:hAnsi="宋体" w:eastAsia="宋体" w:cs="宋体"/>
          <w:spacing w:val="3"/>
          <w:sz w:val="24"/>
          <w:szCs w:val="24"/>
        </w:rPr>
        <w:t>虎形山瑶族乡、大水田乡、羊古坳镇、罗洪镇、七江镇</w:t>
      </w:r>
      <w:r>
        <w:rPr>
          <w:rFonts w:ascii="宋体" w:hAnsi="宋体" w:eastAsia="宋体" w:cs="宋体"/>
          <w:spacing w:val="2"/>
          <w:sz w:val="24"/>
          <w:szCs w:val="24"/>
        </w:rPr>
        <w:t>、荷田乡、南岳庙镇、山</w:t>
      </w:r>
      <w:r>
        <w:rPr>
          <w:rFonts w:ascii="宋体" w:hAnsi="宋体" w:eastAsia="宋体" w:cs="宋体"/>
          <w:spacing w:val="-1"/>
          <w:sz w:val="24"/>
          <w:szCs w:val="24"/>
        </w:rPr>
        <w:t>界回族乡、三阁司镇、北山镇。</w:t>
      </w:r>
    </w:p>
    <w:p w14:paraId="1985FD33">
      <w:pPr>
        <w:spacing w:line="359" w:lineRule="auto"/>
        <w:rPr>
          <w:rFonts w:ascii="宋体" w:hAnsi="宋体" w:eastAsia="宋体" w:cs="宋体"/>
          <w:sz w:val="24"/>
          <w:szCs w:val="24"/>
        </w:rPr>
        <w:sectPr>
          <w:headerReference r:id="rId41" w:type="default"/>
          <w:footerReference r:id="rId42" w:type="default"/>
          <w:pgSz w:w="11907" w:h="16840"/>
          <w:pgMar w:top="1132" w:right="1678" w:bottom="1259" w:left="1677" w:header="829" w:footer="1096" w:gutter="0"/>
          <w:cols w:space="720" w:num="1"/>
        </w:sectPr>
      </w:pPr>
    </w:p>
    <w:p w14:paraId="272E7B7E">
      <w:pPr>
        <w:pStyle w:val="2"/>
        <w:spacing w:line="241" w:lineRule="auto"/>
      </w:pPr>
    </w:p>
    <w:p w14:paraId="162168B4">
      <w:pPr>
        <w:spacing w:before="78" w:line="219" w:lineRule="auto"/>
        <w:ind w:left="4"/>
        <w:outlineLvl w:val="2"/>
        <w:rPr>
          <w:rFonts w:ascii="宋体" w:hAnsi="宋体" w:eastAsia="宋体" w:cs="宋体"/>
          <w:sz w:val="24"/>
          <w:szCs w:val="24"/>
        </w:rPr>
      </w:pPr>
      <w:r>
        <w:rPr>
          <w:rFonts w:ascii="Times New Roman" w:hAnsi="Times New Roman" w:eastAsia="Times New Roman" w:cs="Times New Roman"/>
          <w:b/>
          <w:bCs/>
          <w:spacing w:val="-7"/>
          <w:sz w:val="24"/>
          <w:szCs w:val="24"/>
        </w:rPr>
        <w:t>3.4.2</w:t>
      </w:r>
      <w:r>
        <w:rPr>
          <w:rFonts w:ascii="宋体" w:hAnsi="宋体" w:eastAsia="宋体" w:cs="宋体"/>
          <w:b/>
          <w:bCs/>
          <w:spacing w:val="-7"/>
          <w:sz w:val="24"/>
          <w:szCs w:val="24"/>
        </w:rPr>
        <w:t>自然条件</w:t>
      </w:r>
    </w:p>
    <w:p w14:paraId="1402C7BE">
      <w:pPr>
        <w:spacing w:before="179" w:line="219" w:lineRule="auto"/>
        <w:ind w:left="501"/>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）地形地貌</w:t>
      </w:r>
    </w:p>
    <w:p w14:paraId="0E754A2B">
      <w:pPr>
        <w:spacing w:before="183" w:line="359" w:lineRule="auto"/>
        <w:ind w:left="9" w:right="44" w:firstLine="495"/>
        <w:rPr>
          <w:rFonts w:ascii="宋体" w:hAnsi="宋体" w:eastAsia="宋体" w:cs="宋体"/>
          <w:sz w:val="24"/>
          <w:szCs w:val="24"/>
        </w:rPr>
      </w:pPr>
      <w:r>
        <w:rPr>
          <w:rFonts w:ascii="宋体" w:hAnsi="宋体" w:eastAsia="宋体" w:cs="宋体"/>
          <w:spacing w:val="-3"/>
          <w:sz w:val="24"/>
          <w:szCs w:val="24"/>
        </w:rPr>
        <w:t>隆回县境内山、丘、岗、平地貌类型齐全，山地占</w:t>
      </w:r>
      <w:r>
        <w:rPr>
          <w:rFonts w:ascii="Times New Roman" w:hAnsi="Times New Roman" w:eastAsia="Times New Roman" w:cs="Times New Roman"/>
          <w:spacing w:val="-3"/>
          <w:sz w:val="24"/>
          <w:szCs w:val="24"/>
        </w:rPr>
        <w:t>40.35%</w:t>
      </w:r>
      <w:r>
        <w:rPr>
          <w:rFonts w:ascii="宋体" w:hAnsi="宋体" w:eastAsia="宋体" w:cs="宋体"/>
          <w:spacing w:val="-3"/>
          <w:sz w:val="24"/>
          <w:szCs w:val="24"/>
        </w:rPr>
        <w:t>，丘陵占</w:t>
      </w:r>
      <w:r>
        <w:rPr>
          <w:rFonts w:ascii="Times New Roman" w:hAnsi="Times New Roman" w:eastAsia="Times New Roman" w:cs="Times New Roman"/>
          <w:spacing w:val="-3"/>
          <w:sz w:val="24"/>
          <w:szCs w:val="24"/>
        </w:rPr>
        <w:t>25.29%</w:t>
      </w:r>
      <w:r>
        <w:rPr>
          <w:rFonts w:ascii="宋体" w:hAnsi="宋体" w:eastAsia="宋体" w:cs="宋体"/>
          <w:spacing w:val="-3"/>
          <w:sz w:val="24"/>
          <w:szCs w:val="24"/>
        </w:rPr>
        <w:t>。</w:t>
      </w:r>
      <w:r>
        <w:rPr>
          <w:rFonts w:ascii="宋体" w:hAnsi="宋体" w:eastAsia="宋体" w:cs="宋体"/>
          <w:spacing w:val="-4"/>
          <w:sz w:val="24"/>
          <w:szCs w:val="24"/>
        </w:rPr>
        <w:t>岗地占</w:t>
      </w:r>
      <w:r>
        <w:rPr>
          <w:rFonts w:ascii="Times New Roman" w:hAnsi="Times New Roman" w:eastAsia="Times New Roman" w:cs="Times New Roman"/>
          <w:spacing w:val="-4"/>
          <w:sz w:val="24"/>
          <w:szCs w:val="24"/>
        </w:rPr>
        <w:t>18.565%</w:t>
      </w:r>
      <w:r>
        <w:rPr>
          <w:rFonts w:ascii="宋体" w:hAnsi="宋体" w:eastAsia="宋体" w:cs="宋体"/>
          <w:spacing w:val="-4"/>
          <w:sz w:val="24"/>
          <w:szCs w:val="24"/>
        </w:rPr>
        <w:t>，山原占</w:t>
      </w:r>
      <w:r>
        <w:rPr>
          <w:rFonts w:ascii="Times New Roman" w:hAnsi="Times New Roman" w:eastAsia="Times New Roman" w:cs="Times New Roman"/>
          <w:spacing w:val="-4"/>
          <w:sz w:val="24"/>
          <w:szCs w:val="24"/>
        </w:rPr>
        <w:t>7.53%</w:t>
      </w:r>
      <w:r>
        <w:rPr>
          <w:rFonts w:ascii="宋体" w:hAnsi="宋体" w:eastAsia="宋体" w:cs="宋体"/>
          <w:spacing w:val="-4"/>
          <w:sz w:val="24"/>
          <w:szCs w:val="24"/>
        </w:rPr>
        <w:t>，平原占</w:t>
      </w:r>
      <w:r>
        <w:rPr>
          <w:rFonts w:ascii="Times New Roman" w:hAnsi="Times New Roman" w:eastAsia="Times New Roman" w:cs="Times New Roman"/>
          <w:spacing w:val="-4"/>
          <w:sz w:val="24"/>
          <w:szCs w:val="24"/>
        </w:rPr>
        <w:t>5.64%</w:t>
      </w:r>
      <w:r>
        <w:rPr>
          <w:rFonts w:ascii="宋体" w:hAnsi="宋体" w:eastAsia="宋体" w:cs="宋体"/>
          <w:spacing w:val="-4"/>
          <w:sz w:val="24"/>
          <w:szCs w:val="24"/>
        </w:rPr>
        <w:t>，水域占</w:t>
      </w:r>
      <w:r>
        <w:rPr>
          <w:rFonts w:ascii="Times New Roman" w:hAnsi="Times New Roman" w:eastAsia="Times New Roman" w:cs="Times New Roman"/>
          <w:spacing w:val="-4"/>
          <w:sz w:val="24"/>
          <w:szCs w:val="24"/>
        </w:rPr>
        <w:t>2.63%</w:t>
      </w:r>
      <w:r>
        <w:rPr>
          <w:rFonts w:ascii="宋体" w:hAnsi="宋体" w:eastAsia="宋体" w:cs="宋体"/>
          <w:spacing w:val="-4"/>
          <w:sz w:val="24"/>
          <w:szCs w:val="24"/>
        </w:rPr>
        <w:t>。县境自东南向西</w:t>
      </w:r>
      <w:r>
        <w:rPr>
          <w:rFonts w:ascii="宋体" w:hAnsi="宋体" w:eastAsia="宋体" w:cs="宋体"/>
          <w:spacing w:val="2"/>
          <w:sz w:val="24"/>
          <w:szCs w:val="24"/>
        </w:rPr>
        <w:t>北呈阶梯式递升，形成南部丘岗区、西北山原区、北部山地区</w:t>
      </w:r>
      <w:r>
        <w:rPr>
          <w:rFonts w:ascii="Times New Roman" w:hAnsi="Times New Roman" w:eastAsia="Times New Roman" w:cs="Times New Roman"/>
          <w:spacing w:val="2"/>
          <w:sz w:val="24"/>
          <w:szCs w:val="24"/>
        </w:rPr>
        <w:t>3</w:t>
      </w:r>
      <w:r>
        <w:rPr>
          <w:rFonts w:ascii="宋体" w:hAnsi="宋体" w:eastAsia="宋体" w:cs="宋体"/>
          <w:spacing w:val="2"/>
          <w:sz w:val="24"/>
          <w:szCs w:val="24"/>
        </w:rPr>
        <w:t>个地貌区。县境</w:t>
      </w:r>
      <w:r>
        <w:rPr>
          <w:rFonts w:ascii="宋体" w:hAnsi="宋体" w:eastAsia="宋体" w:cs="宋体"/>
          <w:spacing w:val="-2"/>
          <w:sz w:val="24"/>
          <w:szCs w:val="24"/>
        </w:rPr>
        <w:t>内山丘属雪峰山脉，全县共有海拔</w:t>
      </w:r>
      <w:r>
        <w:rPr>
          <w:rFonts w:ascii="Times New Roman" w:hAnsi="Times New Roman" w:eastAsia="Times New Roman" w:cs="Times New Roman"/>
          <w:spacing w:val="-2"/>
          <w:sz w:val="24"/>
          <w:szCs w:val="24"/>
        </w:rPr>
        <w:t>800</w:t>
      </w:r>
      <w:r>
        <w:rPr>
          <w:rFonts w:ascii="宋体" w:hAnsi="宋体" w:eastAsia="宋体" w:cs="宋体"/>
          <w:spacing w:val="-2"/>
          <w:sz w:val="24"/>
          <w:szCs w:val="24"/>
        </w:rPr>
        <w:t>米以上的山峰</w:t>
      </w:r>
      <w:r>
        <w:rPr>
          <w:rFonts w:ascii="Times New Roman" w:hAnsi="Times New Roman" w:eastAsia="Times New Roman" w:cs="Times New Roman"/>
          <w:spacing w:val="-2"/>
          <w:sz w:val="24"/>
          <w:szCs w:val="24"/>
        </w:rPr>
        <w:t>647</w:t>
      </w:r>
      <w:r>
        <w:rPr>
          <w:rFonts w:ascii="宋体" w:hAnsi="宋体" w:eastAsia="宋体" w:cs="宋体"/>
          <w:spacing w:val="-2"/>
          <w:sz w:val="24"/>
          <w:szCs w:val="24"/>
        </w:rPr>
        <w:t>座，其中</w:t>
      </w:r>
      <w:r>
        <w:rPr>
          <w:rFonts w:ascii="Times New Roman" w:hAnsi="Times New Roman" w:eastAsia="Times New Roman" w:cs="Times New Roman"/>
          <w:spacing w:val="-2"/>
          <w:sz w:val="24"/>
          <w:szCs w:val="24"/>
        </w:rPr>
        <w:t>1500</w:t>
      </w:r>
      <w:r>
        <w:rPr>
          <w:rFonts w:ascii="宋体" w:hAnsi="宋体" w:eastAsia="宋体" w:cs="宋体"/>
          <w:spacing w:val="-2"/>
          <w:sz w:val="24"/>
          <w:szCs w:val="24"/>
        </w:rPr>
        <w:t>米以上的</w:t>
      </w:r>
      <w:r>
        <w:rPr>
          <w:rFonts w:ascii="Times New Roman" w:hAnsi="Times New Roman" w:eastAsia="Times New Roman" w:cs="Times New Roman"/>
          <w:spacing w:val="-1"/>
          <w:sz w:val="24"/>
          <w:szCs w:val="24"/>
        </w:rPr>
        <w:t>73</w:t>
      </w:r>
      <w:r>
        <w:rPr>
          <w:rFonts w:ascii="宋体" w:hAnsi="宋体" w:eastAsia="宋体" w:cs="宋体"/>
          <w:spacing w:val="-1"/>
          <w:sz w:val="24"/>
          <w:szCs w:val="24"/>
        </w:rPr>
        <w:t>座，全部分布于县境西北部和北部。</w:t>
      </w:r>
    </w:p>
    <w:p w14:paraId="47994D8E">
      <w:pPr>
        <w:spacing w:line="219" w:lineRule="auto"/>
        <w:ind w:left="501"/>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）气候气象</w:t>
      </w:r>
    </w:p>
    <w:p w14:paraId="1EB55592">
      <w:pPr>
        <w:spacing w:before="181" w:line="359" w:lineRule="auto"/>
        <w:ind w:left="10" w:right="57" w:firstLine="494"/>
        <w:rPr>
          <w:rFonts w:ascii="宋体" w:hAnsi="宋体" w:eastAsia="宋体" w:cs="宋体"/>
          <w:sz w:val="24"/>
          <w:szCs w:val="24"/>
        </w:rPr>
      </w:pPr>
      <w:r>
        <w:rPr>
          <w:rFonts w:ascii="宋体" w:hAnsi="宋体" w:eastAsia="宋体" w:cs="宋体"/>
          <w:spacing w:val="2"/>
          <w:sz w:val="24"/>
          <w:szCs w:val="24"/>
        </w:rPr>
        <w:t>隆回县域属中亚热带季风湿润气候，气候温和，四季分明，雨量集中，前湿</w:t>
      </w:r>
      <w:r>
        <w:rPr>
          <w:rFonts w:ascii="宋体" w:hAnsi="宋体" w:eastAsia="宋体" w:cs="宋体"/>
          <w:sz w:val="24"/>
          <w:szCs w:val="24"/>
        </w:rPr>
        <w:t>后干，且南北差异较大。年日平均气温</w:t>
      </w:r>
      <w:r>
        <w:rPr>
          <w:rFonts w:ascii="Times New Roman" w:hAnsi="Times New Roman" w:eastAsia="Times New Roman" w:cs="Times New Roman"/>
          <w:sz w:val="24"/>
          <w:szCs w:val="24"/>
        </w:rPr>
        <w:t>11</w:t>
      </w:r>
      <w:r>
        <w:rPr>
          <w:rFonts w:ascii="宋体" w:hAnsi="宋体" w:eastAsia="宋体" w:cs="宋体"/>
          <w:sz w:val="24"/>
          <w:szCs w:val="24"/>
        </w:rPr>
        <w:t>～</w:t>
      </w:r>
      <w:r>
        <w:rPr>
          <w:rFonts w:ascii="Times New Roman" w:hAnsi="Times New Roman" w:eastAsia="Times New Roman" w:cs="Times New Roman"/>
          <w:sz w:val="24"/>
          <w:szCs w:val="24"/>
        </w:rPr>
        <w:t>17</w:t>
      </w:r>
      <w:r>
        <w:rPr>
          <w:rFonts w:ascii="宋体" w:hAnsi="宋体" w:eastAsia="宋体" w:cs="宋体"/>
          <w:sz w:val="24"/>
          <w:szCs w:val="24"/>
        </w:rPr>
        <w:t>℃。年平均无霜期</w:t>
      </w:r>
      <w:r>
        <w:rPr>
          <w:rFonts w:ascii="Times New Roman" w:hAnsi="Times New Roman" w:eastAsia="Times New Roman" w:cs="Times New Roman"/>
          <w:sz w:val="24"/>
          <w:szCs w:val="24"/>
        </w:rPr>
        <w:t>281.2</w:t>
      </w:r>
      <w:r>
        <w:rPr>
          <w:rFonts w:ascii="宋体" w:hAnsi="宋体" w:eastAsia="宋体" w:cs="宋体"/>
          <w:sz w:val="24"/>
          <w:szCs w:val="24"/>
        </w:rPr>
        <w:t>天。年平</w:t>
      </w:r>
      <w:r>
        <w:rPr>
          <w:rFonts w:ascii="宋体" w:hAnsi="宋体" w:eastAsia="宋体" w:cs="宋体"/>
          <w:spacing w:val="-5"/>
          <w:sz w:val="24"/>
          <w:szCs w:val="24"/>
        </w:rPr>
        <w:t>均降水量</w:t>
      </w:r>
      <w:r>
        <w:rPr>
          <w:rFonts w:ascii="Times New Roman" w:hAnsi="Times New Roman" w:eastAsia="Times New Roman" w:cs="Times New Roman"/>
          <w:spacing w:val="-5"/>
          <w:sz w:val="24"/>
          <w:szCs w:val="24"/>
        </w:rPr>
        <w:t>1427.5</w:t>
      </w:r>
      <w:r>
        <w:rPr>
          <w:rFonts w:ascii="宋体" w:hAnsi="宋体" w:eastAsia="宋体" w:cs="宋体"/>
          <w:spacing w:val="-5"/>
          <w:sz w:val="24"/>
          <w:szCs w:val="24"/>
        </w:rPr>
        <w:t>毫米。日照时数</w:t>
      </w:r>
      <w:r>
        <w:rPr>
          <w:rFonts w:ascii="Times New Roman" w:hAnsi="Times New Roman" w:eastAsia="Times New Roman" w:cs="Times New Roman"/>
          <w:spacing w:val="-5"/>
          <w:sz w:val="24"/>
          <w:szCs w:val="24"/>
        </w:rPr>
        <w:t>11</w:t>
      </w:r>
      <w:r>
        <w:rPr>
          <w:rFonts w:ascii="Times New Roman" w:hAnsi="Times New Roman" w:eastAsia="Times New Roman" w:cs="Times New Roman"/>
          <w:spacing w:val="-6"/>
          <w:sz w:val="24"/>
          <w:szCs w:val="24"/>
        </w:rPr>
        <w:t>99.7</w:t>
      </w:r>
      <w:r>
        <w:rPr>
          <w:rFonts w:ascii="宋体" w:hAnsi="宋体" w:eastAsia="宋体" w:cs="宋体"/>
          <w:spacing w:val="-6"/>
          <w:sz w:val="24"/>
          <w:szCs w:val="24"/>
        </w:rPr>
        <w:t>小时。</w:t>
      </w:r>
    </w:p>
    <w:p w14:paraId="6C1D69EB">
      <w:pPr>
        <w:spacing w:before="1" w:line="219" w:lineRule="auto"/>
        <w:ind w:left="501"/>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）水资源</w:t>
      </w:r>
    </w:p>
    <w:p w14:paraId="4D2323BB">
      <w:pPr>
        <w:spacing w:before="184" w:line="359" w:lineRule="auto"/>
        <w:ind w:left="8" w:right="99" w:firstLine="496"/>
        <w:rPr>
          <w:rFonts w:ascii="宋体" w:hAnsi="宋体" w:eastAsia="宋体" w:cs="宋体"/>
          <w:sz w:val="24"/>
          <w:szCs w:val="24"/>
        </w:rPr>
      </w:pPr>
      <w:r>
        <w:rPr>
          <w:rFonts w:ascii="宋体" w:hAnsi="宋体" w:eastAsia="宋体" w:cs="宋体"/>
          <w:spacing w:val="-2"/>
          <w:sz w:val="24"/>
          <w:szCs w:val="24"/>
        </w:rPr>
        <w:t>隆回县境内河流分属资水水系和沅水水系。全</w:t>
      </w:r>
      <w:r>
        <w:rPr>
          <w:rFonts w:ascii="宋体" w:hAnsi="宋体" w:eastAsia="宋体" w:cs="宋体"/>
          <w:spacing w:val="-3"/>
          <w:sz w:val="24"/>
          <w:szCs w:val="24"/>
        </w:rPr>
        <w:t>县有流长</w:t>
      </w:r>
      <w:r>
        <w:rPr>
          <w:rFonts w:ascii="Times New Roman" w:hAnsi="Times New Roman" w:eastAsia="Times New Roman" w:cs="Times New Roman"/>
          <w:spacing w:val="-3"/>
          <w:sz w:val="24"/>
          <w:szCs w:val="24"/>
        </w:rPr>
        <w:t>5</w:t>
      </w:r>
      <w:r>
        <w:rPr>
          <w:rFonts w:ascii="宋体" w:hAnsi="宋体" w:eastAsia="宋体" w:cs="宋体"/>
          <w:spacing w:val="-3"/>
          <w:sz w:val="24"/>
          <w:szCs w:val="24"/>
        </w:rPr>
        <w:t>公里、流域面积</w:t>
      </w:r>
      <w:r>
        <w:rPr>
          <w:rFonts w:ascii="Times New Roman" w:hAnsi="Times New Roman" w:eastAsia="Times New Roman" w:cs="Times New Roman"/>
          <w:spacing w:val="-3"/>
          <w:sz w:val="24"/>
          <w:szCs w:val="24"/>
        </w:rPr>
        <w:t>10</w:t>
      </w:r>
      <w:r>
        <w:rPr>
          <w:rFonts w:ascii="宋体" w:hAnsi="宋体" w:eastAsia="宋体" w:cs="宋体"/>
          <w:sz w:val="24"/>
          <w:szCs w:val="24"/>
        </w:rPr>
        <w:t>平方公里以上的河流</w:t>
      </w:r>
      <w:r>
        <w:rPr>
          <w:rFonts w:ascii="Times New Roman" w:hAnsi="Times New Roman" w:eastAsia="Times New Roman" w:cs="Times New Roman"/>
          <w:sz w:val="24"/>
          <w:szCs w:val="24"/>
        </w:rPr>
        <w:t>71</w:t>
      </w:r>
      <w:r>
        <w:rPr>
          <w:rFonts w:ascii="宋体" w:hAnsi="宋体" w:eastAsia="宋体" w:cs="宋体"/>
          <w:sz w:val="24"/>
          <w:szCs w:val="24"/>
        </w:rPr>
        <w:t>条，总长</w:t>
      </w:r>
      <w:r>
        <w:rPr>
          <w:rFonts w:ascii="Times New Roman" w:hAnsi="Times New Roman" w:eastAsia="Times New Roman" w:cs="Times New Roman"/>
          <w:sz w:val="24"/>
          <w:szCs w:val="24"/>
        </w:rPr>
        <w:t>2073.</w:t>
      </w:r>
      <w:r>
        <w:rPr>
          <w:rFonts w:ascii="Times New Roman" w:hAnsi="Times New Roman" w:eastAsia="Times New Roman" w:cs="Times New Roman"/>
          <w:spacing w:val="-1"/>
          <w:sz w:val="24"/>
          <w:szCs w:val="24"/>
        </w:rPr>
        <w:t>5</w:t>
      </w:r>
      <w:r>
        <w:rPr>
          <w:rFonts w:ascii="宋体" w:hAnsi="宋体" w:eastAsia="宋体" w:cs="宋体"/>
          <w:spacing w:val="-1"/>
          <w:sz w:val="24"/>
          <w:szCs w:val="24"/>
        </w:rPr>
        <w:t>公里，河网密度</w:t>
      </w:r>
      <w:r>
        <w:rPr>
          <w:rFonts w:ascii="Times New Roman" w:hAnsi="Times New Roman" w:eastAsia="Times New Roman" w:cs="Times New Roman"/>
          <w:spacing w:val="-1"/>
          <w:sz w:val="24"/>
          <w:szCs w:val="24"/>
        </w:rPr>
        <w:t>0.77</w:t>
      </w:r>
      <w:r>
        <w:rPr>
          <w:rFonts w:ascii="宋体" w:hAnsi="宋体" w:eastAsia="宋体" w:cs="宋体"/>
          <w:spacing w:val="-1"/>
          <w:sz w:val="24"/>
          <w:szCs w:val="24"/>
        </w:rPr>
        <w:t>公里／平方公里。年均地表径流总量</w:t>
      </w:r>
      <w:r>
        <w:rPr>
          <w:rFonts w:ascii="Times New Roman" w:hAnsi="Times New Roman" w:eastAsia="Times New Roman" w:cs="Times New Roman"/>
          <w:spacing w:val="-1"/>
          <w:sz w:val="24"/>
          <w:szCs w:val="24"/>
        </w:rPr>
        <w:t>22.47</w:t>
      </w:r>
      <w:r>
        <w:rPr>
          <w:rFonts w:ascii="宋体" w:hAnsi="宋体" w:eastAsia="宋体" w:cs="宋体"/>
          <w:spacing w:val="-1"/>
          <w:sz w:val="24"/>
          <w:szCs w:val="24"/>
        </w:rPr>
        <w:t>亿立方米，地下水年前储量</w:t>
      </w:r>
      <w:r>
        <w:rPr>
          <w:rFonts w:ascii="Times New Roman" w:hAnsi="Times New Roman" w:eastAsia="Times New Roman" w:cs="Times New Roman"/>
          <w:spacing w:val="-1"/>
          <w:sz w:val="24"/>
          <w:szCs w:val="24"/>
        </w:rPr>
        <w:t>3.6</w:t>
      </w:r>
      <w:r>
        <w:rPr>
          <w:rFonts w:ascii="宋体" w:hAnsi="宋体" w:eastAsia="宋体" w:cs="宋体"/>
          <w:spacing w:val="-1"/>
          <w:sz w:val="24"/>
          <w:szCs w:val="24"/>
        </w:rPr>
        <w:t>～</w:t>
      </w:r>
      <w:r>
        <w:rPr>
          <w:rFonts w:ascii="Times New Roman" w:hAnsi="Times New Roman" w:eastAsia="Times New Roman" w:cs="Times New Roman"/>
          <w:spacing w:val="-1"/>
          <w:sz w:val="24"/>
          <w:szCs w:val="24"/>
        </w:rPr>
        <w:t>4.8</w:t>
      </w:r>
      <w:r>
        <w:rPr>
          <w:rFonts w:ascii="宋体" w:hAnsi="宋体" w:eastAsia="宋体" w:cs="宋体"/>
          <w:spacing w:val="-1"/>
          <w:sz w:val="24"/>
          <w:szCs w:val="24"/>
        </w:rPr>
        <w:t>亿立方米。</w:t>
      </w:r>
    </w:p>
    <w:p w14:paraId="70FC4ACD">
      <w:pPr>
        <w:spacing w:line="343" w:lineRule="auto"/>
        <w:ind w:left="8" w:right="59" w:firstLine="481"/>
        <w:jc w:val="both"/>
        <w:rPr>
          <w:rFonts w:ascii="宋体" w:hAnsi="宋体" w:eastAsia="宋体" w:cs="宋体"/>
          <w:sz w:val="24"/>
          <w:szCs w:val="24"/>
        </w:rPr>
      </w:pPr>
      <w:r>
        <w:rPr>
          <w:rFonts w:ascii="宋体" w:hAnsi="宋体" w:eastAsia="宋体" w:cs="宋体"/>
          <w:spacing w:val="2"/>
          <w:sz w:val="24"/>
          <w:szCs w:val="24"/>
        </w:rPr>
        <w:t>本项目纳污水体为赧水（资水</w:t>
      </w:r>
      <w:r>
        <w:rPr>
          <w:rFonts w:ascii="宋体" w:hAnsi="宋体" w:eastAsia="宋体" w:cs="宋体"/>
          <w:spacing w:val="14"/>
          <w:sz w:val="24"/>
          <w:szCs w:val="24"/>
        </w:rPr>
        <w:t>），</w:t>
      </w:r>
      <w:r>
        <w:rPr>
          <w:rFonts w:ascii="宋体" w:hAnsi="宋体" w:eastAsia="宋体" w:cs="宋体"/>
          <w:spacing w:val="2"/>
          <w:sz w:val="24"/>
          <w:szCs w:val="24"/>
        </w:rPr>
        <w:t>发源于城步苗族自治县资源乡青界山主峰</w:t>
      </w:r>
      <w:r>
        <w:rPr>
          <w:rFonts w:ascii="宋体" w:hAnsi="宋体" w:eastAsia="宋体" w:cs="宋体"/>
          <w:spacing w:val="1"/>
          <w:sz w:val="24"/>
          <w:szCs w:val="24"/>
        </w:rPr>
        <w:t>黄马界西麓，由西南向东北流经</w:t>
      </w:r>
      <w:r>
        <w:fldChar w:fldCharType="begin"/>
      </w:r>
      <w:r>
        <w:instrText xml:space="preserve"> HYPERLINK "https://baike.so.com/doc/5595741-5808342.html" </w:instrText>
      </w:r>
      <w:r>
        <w:fldChar w:fldCharType="separate"/>
      </w:r>
      <w:r>
        <w:rPr>
          <w:rFonts w:ascii="宋体" w:hAnsi="宋体" w:eastAsia="宋体" w:cs="宋体"/>
          <w:spacing w:val="1"/>
          <w:sz w:val="24"/>
          <w:szCs w:val="24"/>
        </w:rPr>
        <w:t>武冈</w:t>
      </w:r>
      <w:r>
        <w:rPr>
          <w:rFonts w:ascii="宋体" w:hAnsi="宋体" w:eastAsia="宋体" w:cs="宋体"/>
          <w:spacing w:val="1"/>
          <w:sz w:val="24"/>
          <w:szCs w:val="24"/>
        </w:rPr>
        <w:fldChar w:fldCharType="end"/>
      </w:r>
      <w:r>
        <w:rPr>
          <w:rFonts w:ascii="宋体" w:hAnsi="宋体" w:eastAsia="宋体" w:cs="宋体"/>
          <w:spacing w:val="1"/>
          <w:sz w:val="24"/>
          <w:szCs w:val="24"/>
        </w:rPr>
        <w:t>、洞口、隆回县境，至</w:t>
      </w:r>
      <w:r>
        <w:fldChar w:fldCharType="begin"/>
      </w:r>
      <w:r>
        <w:instrText xml:space="preserve"> HYPERLINK "https://baike.so.com/doc/5595607-5808208.html" </w:instrText>
      </w:r>
      <w:r>
        <w:fldChar w:fldCharType="separate"/>
      </w:r>
      <w:r>
        <w:rPr>
          <w:rFonts w:ascii="宋体" w:hAnsi="宋体" w:eastAsia="宋体" w:cs="宋体"/>
          <w:spacing w:val="1"/>
          <w:sz w:val="24"/>
          <w:szCs w:val="24"/>
        </w:rPr>
        <w:t>邵阳县</w:t>
      </w:r>
      <w:r>
        <w:rPr>
          <w:rFonts w:ascii="宋体" w:hAnsi="宋体" w:eastAsia="宋体" w:cs="宋体"/>
          <w:spacing w:val="1"/>
          <w:sz w:val="24"/>
          <w:szCs w:val="24"/>
        </w:rPr>
        <w:fldChar w:fldCharType="end"/>
      </w:r>
      <w:r>
        <w:rPr>
          <w:rFonts w:ascii="宋体" w:hAnsi="宋体" w:eastAsia="宋体" w:cs="宋体"/>
          <w:spacing w:val="1"/>
          <w:sz w:val="24"/>
          <w:szCs w:val="24"/>
        </w:rPr>
        <w:t>双江口与资江</w:t>
      </w:r>
      <w:r>
        <w:rPr>
          <w:rFonts w:ascii="宋体" w:hAnsi="宋体" w:eastAsia="宋体" w:cs="宋体"/>
          <w:spacing w:val="-2"/>
          <w:sz w:val="24"/>
          <w:szCs w:val="24"/>
        </w:rPr>
        <w:t>南源</w:t>
      </w:r>
      <w:r>
        <w:fldChar w:fldCharType="begin"/>
      </w:r>
      <w:r>
        <w:instrText xml:space="preserve"> HYPERLINK "https://baike.so.com/doc/4336251-4541101.html" </w:instrText>
      </w:r>
      <w:r>
        <w:fldChar w:fldCharType="separate"/>
      </w:r>
      <w:r>
        <w:rPr>
          <w:rFonts w:ascii="宋体" w:hAnsi="宋体" w:eastAsia="宋体" w:cs="宋体"/>
          <w:spacing w:val="-2"/>
          <w:sz w:val="24"/>
          <w:szCs w:val="24"/>
        </w:rPr>
        <w:t>夫夷水</w:t>
      </w:r>
      <w:r>
        <w:rPr>
          <w:rFonts w:ascii="宋体" w:hAnsi="宋体" w:eastAsia="宋体" w:cs="宋体"/>
          <w:spacing w:val="-2"/>
          <w:sz w:val="24"/>
          <w:szCs w:val="24"/>
        </w:rPr>
        <w:fldChar w:fldCharType="end"/>
      </w:r>
      <w:r>
        <w:rPr>
          <w:rFonts w:ascii="宋体" w:hAnsi="宋体" w:eastAsia="宋体" w:cs="宋体"/>
          <w:spacing w:val="-2"/>
          <w:sz w:val="24"/>
          <w:szCs w:val="24"/>
        </w:rPr>
        <w:t>汇合，长</w:t>
      </w:r>
      <w:r>
        <w:rPr>
          <w:rFonts w:ascii="Times New Roman" w:hAnsi="Times New Roman" w:eastAsia="Times New Roman" w:cs="Times New Roman"/>
          <w:spacing w:val="-2"/>
          <w:sz w:val="24"/>
          <w:szCs w:val="24"/>
        </w:rPr>
        <w:t>188.7</w:t>
      </w:r>
      <w:r>
        <w:rPr>
          <w:rFonts w:ascii="宋体" w:hAnsi="宋体" w:eastAsia="宋体" w:cs="宋体"/>
          <w:spacing w:val="-2"/>
          <w:sz w:val="24"/>
          <w:szCs w:val="24"/>
        </w:rPr>
        <w:t>公里，流域面积</w:t>
      </w:r>
      <w:r>
        <w:rPr>
          <w:rFonts w:ascii="Times New Roman" w:hAnsi="Times New Roman" w:eastAsia="Times New Roman" w:cs="Times New Roman"/>
          <w:spacing w:val="-2"/>
          <w:sz w:val="24"/>
          <w:szCs w:val="24"/>
        </w:rPr>
        <w:t>6884</w:t>
      </w:r>
      <w:r>
        <w:rPr>
          <w:rFonts w:ascii="宋体" w:hAnsi="宋体" w:eastAsia="宋体" w:cs="宋体"/>
          <w:spacing w:val="-2"/>
          <w:sz w:val="24"/>
          <w:szCs w:val="24"/>
        </w:rPr>
        <w:t>平方公里，平均坡降为</w:t>
      </w:r>
      <w:r>
        <w:rPr>
          <w:rFonts w:ascii="Times New Roman" w:hAnsi="Times New Roman" w:eastAsia="Times New Roman" w:cs="Times New Roman"/>
          <w:spacing w:val="-2"/>
          <w:sz w:val="24"/>
          <w:szCs w:val="24"/>
        </w:rPr>
        <w:t>0.53‰</w:t>
      </w:r>
      <w:r>
        <w:rPr>
          <w:rFonts w:ascii="宋体" w:hAnsi="宋体" w:eastAsia="宋体" w:cs="宋体"/>
          <w:spacing w:val="-2"/>
          <w:sz w:val="24"/>
          <w:szCs w:val="24"/>
        </w:rPr>
        <w:t>。</w:t>
      </w:r>
      <w:r>
        <w:rPr>
          <w:rFonts w:ascii="宋体" w:hAnsi="宋体" w:eastAsia="宋体" w:cs="宋体"/>
          <w:sz w:val="24"/>
          <w:szCs w:val="24"/>
        </w:rPr>
        <w:t>赧水在境内的主要支流有蓼水、平溪、辰水</w:t>
      </w:r>
      <w:r>
        <w:rPr>
          <w:rFonts w:ascii="宋体" w:hAnsi="宋体" w:eastAsia="宋体" w:cs="宋体"/>
          <w:spacing w:val="-1"/>
          <w:sz w:val="24"/>
          <w:szCs w:val="24"/>
        </w:rPr>
        <w:t>、小江、隆回工业河。</w:t>
      </w:r>
    </w:p>
    <w:p w14:paraId="61DE7C90">
      <w:pPr>
        <w:spacing w:before="85" w:line="359" w:lineRule="auto"/>
        <w:ind w:left="10" w:right="57" w:firstLine="479"/>
        <w:jc w:val="both"/>
        <w:rPr>
          <w:rFonts w:ascii="宋体" w:hAnsi="宋体" w:eastAsia="宋体" w:cs="宋体"/>
          <w:sz w:val="24"/>
          <w:szCs w:val="24"/>
        </w:rPr>
      </w:pPr>
      <w:r>
        <w:rPr>
          <w:rFonts w:ascii="宋体" w:hAnsi="宋体" w:eastAsia="宋体" w:cs="宋体"/>
          <w:sz w:val="24"/>
          <w:szCs w:val="24"/>
        </w:rPr>
        <w:t>根据《邵阳市水功能区划》（</w:t>
      </w:r>
      <w:r>
        <w:rPr>
          <w:rFonts w:ascii="Times New Roman" w:hAnsi="Times New Roman" w:eastAsia="Times New Roman" w:cs="Times New Roman"/>
          <w:sz w:val="24"/>
          <w:szCs w:val="24"/>
        </w:rPr>
        <w:t>2016</w:t>
      </w:r>
      <w:r>
        <w:rPr>
          <w:rFonts w:ascii="宋体" w:hAnsi="宋体" w:eastAsia="宋体" w:cs="宋体"/>
          <w:sz w:val="24"/>
          <w:szCs w:val="24"/>
        </w:rPr>
        <w:t>年修编</w:t>
      </w:r>
      <w:r>
        <w:rPr>
          <w:rFonts w:ascii="宋体" w:hAnsi="宋体" w:eastAsia="宋体" w:cs="宋体"/>
          <w:spacing w:val="17"/>
          <w:sz w:val="24"/>
          <w:szCs w:val="24"/>
        </w:rPr>
        <w:t>），</w:t>
      </w:r>
      <w:r>
        <w:rPr>
          <w:rFonts w:ascii="宋体" w:hAnsi="宋体" w:eastAsia="宋体" w:cs="宋体"/>
          <w:sz w:val="24"/>
          <w:szCs w:val="24"/>
        </w:rPr>
        <w:t>隆回工业污水处理厂提标扩容改造（二期）工程入河排污口属于资水（赧水）隆回</w:t>
      </w:r>
      <w:r>
        <w:rPr>
          <w:rFonts w:ascii="Times New Roman" w:hAnsi="Times New Roman" w:eastAsia="Times New Roman" w:cs="Times New Roman"/>
          <w:sz w:val="24"/>
          <w:szCs w:val="24"/>
        </w:rPr>
        <w:t>-</w:t>
      </w:r>
      <w:r>
        <w:rPr>
          <w:rFonts w:ascii="宋体" w:hAnsi="宋体" w:eastAsia="宋体" w:cs="宋体"/>
          <w:sz w:val="24"/>
          <w:szCs w:val="24"/>
        </w:rPr>
        <w:t>邵阳保留区，起始断面为隆</w:t>
      </w:r>
      <w:r>
        <w:rPr>
          <w:rFonts w:ascii="宋体" w:hAnsi="宋体" w:eastAsia="宋体" w:cs="宋体"/>
          <w:spacing w:val="-1"/>
          <w:sz w:val="24"/>
          <w:szCs w:val="24"/>
        </w:rPr>
        <w:t>回县元木山电站，终止断面为邵阳市北塔区何家垸子，全长</w:t>
      </w:r>
      <w:r>
        <w:rPr>
          <w:rFonts w:ascii="Times New Roman" w:hAnsi="Times New Roman" w:eastAsia="Times New Roman" w:cs="Times New Roman"/>
          <w:spacing w:val="-2"/>
          <w:sz w:val="24"/>
          <w:szCs w:val="24"/>
        </w:rPr>
        <w:t>80.1km</w:t>
      </w:r>
      <w:r>
        <w:rPr>
          <w:rFonts w:ascii="宋体" w:hAnsi="宋体" w:eastAsia="宋体" w:cs="宋体"/>
          <w:spacing w:val="-2"/>
          <w:sz w:val="24"/>
          <w:szCs w:val="24"/>
        </w:rPr>
        <w:t>，根据《邵阳市水功能区划》（</w:t>
      </w:r>
      <w:r>
        <w:rPr>
          <w:rFonts w:ascii="Times New Roman" w:hAnsi="Times New Roman" w:eastAsia="Times New Roman" w:cs="Times New Roman"/>
          <w:spacing w:val="-2"/>
          <w:sz w:val="24"/>
          <w:szCs w:val="24"/>
        </w:rPr>
        <w:t>2016</w:t>
      </w:r>
      <w:r>
        <w:rPr>
          <w:rFonts w:ascii="宋体" w:hAnsi="宋体" w:eastAsia="宋体" w:cs="宋体"/>
          <w:spacing w:val="-2"/>
          <w:sz w:val="24"/>
          <w:szCs w:val="24"/>
        </w:rPr>
        <w:t>年修编）水质目标为</w:t>
      </w:r>
      <w:r>
        <w:rPr>
          <w:rFonts w:ascii="Times New Roman" w:hAnsi="Times New Roman" w:eastAsia="Times New Roman" w:cs="Times New Roman"/>
          <w:spacing w:val="-2"/>
          <w:sz w:val="24"/>
          <w:szCs w:val="24"/>
        </w:rPr>
        <w:t>III</w:t>
      </w:r>
      <w:r>
        <w:rPr>
          <w:rFonts w:ascii="宋体" w:hAnsi="宋体" w:eastAsia="宋体" w:cs="宋体"/>
          <w:spacing w:val="-2"/>
          <w:sz w:val="24"/>
          <w:szCs w:val="24"/>
        </w:rPr>
        <w:t>类，论</w:t>
      </w:r>
      <w:r>
        <w:rPr>
          <w:rFonts w:ascii="宋体" w:hAnsi="宋体" w:eastAsia="宋体" w:cs="宋体"/>
          <w:spacing w:val="-3"/>
          <w:sz w:val="24"/>
          <w:szCs w:val="24"/>
        </w:rPr>
        <w:t>证范围内的隆回县元木山断</w:t>
      </w:r>
      <w:r>
        <w:rPr>
          <w:rFonts w:ascii="宋体" w:hAnsi="宋体" w:eastAsia="宋体" w:cs="宋体"/>
          <w:spacing w:val="-1"/>
          <w:sz w:val="24"/>
          <w:szCs w:val="24"/>
        </w:rPr>
        <w:t>面和邵阳县渡头村断面现状考核目标为年度平均达到</w:t>
      </w:r>
      <w:r>
        <w:rPr>
          <w:rFonts w:ascii="Times New Roman" w:hAnsi="Times New Roman" w:eastAsia="Times New Roman" w:cs="Times New Roman"/>
          <w:spacing w:val="-1"/>
          <w:sz w:val="24"/>
          <w:szCs w:val="24"/>
        </w:rPr>
        <w:t>II</w:t>
      </w:r>
      <w:r>
        <w:rPr>
          <w:rFonts w:ascii="宋体" w:hAnsi="宋体" w:eastAsia="宋体" w:cs="宋体"/>
          <w:spacing w:val="-1"/>
          <w:sz w:val="24"/>
          <w:szCs w:val="24"/>
        </w:rPr>
        <w:t>类。</w:t>
      </w:r>
    </w:p>
    <w:p w14:paraId="59394ADF">
      <w:pPr>
        <w:spacing w:before="1" w:line="218" w:lineRule="auto"/>
        <w:ind w:left="4"/>
        <w:outlineLvl w:val="2"/>
        <w:rPr>
          <w:rFonts w:ascii="宋体" w:hAnsi="宋体" w:eastAsia="宋体" w:cs="宋体"/>
          <w:sz w:val="24"/>
          <w:szCs w:val="24"/>
        </w:rPr>
      </w:pPr>
      <w:r>
        <w:rPr>
          <w:rFonts w:ascii="Times New Roman" w:hAnsi="Times New Roman" w:eastAsia="Times New Roman" w:cs="Times New Roman"/>
          <w:b/>
          <w:bCs/>
          <w:spacing w:val="-2"/>
          <w:sz w:val="24"/>
          <w:szCs w:val="24"/>
        </w:rPr>
        <w:t>3.4.3</w:t>
      </w:r>
      <w:r>
        <w:rPr>
          <w:rFonts w:ascii="宋体" w:hAnsi="宋体" w:eastAsia="宋体" w:cs="宋体"/>
          <w:b/>
          <w:bCs/>
          <w:spacing w:val="-2"/>
          <w:sz w:val="24"/>
          <w:szCs w:val="24"/>
        </w:rPr>
        <w:t>社会经济发展状况</w:t>
      </w:r>
    </w:p>
    <w:p w14:paraId="3FE73175">
      <w:pPr>
        <w:spacing w:before="181" w:line="359" w:lineRule="auto"/>
        <w:ind w:left="12" w:firstLine="472"/>
        <w:jc w:val="both"/>
        <w:rPr>
          <w:rFonts w:ascii="宋体" w:hAnsi="宋体" w:eastAsia="宋体" w:cs="宋体"/>
          <w:sz w:val="24"/>
          <w:szCs w:val="24"/>
        </w:rPr>
      </w:pPr>
      <w:r>
        <w:rPr>
          <w:rFonts w:ascii="Times New Roman" w:hAnsi="Times New Roman" w:eastAsia="Times New Roman" w:cs="Times New Roman"/>
          <w:spacing w:val="-2"/>
          <w:sz w:val="24"/>
          <w:szCs w:val="24"/>
        </w:rPr>
        <w:t>2024</w:t>
      </w:r>
      <w:r>
        <w:rPr>
          <w:rFonts w:ascii="宋体" w:hAnsi="宋体" w:eastAsia="宋体" w:cs="宋体"/>
          <w:spacing w:val="-2"/>
          <w:sz w:val="24"/>
          <w:szCs w:val="24"/>
        </w:rPr>
        <w:t>年实现地区生产总值</w:t>
      </w:r>
      <w:r>
        <w:rPr>
          <w:rFonts w:ascii="Times New Roman" w:hAnsi="Times New Roman" w:eastAsia="Times New Roman" w:cs="Times New Roman"/>
          <w:spacing w:val="-2"/>
          <w:sz w:val="24"/>
          <w:szCs w:val="24"/>
        </w:rPr>
        <w:t>3208183</w:t>
      </w:r>
      <w:r>
        <w:rPr>
          <w:rFonts w:ascii="宋体" w:hAnsi="宋体" w:eastAsia="宋体" w:cs="宋体"/>
          <w:spacing w:val="-2"/>
          <w:sz w:val="24"/>
          <w:szCs w:val="24"/>
        </w:rPr>
        <w:t>万元，同比增</w:t>
      </w:r>
      <w:r>
        <w:rPr>
          <w:rFonts w:ascii="宋体" w:hAnsi="宋体" w:eastAsia="宋体" w:cs="宋体"/>
          <w:spacing w:val="-3"/>
          <w:sz w:val="24"/>
          <w:szCs w:val="24"/>
        </w:rPr>
        <w:t>长</w:t>
      </w:r>
      <w:r>
        <w:rPr>
          <w:rFonts w:ascii="Times New Roman" w:hAnsi="Times New Roman" w:eastAsia="Times New Roman" w:cs="Times New Roman"/>
          <w:spacing w:val="-3"/>
          <w:sz w:val="24"/>
          <w:szCs w:val="24"/>
        </w:rPr>
        <w:t>5.7%</w:t>
      </w:r>
      <w:r>
        <w:rPr>
          <w:rFonts w:ascii="宋体" w:hAnsi="宋体" w:eastAsia="宋体" w:cs="宋体"/>
          <w:spacing w:val="-3"/>
          <w:sz w:val="24"/>
          <w:szCs w:val="24"/>
        </w:rPr>
        <w:t>，高于全市增速</w:t>
      </w:r>
      <w:r>
        <w:rPr>
          <w:rFonts w:ascii="Times New Roman" w:hAnsi="Times New Roman" w:eastAsia="Times New Roman" w:cs="Times New Roman"/>
          <w:spacing w:val="-3"/>
          <w:sz w:val="24"/>
          <w:szCs w:val="24"/>
        </w:rPr>
        <w:t>0.6</w:t>
      </w:r>
      <w:r>
        <w:rPr>
          <w:rFonts w:ascii="宋体" w:hAnsi="宋体" w:eastAsia="宋体" w:cs="宋体"/>
          <w:spacing w:val="-3"/>
          <w:sz w:val="24"/>
          <w:szCs w:val="24"/>
        </w:rPr>
        <w:t>个百</w:t>
      </w:r>
      <w:r>
        <w:rPr>
          <w:rFonts w:ascii="宋体" w:hAnsi="宋体" w:eastAsia="宋体" w:cs="宋体"/>
          <w:sz w:val="24"/>
          <w:szCs w:val="24"/>
        </w:rPr>
        <w:t>分点。其中：一产业实现</w:t>
      </w:r>
      <w:r>
        <w:rPr>
          <w:rFonts w:ascii="Times New Roman" w:hAnsi="Times New Roman" w:eastAsia="Times New Roman" w:cs="Times New Roman"/>
          <w:sz w:val="24"/>
          <w:szCs w:val="24"/>
        </w:rPr>
        <w:t>633565</w:t>
      </w:r>
      <w:r>
        <w:rPr>
          <w:rFonts w:ascii="宋体" w:hAnsi="宋体" w:eastAsia="宋体" w:cs="宋体"/>
          <w:sz w:val="24"/>
          <w:szCs w:val="24"/>
        </w:rPr>
        <w:t>万元，同比增长</w:t>
      </w:r>
      <w:r>
        <w:rPr>
          <w:rFonts w:ascii="Times New Roman" w:hAnsi="Times New Roman" w:eastAsia="Times New Roman" w:cs="Times New Roman"/>
          <w:sz w:val="24"/>
          <w:szCs w:val="24"/>
        </w:rPr>
        <w:t>3.8%</w:t>
      </w:r>
      <w:r>
        <w:rPr>
          <w:rFonts w:ascii="宋体" w:hAnsi="宋体" w:eastAsia="宋体" w:cs="宋体"/>
          <w:sz w:val="24"/>
          <w:szCs w:val="24"/>
        </w:rPr>
        <w:t>；二产业实现</w:t>
      </w:r>
      <w:r>
        <w:rPr>
          <w:rFonts w:ascii="Times New Roman" w:hAnsi="Times New Roman" w:eastAsia="Times New Roman" w:cs="Times New Roman"/>
          <w:sz w:val="24"/>
          <w:szCs w:val="24"/>
        </w:rPr>
        <w:t>1294949</w:t>
      </w:r>
      <w:r>
        <w:rPr>
          <w:rFonts w:ascii="宋体" w:hAnsi="宋体" w:eastAsia="宋体" w:cs="宋体"/>
          <w:sz w:val="24"/>
          <w:szCs w:val="24"/>
        </w:rPr>
        <w:t>万元，</w:t>
      </w:r>
      <w:r>
        <w:rPr>
          <w:rFonts w:ascii="宋体" w:hAnsi="宋体" w:eastAsia="宋体" w:cs="宋体"/>
          <w:spacing w:val="-7"/>
          <w:sz w:val="24"/>
          <w:szCs w:val="24"/>
        </w:rPr>
        <w:t>同比增长</w:t>
      </w:r>
      <w:r>
        <w:rPr>
          <w:rFonts w:ascii="Times New Roman" w:hAnsi="Times New Roman" w:eastAsia="Times New Roman" w:cs="Times New Roman"/>
          <w:spacing w:val="-7"/>
          <w:sz w:val="24"/>
          <w:szCs w:val="24"/>
        </w:rPr>
        <w:t>8.5%</w:t>
      </w:r>
      <w:r>
        <w:rPr>
          <w:rFonts w:ascii="宋体" w:hAnsi="宋体" w:eastAsia="宋体" w:cs="宋体"/>
          <w:spacing w:val="-7"/>
          <w:sz w:val="24"/>
          <w:szCs w:val="24"/>
        </w:rPr>
        <w:t>；三产业实现</w:t>
      </w:r>
      <w:r>
        <w:rPr>
          <w:rFonts w:ascii="Times New Roman" w:hAnsi="Times New Roman" w:eastAsia="Times New Roman" w:cs="Times New Roman"/>
          <w:spacing w:val="-7"/>
          <w:sz w:val="24"/>
          <w:szCs w:val="24"/>
        </w:rPr>
        <w:t>1279670</w:t>
      </w:r>
      <w:r>
        <w:rPr>
          <w:rFonts w:ascii="宋体" w:hAnsi="宋体" w:eastAsia="宋体" w:cs="宋体"/>
          <w:spacing w:val="-7"/>
          <w:sz w:val="24"/>
          <w:szCs w:val="24"/>
        </w:rPr>
        <w:t>万元，同比增长</w:t>
      </w:r>
      <w:r>
        <w:rPr>
          <w:rFonts w:ascii="Times New Roman" w:hAnsi="Times New Roman" w:eastAsia="Times New Roman" w:cs="Times New Roman"/>
          <w:spacing w:val="-7"/>
          <w:sz w:val="24"/>
          <w:szCs w:val="24"/>
        </w:rPr>
        <w:t>4.0%</w:t>
      </w:r>
      <w:r>
        <w:rPr>
          <w:rFonts w:ascii="宋体" w:hAnsi="宋体" w:eastAsia="宋体" w:cs="宋体"/>
          <w:spacing w:val="-7"/>
          <w:sz w:val="24"/>
          <w:szCs w:val="24"/>
        </w:rPr>
        <w:t>。三次产业结构比为</w:t>
      </w:r>
      <w:r>
        <w:rPr>
          <w:rFonts w:ascii="Times New Roman" w:hAnsi="Times New Roman" w:eastAsia="Times New Roman" w:cs="Times New Roman"/>
          <w:spacing w:val="-7"/>
          <w:sz w:val="24"/>
          <w:szCs w:val="24"/>
        </w:rPr>
        <w:t>19.75</w:t>
      </w:r>
      <w:r>
        <w:rPr>
          <w:rFonts w:ascii="宋体" w:hAnsi="宋体" w:eastAsia="宋体" w:cs="宋体"/>
          <w:spacing w:val="-7"/>
          <w:sz w:val="24"/>
          <w:szCs w:val="24"/>
        </w:rPr>
        <w:t>：</w:t>
      </w:r>
    </w:p>
    <w:p w14:paraId="025F0FAC">
      <w:pPr>
        <w:spacing w:line="235" w:lineRule="auto"/>
        <w:ind w:left="4"/>
        <w:rPr>
          <w:rFonts w:ascii="宋体" w:hAnsi="宋体" w:eastAsia="宋体" w:cs="宋体"/>
          <w:sz w:val="24"/>
          <w:szCs w:val="24"/>
        </w:rPr>
      </w:pPr>
      <w:r>
        <w:rPr>
          <w:rFonts w:ascii="Times New Roman" w:hAnsi="Times New Roman" w:eastAsia="Times New Roman" w:cs="Times New Roman"/>
          <w:spacing w:val="-1"/>
          <w:sz w:val="24"/>
          <w:szCs w:val="24"/>
        </w:rPr>
        <w:t>40.36</w:t>
      </w:r>
      <w:r>
        <w:rPr>
          <w:rFonts w:ascii="宋体" w:hAnsi="宋体" w:eastAsia="宋体" w:cs="宋体"/>
          <w:spacing w:val="-1"/>
          <w:sz w:val="24"/>
          <w:szCs w:val="24"/>
        </w:rPr>
        <w:t>：</w:t>
      </w:r>
      <w:r>
        <w:rPr>
          <w:rFonts w:ascii="Times New Roman" w:hAnsi="Times New Roman" w:eastAsia="Times New Roman" w:cs="Times New Roman"/>
          <w:spacing w:val="-1"/>
          <w:sz w:val="24"/>
          <w:szCs w:val="24"/>
        </w:rPr>
        <w:t>39.89</w:t>
      </w:r>
      <w:r>
        <w:rPr>
          <w:rFonts w:ascii="宋体" w:hAnsi="宋体" w:eastAsia="宋体" w:cs="宋体"/>
          <w:spacing w:val="-1"/>
          <w:sz w:val="24"/>
          <w:szCs w:val="24"/>
        </w:rPr>
        <w:t>。</w:t>
      </w:r>
    </w:p>
    <w:p w14:paraId="30F4AACA">
      <w:pPr>
        <w:spacing w:line="235" w:lineRule="auto"/>
        <w:rPr>
          <w:rFonts w:ascii="宋体" w:hAnsi="宋体" w:eastAsia="宋体" w:cs="宋体"/>
          <w:sz w:val="24"/>
          <w:szCs w:val="24"/>
        </w:rPr>
        <w:sectPr>
          <w:headerReference r:id="rId43" w:type="default"/>
          <w:footerReference r:id="rId44" w:type="default"/>
          <w:pgSz w:w="11907" w:h="16840"/>
          <w:pgMar w:top="1132" w:right="1642" w:bottom="1259" w:left="1701" w:header="829" w:footer="1097" w:gutter="0"/>
          <w:cols w:space="720" w:num="1"/>
        </w:sectPr>
      </w:pPr>
    </w:p>
    <w:p w14:paraId="5FDD8938">
      <w:pPr>
        <w:spacing w:before="325" w:line="220" w:lineRule="auto"/>
        <w:ind w:left="5"/>
        <w:outlineLvl w:val="2"/>
        <w:rPr>
          <w:rFonts w:ascii="宋体" w:hAnsi="宋体" w:eastAsia="宋体" w:cs="宋体"/>
          <w:sz w:val="28"/>
          <w:szCs w:val="28"/>
        </w:rPr>
      </w:pPr>
      <w:bookmarkStart w:id="17" w:name="bookmark17"/>
      <w:bookmarkEnd w:id="17"/>
      <w:r>
        <w:rPr>
          <w:rFonts w:ascii="Times New Roman" w:hAnsi="Times New Roman" w:eastAsia="Times New Roman" w:cs="Times New Roman"/>
          <w:b/>
          <w:bCs/>
          <w:spacing w:val="-4"/>
          <w:sz w:val="28"/>
          <w:szCs w:val="28"/>
        </w:rPr>
        <w:t>3.4.4</w:t>
      </w:r>
      <w:r>
        <w:rPr>
          <w:rFonts w:ascii="宋体" w:hAnsi="宋体" w:eastAsia="宋体" w:cs="宋体"/>
          <w:b/>
          <w:bCs/>
          <w:spacing w:val="-4"/>
          <w:sz w:val="28"/>
          <w:szCs w:val="28"/>
        </w:rPr>
        <w:t>隆回高新技术产业开发区概况</w:t>
      </w:r>
    </w:p>
    <w:p w14:paraId="21FCCDF1">
      <w:pPr>
        <w:spacing w:before="304" w:line="220" w:lineRule="auto"/>
        <w:ind w:left="4"/>
        <w:outlineLvl w:val="3"/>
        <w:rPr>
          <w:rFonts w:ascii="宋体" w:hAnsi="宋体" w:eastAsia="宋体" w:cs="宋体"/>
          <w:sz w:val="24"/>
          <w:szCs w:val="24"/>
        </w:rPr>
      </w:pPr>
      <w:r>
        <w:rPr>
          <w:rFonts w:ascii="Times New Roman" w:hAnsi="Times New Roman" w:eastAsia="Times New Roman" w:cs="Times New Roman"/>
          <w:b/>
          <w:bCs/>
          <w:spacing w:val="-1"/>
          <w:sz w:val="24"/>
          <w:szCs w:val="24"/>
        </w:rPr>
        <w:t>3.4.4.1</w:t>
      </w:r>
      <w:r>
        <w:rPr>
          <w:rFonts w:ascii="宋体" w:hAnsi="宋体" w:eastAsia="宋体" w:cs="宋体"/>
          <w:b/>
          <w:bCs/>
          <w:spacing w:val="-1"/>
          <w:sz w:val="24"/>
          <w:szCs w:val="24"/>
        </w:rPr>
        <w:t>发展历程</w:t>
      </w:r>
    </w:p>
    <w:p w14:paraId="2268C554">
      <w:pPr>
        <w:spacing w:before="181" w:line="359" w:lineRule="auto"/>
        <w:ind w:left="5" w:right="82" w:firstLine="499"/>
        <w:jc w:val="both"/>
        <w:rPr>
          <w:rFonts w:ascii="宋体" w:hAnsi="宋体" w:eastAsia="宋体" w:cs="宋体"/>
          <w:sz w:val="24"/>
          <w:szCs w:val="24"/>
        </w:rPr>
      </w:pPr>
      <w:r>
        <w:rPr>
          <w:rFonts w:ascii="宋体" w:hAnsi="宋体" w:eastAsia="宋体" w:cs="宋体"/>
          <w:spacing w:val="-4"/>
          <w:sz w:val="24"/>
          <w:szCs w:val="24"/>
        </w:rPr>
        <w:t>隆回高新技术产业开发区园区代码</w:t>
      </w:r>
      <w:r>
        <w:rPr>
          <w:rFonts w:ascii="Times New Roman" w:hAnsi="Times New Roman" w:eastAsia="Times New Roman" w:cs="Times New Roman"/>
          <w:spacing w:val="-4"/>
          <w:sz w:val="24"/>
          <w:szCs w:val="24"/>
        </w:rPr>
        <w:t>S439086</w:t>
      </w:r>
      <w:r>
        <w:rPr>
          <w:rFonts w:ascii="宋体" w:hAnsi="宋体" w:eastAsia="宋体" w:cs="宋体"/>
          <w:spacing w:val="-4"/>
          <w:sz w:val="24"/>
          <w:szCs w:val="24"/>
        </w:rPr>
        <w:t>，园区级别为省级工业园区。目前</w:t>
      </w:r>
      <w:r>
        <w:rPr>
          <w:rFonts w:ascii="宋体" w:hAnsi="宋体" w:eastAsia="宋体" w:cs="宋体"/>
          <w:spacing w:val="3"/>
          <w:sz w:val="24"/>
          <w:szCs w:val="24"/>
        </w:rPr>
        <w:t>制鞋业，文教、工美、体育和娱乐用品制造业，农副食品加工，家</w:t>
      </w:r>
      <w:r>
        <w:rPr>
          <w:rFonts w:ascii="宋体" w:hAnsi="宋体" w:eastAsia="宋体" w:cs="宋体"/>
          <w:spacing w:val="2"/>
          <w:sz w:val="24"/>
          <w:szCs w:val="24"/>
        </w:rPr>
        <w:t>具制造业，金</w:t>
      </w:r>
      <w:r>
        <w:rPr>
          <w:rFonts w:ascii="宋体" w:hAnsi="宋体" w:eastAsia="宋体" w:cs="宋体"/>
          <w:spacing w:val="-1"/>
          <w:sz w:val="24"/>
          <w:szCs w:val="24"/>
        </w:rPr>
        <w:t>属门窗制造等产业得到一定发展。隆回高新技</w:t>
      </w:r>
      <w:r>
        <w:rPr>
          <w:rFonts w:ascii="宋体" w:hAnsi="宋体" w:eastAsia="宋体" w:cs="宋体"/>
          <w:spacing w:val="-2"/>
          <w:sz w:val="24"/>
          <w:szCs w:val="24"/>
        </w:rPr>
        <w:t>术产业开发区成立于</w:t>
      </w:r>
      <w:r>
        <w:rPr>
          <w:rFonts w:ascii="Times New Roman" w:hAnsi="Times New Roman" w:eastAsia="Times New Roman" w:cs="Times New Roman"/>
          <w:spacing w:val="-2"/>
          <w:sz w:val="24"/>
          <w:szCs w:val="24"/>
        </w:rPr>
        <w:t>2005</w:t>
      </w:r>
      <w:r>
        <w:rPr>
          <w:rFonts w:ascii="宋体" w:hAnsi="宋体" w:eastAsia="宋体" w:cs="宋体"/>
          <w:spacing w:val="-2"/>
          <w:sz w:val="24"/>
          <w:szCs w:val="24"/>
        </w:rPr>
        <w:t>年</w:t>
      </w:r>
      <w:r>
        <w:rPr>
          <w:rFonts w:ascii="Times New Roman" w:hAnsi="Times New Roman" w:eastAsia="Times New Roman" w:cs="Times New Roman"/>
          <w:spacing w:val="-2"/>
          <w:sz w:val="24"/>
          <w:szCs w:val="24"/>
        </w:rPr>
        <w:t>8</w:t>
      </w:r>
      <w:r>
        <w:rPr>
          <w:rFonts w:ascii="宋体" w:hAnsi="宋体" w:eastAsia="宋体" w:cs="宋体"/>
          <w:spacing w:val="-2"/>
          <w:sz w:val="24"/>
          <w:szCs w:val="24"/>
        </w:rPr>
        <w:t>月，</w:t>
      </w:r>
      <w:r>
        <w:rPr>
          <w:rFonts w:ascii="Times New Roman" w:hAnsi="Times New Roman" w:eastAsia="Times New Roman" w:cs="Times New Roman"/>
          <w:spacing w:val="-2"/>
          <w:sz w:val="24"/>
          <w:szCs w:val="24"/>
        </w:rPr>
        <w:t>2012</w:t>
      </w:r>
      <w:r>
        <w:rPr>
          <w:rFonts w:ascii="宋体" w:hAnsi="宋体" w:eastAsia="宋体" w:cs="宋体"/>
          <w:spacing w:val="-2"/>
          <w:sz w:val="24"/>
          <w:szCs w:val="24"/>
        </w:rPr>
        <w:t>年</w:t>
      </w:r>
      <w:r>
        <w:rPr>
          <w:rFonts w:ascii="Times New Roman" w:hAnsi="Times New Roman" w:eastAsia="Times New Roman" w:cs="Times New Roman"/>
          <w:spacing w:val="-2"/>
          <w:sz w:val="24"/>
          <w:szCs w:val="24"/>
        </w:rPr>
        <w:t>11</w:t>
      </w:r>
      <w:r>
        <w:rPr>
          <w:rFonts w:ascii="宋体" w:hAnsi="宋体" w:eastAsia="宋体" w:cs="宋体"/>
          <w:spacing w:val="-2"/>
          <w:sz w:val="24"/>
          <w:szCs w:val="24"/>
        </w:rPr>
        <w:t>月获批准为“省级高新区”（湘政办函</w:t>
      </w:r>
      <w:r>
        <w:rPr>
          <w:rFonts w:ascii="Times New Roman" w:hAnsi="Times New Roman" w:eastAsia="Times New Roman" w:cs="Times New Roman"/>
          <w:spacing w:val="-2"/>
          <w:sz w:val="24"/>
          <w:szCs w:val="24"/>
        </w:rPr>
        <w:t>[2012]187</w:t>
      </w:r>
      <w:r>
        <w:rPr>
          <w:rFonts w:ascii="宋体" w:hAnsi="宋体" w:eastAsia="宋体" w:cs="宋体"/>
          <w:spacing w:val="-2"/>
          <w:sz w:val="24"/>
          <w:szCs w:val="24"/>
        </w:rPr>
        <w:t>号</w:t>
      </w:r>
      <w:r>
        <w:rPr>
          <w:rFonts w:ascii="宋体" w:hAnsi="宋体" w:eastAsia="宋体" w:cs="宋体"/>
          <w:spacing w:val="5"/>
          <w:sz w:val="24"/>
          <w:szCs w:val="24"/>
        </w:rPr>
        <w:t>），</w:t>
      </w:r>
      <w:r>
        <w:rPr>
          <w:rFonts w:ascii="宋体" w:hAnsi="宋体" w:eastAsia="宋体" w:cs="宋体"/>
          <w:spacing w:val="-2"/>
          <w:sz w:val="24"/>
          <w:szCs w:val="24"/>
        </w:rPr>
        <w:t>自此更名为隆</w:t>
      </w:r>
      <w:r>
        <w:rPr>
          <w:rFonts w:ascii="宋体" w:hAnsi="宋体" w:eastAsia="宋体" w:cs="宋体"/>
          <w:spacing w:val="-1"/>
          <w:sz w:val="24"/>
          <w:szCs w:val="24"/>
        </w:rPr>
        <w:t>回工业集中区，</w:t>
      </w:r>
      <w:r>
        <w:rPr>
          <w:rFonts w:ascii="Times New Roman" w:hAnsi="Times New Roman" w:eastAsia="Times New Roman" w:cs="Times New Roman"/>
          <w:spacing w:val="-1"/>
          <w:sz w:val="24"/>
          <w:szCs w:val="24"/>
        </w:rPr>
        <w:t>2020</w:t>
      </w:r>
      <w:r>
        <w:rPr>
          <w:rFonts w:ascii="宋体" w:hAnsi="宋体" w:eastAsia="宋体" w:cs="宋体"/>
          <w:spacing w:val="-1"/>
          <w:sz w:val="24"/>
          <w:szCs w:val="24"/>
        </w:rPr>
        <w:t>年</w:t>
      </w:r>
      <w:r>
        <w:rPr>
          <w:rFonts w:ascii="Times New Roman" w:hAnsi="Times New Roman" w:eastAsia="Times New Roman" w:cs="Times New Roman"/>
          <w:spacing w:val="-1"/>
          <w:sz w:val="24"/>
          <w:szCs w:val="24"/>
        </w:rPr>
        <w:t>7</w:t>
      </w:r>
      <w:r>
        <w:rPr>
          <w:rFonts w:ascii="宋体" w:hAnsi="宋体" w:eastAsia="宋体" w:cs="宋体"/>
          <w:spacing w:val="-1"/>
          <w:sz w:val="24"/>
          <w:szCs w:val="24"/>
        </w:rPr>
        <w:t>月更名为隆回高新技术产业开发区。</w:t>
      </w:r>
    </w:p>
    <w:p w14:paraId="44A68977">
      <w:pPr>
        <w:spacing w:before="2" w:line="359" w:lineRule="auto"/>
        <w:ind w:left="8" w:right="77" w:firstLine="464"/>
        <w:rPr>
          <w:rFonts w:ascii="宋体" w:hAnsi="宋体" w:eastAsia="宋体" w:cs="宋体"/>
          <w:sz w:val="24"/>
          <w:szCs w:val="24"/>
        </w:rPr>
      </w:pPr>
      <w:r>
        <w:rPr>
          <w:rFonts w:ascii="Times New Roman" w:hAnsi="Times New Roman" w:eastAsia="Times New Roman" w:cs="Times New Roman"/>
          <w:spacing w:val="-6"/>
          <w:sz w:val="24"/>
          <w:szCs w:val="24"/>
        </w:rPr>
        <w:t>2004</w:t>
      </w:r>
      <w:r>
        <w:rPr>
          <w:rFonts w:ascii="宋体" w:hAnsi="宋体" w:eastAsia="宋体" w:cs="宋体"/>
          <w:spacing w:val="-6"/>
          <w:sz w:val="24"/>
          <w:szCs w:val="24"/>
        </w:rPr>
        <w:t>年，对《隆回县县城总体规划》（</w:t>
      </w:r>
      <w:r>
        <w:rPr>
          <w:rFonts w:ascii="Times New Roman" w:hAnsi="Times New Roman" w:eastAsia="Times New Roman" w:cs="Times New Roman"/>
          <w:spacing w:val="-6"/>
          <w:sz w:val="24"/>
          <w:szCs w:val="24"/>
        </w:rPr>
        <w:t>1994-200</w:t>
      </w:r>
      <w:r>
        <w:rPr>
          <w:rFonts w:ascii="Times New Roman" w:hAnsi="Times New Roman" w:eastAsia="Times New Roman" w:cs="Times New Roman"/>
          <w:spacing w:val="-7"/>
          <w:sz w:val="24"/>
          <w:szCs w:val="24"/>
        </w:rPr>
        <w:t>5</w:t>
      </w:r>
      <w:r>
        <w:rPr>
          <w:rFonts w:ascii="宋体" w:hAnsi="宋体" w:eastAsia="宋体" w:cs="宋体"/>
          <w:spacing w:val="-7"/>
          <w:sz w:val="24"/>
          <w:szCs w:val="24"/>
        </w:rPr>
        <w:t>）进行了修编，修编为《隆回</w:t>
      </w:r>
      <w:r>
        <w:rPr>
          <w:rFonts w:ascii="宋体" w:hAnsi="宋体" w:eastAsia="宋体" w:cs="宋体"/>
          <w:spacing w:val="-5"/>
          <w:sz w:val="24"/>
          <w:szCs w:val="24"/>
        </w:rPr>
        <w:t>县县城总体规划》（</w:t>
      </w:r>
      <w:r>
        <w:rPr>
          <w:rFonts w:ascii="Times New Roman" w:hAnsi="Times New Roman" w:eastAsia="Times New Roman" w:cs="Times New Roman"/>
          <w:spacing w:val="-5"/>
          <w:sz w:val="24"/>
          <w:szCs w:val="24"/>
        </w:rPr>
        <w:t>2002-2020</w:t>
      </w:r>
      <w:r>
        <w:rPr>
          <w:rFonts w:ascii="宋体" w:hAnsi="宋体" w:eastAsia="宋体" w:cs="宋体"/>
          <w:spacing w:val="-4"/>
          <w:sz w:val="24"/>
          <w:szCs w:val="24"/>
        </w:rPr>
        <w:t>），</w:t>
      </w:r>
      <w:r>
        <w:rPr>
          <w:rFonts w:ascii="宋体" w:hAnsi="宋体" w:eastAsia="宋体" w:cs="宋体"/>
          <w:spacing w:val="-5"/>
          <w:sz w:val="24"/>
          <w:szCs w:val="24"/>
        </w:rPr>
        <w:t>修编后的</w:t>
      </w:r>
      <w:r>
        <w:rPr>
          <w:rFonts w:ascii="宋体" w:hAnsi="宋体" w:eastAsia="宋体" w:cs="宋体"/>
          <w:spacing w:val="-6"/>
          <w:sz w:val="24"/>
          <w:szCs w:val="24"/>
        </w:rPr>
        <w:t>规划提出了建设隆回县工业园的设想。</w:t>
      </w:r>
      <w:r>
        <w:rPr>
          <w:rFonts w:ascii="宋体" w:hAnsi="宋体" w:eastAsia="宋体" w:cs="宋体"/>
          <w:spacing w:val="-7"/>
          <w:sz w:val="24"/>
          <w:szCs w:val="24"/>
        </w:rPr>
        <w:t>具体为（</w:t>
      </w:r>
      <w:r>
        <w:rPr>
          <w:rFonts w:ascii="Times New Roman" w:hAnsi="Times New Roman" w:eastAsia="Times New Roman" w:cs="Times New Roman"/>
          <w:spacing w:val="-7"/>
          <w:sz w:val="24"/>
          <w:szCs w:val="24"/>
        </w:rPr>
        <w:t>1</w:t>
      </w:r>
      <w:r>
        <w:rPr>
          <w:rFonts w:ascii="宋体" w:hAnsi="宋体" w:eastAsia="宋体" w:cs="宋体"/>
          <w:spacing w:val="-7"/>
          <w:sz w:val="24"/>
          <w:szCs w:val="24"/>
        </w:rPr>
        <w:t>）县城南东南地块上瑞高速公路横穿规划区，将用地分为南、北两片区，</w:t>
      </w:r>
      <w:r>
        <w:rPr>
          <w:rFonts w:ascii="宋体" w:hAnsi="宋体" w:eastAsia="宋体" w:cs="宋体"/>
          <w:spacing w:val="-8"/>
          <w:sz w:val="24"/>
          <w:szCs w:val="24"/>
        </w:rPr>
        <w:t>居住与公共服务设施设置在北片，南片主要为工业用地，规划面积</w:t>
      </w:r>
      <w:r>
        <w:rPr>
          <w:rFonts w:ascii="Times New Roman" w:hAnsi="Times New Roman" w:eastAsia="Times New Roman" w:cs="Times New Roman"/>
          <w:spacing w:val="-8"/>
          <w:sz w:val="24"/>
          <w:szCs w:val="24"/>
        </w:rPr>
        <w:t>34.6</w:t>
      </w:r>
      <w:r>
        <w:rPr>
          <w:rFonts w:ascii="Times New Roman" w:hAnsi="Times New Roman" w:eastAsia="Times New Roman" w:cs="Times New Roman"/>
          <w:spacing w:val="-9"/>
          <w:sz w:val="24"/>
          <w:szCs w:val="24"/>
        </w:rPr>
        <w:t>4</w:t>
      </w:r>
      <w:r>
        <w:rPr>
          <w:rFonts w:ascii="宋体" w:hAnsi="宋体" w:eastAsia="宋体" w:cs="宋体"/>
          <w:spacing w:val="-9"/>
          <w:sz w:val="24"/>
          <w:szCs w:val="24"/>
        </w:rPr>
        <w:t>公顷，共划</w:t>
      </w:r>
      <w:r>
        <w:rPr>
          <w:rFonts w:ascii="宋体" w:hAnsi="宋体" w:eastAsia="宋体" w:cs="宋体"/>
          <w:spacing w:val="-6"/>
          <w:sz w:val="24"/>
          <w:szCs w:val="24"/>
        </w:rPr>
        <w:t>分为</w:t>
      </w:r>
      <w:r>
        <w:rPr>
          <w:rFonts w:ascii="Times New Roman" w:hAnsi="Times New Roman" w:eastAsia="Times New Roman" w:cs="Times New Roman"/>
          <w:spacing w:val="-6"/>
          <w:sz w:val="24"/>
          <w:szCs w:val="24"/>
        </w:rPr>
        <w:t>72</w:t>
      </w:r>
      <w:r>
        <w:rPr>
          <w:rFonts w:ascii="宋体" w:hAnsi="宋体" w:eastAsia="宋体" w:cs="宋体"/>
          <w:spacing w:val="-6"/>
          <w:sz w:val="24"/>
          <w:szCs w:val="24"/>
        </w:rPr>
        <w:t>个地块</w:t>
      </w:r>
      <w:r>
        <w:rPr>
          <w:rFonts w:ascii="宋体" w:hAnsi="宋体" w:eastAsia="宋体" w:cs="宋体"/>
          <w:spacing w:val="-39"/>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）县城城南地块，规划面积</w:t>
      </w:r>
      <w:r>
        <w:rPr>
          <w:rFonts w:ascii="Times New Roman" w:hAnsi="Times New Roman" w:eastAsia="Times New Roman" w:cs="Times New Roman"/>
          <w:spacing w:val="-6"/>
          <w:sz w:val="24"/>
          <w:szCs w:val="24"/>
        </w:rPr>
        <w:t>80.04</w:t>
      </w:r>
      <w:r>
        <w:rPr>
          <w:rFonts w:ascii="宋体" w:hAnsi="宋体" w:eastAsia="宋体" w:cs="宋体"/>
          <w:spacing w:val="-6"/>
          <w:sz w:val="24"/>
          <w:szCs w:val="24"/>
        </w:rPr>
        <w:t>公顷，共划</w:t>
      </w:r>
      <w:r>
        <w:rPr>
          <w:rFonts w:ascii="宋体" w:hAnsi="宋体" w:eastAsia="宋体" w:cs="宋体"/>
          <w:spacing w:val="-7"/>
          <w:sz w:val="24"/>
          <w:szCs w:val="24"/>
        </w:rPr>
        <w:t>分为</w:t>
      </w:r>
      <w:r>
        <w:rPr>
          <w:rFonts w:ascii="Times New Roman" w:hAnsi="Times New Roman" w:eastAsia="Times New Roman" w:cs="Times New Roman"/>
          <w:spacing w:val="-7"/>
          <w:sz w:val="24"/>
          <w:szCs w:val="24"/>
        </w:rPr>
        <w:t>9</w:t>
      </w:r>
      <w:r>
        <w:rPr>
          <w:rFonts w:ascii="宋体" w:hAnsi="宋体" w:eastAsia="宋体" w:cs="宋体"/>
          <w:spacing w:val="-7"/>
          <w:sz w:val="24"/>
          <w:szCs w:val="24"/>
        </w:rPr>
        <w:t>个地块。规</w:t>
      </w:r>
      <w:r>
        <w:rPr>
          <w:rFonts w:ascii="宋体" w:hAnsi="宋体" w:eastAsia="宋体" w:cs="宋体"/>
          <w:spacing w:val="-6"/>
          <w:sz w:val="24"/>
          <w:szCs w:val="24"/>
        </w:rPr>
        <w:t>划分为两期开发，其中一期开发城东南地块，二期为县城城南地块。</w:t>
      </w:r>
    </w:p>
    <w:p w14:paraId="16D2535D">
      <w:pPr>
        <w:spacing w:before="5" w:line="358" w:lineRule="auto"/>
        <w:ind w:left="8" w:right="77" w:firstLine="464"/>
        <w:jc w:val="both"/>
        <w:rPr>
          <w:rFonts w:ascii="宋体" w:hAnsi="宋体" w:eastAsia="宋体" w:cs="宋体"/>
          <w:sz w:val="24"/>
          <w:szCs w:val="24"/>
        </w:rPr>
      </w:pPr>
      <w:r>
        <w:rPr>
          <w:rFonts w:ascii="Times New Roman" w:hAnsi="Times New Roman" w:eastAsia="Times New Roman" w:cs="Times New Roman"/>
          <w:spacing w:val="-5"/>
          <w:sz w:val="24"/>
          <w:szCs w:val="24"/>
        </w:rPr>
        <w:t>2007</w:t>
      </w:r>
      <w:r>
        <w:rPr>
          <w:rFonts w:ascii="宋体" w:hAnsi="宋体" w:eastAsia="宋体" w:cs="宋体"/>
          <w:spacing w:val="-5"/>
          <w:sz w:val="24"/>
          <w:szCs w:val="24"/>
        </w:rPr>
        <w:t>年，邵阳市环境科学研究所编制完成了《隆回县工业园一期开发环境</w:t>
      </w:r>
      <w:r>
        <w:rPr>
          <w:rFonts w:ascii="宋体" w:hAnsi="宋体" w:eastAsia="宋体" w:cs="宋体"/>
          <w:spacing w:val="-6"/>
          <w:sz w:val="24"/>
          <w:szCs w:val="24"/>
        </w:rPr>
        <w:t>影响评价报告书》，并取得了湖南省环境保护局的批复（湘环评</w:t>
      </w:r>
      <w:r>
        <w:rPr>
          <w:rFonts w:ascii="Times New Roman" w:hAnsi="Times New Roman" w:eastAsia="Times New Roman" w:cs="Times New Roman"/>
          <w:spacing w:val="-6"/>
          <w:sz w:val="24"/>
          <w:szCs w:val="24"/>
        </w:rPr>
        <w:t>[2007]164</w:t>
      </w:r>
      <w:r>
        <w:rPr>
          <w:rFonts w:ascii="宋体" w:hAnsi="宋体" w:eastAsia="宋体" w:cs="宋体"/>
          <w:spacing w:val="-6"/>
          <w:sz w:val="24"/>
          <w:szCs w:val="24"/>
        </w:rPr>
        <w:t>号</w:t>
      </w:r>
      <w:r>
        <w:rPr>
          <w:rFonts w:ascii="宋体" w:hAnsi="宋体" w:eastAsia="宋体" w:cs="宋体"/>
          <w:sz w:val="24"/>
          <w:szCs w:val="24"/>
        </w:rPr>
        <w:t>），</w:t>
      </w:r>
      <w:r>
        <w:rPr>
          <w:rFonts w:ascii="宋体" w:hAnsi="宋体" w:eastAsia="宋体" w:cs="宋体"/>
          <w:spacing w:val="-6"/>
          <w:sz w:val="24"/>
          <w:szCs w:val="24"/>
        </w:rPr>
        <w:t>批复内</w:t>
      </w:r>
      <w:r>
        <w:rPr>
          <w:rFonts w:ascii="宋体" w:hAnsi="宋体" w:eastAsia="宋体" w:cs="宋体"/>
          <w:spacing w:val="-4"/>
          <w:sz w:val="24"/>
          <w:szCs w:val="24"/>
        </w:rPr>
        <w:t>容为：隆回县工业园一期开发工程位于隆回县城东南面，紧邻县城中心区，规划开</w:t>
      </w:r>
      <w:r>
        <w:rPr>
          <w:rFonts w:ascii="宋体" w:hAnsi="宋体" w:eastAsia="宋体" w:cs="宋体"/>
          <w:spacing w:val="-5"/>
          <w:sz w:val="24"/>
          <w:szCs w:val="24"/>
        </w:rPr>
        <w:t>发面积</w:t>
      </w:r>
      <w:r>
        <w:rPr>
          <w:rFonts w:ascii="Times New Roman" w:hAnsi="Times New Roman" w:eastAsia="Times New Roman" w:cs="Times New Roman"/>
          <w:spacing w:val="-5"/>
          <w:sz w:val="24"/>
          <w:szCs w:val="24"/>
        </w:rPr>
        <w:t>3.41</w:t>
      </w:r>
      <w:r>
        <w:rPr>
          <w:rFonts w:ascii="宋体" w:hAnsi="宋体" w:eastAsia="宋体" w:cs="宋体"/>
          <w:spacing w:val="-5"/>
          <w:sz w:val="24"/>
          <w:szCs w:val="24"/>
        </w:rPr>
        <w:t>平方公里。园区企业定位以电子、服装加工、纺织、工艺品</w:t>
      </w:r>
      <w:r>
        <w:rPr>
          <w:rFonts w:ascii="宋体" w:hAnsi="宋体" w:eastAsia="宋体" w:cs="宋体"/>
          <w:spacing w:val="-6"/>
          <w:sz w:val="24"/>
          <w:szCs w:val="24"/>
        </w:rPr>
        <w:t>制造、农副产品加工等为主一、二类工业企业，并辅以精细化工，造纸（不纸浆）、仓储等。</w:t>
      </w:r>
    </w:p>
    <w:p w14:paraId="5824B662">
      <w:pPr>
        <w:spacing w:before="1" w:line="359" w:lineRule="auto"/>
        <w:ind w:left="10" w:right="4" w:firstLine="462"/>
        <w:jc w:val="both"/>
        <w:rPr>
          <w:rFonts w:ascii="宋体" w:hAnsi="宋体" w:eastAsia="宋体" w:cs="宋体"/>
          <w:sz w:val="24"/>
          <w:szCs w:val="24"/>
        </w:rPr>
      </w:pPr>
      <w:r>
        <w:rPr>
          <w:rFonts w:ascii="Times New Roman" w:hAnsi="Times New Roman" w:eastAsia="Times New Roman" w:cs="Times New Roman"/>
          <w:spacing w:val="-10"/>
          <w:sz w:val="24"/>
          <w:szCs w:val="24"/>
        </w:rPr>
        <w:t>2012</w:t>
      </w:r>
      <w:r>
        <w:rPr>
          <w:rFonts w:ascii="宋体" w:hAnsi="宋体" w:eastAsia="宋体" w:cs="宋体"/>
          <w:spacing w:val="-10"/>
          <w:sz w:val="24"/>
          <w:szCs w:val="24"/>
        </w:rPr>
        <w:t>年，《隆回县工业集中区发展规划（</w:t>
      </w:r>
      <w:r>
        <w:rPr>
          <w:rFonts w:ascii="Times New Roman" w:hAnsi="Times New Roman" w:eastAsia="Times New Roman" w:cs="Times New Roman"/>
          <w:spacing w:val="-10"/>
          <w:sz w:val="24"/>
          <w:szCs w:val="24"/>
        </w:rPr>
        <w:t>2011-2020</w:t>
      </w:r>
      <w:r>
        <w:rPr>
          <w:rFonts w:ascii="宋体" w:hAnsi="宋体" w:eastAsia="宋体" w:cs="宋体"/>
          <w:spacing w:val="-10"/>
          <w:sz w:val="24"/>
          <w:szCs w:val="24"/>
        </w:rPr>
        <w:t>）》获批，批复文号为</w:t>
      </w:r>
      <w:r>
        <w:rPr>
          <w:rFonts w:ascii="宋体" w:hAnsi="宋体" w:eastAsia="宋体" w:cs="宋体"/>
          <w:spacing w:val="-51"/>
          <w:sz w:val="24"/>
          <w:szCs w:val="24"/>
        </w:rPr>
        <w:t>：（</w:t>
      </w:r>
      <w:r>
        <w:rPr>
          <w:rFonts w:ascii="宋体" w:hAnsi="宋体" w:eastAsia="宋体" w:cs="宋体"/>
          <w:spacing w:val="-10"/>
          <w:sz w:val="24"/>
          <w:szCs w:val="24"/>
        </w:rPr>
        <w:t>湘</w:t>
      </w:r>
      <w:r>
        <w:rPr>
          <w:rFonts w:ascii="宋体" w:hAnsi="宋体" w:eastAsia="宋体" w:cs="宋体"/>
          <w:spacing w:val="-1"/>
          <w:sz w:val="24"/>
          <w:szCs w:val="24"/>
        </w:rPr>
        <w:t>发改地区</w:t>
      </w:r>
      <w:r>
        <w:rPr>
          <w:rFonts w:ascii="Times New Roman" w:hAnsi="Times New Roman" w:eastAsia="Times New Roman" w:cs="Times New Roman"/>
          <w:spacing w:val="-1"/>
          <w:sz w:val="24"/>
          <w:szCs w:val="24"/>
        </w:rPr>
        <w:t>[2012]1566</w:t>
      </w:r>
      <w:r>
        <w:rPr>
          <w:rFonts w:ascii="宋体" w:hAnsi="宋体" w:eastAsia="宋体" w:cs="宋体"/>
          <w:spacing w:val="-1"/>
          <w:sz w:val="24"/>
          <w:szCs w:val="24"/>
        </w:rPr>
        <w:t>号</w:t>
      </w:r>
      <w:r>
        <w:rPr>
          <w:rFonts w:ascii="宋体" w:hAnsi="宋体" w:eastAsia="宋体" w:cs="宋体"/>
          <w:spacing w:val="-2"/>
          <w:sz w:val="24"/>
          <w:szCs w:val="24"/>
        </w:rPr>
        <w:t>），</w:t>
      </w:r>
      <w:r>
        <w:rPr>
          <w:rFonts w:ascii="宋体" w:hAnsi="宋体" w:eastAsia="宋体" w:cs="宋体"/>
          <w:spacing w:val="-1"/>
          <w:sz w:val="24"/>
          <w:szCs w:val="24"/>
        </w:rPr>
        <w:t>批复内容为：隆回工业集中区以富硒农产品</w:t>
      </w:r>
      <w:r>
        <w:rPr>
          <w:rFonts w:ascii="宋体" w:hAnsi="宋体" w:eastAsia="宋体" w:cs="宋体"/>
          <w:spacing w:val="-2"/>
          <w:sz w:val="24"/>
          <w:szCs w:val="24"/>
        </w:rPr>
        <w:t>精深加工、</w:t>
      </w:r>
      <w:r>
        <w:rPr>
          <w:rFonts w:ascii="宋体" w:hAnsi="宋体" w:eastAsia="宋体" w:cs="宋体"/>
          <w:spacing w:val="2"/>
          <w:sz w:val="24"/>
          <w:szCs w:val="24"/>
        </w:rPr>
        <w:t>生物质能源、特种纸等产业为主；隆回工业集中区近期（</w:t>
      </w:r>
      <w:r>
        <w:rPr>
          <w:rFonts w:ascii="Times New Roman" w:hAnsi="Times New Roman" w:eastAsia="Times New Roman" w:cs="Times New Roman"/>
          <w:spacing w:val="2"/>
          <w:sz w:val="24"/>
          <w:szCs w:val="24"/>
        </w:rPr>
        <w:t>2011—2015</w:t>
      </w:r>
      <w:r>
        <w:rPr>
          <w:rFonts w:ascii="宋体" w:hAnsi="宋体" w:eastAsia="宋体" w:cs="宋体"/>
          <w:spacing w:val="2"/>
          <w:sz w:val="24"/>
          <w:szCs w:val="24"/>
        </w:rPr>
        <w:t>）规划面积为</w:t>
      </w:r>
      <w:r>
        <w:rPr>
          <w:rFonts w:ascii="Times New Roman" w:hAnsi="Times New Roman" w:eastAsia="Times New Roman" w:cs="Times New Roman"/>
          <w:spacing w:val="2"/>
          <w:sz w:val="24"/>
          <w:szCs w:val="24"/>
        </w:rPr>
        <w:t>220</w:t>
      </w:r>
      <w:r>
        <w:rPr>
          <w:rFonts w:ascii="宋体" w:hAnsi="宋体" w:eastAsia="宋体" w:cs="宋体"/>
          <w:spacing w:val="2"/>
          <w:sz w:val="24"/>
          <w:szCs w:val="24"/>
        </w:rPr>
        <w:t>公顷，四至范围为：东至沪昆高速公路，西至伏龙江，南</w:t>
      </w:r>
      <w:r>
        <w:rPr>
          <w:rFonts w:ascii="宋体" w:hAnsi="宋体" w:eastAsia="宋体" w:cs="宋体"/>
          <w:spacing w:val="1"/>
          <w:sz w:val="24"/>
          <w:szCs w:val="24"/>
        </w:rPr>
        <w:t>至资江，北至阳</w:t>
      </w:r>
      <w:r>
        <w:rPr>
          <w:rFonts w:ascii="宋体" w:hAnsi="宋体" w:eastAsia="宋体" w:cs="宋体"/>
          <w:spacing w:val="-2"/>
          <w:sz w:val="24"/>
          <w:szCs w:val="24"/>
        </w:rPr>
        <w:t>光路；远期（</w:t>
      </w:r>
      <w:r>
        <w:rPr>
          <w:rFonts w:ascii="Times New Roman" w:hAnsi="Times New Roman" w:eastAsia="Times New Roman" w:cs="Times New Roman"/>
          <w:spacing w:val="-2"/>
          <w:sz w:val="24"/>
          <w:szCs w:val="24"/>
        </w:rPr>
        <w:t>2016—2020</w:t>
      </w:r>
      <w:r>
        <w:rPr>
          <w:rFonts w:ascii="宋体" w:hAnsi="宋体" w:eastAsia="宋体" w:cs="宋体"/>
          <w:spacing w:val="-2"/>
          <w:sz w:val="24"/>
          <w:szCs w:val="24"/>
        </w:rPr>
        <w:t>）规划面积达到</w:t>
      </w:r>
      <w:r>
        <w:rPr>
          <w:rFonts w:ascii="Times New Roman" w:hAnsi="Times New Roman" w:eastAsia="Times New Roman" w:cs="Times New Roman"/>
          <w:spacing w:val="-2"/>
          <w:sz w:val="24"/>
          <w:szCs w:val="24"/>
        </w:rPr>
        <w:t>280</w:t>
      </w:r>
      <w:r>
        <w:rPr>
          <w:rFonts w:ascii="宋体" w:hAnsi="宋体" w:eastAsia="宋体" w:cs="宋体"/>
          <w:spacing w:val="-2"/>
          <w:sz w:val="24"/>
          <w:szCs w:val="24"/>
        </w:rPr>
        <w:t>公顷，四至范围为</w:t>
      </w:r>
      <w:r>
        <w:rPr>
          <w:rFonts w:ascii="宋体" w:hAnsi="宋体" w:eastAsia="宋体" w:cs="宋体"/>
          <w:spacing w:val="-3"/>
          <w:sz w:val="24"/>
          <w:szCs w:val="24"/>
        </w:rPr>
        <w:t>：东至城南大道、</w:t>
      </w:r>
      <w:r>
        <w:rPr>
          <w:rFonts w:ascii="宋体" w:hAnsi="宋体" w:eastAsia="宋体" w:cs="宋体"/>
          <w:spacing w:val="-4"/>
          <w:sz w:val="24"/>
          <w:szCs w:val="24"/>
        </w:rPr>
        <w:t>沪昆高速公路，西至伏龙江，南至资江，北至伏龙路。该规划核准的范围位于《隆</w:t>
      </w:r>
      <w:r>
        <w:rPr>
          <w:rFonts w:ascii="宋体" w:hAnsi="宋体" w:eastAsia="宋体" w:cs="宋体"/>
          <w:spacing w:val="-6"/>
          <w:sz w:val="24"/>
          <w:szCs w:val="24"/>
        </w:rPr>
        <w:t>回县工业园一期开发环境影响评价报告书》批复的范围内。</w:t>
      </w:r>
    </w:p>
    <w:p w14:paraId="2F9D41C6">
      <w:pPr>
        <w:spacing w:before="3" w:line="360" w:lineRule="auto"/>
        <w:ind w:left="10" w:firstLine="494"/>
        <w:jc w:val="both"/>
        <w:rPr>
          <w:rFonts w:ascii="宋体" w:hAnsi="宋体" w:eastAsia="宋体" w:cs="宋体"/>
          <w:sz w:val="24"/>
          <w:szCs w:val="24"/>
        </w:rPr>
      </w:pPr>
      <w:r>
        <w:rPr>
          <w:rFonts w:ascii="宋体" w:hAnsi="宋体" w:eastAsia="宋体" w:cs="宋体"/>
          <w:spacing w:val="14"/>
          <w:sz w:val="24"/>
          <w:szCs w:val="24"/>
        </w:rPr>
        <w:t>隆回工业园一期环评范围为</w:t>
      </w:r>
      <w:r>
        <w:rPr>
          <w:rFonts w:ascii="Times New Roman" w:hAnsi="Times New Roman" w:eastAsia="Times New Roman" w:cs="Times New Roman"/>
          <w:spacing w:val="14"/>
          <w:sz w:val="24"/>
          <w:szCs w:val="24"/>
        </w:rPr>
        <w:t>341</w:t>
      </w:r>
      <w:r>
        <w:rPr>
          <w:rFonts w:ascii="宋体" w:hAnsi="宋体" w:eastAsia="宋体" w:cs="宋体"/>
          <w:spacing w:val="14"/>
          <w:sz w:val="24"/>
          <w:szCs w:val="24"/>
        </w:rPr>
        <w:t>公顷，而《隆回县工业</w:t>
      </w:r>
      <w:r>
        <w:rPr>
          <w:rFonts w:ascii="宋体" w:hAnsi="宋体" w:eastAsia="宋体" w:cs="宋体"/>
          <w:spacing w:val="13"/>
          <w:sz w:val="24"/>
          <w:szCs w:val="24"/>
        </w:rPr>
        <w:t>集中区发展规划</w:t>
      </w:r>
      <w:r>
        <w:rPr>
          <w:rFonts w:ascii="宋体" w:hAnsi="宋体" w:eastAsia="宋体" w:cs="宋体"/>
          <w:spacing w:val="-5"/>
          <w:sz w:val="24"/>
          <w:szCs w:val="24"/>
        </w:rPr>
        <w:t>（</w:t>
      </w:r>
      <w:r>
        <w:rPr>
          <w:rFonts w:ascii="Times New Roman" w:hAnsi="Times New Roman" w:eastAsia="Times New Roman" w:cs="Times New Roman"/>
          <w:spacing w:val="-5"/>
          <w:sz w:val="24"/>
          <w:szCs w:val="24"/>
        </w:rPr>
        <w:t>2011-2020</w:t>
      </w:r>
      <w:r>
        <w:rPr>
          <w:rFonts w:ascii="宋体" w:hAnsi="宋体" w:eastAsia="宋体" w:cs="宋体"/>
          <w:spacing w:val="-5"/>
          <w:sz w:val="24"/>
          <w:szCs w:val="24"/>
        </w:rPr>
        <w:t>）》中远期规划面积只有</w:t>
      </w:r>
      <w:r>
        <w:rPr>
          <w:rFonts w:ascii="Times New Roman" w:hAnsi="Times New Roman" w:eastAsia="Times New Roman" w:cs="Times New Roman"/>
          <w:spacing w:val="-5"/>
          <w:sz w:val="24"/>
          <w:szCs w:val="24"/>
        </w:rPr>
        <w:t>280</w:t>
      </w:r>
      <w:r>
        <w:rPr>
          <w:rFonts w:ascii="宋体" w:hAnsi="宋体" w:eastAsia="宋体" w:cs="宋体"/>
          <w:spacing w:val="-5"/>
          <w:sz w:val="24"/>
          <w:szCs w:val="24"/>
        </w:rPr>
        <w:t>公顷，远期规划面积均在隆回工</w:t>
      </w:r>
      <w:r>
        <w:rPr>
          <w:rFonts w:ascii="宋体" w:hAnsi="宋体" w:eastAsia="宋体" w:cs="宋体"/>
          <w:spacing w:val="-6"/>
          <w:sz w:val="24"/>
          <w:szCs w:val="24"/>
        </w:rPr>
        <w:t>业园一期</w:t>
      </w:r>
      <w:r>
        <w:rPr>
          <w:rFonts w:ascii="宋体" w:hAnsi="宋体" w:eastAsia="宋体" w:cs="宋体"/>
          <w:spacing w:val="-8"/>
          <w:sz w:val="24"/>
          <w:szCs w:val="24"/>
        </w:rPr>
        <w:t>范围内。其数据差距原因是隆回工业园一期面积</w:t>
      </w:r>
      <w:r>
        <w:rPr>
          <w:rFonts w:ascii="Times New Roman" w:hAnsi="Times New Roman" w:eastAsia="Times New Roman" w:cs="Times New Roman"/>
          <w:spacing w:val="-8"/>
          <w:sz w:val="24"/>
          <w:szCs w:val="24"/>
        </w:rPr>
        <w:t>341</w:t>
      </w:r>
      <w:r>
        <w:rPr>
          <w:rFonts w:ascii="宋体" w:hAnsi="宋体" w:eastAsia="宋体" w:cs="宋体"/>
          <w:spacing w:val="-8"/>
          <w:sz w:val="24"/>
          <w:szCs w:val="24"/>
        </w:rPr>
        <w:t>公顷，还包含了保留山体绿地、</w:t>
      </w:r>
      <w:r>
        <w:rPr>
          <w:rFonts w:ascii="宋体" w:hAnsi="宋体" w:eastAsia="宋体" w:cs="宋体"/>
          <w:spacing w:val="-6"/>
          <w:sz w:val="24"/>
          <w:szCs w:val="24"/>
        </w:rPr>
        <w:t>村民院落等一些未利用地。</w:t>
      </w:r>
    </w:p>
    <w:p w14:paraId="316C6C77">
      <w:pPr>
        <w:spacing w:line="360" w:lineRule="auto"/>
        <w:rPr>
          <w:rFonts w:ascii="宋体" w:hAnsi="宋体" w:eastAsia="宋体" w:cs="宋体"/>
          <w:sz w:val="24"/>
          <w:szCs w:val="24"/>
        </w:rPr>
        <w:sectPr>
          <w:headerReference r:id="rId45" w:type="default"/>
          <w:footerReference r:id="rId46" w:type="default"/>
          <w:pgSz w:w="11907" w:h="16840"/>
          <w:pgMar w:top="1132" w:right="1617" w:bottom="1259" w:left="1701" w:header="829" w:footer="1096" w:gutter="0"/>
          <w:cols w:space="720" w:num="1"/>
        </w:sectPr>
      </w:pPr>
    </w:p>
    <w:p w14:paraId="1D6BBE92">
      <w:pPr>
        <w:pStyle w:val="2"/>
        <w:spacing w:line="241" w:lineRule="auto"/>
      </w:pPr>
    </w:p>
    <w:p w14:paraId="683D5072">
      <w:pPr>
        <w:spacing w:before="78" w:line="359" w:lineRule="auto"/>
        <w:ind w:left="10" w:right="80" w:firstLine="474"/>
        <w:rPr>
          <w:rFonts w:ascii="宋体" w:hAnsi="宋体" w:eastAsia="宋体" w:cs="宋体"/>
          <w:sz w:val="24"/>
          <w:szCs w:val="24"/>
        </w:rPr>
      </w:pPr>
      <w:r>
        <w:rPr>
          <w:rFonts w:ascii="Times New Roman" w:hAnsi="Times New Roman" w:eastAsia="Times New Roman" w:cs="Times New Roman"/>
          <w:spacing w:val="-1"/>
          <w:sz w:val="24"/>
          <w:szCs w:val="24"/>
        </w:rPr>
        <w:t>2016</w:t>
      </w:r>
      <w:r>
        <w:rPr>
          <w:rFonts w:ascii="宋体" w:hAnsi="宋体" w:eastAsia="宋体" w:cs="宋体"/>
          <w:spacing w:val="-1"/>
          <w:sz w:val="24"/>
          <w:szCs w:val="24"/>
        </w:rPr>
        <w:t>年，园区已基本完成《隆回县工业集中区发展规划（</w:t>
      </w:r>
      <w:r>
        <w:rPr>
          <w:rFonts w:ascii="Times New Roman" w:hAnsi="Times New Roman" w:eastAsia="Times New Roman" w:cs="Times New Roman"/>
          <w:spacing w:val="-1"/>
          <w:sz w:val="24"/>
          <w:szCs w:val="24"/>
        </w:rPr>
        <w:t>2011-2020</w:t>
      </w:r>
      <w:r>
        <w:rPr>
          <w:rFonts w:ascii="宋体" w:hAnsi="宋体" w:eastAsia="宋体" w:cs="宋体"/>
          <w:spacing w:val="-1"/>
          <w:sz w:val="24"/>
          <w:szCs w:val="24"/>
        </w:rPr>
        <w:t>）》</w:t>
      </w:r>
      <w:r>
        <w:rPr>
          <w:rFonts w:ascii="宋体" w:hAnsi="宋体" w:eastAsia="宋体" w:cs="宋体"/>
          <w:spacing w:val="-2"/>
          <w:sz w:val="24"/>
          <w:szCs w:val="24"/>
        </w:rPr>
        <w:t>核准</w:t>
      </w:r>
      <w:r>
        <w:rPr>
          <w:rFonts w:ascii="宋体" w:hAnsi="宋体" w:eastAsia="宋体" w:cs="宋体"/>
          <w:spacing w:val="-1"/>
          <w:sz w:val="24"/>
          <w:szCs w:val="24"/>
        </w:rPr>
        <w:t>面积的开发，为保障园区后续产业经济发展，拟对园区实施扩区。</w:t>
      </w:r>
    </w:p>
    <w:p w14:paraId="6A946294">
      <w:pPr>
        <w:spacing w:line="219" w:lineRule="auto"/>
        <w:ind w:left="485"/>
        <w:rPr>
          <w:rFonts w:ascii="宋体" w:hAnsi="宋体" w:eastAsia="宋体" w:cs="宋体"/>
          <w:sz w:val="24"/>
          <w:szCs w:val="24"/>
        </w:rPr>
      </w:pPr>
      <w:r>
        <w:rPr>
          <w:rFonts w:ascii="Times New Roman" w:hAnsi="Times New Roman" w:eastAsia="Times New Roman" w:cs="Times New Roman"/>
          <w:sz w:val="24"/>
          <w:szCs w:val="24"/>
        </w:rPr>
        <w:t>2017</w:t>
      </w:r>
      <w:r>
        <w:rPr>
          <w:rFonts w:ascii="宋体" w:hAnsi="宋体" w:eastAsia="宋体" w:cs="宋体"/>
          <w:sz w:val="24"/>
          <w:szCs w:val="24"/>
        </w:rPr>
        <w:t>年，《隆回工业集中区扩区控制性详</w:t>
      </w:r>
      <w:r>
        <w:rPr>
          <w:rFonts w:ascii="宋体" w:hAnsi="宋体" w:eastAsia="宋体" w:cs="宋体"/>
          <w:spacing w:val="-1"/>
          <w:sz w:val="24"/>
          <w:szCs w:val="24"/>
        </w:rPr>
        <w:t>细规划》获批。</w:t>
      </w:r>
    </w:p>
    <w:p w14:paraId="7047774B">
      <w:pPr>
        <w:spacing w:before="182" w:line="359" w:lineRule="auto"/>
        <w:ind w:left="8" w:firstLine="480"/>
        <w:rPr>
          <w:rFonts w:ascii="宋体" w:hAnsi="宋体" w:eastAsia="宋体" w:cs="宋体"/>
          <w:sz w:val="24"/>
          <w:szCs w:val="24"/>
        </w:rPr>
      </w:pPr>
      <w:r>
        <w:rPr>
          <w:rFonts w:ascii="宋体" w:hAnsi="宋体" w:eastAsia="宋体" w:cs="宋体"/>
          <w:spacing w:val="3"/>
          <w:sz w:val="24"/>
          <w:szCs w:val="24"/>
        </w:rPr>
        <w:t>根据《隆回工业集中区扩区控制性详细规划》，编制完成了《隆回</w:t>
      </w:r>
      <w:r>
        <w:rPr>
          <w:rFonts w:ascii="宋体" w:hAnsi="宋体" w:eastAsia="宋体" w:cs="宋体"/>
          <w:spacing w:val="2"/>
          <w:sz w:val="24"/>
          <w:szCs w:val="24"/>
        </w:rPr>
        <w:t>工业集中</w:t>
      </w:r>
      <w:r>
        <w:rPr>
          <w:rFonts w:ascii="宋体" w:hAnsi="宋体" w:eastAsia="宋体" w:cs="宋体"/>
          <w:spacing w:val="1"/>
          <w:sz w:val="24"/>
          <w:szCs w:val="24"/>
        </w:rPr>
        <w:t>区扩区规划环境影响报告书》；</w:t>
      </w:r>
      <w:r>
        <w:rPr>
          <w:rFonts w:ascii="Times New Roman" w:hAnsi="Times New Roman" w:eastAsia="Times New Roman" w:cs="Times New Roman"/>
          <w:spacing w:val="1"/>
          <w:sz w:val="24"/>
          <w:szCs w:val="24"/>
        </w:rPr>
        <w:t>2018</w:t>
      </w:r>
      <w:r>
        <w:rPr>
          <w:rFonts w:ascii="宋体" w:hAnsi="宋体" w:eastAsia="宋体" w:cs="宋体"/>
          <w:spacing w:val="1"/>
          <w:sz w:val="24"/>
          <w:szCs w:val="24"/>
        </w:rPr>
        <w:t>年，《隆回工业集中区扩区规划</w:t>
      </w:r>
      <w:r>
        <w:rPr>
          <w:rFonts w:ascii="宋体" w:hAnsi="宋体" w:eastAsia="宋体" w:cs="宋体"/>
          <w:sz w:val="24"/>
          <w:szCs w:val="24"/>
        </w:rPr>
        <w:t>环境影响报</w:t>
      </w:r>
      <w:r>
        <w:rPr>
          <w:rFonts w:ascii="宋体" w:hAnsi="宋体" w:eastAsia="宋体" w:cs="宋体"/>
          <w:spacing w:val="3"/>
          <w:sz w:val="24"/>
          <w:szCs w:val="24"/>
        </w:rPr>
        <w:t>告书》获得湖南省环境保护厅的审查意见，主要内容为：</w:t>
      </w:r>
      <w:r>
        <w:rPr>
          <w:rFonts w:ascii="宋体" w:hAnsi="宋体" w:eastAsia="宋体" w:cs="宋体"/>
          <w:spacing w:val="2"/>
          <w:sz w:val="24"/>
          <w:szCs w:val="24"/>
        </w:rPr>
        <w:t>扩区地块紧邻原核准规</w:t>
      </w:r>
      <w:r>
        <w:rPr>
          <w:rFonts w:ascii="宋体" w:hAnsi="宋体" w:eastAsia="宋体" w:cs="宋体"/>
          <w:spacing w:val="-4"/>
          <w:sz w:val="24"/>
          <w:szCs w:val="24"/>
        </w:rPr>
        <w:t>划范围北侧，扩区规划面积</w:t>
      </w:r>
      <w:r>
        <w:rPr>
          <w:rFonts w:ascii="Times New Roman" w:hAnsi="Times New Roman" w:eastAsia="Times New Roman" w:cs="Times New Roman"/>
          <w:spacing w:val="-4"/>
          <w:sz w:val="24"/>
          <w:szCs w:val="24"/>
        </w:rPr>
        <w:t>200.2316</w:t>
      </w:r>
      <w:r>
        <w:rPr>
          <w:rFonts w:ascii="宋体" w:hAnsi="宋体" w:eastAsia="宋体" w:cs="宋体"/>
          <w:spacing w:val="-4"/>
          <w:sz w:val="24"/>
          <w:szCs w:val="24"/>
        </w:rPr>
        <w:t>公顷，扩区范围东至环城东路，西至工业路、</w:t>
      </w:r>
      <w:r>
        <w:rPr>
          <w:rFonts w:ascii="宋体" w:hAnsi="宋体" w:eastAsia="宋体" w:cs="宋体"/>
          <w:spacing w:val="3"/>
          <w:sz w:val="24"/>
          <w:szCs w:val="24"/>
        </w:rPr>
        <w:t>支路一、伏龙江，北至隆回大道，规划主导产业为农副食品加工业为主导产业，以辅以发展皮革、毛皮、羽毛及其制品和制鞋业、计</w:t>
      </w:r>
      <w:r>
        <w:rPr>
          <w:rFonts w:ascii="宋体" w:hAnsi="宋体" w:eastAsia="宋体" w:cs="宋体"/>
          <w:spacing w:val="2"/>
          <w:sz w:val="24"/>
          <w:szCs w:val="24"/>
        </w:rPr>
        <w:t>算机、通信和其他电子设备</w:t>
      </w:r>
      <w:r>
        <w:rPr>
          <w:rFonts w:ascii="宋体" w:hAnsi="宋体" w:eastAsia="宋体" w:cs="宋体"/>
          <w:spacing w:val="-2"/>
          <w:sz w:val="24"/>
          <w:szCs w:val="24"/>
        </w:rPr>
        <w:t>制造业等。</w:t>
      </w:r>
    </w:p>
    <w:p w14:paraId="61AA511C">
      <w:pPr>
        <w:spacing w:line="359" w:lineRule="auto"/>
        <w:ind w:left="9" w:firstLine="480"/>
        <w:rPr>
          <w:rFonts w:ascii="宋体" w:hAnsi="宋体" w:eastAsia="宋体" w:cs="宋体"/>
          <w:sz w:val="24"/>
          <w:szCs w:val="24"/>
        </w:rPr>
      </w:pPr>
      <w:r>
        <w:rPr>
          <w:rFonts w:ascii="宋体" w:hAnsi="宋体" w:eastAsia="宋体" w:cs="宋体"/>
          <w:spacing w:val="1"/>
          <w:sz w:val="24"/>
          <w:szCs w:val="24"/>
        </w:rPr>
        <w:t>扩区后，园区面积为</w:t>
      </w:r>
      <w:r>
        <w:rPr>
          <w:rFonts w:ascii="Times New Roman" w:hAnsi="Times New Roman" w:eastAsia="Times New Roman" w:cs="Times New Roman"/>
          <w:spacing w:val="1"/>
          <w:sz w:val="24"/>
          <w:szCs w:val="24"/>
        </w:rPr>
        <w:t>480.2316</w:t>
      </w:r>
      <w:r>
        <w:rPr>
          <w:rFonts w:ascii="宋体" w:hAnsi="宋体" w:eastAsia="宋体" w:cs="宋体"/>
          <w:spacing w:val="1"/>
          <w:sz w:val="24"/>
          <w:szCs w:val="24"/>
        </w:rPr>
        <w:t>公顷，东至环城东路，西至工业路、</w:t>
      </w:r>
      <w:r>
        <w:rPr>
          <w:rFonts w:ascii="宋体" w:hAnsi="宋体" w:eastAsia="宋体" w:cs="宋体"/>
          <w:sz w:val="24"/>
          <w:szCs w:val="24"/>
        </w:rPr>
        <w:t>支路一、</w:t>
      </w:r>
      <w:r>
        <w:rPr>
          <w:rFonts w:ascii="宋体" w:hAnsi="宋体" w:eastAsia="宋体" w:cs="宋体"/>
          <w:spacing w:val="3"/>
          <w:sz w:val="24"/>
          <w:szCs w:val="24"/>
        </w:rPr>
        <w:t>伏龙江，北至隆回大道，南至资江，以农副食品加工业</w:t>
      </w:r>
      <w:r>
        <w:rPr>
          <w:rFonts w:ascii="宋体" w:hAnsi="宋体" w:eastAsia="宋体" w:cs="宋体"/>
          <w:spacing w:val="2"/>
          <w:sz w:val="24"/>
          <w:szCs w:val="24"/>
        </w:rPr>
        <w:t>为主导产业，以皮革、毛</w:t>
      </w:r>
      <w:r>
        <w:rPr>
          <w:rFonts w:ascii="宋体" w:hAnsi="宋体" w:eastAsia="宋体" w:cs="宋体"/>
          <w:spacing w:val="-2"/>
          <w:sz w:val="24"/>
          <w:szCs w:val="24"/>
        </w:rPr>
        <w:t>皮、羽毛及其制品和制鞋业、计算机、通信和其他电子设备制造业、生物质能源、</w:t>
      </w:r>
      <w:r>
        <w:rPr>
          <w:rFonts w:ascii="宋体" w:hAnsi="宋体" w:eastAsia="宋体" w:cs="宋体"/>
          <w:spacing w:val="-1"/>
          <w:sz w:val="24"/>
          <w:szCs w:val="24"/>
        </w:rPr>
        <w:t>特种纸等为辅助产业，以及其它与园区产业定位相容的产业。</w:t>
      </w:r>
    </w:p>
    <w:p w14:paraId="76C03B69">
      <w:pPr>
        <w:spacing w:before="6" w:line="358" w:lineRule="auto"/>
        <w:ind w:left="9" w:right="18" w:firstLine="475"/>
        <w:jc w:val="both"/>
        <w:rPr>
          <w:rFonts w:ascii="宋体" w:hAnsi="宋体" w:eastAsia="宋体" w:cs="宋体"/>
          <w:sz w:val="24"/>
          <w:szCs w:val="24"/>
        </w:rPr>
      </w:pPr>
      <w:r>
        <w:rPr>
          <w:rFonts w:ascii="Times New Roman" w:hAnsi="Times New Roman" w:eastAsia="Times New Roman" w:cs="Times New Roman"/>
          <w:spacing w:val="1"/>
          <w:sz w:val="24"/>
          <w:szCs w:val="24"/>
        </w:rPr>
        <w:t>2020</w:t>
      </w:r>
      <w:r>
        <w:rPr>
          <w:rFonts w:ascii="宋体" w:hAnsi="宋体" w:eastAsia="宋体" w:cs="宋体"/>
          <w:spacing w:val="1"/>
          <w:sz w:val="24"/>
          <w:szCs w:val="24"/>
        </w:rPr>
        <w:t>年</w:t>
      </w:r>
      <w:r>
        <w:rPr>
          <w:rFonts w:ascii="Times New Roman" w:hAnsi="Times New Roman" w:eastAsia="Times New Roman" w:cs="Times New Roman"/>
          <w:spacing w:val="1"/>
          <w:sz w:val="24"/>
          <w:szCs w:val="24"/>
        </w:rPr>
        <w:t>3</w:t>
      </w:r>
      <w:r>
        <w:rPr>
          <w:rFonts w:ascii="宋体" w:hAnsi="宋体" w:eastAsia="宋体" w:cs="宋体"/>
          <w:spacing w:val="1"/>
          <w:sz w:val="24"/>
          <w:szCs w:val="24"/>
        </w:rPr>
        <w:t>月，根据湖南省发展和改革委员会《</w:t>
      </w:r>
      <w:r>
        <w:rPr>
          <w:rFonts w:ascii="宋体" w:hAnsi="宋体" w:eastAsia="宋体" w:cs="宋体"/>
          <w:sz w:val="24"/>
          <w:szCs w:val="24"/>
        </w:rPr>
        <w:t>关于津市高新技术产业开发区</w:t>
      </w:r>
      <w:r>
        <w:rPr>
          <w:rFonts w:ascii="宋体" w:hAnsi="宋体" w:eastAsia="宋体" w:cs="宋体"/>
          <w:spacing w:val="-2"/>
          <w:sz w:val="24"/>
          <w:szCs w:val="24"/>
        </w:rPr>
        <w:t>等园区调区扩区的复函》（湘发改函</w:t>
      </w:r>
      <w:r>
        <w:rPr>
          <w:rFonts w:ascii="Times New Roman" w:hAnsi="Times New Roman" w:eastAsia="Times New Roman" w:cs="Times New Roman"/>
          <w:spacing w:val="-2"/>
          <w:sz w:val="24"/>
          <w:szCs w:val="24"/>
        </w:rPr>
        <w:t>[2020]3</w:t>
      </w:r>
      <w:r>
        <w:rPr>
          <w:rFonts w:ascii="Times New Roman" w:hAnsi="Times New Roman" w:eastAsia="Times New Roman" w:cs="Times New Roman"/>
          <w:spacing w:val="-3"/>
          <w:sz w:val="24"/>
          <w:szCs w:val="24"/>
        </w:rPr>
        <w:t>6</w:t>
      </w:r>
      <w:r>
        <w:rPr>
          <w:rFonts w:ascii="宋体" w:hAnsi="宋体" w:eastAsia="宋体" w:cs="宋体"/>
          <w:spacing w:val="-3"/>
          <w:sz w:val="24"/>
          <w:szCs w:val="24"/>
        </w:rPr>
        <w:t>号</w:t>
      </w:r>
      <w:r>
        <w:rPr>
          <w:rFonts w:ascii="宋体" w:hAnsi="宋体" w:eastAsia="宋体" w:cs="宋体"/>
          <w:spacing w:val="-17"/>
          <w:sz w:val="24"/>
          <w:szCs w:val="24"/>
        </w:rPr>
        <w:t>），</w:t>
      </w:r>
      <w:r>
        <w:rPr>
          <w:rFonts w:ascii="宋体" w:hAnsi="宋体" w:eastAsia="宋体" w:cs="宋体"/>
          <w:spacing w:val="-3"/>
          <w:sz w:val="24"/>
          <w:szCs w:val="24"/>
        </w:rPr>
        <w:t>隆回高新技术产业开发区扩区</w:t>
      </w:r>
      <w:r>
        <w:rPr>
          <w:rFonts w:ascii="宋体" w:hAnsi="宋体" w:eastAsia="宋体" w:cs="宋体"/>
          <w:spacing w:val="-5"/>
          <w:sz w:val="24"/>
          <w:szCs w:val="24"/>
        </w:rPr>
        <w:t>方案已经省人民政府同意，具体方案为：紧邻园区核准范围北侧新扩</w:t>
      </w:r>
      <w:r>
        <w:rPr>
          <w:rFonts w:ascii="Times New Roman" w:hAnsi="Times New Roman" w:eastAsia="Times New Roman" w:cs="Times New Roman"/>
          <w:spacing w:val="-5"/>
          <w:sz w:val="24"/>
          <w:szCs w:val="24"/>
        </w:rPr>
        <w:t>172.66</w:t>
      </w:r>
      <w:r>
        <w:rPr>
          <w:rFonts w:ascii="宋体" w:hAnsi="宋体" w:eastAsia="宋体" w:cs="宋体"/>
          <w:spacing w:val="-5"/>
          <w:sz w:val="24"/>
          <w:szCs w:val="24"/>
        </w:rPr>
        <w:t>公顷，</w:t>
      </w:r>
      <w:r>
        <w:rPr>
          <w:rFonts w:ascii="宋体" w:hAnsi="宋体" w:eastAsia="宋体" w:cs="宋体"/>
          <w:spacing w:val="-4"/>
          <w:sz w:val="24"/>
          <w:szCs w:val="24"/>
        </w:rPr>
        <w:t>扩区后总面积为</w:t>
      </w:r>
      <w:r>
        <w:rPr>
          <w:rFonts w:ascii="Times New Roman" w:hAnsi="Times New Roman" w:eastAsia="Times New Roman" w:cs="Times New Roman"/>
          <w:spacing w:val="-4"/>
          <w:sz w:val="24"/>
          <w:szCs w:val="24"/>
        </w:rPr>
        <w:t>448.53</w:t>
      </w:r>
      <w:r>
        <w:rPr>
          <w:rFonts w:ascii="宋体" w:hAnsi="宋体" w:eastAsia="宋体" w:cs="宋体"/>
          <w:spacing w:val="-4"/>
          <w:sz w:val="24"/>
          <w:szCs w:val="24"/>
        </w:rPr>
        <w:t>公顷。主导产业为农副食品加工、</w:t>
      </w:r>
      <w:r>
        <w:rPr>
          <w:rFonts w:ascii="宋体" w:hAnsi="宋体" w:eastAsia="宋体" w:cs="宋体"/>
          <w:spacing w:val="-5"/>
          <w:sz w:val="24"/>
          <w:szCs w:val="24"/>
        </w:rPr>
        <w:t>轻工制造。四至范围为：</w:t>
      </w:r>
      <w:r>
        <w:rPr>
          <w:rFonts w:ascii="宋体" w:hAnsi="宋体" w:eastAsia="宋体" w:cs="宋体"/>
          <w:sz w:val="24"/>
          <w:szCs w:val="24"/>
        </w:rPr>
        <w:t>东至环城东路，西至工业路、支路一、伏龙江，北</w:t>
      </w:r>
      <w:r>
        <w:rPr>
          <w:rFonts w:ascii="宋体" w:hAnsi="宋体" w:eastAsia="宋体" w:cs="宋体"/>
          <w:spacing w:val="-1"/>
          <w:sz w:val="24"/>
          <w:szCs w:val="24"/>
        </w:rPr>
        <w:t>至隆回大道，南至资江。</w:t>
      </w:r>
    </w:p>
    <w:p w14:paraId="07BF5D2A">
      <w:pPr>
        <w:spacing w:before="2" w:line="359" w:lineRule="auto"/>
        <w:ind w:left="9" w:right="13" w:firstLine="475"/>
        <w:jc w:val="both"/>
        <w:rPr>
          <w:rFonts w:ascii="宋体" w:hAnsi="宋体" w:eastAsia="宋体" w:cs="宋体"/>
          <w:sz w:val="24"/>
          <w:szCs w:val="24"/>
        </w:rPr>
      </w:pPr>
      <w:r>
        <w:rPr>
          <w:rFonts w:ascii="Times New Roman" w:hAnsi="Times New Roman" w:eastAsia="Times New Roman" w:cs="Times New Roman"/>
          <w:spacing w:val="-5"/>
          <w:sz w:val="24"/>
          <w:szCs w:val="24"/>
        </w:rPr>
        <w:t>2022</w:t>
      </w:r>
      <w:r>
        <w:rPr>
          <w:rFonts w:ascii="宋体" w:hAnsi="宋体" w:eastAsia="宋体" w:cs="宋体"/>
          <w:spacing w:val="-5"/>
          <w:sz w:val="24"/>
          <w:szCs w:val="24"/>
        </w:rPr>
        <w:t>年，湖南省发展和改革委员会、湖南省自</w:t>
      </w:r>
      <w:r>
        <w:rPr>
          <w:rFonts w:ascii="宋体" w:hAnsi="宋体" w:eastAsia="宋体" w:cs="宋体"/>
          <w:spacing w:val="-6"/>
          <w:sz w:val="24"/>
          <w:szCs w:val="24"/>
        </w:rPr>
        <w:t>然资源厅发布的《湖南省省级及</w:t>
      </w:r>
      <w:r>
        <w:rPr>
          <w:rFonts w:ascii="宋体" w:hAnsi="宋体" w:eastAsia="宋体" w:cs="宋体"/>
          <w:spacing w:val="-4"/>
          <w:sz w:val="24"/>
          <w:szCs w:val="24"/>
        </w:rPr>
        <w:t>以上产业园区边界面积及四至范围目录》（湘发改</w:t>
      </w:r>
      <w:r>
        <w:rPr>
          <w:rFonts w:ascii="宋体" w:hAnsi="宋体" w:eastAsia="宋体" w:cs="宋体"/>
          <w:spacing w:val="-5"/>
          <w:sz w:val="24"/>
          <w:szCs w:val="24"/>
        </w:rPr>
        <w:t>园区</w:t>
      </w:r>
      <w:r>
        <w:rPr>
          <w:rFonts w:ascii="Times New Roman" w:hAnsi="Times New Roman" w:eastAsia="Times New Roman" w:cs="Times New Roman"/>
          <w:spacing w:val="-5"/>
          <w:sz w:val="24"/>
          <w:szCs w:val="24"/>
        </w:rPr>
        <w:t>[2022]601</w:t>
      </w:r>
      <w:r>
        <w:rPr>
          <w:rFonts w:ascii="宋体" w:hAnsi="宋体" w:eastAsia="宋体" w:cs="宋体"/>
          <w:spacing w:val="-5"/>
          <w:sz w:val="24"/>
          <w:szCs w:val="24"/>
        </w:rPr>
        <w:t>号）的核准面积为基准，总面积为</w:t>
      </w:r>
      <w:r>
        <w:rPr>
          <w:rFonts w:ascii="Times New Roman" w:hAnsi="Times New Roman" w:eastAsia="Times New Roman" w:cs="Times New Roman"/>
          <w:spacing w:val="-5"/>
          <w:sz w:val="24"/>
          <w:szCs w:val="24"/>
        </w:rPr>
        <w:t>480.16</w:t>
      </w:r>
      <w:r>
        <w:rPr>
          <w:rFonts w:ascii="宋体" w:hAnsi="宋体" w:eastAsia="宋体" w:cs="宋体"/>
          <w:spacing w:val="-5"/>
          <w:sz w:val="24"/>
          <w:szCs w:val="24"/>
        </w:rPr>
        <w:t>公顷，共三</w:t>
      </w:r>
      <w:r>
        <w:rPr>
          <w:rFonts w:ascii="宋体" w:hAnsi="宋体" w:eastAsia="宋体" w:cs="宋体"/>
          <w:spacing w:val="-6"/>
          <w:sz w:val="24"/>
          <w:szCs w:val="24"/>
        </w:rPr>
        <w:t>个区块。区块一东至环城东路，南至资水，西至</w:t>
      </w:r>
      <w:r>
        <w:rPr>
          <w:rFonts w:ascii="宋体" w:hAnsi="宋体" w:eastAsia="宋体" w:cs="宋体"/>
          <w:spacing w:val="-9"/>
          <w:sz w:val="24"/>
          <w:szCs w:val="24"/>
        </w:rPr>
        <w:t>小江口，北至隆回大道，面积为</w:t>
      </w:r>
      <w:r>
        <w:rPr>
          <w:rFonts w:ascii="Times New Roman" w:hAnsi="Times New Roman" w:eastAsia="Times New Roman" w:cs="Times New Roman"/>
          <w:spacing w:val="-9"/>
          <w:sz w:val="24"/>
          <w:szCs w:val="24"/>
        </w:rPr>
        <w:t>449.37</w:t>
      </w:r>
      <w:r>
        <w:rPr>
          <w:rFonts w:ascii="宋体" w:hAnsi="宋体" w:eastAsia="宋体" w:cs="宋体"/>
          <w:spacing w:val="-9"/>
          <w:sz w:val="24"/>
          <w:szCs w:val="24"/>
        </w:rPr>
        <w:t>公顷；区块二东至隆回九</w:t>
      </w:r>
      <w:r>
        <w:rPr>
          <w:rFonts w:ascii="宋体" w:hAnsi="宋体" w:eastAsia="宋体" w:cs="宋体"/>
          <w:spacing w:val="-10"/>
          <w:sz w:val="24"/>
          <w:szCs w:val="24"/>
        </w:rPr>
        <w:t>中，南至环城南路，</w:t>
      </w:r>
      <w:r>
        <w:rPr>
          <w:rFonts w:ascii="宋体" w:hAnsi="宋体" w:eastAsia="宋体" w:cs="宋体"/>
          <w:spacing w:val="-8"/>
          <w:sz w:val="24"/>
          <w:szCs w:val="24"/>
        </w:rPr>
        <w:t>西至木发塘，北至沿河路，面积为</w:t>
      </w:r>
      <w:r>
        <w:rPr>
          <w:rFonts w:ascii="Times New Roman" w:hAnsi="Times New Roman" w:eastAsia="Times New Roman" w:cs="Times New Roman"/>
          <w:spacing w:val="-8"/>
          <w:sz w:val="24"/>
          <w:szCs w:val="24"/>
        </w:rPr>
        <w:t>19.10</w:t>
      </w:r>
      <w:r>
        <w:rPr>
          <w:rFonts w:ascii="宋体" w:hAnsi="宋体" w:eastAsia="宋体" w:cs="宋体"/>
          <w:spacing w:val="-8"/>
          <w:sz w:val="24"/>
          <w:szCs w:val="24"/>
        </w:rPr>
        <w:t>公顷；区块三东至东子冲村，南至花门路，</w:t>
      </w:r>
      <w:r>
        <w:rPr>
          <w:rFonts w:ascii="宋体" w:hAnsi="宋体" w:eastAsia="宋体" w:cs="宋体"/>
          <w:spacing w:val="-6"/>
          <w:sz w:val="24"/>
          <w:szCs w:val="24"/>
        </w:rPr>
        <w:t>西至</w:t>
      </w:r>
      <w:r>
        <w:rPr>
          <w:rFonts w:ascii="Times New Roman" w:hAnsi="Times New Roman" w:eastAsia="Times New Roman" w:cs="Times New Roman"/>
          <w:spacing w:val="-6"/>
          <w:sz w:val="24"/>
          <w:szCs w:val="24"/>
        </w:rPr>
        <w:t>S219</w:t>
      </w:r>
      <w:r>
        <w:rPr>
          <w:rFonts w:ascii="宋体" w:hAnsi="宋体" w:eastAsia="宋体" w:cs="宋体"/>
          <w:spacing w:val="-6"/>
          <w:sz w:val="24"/>
          <w:szCs w:val="24"/>
        </w:rPr>
        <w:t>省道以西</w:t>
      </w:r>
      <w:r>
        <w:rPr>
          <w:rFonts w:ascii="Times New Roman" w:hAnsi="Times New Roman" w:eastAsia="Times New Roman" w:cs="Times New Roman"/>
          <w:spacing w:val="-6"/>
          <w:sz w:val="24"/>
          <w:szCs w:val="24"/>
        </w:rPr>
        <w:t>200</w:t>
      </w:r>
      <w:r>
        <w:rPr>
          <w:rFonts w:ascii="宋体" w:hAnsi="宋体" w:eastAsia="宋体" w:cs="宋体"/>
          <w:spacing w:val="-6"/>
          <w:sz w:val="24"/>
          <w:szCs w:val="24"/>
        </w:rPr>
        <w:t>米处，北至老花六公路，面积为</w:t>
      </w:r>
      <w:r>
        <w:rPr>
          <w:rFonts w:ascii="Times New Roman" w:hAnsi="Times New Roman" w:eastAsia="Times New Roman" w:cs="Times New Roman"/>
          <w:spacing w:val="-6"/>
          <w:sz w:val="24"/>
          <w:szCs w:val="24"/>
        </w:rPr>
        <w:t>11.69</w:t>
      </w:r>
      <w:r>
        <w:rPr>
          <w:rFonts w:ascii="宋体" w:hAnsi="宋体" w:eastAsia="宋体" w:cs="宋体"/>
          <w:spacing w:val="-6"/>
          <w:sz w:val="24"/>
          <w:szCs w:val="24"/>
        </w:rPr>
        <w:t>公顷。</w:t>
      </w:r>
    </w:p>
    <w:p w14:paraId="443CDEEA">
      <w:pPr>
        <w:spacing w:before="3" w:line="357" w:lineRule="auto"/>
        <w:ind w:left="11" w:right="75" w:firstLine="461"/>
        <w:jc w:val="both"/>
        <w:rPr>
          <w:rFonts w:ascii="宋体" w:hAnsi="宋体" w:eastAsia="宋体" w:cs="宋体"/>
          <w:sz w:val="24"/>
          <w:szCs w:val="24"/>
        </w:rPr>
      </w:pPr>
      <w:r>
        <w:rPr>
          <w:rFonts w:ascii="Times New Roman" w:hAnsi="Times New Roman" w:eastAsia="Times New Roman" w:cs="Times New Roman"/>
          <w:spacing w:val="-5"/>
          <w:sz w:val="24"/>
          <w:szCs w:val="24"/>
        </w:rPr>
        <w:t>2024</w:t>
      </w:r>
      <w:r>
        <w:rPr>
          <w:rFonts w:ascii="宋体" w:hAnsi="宋体" w:eastAsia="宋体" w:cs="宋体"/>
          <w:spacing w:val="-5"/>
          <w:sz w:val="24"/>
          <w:szCs w:val="24"/>
        </w:rPr>
        <w:t>年，园区组织开展了园区跟踪评价工作，跟踪评价工作范围以“湘发</w:t>
      </w:r>
      <w:r>
        <w:rPr>
          <w:rFonts w:ascii="宋体" w:hAnsi="宋体" w:eastAsia="宋体" w:cs="宋体"/>
          <w:spacing w:val="-6"/>
          <w:sz w:val="24"/>
          <w:szCs w:val="24"/>
        </w:rPr>
        <w:t>改园</w:t>
      </w:r>
      <w:r>
        <w:rPr>
          <w:rFonts w:ascii="宋体" w:hAnsi="宋体" w:eastAsia="宋体" w:cs="宋体"/>
          <w:spacing w:val="-4"/>
          <w:sz w:val="24"/>
          <w:szCs w:val="24"/>
        </w:rPr>
        <w:t>区</w:t>
      </w:r>
      <w:r>
        <w:rPr>
          <w:rFonts w:ascii="Times New Roman" w:hAnsi="Times New Roman" w:eastAsia="Times New Roman" w:cs="Times New Roman"/>
          <w:spacing w:val="-4"/>
          <w:sz w:val="24"/>
          <w:szCs w:val="24"/>
        </w:rPr>
        <w:t>[2022]601</w:t>
      </w:r>
      <w:r>
        <w:rPr>
          <w:rFonts w:ascii="宋体" w:hAnsi="宋体" w:eastAsia="宋体" w:cs="宋体"/>
          <w:spacing w:val="-4"/>
          <w:sz w:val="24"/>
          <w:szCs w:val="24"/>
        </w:rPr>
        <w:t>号”为准，并在跟踪评</w:t>
      </w:r>
      <w:r>
        <w:rPr>
          <w:rFonts w:ascii="宋体" w:hAnsi="宋体" w:eastAsia="宋体" w:cs="宋体"/>
          <w:spacing w:val="-5"/>
          <w:sz w:val="24"/>
          <w:szCs w:val="24"/>
        </w:rPr>
        <w:t>价报告中提出了园区应根据最新核准范围进行预案修编工作。</w:t>
      </w:r>
      <w:r>
        <w:rPr>
          <w:rFonts w:ascii="Times New Roman" w:hAnsi="Times New Roman" w:eastAsia="Times New Roman" w:cs="Times New Roman"/>
          <w:spacing w:val="-5"/>
          <w:sz w:val="24"/>
          <w:szCs w:val="24"/>
        </w:rPr>
        <w:t>2024</w:t>
      </w:r>
      <w:r>
        <w:rPr>
          <w:rFonts w:ascii="宋体" w:hAnsi="宋体" w:eastAsia="宋体" w:cs="宋体"/>
          <w:spacing w:val="-5"/>
          <w:sz w:val="24"/>
          <w:szCs w:val="24"/>
        </w:rPr>
        <w:t>年</w:t>
      </w:r>
      <w:r>
        <w:rPr>
          <w:rFonts w:ascii="Times New Roman" w:hAnsi="Times New Roman" w:eastAsia="Times New Roman" w:cs="Times New Roman"/>
          <w:spacing w:val="-5"/>
          <w:sz w:val="24"/>
          <w:szCs w:val="24"/>
        </w:rPr>
        <w:t>8</w:t>
      </w:r>
      <w:r>
        <w:rPr>
          <w:rFonts w:ascii="宋体" w:hAnsi="宋体" w:eastAsia="宋体" w:cs="宋体"/>
          <w:spacing w:val="-5"/>
          <w:sz w:val="24"/>
          <w:szCs w:val="24"/>
        </w:rPr>
        <w:t>月，湖南省生态环境厅出具了《</w:t>
      </w:r>
      <w:r>
        <w:rPr>
          <w:rFonts w:ascii="宋体" w:hAnsi="宋体" w:eastAsia="宋体" w:cs="宋体"/>
          <w:spacing w:val="-6"/>
          <w:sz w:val="24"/>
          <w:szCs w:val="24"/>
        </w:rPr>
        <w:t>关于隆回高新技术产业开发</w:t>
      </w:r>
      <w:r>
        <w:rPr>
          <w:rFonts w:ascii="宋体" w:hAnsi="宋体" w:eastAsia="宋体" w:cs="宋体"/>
          <w:spacing w:val="-5"/>
          <w:sz w:val="24"/>
          <w:szCs w:val="24"/>
        </w:rPr>
        <w:t>区环境影响跟踪评价工作意见的函》（湘环评函</w:t>
      </w:r>
      <w:r>
        <w:rPr>
          <w:rFonts w:ascii="Times New Roman" w:hAnsi="Times New Roman" w:eastAsia="Times New Roman" w:cs="Times New Roman"/>
          <w:spacing w:val="-5"/>
          <w:sz w:val="24"/>
          <w:szCs w:val="24"/>
        </w:rPr>
        <w:t>[202</w:t>
      </w:r>
      <w:r>
        <w:rPr>
          <w:rFonts w:ascii="Times New Roman" w:hAnsi="Times New Roman" w:eastAsia="Times New Roman" w:cs="Times New Roman"/>
          <w:spacing w:val="-6"/>
          <w:sz w:val="24"/>
          <w:szCs w:val="24"/>
        </w:rPr>
        <w:t>4]42</w:t>
      </w:r>
      <w:r>
        <w:rPr>
          <w:rFonts w:ascii="宋体" w:hAnsi="宋体" w:eastAsia="宋体" w:cs="宋体"/>
          <w:spacing w:val="-6"/>
          <w:sz w:val="24"/>
          <w:szCs w:val="24"/>
        </w:rPr>
        <w:t>号）。</w:t>
      </w:r>
    </w:p>
    <w:p w14:paraId="18D47AEF">
      <w:pPr>
        <w:spacing w:line="357" w:lineRule="auto"/>
        <w:rPr>
          <w:rFonts w:ascii="宋体" w:hAnsi="宋体" w:eastAsia="宋体" w:cs="宋体"/>
          <w:sz w:val="24"/>
          <w:szCs w:val="24"/>
        </w:rPr>
        <w:sectPr>
          <w:headerReference r:id="rId47" w:type="default"/>
          <w:footerReference r:id="rId48" w:type="default"/>
          <w:pgSz w:w="11907" w:h="16840"/>
          <w:pgMar w:top="1132" w:right="1621" w:bottom="1259" w:left="1701" w:header="829" w:footer="1097" w:gutter="0"/>
          <w:cols w:space="720" w:num="1"/>
        </w:sectPr>
      </w:pPr>
    </w:p>
    <w:p w14:paraId="1BF30D8F">
      <w:pPr>
        <w:spacing w:before="317" w:line="359" w:lineRule="auto"/>
        <w:ind w:left="35" w:firstLine="468"/>
        <w:jc w:val="both"/>
        <w:rPr>
          <w:rFonts w:ascii="宋体" w:hAnsi="宋体" w:eastAsia="宋体" w:cs="宋体"/>
          <w:sz w:val="24"/>
          <w:szCs w:val="24"/>
        </w:rPr>
      </w:pPr>
      <w:r>
        <w:rPr>
          <w:rFonts w:ascii="Times New Roman" w:hAnsi="Times New Roman" w:eastAsia="Times New Roman" w:cs="Times New Roman"/>
          <w:spacing w:val="-3"/>
          <w:sz w:val="24"/>
          <w:szCs w:val="24"/>
        </w:rPr>
        <w:t>2024</w:t>
      </w:r>
      <w:r>
        <w:rPr>
          <w:rFonts w:ascii="宋体" w:hAnsi="宋体" w:eastAsia="宋体" w:cs="宋体"/>
          <w:spacing w:val="-3"/>
          <w:sz w:val="24"/>
          <w:szCs w:val="24"/>
        </w:rPr>
        <w:t>年</w:t>
      </w:r>
      <w:r>
        <w:rPr>
          <w:rFonts w:ascii="Times New Roman" w:hAnsi="Times New Roman" w:eastAsia="Times New Roman" w:cs="Times New Roman"/>
          <w:spacing w:val="-3"/>
          <w:sz w:val="24"/>
          <w:szCs w:val="24"/>
        </w:rPr>
        <w:t>12</w:t>
      </w:r>
      <w:r>
        <w:rPr>
          <w:rFonts w:ascii="宋体" w:hAnsi="宋体" w:eastAsia="宋体" w:cs="宋体"/>
          <w:spacing w:val="-3"/>
          <w:sz w:val="24"/>
          <w:szCs w:val="24"/>
        </w:rPr>
        <w:t>月，湖南省发展和改革委员会发布的《关于长沙天心经济开发区等</w:t>
      </w:r>
      <w:r>
        <w:rPr>
          <w:rFonts w:ascii="Times New Roman" w:hAnsi="Times New Roman" w:eastAsia="Times New Roman" w:cs="Times New Roman"/>
          <w:spacing w:val="-4"/>
          <w:sz w:val="24"/>
          <w:szCs w:val="24"/>
        </w:rPr>
        <w:t>29</w:t>
      </w:r>
      <w:r>
        <w:rPr>
          <w:rFonts w:ascii="宋体" w:hAnsi="宋体" w:eastAsia="宋体" w:cs="宋体"/>
          <w:spacing w:val="-4"/>
          <w:sz w:val="24"/>
          <w:szCs w:val="24"/>
        </w:rPr>
        <w:t>家园区调区的复函》（湘发改函</w:t>
      </w:r>
      <w:r>
        <w:rPr>
          <w:rFonts w:ascii="Times New Roman" w:hAnsi="Times New Roman" w:eastAsia="Times New Roman" w:cs="Times New Roman"/>
          <w:spacing w:val="-4"/>
          <w:sz w:val="24"/>
          <w:szCs w:val="24"/>
        </w:rPr>
        <w:t>[2024]64</w:t>
      </w:r>
      <w:r>
        <w:rPr>
          <w:rFonts w:ascii="宋体" w:hAnsi="宋体" w:eastAsia="宋体" w:cs="宋体"/>
          <w:spacing w:val="-4"/>
          <w:sz w:val="24"/>
          <w:szCs w:val="24"/>
        </w:rPr>
        <w:t>号</w:t>
      </w:r>
      <w:r>
        <w:rPr>
          <w:rFonts w:ascii="宋体" w:hAnsi="宋体" w:eastAsia="宋体" w:cs="宋体"/>
          <w:spacing w:val="-3"/>
          <w:sz w:val="24"/>
          <w:szCs w:val="24"/>
        </w:rPr>
        <w:t>），</w:t>
      </w:r>
      <w:r>
        <w:rPr>
          <w:rFonts w:ascii="宋体" w:hAnsi="宋体" w:eastAsia="宋体" w:cs="宋体"/>
          <w:spacing w:val="-4"/>
          <w:sz w:val="24"/>
          <w:szCs w:val="24"/>
        </w:rPr>
        <w:t>在《湖南省省级及</w:t>
      </w:r>
      <w:r>
        <w:rPr>
          <w:rFonts w:ascii="宋体" w:hAnsi="宋体" w:eastAsia="宋体" w:cs="宋体"/>
          <w:spacing w:val="-5"/>
          <w:sz w:val="24"/>
          <w:szCs w:val="24"/>
        </w:rPr>
        <w:t>以上产业园区</w:t>
      </w:r>
      <w:r>
        <w:rPr>
          <w:rFonts w:ascii="宋体" w:hAnsi="宋体" w:eastAsia="宋体" w:cs="宋体"/>
          <w:spacing w:val="-8"/>
          <w:sz w:val="24"/>
          <w:szCs w:val="24"/>
        </w:rPr>
        <w:t>边界面积及四至范围目录》（湘发改园区</w:t>
      </w:r>
      <w:r>
        <w:rPr>
          <w:rFonts w:ascii="Times New Roman" w:hAnsi="Times New Roman" w:eastAsia="Times New Roman" w:cs="Times New Roman"/>
          <w:spacing w:val="-8"/>
          <w:sz w:val="24"/>
          <w:szCs w:val="24"/>
        </w:rPr>
        <w:t>[2022]601</w:t>
      </w:r>
      <w:r>
        <w:rPr>
          <w:rFonts w:ascii="宋体" w:hAnsi="宋体" w:eastAsia="宋体" w:cs="宋体"/>
          <w:spacing w:val="-8"/>
          <w:sz w:val="24"/>
          <w:szCs w:val="24"/>
        </w:rPr>
        <w:t>号）的基础上</w:t>
      </w:r>
      <w:r>
        <w:rPr>
          <w:rFonts w:ascii="宋体" w:hAnsi="宋体" w:eastAsia="宋体" w:cs="宋体"/>
          <w:spacing w:val="-9"/>
          <w:sz w:val="24"/>
          <w:szCs w:val="24"/>
        </w:rPr>
        <w:t>，调出</w:t>
      </w:r>
      <w:r>
        <w:rPr>
          <w:rFonts w:ascii="Times New Roman" w:hAnsi="Times New Roman" w:eastAsia="Times New Roman" w:cs="Times New Roman"/>
          <w:spacing w:val="-9"/>
          <w:sz w:val="24"/>
          <w:szCs w:val="24"/>
        </w:rPr>
        <w:t>91.13</w:t>
      </w:r>
      <w:r>
        <w:rPr>
          <w:rFonts w:ascii="宋体" w:hAnsi="宋体" w:eastAsia="宋体" w:cs="宋体"/>
          <w:spacing w:val="-9"/>
          <w:sz w:val="24"/>
          <w:szCs w:val="24"/>
        </w:rPr>
        <w:t>公顷，</w:t>
      </w:r>
      <w:r>
        <w:rPr>
          <w:rFonts w:ascii="宋体" w:hAnsi="宋体" w:eastAsia="宋体" w:cs="宋体"/>
          <w:spacing w:val="-7"/>
          <w:sz w:val="24"/>
          <w:szCs w:val="24"/>
        </w:rPr>
        <w:t>调出后园区总面积为为</w:t>
      </w:r>
      <w:r>
        <w:rPr>
          <w:rFonts w:ascii="Times New Roman" w:hAnsi="Times New Roman" w:eastAsia="Times New Roman" w:cs="Times New Roman"/>
          <w:spacing w:val="-7"/>
          <w:sz w:val="24"/>
          <w:szCs w:val="24"/>
        </w:rPr>
        <w:t>389.03</w:t>
      </w:r>
      <w:r>
        <w:rPr>
          <w:rFonts w:ascii="宋体" w:hAnsi="宋体" w:eastAsia="宋体" w:cs="宋体"/>
          <w:spacing w:val="-7"/>
          <w:sz w:val="24"/>
          <w:szCs w:val="24"/>
        </w:rPr>
        <w:t>公顷。其中区块一：</w:t>
      </w:r>
      <w:r>
        <w:rPr>
          <w:rFonts w:ascii="Times New Roman" w:hAnsi="Times New Roman" w:eastAsia="Times New Roman" w:cs="Times New Roman"/>
          <w:spacing w:val="-7"/>
          <w:sz w:val="24"/>
          <w:szCs w:val="24"/>
        </w:rPr>
        <w:t>11.69</w:t>
      </w:r>
      <w:r>
        <w:rPr>
          <w:rFonts w:ascii="宋体" w:hAnsi="宋体" w:eastAsia="宋体" w:cs="宋体"/>
          <w:spacing w:val="-8"/>
          <w:sz w:val="24"/>
          <w:szCs w:val="24"/>
        </w:rPr>
        <w:t>公顷，东至东子冲村，南至</w:t>
      </w:r>
      <w:r>
        <w:rPr>
          <w:rFonts w:ascii="宋体" w:hAnsi="宋体" w:eastAsia="宋体" w:cs="宋体"/>
          <w:spacing w:val="-7"/>
          <w:sz w:val="24"/>
          <w:szCs w:val="24"/>
        </w:rPr>
        <w:t>花门路，西至花门路以西</w:t>
      </w:r>
      <w:r>
        <w:rPr>
          <w:rFonts w:ascii="Times New Roman" w:hAnsi="Times New Roman" w:eastAsia="Times New Roman" w:cs="Times New Roman"/>
          <w:spacing w:val="-7"/>
          <w:sz w:val="24"/>
          <w:szCs w:val="24"/>
        </w:rPr>
        <w:t>160</w:t>
      </w:r>
      <w:r>
        <w:rPr>
          <w:rFonts w:ascii="宋体" w:hAnsi="宋体" w:eastAsia="宋体" w:cs="宋体"/>
          <w:spacing w:val="-7"/>
          <w:sz w:val="24"/>
          <w:szCs w:val="24"/>
        </w:rPr>
        <w:t>米处，北至正山崂。区块二：</w:t>
      </w:r>
      <w:r>
        <w:rPr>
          <w:rFonts w:ascii="Times New Roman" w:hAnsi="Times New Roman" w:eastAsia="Times New Roman" w:cs="Times New Roman"/>
          <w:spacing w:val="-7"/>
          <w:sz w:val="24"/>
          <w:szCs w:val="24"/>
        </w:rPr>
        <w:t>19.10</w:t>
      </w:r>
      <w:r>
        <w:rPr>
          <w:rFonts w:ascii="宋体" w:hAnsi="宋体" w:eastAsia="宋体" w:cs="宋体"/>
          <w:spacing w:val="-7"/>
          <w:sz w:val="24"/>
          <w:szCs w:val="24"/>
        </w:rPr>
        <w:t>公顷</w:t>
      </w:r>
      <w:r>
        <w:rPr>
          <w:rFonts w:ascii="宋体" w:hAnsi="宋体" w:eastAsia="宋体" w:cs="宋体"/>
          <w:spacing w:val="-8"/>
          <w:sz w:val="24"/>
          <w:szCs w:val="24"/>
        </w:rPr>
        <w:t>，东至隆回县</w:t>
      </w:r>
      <w:r>
        <w:rPr>
          <w:rFonts w:ascii="宋体" w:hAnsi="宋体" w:eastAsia="宋体" w:cs="宋体"/>
          <w:spacing w:val="-9"/>
          <w:sz w:val="24"/>
          <w:szCs w:val="24"/>
        </w:rPr>
        <w:t>紫阳中学，南至兴华路，西至农产品街，北至赧水。区块三：</w:t>
      </w:r>
      <w:r>
        <w:rPr>
          <w:rFonts w:ascii="Times New Roman" w:hAnsi="Times New Roman" w:eastAsia="Times New Roman" w:cs="Times New Roman"/>
          <w:spacing w:val="-9"/>
          <w:sz w:val="24"/>
          <w:szCs w:val="24"/>
        </w:rPr>
        <w:t>358.24</w:t>
      </w:r>
      <w:r>
        <w:rPr>
          <w:rFonts w:ascii="宋体" w:hAnsi="宋体" w:eastAsia="宋体" w:cs="宋体"/>
          <w:spacing w:val="-9"/>
          <w:sz w:val="24"/>
          <w:szCs w:val="24"/>
        </w:rPr>
        <w:t>公顷，东至</w:t>
      </w:r>
      <w:r>
        <w:rPr>
          <w:rFonts w:ascii="Times New Roman" w:hAnsi="Times New Roman" w:eastAsia="Times New Roman" w:cs="Times New Roman"/>
          <w:spacing w:val="-9"/>
          <w:sz w:val="24"/>
          <w:szCs w:val="24"/>
        </w:rPr>
        <w:t>G60</w:t>
      </w:r>
      <w:r>
        <w:rPr>
          <w:rFonts w:ascii="宋体" w:hAnsi="宋体" w:eastAsia="宋体" w:cs="宋体"/>
          <w:spacing w:val="-6"/>
          <w:sz w:val="24"/>
          <w:szCs w:val="24"/>
        </w:rPr>
        <w:t>沪昆高速公路，南至县桃洪镇寺山村石板江，西</w:t>
      </w:r>
      <w:r>
        <w:rPr>
          <w:rFonts w:ascii="宋体" w:hAnsi="宋体" w:eastAsia="宋体" w:cs="宋体"/>
          <w:spacing w:val="-7"/>
          <w:sz w:val="24"/>
          <w:szCs w:val="24"/>
        </w:rPr>
        <w:t>至滨江东路，北至</w:t>
      </w:r>
      <w:r>
        <w:rPr>
          <w:rFonts w:ascii="Times New Roman" w:hAnsi="Times New Roman" w:eastAsia="Times New Roman" w:cs="Times New Roman"/>
          <w:spacing w:val="-7"/>
          <w:sz w:val="24"/>
          <w:szCs w:val="24"/>
        </w:rPr>
        <w:t>G320</w:t>
      </w:r>
      <w:r>
        <w:rPr>
          <w:rFonts w:ascii="宋体" w:hAnsi="宋体" w:eastAsia="宋体" w:cs="宋体"/>
          <w:spacing w:val="-7"/>
          <w:sz w:val="24"/>
          <w:szCs w:val="24"/>
        </w:rPr>
        <w:t>国道。</w:t>
      </w:r>
    </w:p>
    <w:p w14:paraId="7F69E716">
      <w:pPr>
        <w:spacing w:before="2" w:line="220" w:lineRule="auto"/>
        <w:ind w:left="33"/>
        <w:outlineLvl w:val="3"/>
        <w:rPr>
          <w:rFonts w:ascii="宋体" w:hAnsi="宋体" w:eastAsia="宋体" w:cs="宋体"/>
          <w:sz w:val="24"/>
          <w:szCs w:val="24"/>
        </w:rPr>
      </w:pPr>
      <w:r>
        <w:rPr>
          <w:rFonts w:ascii="Times New Roman" w:hAnsi="Times New Roman" w:eastAsia="Times New Roman" w:cs="Times New Roman"/>
          <w:b/>
          <w:bCs/>
          <w:spacing w:val="-2"/>
          <w:sz w:val="24"/>
          <w:szCs w:val="24"/>
        </w:rPr>
        <w:t>3.4.4.2</w:t>
      </w:r>
      <w:r>
        <w:rPr>
          <w:rFonts w:ascii="宋体" w:hAnsi="宋体" w:eastAsia="宋体" w:cs="宋体"/>
          <w:b/>
          <w:bCs/>
          <w:spacing w:val="-2"/>
          <w:sz w:val="24"/>
          <w:szCs w:val="24"/>
        </w:rPr>
        <w:t>现有企业情况</w:t>
      </w:r>
    </w:p>
    <w:p w14:paraId="52774109">
      <w:pPr>
        <w:spacing w:before="196" w:line="219" w:lineRule="auto"/>
        <w:ind w:left="553"/>
        <w:rPr>
          <w:rFonts w:ascii="宋体" w:hAnsi="宋体" w:eastAsia="宋体" w:cs="宋体"/>
          <w:sz w:val="24"/>
          <w:szCs w:val="24"/>
        </w:rPr>
      </w:pPr>
      <w:r>
        <w:rPr>
          <w:rFonts w:ascii="宋体" w:hAnsi="宋体" w:eastAsia="宋体" w:cs="宋体"/>
          <w:spacing w:val="-8"/>
          <w:sz w:val="24"/>
          <w:szCs w:val="24"/>
        </w:rPr>
        <w:t>目前，隆回高新区城东南区规模以上企业总计</w:t>
      </w:r>
      <w:r>
        <w:rPr>
          <w:rFonts w:ascii="Times New Roman" w:hAnsi="Times New Roman" w:eastAsia="Times New Roman" w:cs="Times New Roman"/>
          <w:spacing w:val="-8"/>
          <w:sz w:val="24"/>
          <w:szCs w:val="24"/>
        </w:rPr>
        <w:t>90</w:t>
      </w:r>
      <w:r>
        <w:rPr>
          <w:rFonts w:ascii="宋体" w:hAnsi="宋体" w:eastAsia="宋体" w:cs="宋体"/>
          <w:spacing w:val="-8"/>
          <w:sz w:val="24"/>
          <w:szCs w:val="24"/>
        </w:rPr>
        <w:t>家。</w:t>
      </w:r>
    </w:p>
    <w:p w14:paraId="7B0A0377">
      <w:pPr>
        <w:spacing w:before="183" w:line="212" w:lineRule="auto"/>
        <w:ind w:left="2085"/>
        <w:rPr>
          <w:rFonts w:ascii="宋体" w:hAnsi="宋体" w:eastAsia="宋体" w:cs="宋体"/>
          <w:sz w:val="24"/>
          <w:szCs w:val="24"/>
        </w:rPr>
      </w:pPr>
      <w:r>
        <w:rPr>
          <w:rFonts w:ascii="宋体" w:hAnsi="宋体" w:eastAsia="宋体" w:cs="宋体"/>
          <w:b/>
          <w:bCs/>
          <w:spacing w:val="-6"/>
          <w:sz w:val="24"/>
          <w:szCs w:val="24"/>
        </w:rPr>
        <w:t>表</w:t>
      </w:r>
      <w:r>
        <w:rPr>
          <w:rFonts w:ascii="Times New Roman" w:hAnsi="Times New Roman" w:eastAsia="Times New Roman" w:cs="Times New Roman"/>
          <w:b/>
          <w:bCs/>
          <w:spacing w:val="-6"/>
          <w:sz w:val="24"/>
          <w:szCs w:val="24"/>
        </w:rPr>
        <w:t>3.4-1</w:t>
      </w:r>
      <w:r>
        <w:rPr>
          <w:rFonts w:ascii="宋体" w:hAnsi="宋体" w:eastAsia="宋体" w:cs="宋体"/>
          <w:b/>
          <w:bCs/>
          <w:spacing w:val="-6"/>
          <w:sz w:val="24"/>
          <w:szCs w:val="24"/>
        </w:rPr>
        <w:t>隆回高新区城东南区企业情况表</w:t>
      </w:r>
    </w:p>
    <w:tbl>
      <w:tblPr>
        <w:tblStyle w:val="5"/>
        <w:tblW w:w="8538"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3"/>
        <w:gridCol w:w="1290"/>
        <w:gridCol w:w="2918"/>
        <w:gridCol w:w="1630"/>
        <w:gridCol w:w="1555"/>
        <w:gridCol w:w="732"/>
      </w:tblGrid>
      <w:tr w14:paraId="3B30D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13" w:type="dxa"/>
            <w:tcBorders>
              <w:top w:val="single" w:color="000000" w:sz="10" w:space="0"/>
              <w:left w:val="single" w:color="000000" w:sz="10" w:space="0"/>
            </w:tcBorders>
            <w:textDirection w:val="tbRlV"/>
            <w:vAlign w:val="top"/>
          </w:tcPr>
          <w:p w14:paraId="32F22E57">
            <w:pPr>
              <w:pStyle w:val="6"/>
              <w:spacing w:before="104" w:line="218" w:lineRule="auto"/>
              <w:ind w:left="49"/>
            </w:pPr>
            <w:r>
              <w:rPr>
                <w:b/>
                <w:bCs/>
                <w:spacing w:val="6"/>
              </w:rPr>
              <w:t>序号</w:t>
            </w:r>
          </w:p>
        </w:tc>
        <w:tc>
          <w:tcPr>
            <w:tcW w:w="1290" w:type="dxa"/>
            <w:tcBorders>
              <w:top w:val="single" w:color="000000" w:sz="10" w:space="0"/>
            </w:tcBorders>
            <w:vAlign w:val="top"/>
          </w:tcPr>
          <w:p w14:paraId="0783D43B">
            <w:pPr>
              <w:pStyle w:val="6"/>
              <w:spacing w:before="186" w:line="230" w:lineRule="auto"/>
              <w:ind w:left="223"/>
            </w:pPr>
            <w:r>
              <w:rPr>
                <w:b/>
                <w:bCs/>
                <w:spacing w:val="5"/>
              </w:rPr>
              <w:t>企业名称</w:t>
            </w:r>
          </w:p>
        </w:tc>
        <w:tc>
          <w:tcPr>
            <w:tcW w:w="2918" w:type="dxa"/>
            <w:tcBorders>
              <w:top w:val="single" w:color="000000" w:sz="10" w:space="0"/>
            </w:tcBorders>
            <w:vAlign w:val="top"/>
          </w:tcPr>
          <w:p w14:paraId="01C121F3">
            <w:pPr>
              <w:pStyle w:val="6"/>
              <w:spacing w:before="186" w:line="228" w:lineRule="auto"/>
              <w:ind w:left="725"/>
            </w:pPr>
            <w:r>
              <w:rPr>
                <w:b/>
                <w:bCs/>
                <w:spacing w:val="6"/>
              </w:rPr>
              <w:t>建设内容及规模</w:t>
            </w:r>
          </w:p>
        </w:tc>
        <w:tc>
          <w:tcPr>
            <w:tcW w:w="1630" w:type="dxa"/>
            <w:tcBorders>
              <w:top w:val="single" w:color="000000" w:sz="10" w:space="0"/>
            </w:tcBorders>
            <w:vAlign w:val="top"/>
          </w:tcPr>
          <w:p w14:paraId="1CCB96C0">
            <w:pPr>
              <w:pStyle w:val="6"/>
              <w:spacing w:before="186" w:line="228" w:lineRule="auto"/>
              <w:ind w:left="401"/>
            </w:pPr>
            <w:r>
              <w:rPr>
                <w:b/>
                <w:bCs/>
                <w:spacing w:val="6"/>
              </w:rPr>
              <w:t>环评批复</w:t>
            </w:r>
          </w:p>
        </w:tc>
        <w:tc>
          <w:tcPr>
            <w:tcW w:w="1555" w:type="dxa"/>
            <w:tcBorders>
              <w:top w:val="single" w:color="000000" w:sz="10" w:space="0"/>
            </w:tcBorders>
            <w:vAlign w:val="top"/>
          </w:tcPr>
          <w:p w14:paraId="4B5249D9">
            <w:pPr>
              <w:pStyle w:val="6"/>
              <w:spacing w:before="186" w:line="228" w:lineRule="auto"/>
              <w:ind w:left="369"/>
            </w:pPr>
            <w:r>
              <w:rPr>
                <w:b/>
                <w:bCs/>
                <w:spacing w:val="6"/>
              </w:rPr>
              <w:t>排污许可</w:t>
            </w:r>
          </w:p>
        </w:tc>
        <w:tc>
          <w:tcPr>
            <w:tcW w:w="732" w:type="dxa"/>
            <w:tcBorders>
              <w:top w:val="single" w:color="000000" w:sz="10" w:space="0"/>
              <w:right w:val="single" w:color="000000" w:sz="10" w:space="0"/>
            </w:tcBorders>
            <w:vAlign w:val="top"/>
          </w:tcPr>
          <w:p w14:paraId="114AE2A4">
            <w:pPr>
              <w:pStyle w:val="6"/>
              <w:spacing w:before="50" w:line="228" w:lineRule="auto"/>
              <w:ind w:left="60"/>
            </w:pPr>
            <w:r>
              <w:rPr>
                <w:b/>
                <w:bCs/>
                <w:spacing w:val="5"/>
              </w:rPr>
              <w:t>运行情</w:t>
            </w:r>
          </w:p>
          <w:p w14:paraId="1D114C2B">
            <w:pPr>
              <w:pStyle w:val="6"/>
              <w:spacing w:before="25" w:line="216" w:lineRule="auto"/>
              <w:ind w:left="273"/>
            </w:pPr>
            <w:r>
              <w:rPr>
                <w:b/>
                <w:bCs/>
                <w:spacing w:val="-3"/>
              </w:rPr>
              <w:t>况</w:t>
            </w:r>
          </w:p>
        </w:tc>
      </w:tr>
      <w:tr w14:paraId="1B028B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413" w:type="dxa"/>
            <w:tcBorders>
              <w:left w:val="single" w:color="000000" w:sz="10" w:space="0"/>
            </w:tcBorders>
            <w:vAlign w:val="top"/>
          </w:tcPr>
          <w:p w14:paraId="6BE792C4">
            <w:pPr>
              <w:spacing w:line="296" w:lineRule="auto"/>
              <w:rPr>
                <w:rFonts w:ascii="Arial"/>
                <w:sz w:val="21"/>
              </w:rPr>
            </w:pPr>
          </w:p>
          <w:p w14:paraId="72FEDD03">
            <w:pPr>
              <w:spacing w:before="58" w:line="195" w:lineRule="auto"/>
              <w:ind w:left="16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90" w:type="dxa"/>
            <w:vAlign w:val="top"/>
          </w:tcPr>
          <w:p w14:paraId="3AF8DA2A">
            <w:pPr>
              <w:pStyle w:val="6"/>
              <w:spacing w:before="48" w:line="227" w:lineRule="auto"/>
              <w:ind w:left="10"/>
            </w:pPr>
            <w:r>
              <w:rPr>
                <w:spacing w:val="8"/>
              </w:rPr>
              <w:t>湖南金霖新材</w:t>
            </w:r>
          </w:p>
          <w:p w14:paraId="26452716">
            <w:pPr>
              <w:pStyle w:val="6"/>
              <w:spacing w:before="25" w:line="227" w:lineRule="auto"/>
              <w:ind w:left="10"/>
            </w:pPr>
            <w:r>
              <w:rPr>
                <w:spacing w:val="8"/>
              </w:rPr>
              <w:t>料科技有限公</w:t>
            </w:r>
          </w:p>
          <w:p w14:paraId="3E18A5F0">
            <w:pPr>
              <w:pStyle w:val="6"/>
              <w:spacing w:before="25" w:line="216" w:lineRule="auto"/>
              <w:ind w:left="544"/>
            </w:pPr>
            <w:r>
              <w:t>司</w:t>
            </w:r>
          </w:p>
        </w:tc>
        <w:tc>
          <w:tcPr>
            <w:tcW w:w="2918" w:type="dxa"/>
            <w:vAlign w:val="top"/>
          </w:tcPr>
          <w:p w14:paraId="49CC8A56">
            <w:pPr>
              <w:spacing w:line="253" w:lineRule="auto"/>
              <w:rPr>
                <w:rFonts w:ascii="Arial"/>
                <w:sz w:val="21"/>
              </w:rPr>
            </w:pPr>
          </w:p>
          <w:p w14:paraId="41B7331A">
            <w:pPr>
              <w:pStyle w:val="6"/>
              <w:spacing w:before="65" w:line="228" w:lineRule="auto"/>
              <w:ind w:left="96"/>
            </w:pPr>
            <w:r>
              <w:rPr>
                <w:spacing w:val="6"/>
              </w:rPr>
              <w:t>年产</w:t>
            </w:r>
            <w:r>
              <w:rPr>
                <w:rFonts w:ascii="Times New Roman" w:hAnsi="Times New Roman" w:eastAsia="Times New Roman" w:cs="Times New Roman"/>
                <w:spacing w:val="6"/>
              </w:rPr>
              <w:t>3</w:t>
            </w:r>
            <w:r>
              <w:rPr>
                <w:spacing w:val="6"/>
              </w:rPr>
              <w:t>万吨铜压延加工生产线</w:t>
            </w:r>
          </w:p>
        </w:tc>
        <w:tc>
          <w:tcPr>
            <w:tcW w:w="1630" w:type="dxa"/>
            <w:vAlign w:val="top"/>
          </w:tcPr>
          <w:p w14:paraId="4745AA57">
            <w:pPr>
              <w:pStyle w:val="6"/>
              <w:spacing w:before="182" w:line="228" w:lineRule="auto"/>
              <w:ind w:left="142"/>
            </w:pPr>
            <w:r>
              <w:rPr>
                <w:spacing w:val="6"/>
              </w:rPr>
              <w:t>邵市环评（</w:t>
            </w:r>
            <w:r>
              <w:rPr>
                <w:rFonts w:ascii="Times New Roman" w:hAnsi="Times New Roman" w:eastAsia="Times New Roman" w:cs="Times New Roman"/>
                <w:spacing w:val="6"/>
              </w:rPr>
              <w:t>4</w:t>
            </w:r>
            <w:r>
              <w:rPr>
                <w:spacing w:val="6"/>
              </w:rPr>
              <w:t>）</w:t>
            </w:r>
          </w:p>
          <w:p w14:paraId="4D90AD6C">
            <w:pPr>
              <w:pStyle w:val="6"/>
              <w:spacing w:before="27" w:line="229" w:lineRule="auto"/>
              <w:ind w:left="196"/>
            </w:pPr>
            <w:r>
              <w:rPr>
                <w:spacing w:val="1"/>
              </w:rPr>
              <w:t>〔</w:t>
            </w:r>
            <w:r>
              <w:rPr>
                <w:rFonts w:ascii="Times New Roman" w:hAnsi="Times New Roman" w:eastAsia="Times New Roman" w:cs="Times New Roman"/>
                <w:spacing w:val="1"/>
              </w:rPr>
              <w:t>2022</w:t>
            </w:r>
            <w:r>
              <w:rPr>
                <w:spacing w:val="1"/>
              </w:rPr>
              <w:t>〕</w:t>
            </w:r>
            <w:r>
              <w:rPr>
                <w:rFonts w:ascii="Times New Roman" w:hAnsi="Times New Roman" w:eastAsia="Times New Roman" w:cs="Times New Roman"/>
                <w:spacing w:val="1"/>
              </w:rPr>
              <w:t>13</w:t>
            </w:r>
            <w:r>
              <w:rPr>
                <w:spacing w:val="1"/>
              </w:rPr>
              <w:t>号</w:t>
            </w:r>
          </w:p>
        </w:tc>
        <w:tc>
          <w:tcPr>
            <w:tcW w:w="1555" w:type="dxa"/>
            <w:vAlign w:val="top"/>
          </w:tcPr>
          <w:p w14:paraId="79F3B22A">
            <w:pPr>
              <w:spacing w:before="236" w:line="261" w:lineRule="auto"/>
              <w:ind w:left="247" w:right="3" w:hanging="22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91430522</w:t>
            </w:r>
            <w:r>
              <w:rPr>
                <w:rFonts w:ascii="Times New Roman" w:hAnsi="Times New Roman" w:eastAsia="Times New Roman" w:cs="Times New Roman"/>
                <w:sz w:val="20"/>
                <w:szCs w:val="20"/>
              </w:rPr>
              <w:t>MA</w:t>
            </w:r>
            <w:r>
              <w:rPr>
                <w:rFonts w:ascii="Times New Roman" w:hAnsi="Times New Roman" w:eastAsia="Times New Roman" w:cs="Times New Roman"/>
                <w:spacing w:val="5"/>
                <w:sz w:val="20"/>
                <w:szCs w:val="20"/>
              </w:rPr>
              <w:t>7C0</w:t>
            </w:r>
            <w:r>
              <w:rPr>
                <w:rFonts w:ascii="Times New Roman" w:hAnsi="Times New Roman" w:eastAsia="Times New Roman" w:cs="Times New Roman"/>
                <w:spacing w:val="4"/>
                <w:sz w:val="20"/>
                <w:szCs w:val="20"/>
              </w:rPr>
              <w:t>6X58U001U</w:t>
            </w:r>
          </w:p>
        </w:tc>
        <w:tc>
          <w:tcPr>
            <w:tcW w:w="732" w:type="dxa"/>
            <w:tcBorders>
              <w:right w:val="single" w:color="000000" w:sz="10" w:space="0"/>
            </w:tcBorders>
            <w:vAlign w:val="top"/>
          </w:tcPr>
          <w:p w14:paraId="6B5C1BEA">
            <w:pPr>
              <w:spacing w:line="253" w:lineRule="auto"/>
              <w:rPr>
                <w:rFonts w:ascii="Arial"/>
                <w:sz w:val="21"/>
              </w:rPr>
            </w:pPr>
          </w:p>
          <w:p w14:paraId="14C2CEBF">
            <w:pPr>
              <w:pStyle w:val="6"/>
              <w:spacing w:before="65" w:line="228" w:lineRule="auto"/>
              <w:ind w:left="165"/>
            </w:pPr>
            <w:r>
              <w:rPr>
                <w:spacing w:val="4"/>
              </w:rPr>
              <w:t>运行</w:t>
            </w:r>
          </w:p>
        </w:tc>
      </w:tr>
      <w:tr w14:paraId="1C448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413" w:type="dxa"/>
            <w:tcBorders>
              <w:left w:val="single" w:color="000000" w:sz="10" w:space="0"/>
            </w:tcBorders>
            <w:vAlign w:val="top"/>
          </w:tcPr>
          <w:p w14:paraId="522CB082">
            <w:pPr>
              <w:spacing w:line="299" w:lineRule="auto"/>
              <w:rPr>
                <w:rFonts w:ascii="Arial"/>
                <w:sz w:val="21"/>
              </w:rPr>
            </w:pPr>
          </w:p>
          <w:p w14:paraId="5A9252EC">
            <w:pPr>
              <w:spacing w:before="57" w:line="195" w:lineRule="auto"/>
              <w:ind w:left="14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90" w:type="dxa"/>
            <w:vAlign w:val="top"/>
          </w:tcPr>
          <w:p w14:paraId="3B5B6AF0">
            <w:pPr>
              <w:pStyle w:val="6"/>
              <w:spacing w:before="50" w:line="228" w:lineRule="auto"/>
              <w:ind w:left="24"/>
            </w:pPr>
            <w:r>
              <w:rPr>
                <w:spacing w:val="6"/>
              </w:rPr>
              <w:t>隆回县三珍农</w:t>
            </w:r>
          </w:p>
          <w:p w14:paraId="41907BC4">
            <w:pPr>
              <w:pStyle w:val="6"/>
              <w:spacing w:before="24" w:line="228" w:lineRule="auto"/>
              <w:ind w:left="10"/>
            </w:pPr>
            <w:r>
              <w:rPr>
                <w:spacing w:val="8"/>
              </w:rPr>
              <w:t>产品开发有限</w:t>
            </w:r>
          </w:p>
          <w:p w14:paraId="6476BC92">
            <w:pPr>
              <w:pStyle w:val="6"/>
              <w:spacing w:before="24" w:line="214" w:lineRule="auto"/>
              <w:ind w:left="437"/>
            </w:pPr>
            <w:r>
              <w:rPr>
                <w:spacing w:val="1"/>
              </w:rPr>
              <w:t>公司</w:t>
            </w:r>
          </w:p>
        </w:tc>
        <w:tc>
          <w:tcPr>
            <w:tcW w:w="2918" w:type="dxa"/>
            <w:vAlign w:val="top"/>
          </w:tcPr>
          <w:p w14:paraId="56673A22">
            <w:pPr>
              <w:spacing w:line="255" w:lineRule="auto"/>
              <w:rPr>
                <w:rFonts w:ascii="Arial"/>
                <w:sz w:val="21"/>
              </w:rPr>
            </w:pPr>
          </w:p>
          <w:p w14:paraId="369E7E9D">
            <w:pPr>
              <w:pStyle w:val="6"/>
              <w:spacing w:before="65" w:line="228" w:lineRule="auto"/>
              <w:ind w:left="280"/>
            </w:pPr>
            <w:r>
              <w:rPr>
                <w:rFonts w:ascii="Times New Roman" w:hAnsi="Times New Roman" w:eastAsia="Times New Roman" w:cs="Times New Roman"/>
                <w:spacing w:val="6"/>
              </w:rPr>
              <w:t>5000</w:t>
            </w:r>
            <w:r>
              <w:rPr>
                <w:spacing w:val="6"/>
              </w:rPr>
              <w:t>吨龙牙百合系列产品</w:t>
            </w:r>
          </w:p>
        </w:tc>
        <w:tc>
          <w:tcPr>
            <w:tcW w:w="1630" w:type="dxa"/>
            <w:vAlign w:val="top"/>
          </w:tcPr>
          <w:p w14:paraId="09DD900D">
            <w:pPr>
              <w:pStyle w:val="6"/>
              <w:spacing w:before="184" w:line="255" w:lineRule="auto"/>
              <w:ind w:left="196" w:right="154" w:firstLine="114"/>
            </w:pPr>
            <w:r>
              <w:rPr>
                <w:spacing w:val="5"/>
              </w:rPr>
              <w:t>隆环评分函</w:t>
            </w:r>
            <w:r>
              <w:rPr>
                <w:spacing w:val="1"/>
              </w:rPr>
              <w:t>〔</w:t>
            </w:r>
            <w:r>
              <w:rPr>
                <w:rFonts w:ascii="Times New Roman" w:hAnsi="Times New Roman" w:eastAsia="Times New Roman" w:cs="Times New Roman"/>
                <w:spacing w:val="1"/>
              </w:rPr>
              <w:t>2019</w:t>
            </w:r>
            <w:r>
              <w:rPr>
                <w:spacing w:val="1"/>
              </w:rPr>
              <w:t>〕</w:t>
            </w:r>
            <w:r>
              <w:rPr>
                <w:rFonts w:ascii="Times New Roman" w:hAnsi="Times New Roman" w:eastAsia="Times New Roman" w:cs="Times New Roman"/>
                <w:spacing w:val="1"/>
              </w:rPr>
              <w:t>03</w:t>
            </w:r>
            <w:r>
              <w:rPr>
                <w:spacing w:val="1"/>
              </w:rPr>
              <w:t>号</w:t>
            </w:r>
          </w:p>
        </w:tc>
        <w:tc>
          <w:tcPr>
            <w:tcW w:w="1555" w:type="dxa"/>
            <w:vAlign w:val="top"/>
          </w:tcPr>
          <w:p w14:paraId="5568DD4B">
            <w:pPr>
              <w:spacing w:before="237" w:line="262" w:lineRule="auto"/>
              <w:ind w:left="196" w:right="13" w:hanging="16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91430524</w:t>
            </w:r>
            <w:r>
              <w:rPr>
                <w:rFonts w:ascii="Times New Roman" w:hAnsi="Times New Roman" w:eastAsia="Times New Roman" w:cs="Times New Roman"/>
                <w:sz w:val="20"/>
                <w:szCs w:val="20"/>
              </w:rPr>
              <w:t>MA</w:t>
            </w:r>
            <w:r>
              <w:rPr>
                <w:rFonts w:ascii="Times New Roman" w:hAnsi="Times New Roman" w:eastAsia="Times New Roman" w:cs="Times New Roman"/>
                <w:spacing w:val="5"/>
                <w:sz w:val="20"/>
                <w:szCs w:val="20"/>
              </w:rPr>
              <w:t>4L3K6W4Q001X</w:t>
            </w:r>
          </w:p>
        </w:tc>
        <w:tc>
          <w:tcPr>
            <w:tcW w:w="732" w:type="dxa"/>
            <w:tcBorders>
              <w:right w:val="single" w:color="000000" w:sz="10" w:space="0"/>
            </w:tcBorders>
            <w:vAlign w:val="top"/>
          </w:tcPr>
          <w:p w14:paraId="33629CD8">
            <w:pPr>
              <w:spacing w:line="256" w:lineRule="auto"/>
              <w:rPr>
                <w:rFonts w:ascii="Arial"/>
                <w:sz w:val="21"/>
              </w:rPr>
            </w:pPr>
          </w:p>
          <w:p w14:paraId="780EDF11">
            <w:pPr>
              <w:pStyle w:val="6"/>
              <w:spacing w:before="65" w:line="228" w:lineRule="auto"/>
              <w:ind w:left="165"/>
            </w:pPr>
            <w:r>
              <w:rPr>
                <w:spacing w:val="4"/>
              </w:rPr>
              <w:t>运行</w:t>
            </w:r>
          </w:p>
        </w:tc>
      </w:tr>
      <w:tr w14:paraId="08C29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8" w:hRule="atLeast"/>
        </w:trPr>
        <w:tc>
          <w:tcPr>
            <w:tcW w:w="413" w:type="dxa"/>
            <w:tcBorders>
              <w:left w:val="single" w:color="000000" w:sz="10" w:space="0"/>
            </w:tcBorders>
            <w:vAlign w:val="top"/>
          </w:tcPr>
          <w:p w14:paraId="284F7D61">
            <w:pPr>
              <w:spacing w:line="285" w:lineRule="auto"/>
              <w:rPr>
                <w:rFonts w:ascii="Arial"/>
                <w:sz w:val="21"/>
              </w:rPr>
            </w:pPr>
          </w:p>
          <w:p w14:paraId="559D086B">
            <w:pPr>
              <w:spacing w:line="285" w:lineRule="auto"/>
              <w:rPr>
                <w:rFonts w:ascii="Arial"/>
                <w:sz w:val="21"/>
              </w:rPr>
            </w:pPr>
          </w:p>
          <w:p w14:paraId="56D16EBD">
            <w:pPr>
              <w:spacing w:before="58" w:line="195" w:lineRule="auto"/>
              <w:ind w:left="14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90" w:type="dxa"/>
            <w:vAlign w:val="top"/>
          </w:tcPr>
          <w:p w14:paraId="7DC978DA">
            <w:pPr>
              <w:spacing w:line="255" w:lineRule="auto"/>
              <w:rPr>
                <w:rFonts w:ascii="Arial"/>
                <w:sz w:val="21"/>
              </w:rPr>
            </w:pPr>
          </w:p>
          <w:p w14:paraId="63E98328">
            <w:pPr>
              <w:pStyle w:val="6"/>
              <w:spacing w:before="65" w:line="227" w:lineRule="auto"/>
              <w:ind w:left="10"/>
            </w:pPr>
            <w:r>
              <w:rPr>
                <w:spacing w:val="8"/>
              </w:rPr>
              <w:t>湖南好菇粮农</w:t>
            </w:r>
          </w:p>
          <w:p w14:paraId="1BB600C6">
            <w:pPr>
              <w:pStyle w:val="6"/>
              <w:spacing w:before="27" w:line="227" w:lineRule="auto"/>
              <w:ind w:left="11"/>
            </w:pPr>
            <w:r>
              <w:rPr>
                <w:spacing w:val="8"/>
              </w:rPr>
              <w:t>林科技有限公</w:t>
            </w:r>
          </w:p>
          <w:p w14:paraId="4A67581B">
            <w:pPr>
              <w:pStyle w:val="6"/>
              <w:spacing w:before="25" w:line="230" w:lineRule="auto"/>
              <w:ind w:left="544"/>
            </w:pPr>
            <w:r>
              <w:t>司</w:t>
            </w:r>
          </w:p>
        </w:tc>
        <w:tc>
          <w:tcPr>
            <w:tcW w:w="2918" w:type="dxa"/>
            <w:vAlign w:val="top"/>
          </w:tcPr>
          <w:p w14:paraId="76BBDB18">
            <w:pPr>
              <w:pStyle w:val="6"/>
              <w:spacing w:before="50" w:line="228" w:lineRule="auto"/>
              <w:ind w:left="96"/>
            </w:pPr>
            <w:r>
              <w:rPr>
                <w:spacing w:val="9"/>
              </w:rPr>
              <w:t>年产罐头菌类（牛肝菌、寒菌</w:t>
            </w:r>
          </w:p>
          <w:p w14:paraId="7C8B5CAA">
            <w:pPr>
              <w:pStyle w:val="6"/>
              <w:spacing w:before="26" w:line="227" w:lineRule="auto"/>
              <w:ind w:left="16"/>
            </w:pPr>
            <w:r>
              <w:rPr>
                <w:spacing w:val="6"/>
              </w:rPr>
              <w:t>等）、干菌（羊肚菌）、速冻食</w:t>
            </w:r>
          </w:p>
          <w:p w14:paraId="468BE747">
            <w:pPr>
              <w:pStyle w:val="6"/>
              <w:spacing w:before="25" w:line="227" w:lineRule="auto"/>
              <w:ind w:left="31"/>
            </w:pPr>
            <w:r>
              <w:rPr>
                <w:spacing w:val="5"/>
              </w:rPr>
              <w:t>品（干锅野菌、贡品脆菇）、软</w:t>
            </w:r>
          </w:p>
          <w:p w14:paraId="54244B6A">
            <w:pPr>
              <w:pStyle w:val="6"/>
              <w:spacing w:before="27" w:line="228" w:lineRule="auto"/>
              <w:ind w:left="14"/>
            </w:pPr>
            <w:r>
              <w:rPr>
                <w:spacing w:val="6"/>
              </w:rPr>
              <w:t>包装食品（菌汤）和酱料（香菇</w:t>
            </w:r>
          </w:p>
          <w:p w14:paraId="15031282">
            <w:pPr>
              <w:pStyle w:val="6"/>
              <w:spacing w:before="24" w:line="210" w:lineRule="auto"/>
              <w:ind w:left="492"/>
            </w:pPr>
            <w:r>
              <w:rPr>
                <w:spacing w:val="6"/>
              </w:rPr>
              <w:t>酱、松露酱）</w:t>
            </w:r>
            <w:r>
              <w:rPr>
                <w:rFonts w:ascii="Times New Roman" w:hAnsi="Times New Roman" w:eastAsia="Times New Roman" w:cs="Times New Roman"/>
                <w:spacing w:val="6"/>
              </w:rPr>
              <w:t>2460</w:t>
            </w:r>
            <w:r>
              <w:rPr>
                <w:spacing w:val="6"/>
              </w:rPr>
              <w:t>吨</w:t>
            </w:r>
          </w:p>
        </w:tc>
        <w:tc>
          <w:tcPr>
            <w:tcW w:w="1630" w:type="dxa"/>
            <w:vAlign w:val="top"/>
          </w:tcPr>
          <w:p w14:paraId="082A39AB">
            <w:pPr>
              <w:spacing w:line="391" w:lineRule="auto"/>
              <w:rPr>
                <w:rFonts w:ascii="Arial"/>
                <w:sz w:val="21"/>
              </w:rPr>
            </w:pPr>
          </w:p>
          <w:p w14:paraId="7435310B">
            <w:pPr>
              <w:pStyle w:val="6"/>
              <w:spacing w:before="65" w:line="228" w:lineRule="auto"/>
              <w:ind w:left="142"/>
            </w:pPr>
            <w:r>
              <w:rPr>
                <w:spacing w:val="6"/>
              </w:rPr>
              <w:t>邵市环评（</w:t>
            </w:r>
            <w:r>
              <w:rPr>
                <w:rFonts w:ascii="Times New Roman" w:hAnsi="Times New Roman" w:eastAsia="Times New Roman" w:cs="Times New Roman"/>
                <w:spacing w:val="6"/>
              </w:rPr>
              <w:t>4</w:t>
            </w:r>
            <w:r>
              <w:rPr>
                <w:spacing w:val="6"/>
              </w:rPr>
              <w:t>）</w:t>
            </w:r>
          </w:p>
          <w:p w14:paraId="3ED21DF2">
            <w:pPr>
              <w:pStyle w:val="6"/>
              <w:spacing w:before="27" w:line="229" w:lineRule="auto"/>
              <w:ind w:left="196"/>
            </w:pPr>
            <w:r>
              <w:rPr>
                <w:spacing w:val="1"/>
              </w:rPr>
              <w:t>〔</w:t>
            </w:r>
            <w:r>
              <w:rPr>
                <w:rFonts w:ascii="Times New Roman" w:hAnsi="Times New Roman" w:eastAsia="Times New Roman" w:cs="Times New Roman"/>
                <w:spacing w:val="1"/>
              </w:rPr>
              <w:t>2021</w:t>
            </w:r>
            <w:r>
              <w:rPr>
                <w:spacing w:val="1"/>
              </w:rPr>
              <w:t>〕</w:t>
            </w:r>
            <w:r>
              <w:rPr>
                <w:rFonts w:ascii="Times New Roman" w:hAnsi="Times New Roman" w:eastAsia="Times New Roman" w:cs="Times New Roman"/>
                <w:spacing w:val="1"/>
              </w:rPr>
              <w:t>34</w:t>
            </w:r>
            <w:r>
              <w:rPr>
                <w:spacing w:val="1"/>
              </w:rPr>
              <w:t>号</w:t>
            </w:r>
          </w:p>
        </w:tc>
        <w:tc>
          <w:tcPr>
            <w:tcW w:w="1555" w:type="dxa"/>
            <w:vAlign w:val="top"/>
          </w:tcPr>
          <w:p w14:paraId="2E002A0D">
            <w:pPr>
              <w:spacing w:line="452" w:lineRule="auto"/>
              <w:rPr>
                <w:rFonts w:ascii="Arial"/>
                <w:sz w:val="21"/>
              </w:rPr>
            </w:pPr>
          </w:p>
          <w:p w14:paraId="6DC1D69B">
            <w:pPr>
              <w:spacing w:before="58" w:line="261" w:lineRule="auto"/>
              <w:ind w:left="258" w:right="3" w:hanging="23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91430524</w:t>
            </w:r>
            <w:r>
              <w:rPr>
                <w:rFonts w:ascii="Times New Roman" w:hAnsi="Times New Roman" w:eastAsia="Times New Roman" w:cs="Times New Roman"/>
                <w:sz w:val="20"/>
                <w:szCs w:val="20"/>
              </w:rPr>
              <w:t>MA</w:t>
            </w:r>
            <w:r>
              <w:rPr>
                <w:rFonts w:ascii="Times New Roman" w:hAnsi="Times New Roman" w:eastAsia="Times New Roman" w:cs="Times New Roman"/>
                <w:spacing w:val="5"/>
                <w:sz w:val="20"/>
                <w:szCs w:val="20"/>
              </w:rPr>
              <w:t>4R59</w:t>
            </w:r>
            <w:r>
              <w:rPr>
                <w:rFonts w:ascii="Times New Roman" w:hAnsi="Times New Roman" w:eastAsia="Times New Roman" w:cs="Times New Roman"/>
                <w:sz w:val="20"/>
                <w:szCs w:val="20"/>
              </w:rPr>
              <w:t>KK</w:t>
            </w:r>
            <w:r>
              <w:rPr>
                <w:rFonts w:ascii="Times New Roman" w:hAnsi="Times New Roman" w:eastAsia="Times New Roman" w:cs="Times New Roman"/>
                <w:spacing w:val="5"/>
                <w:sz w:val="20"/>
                <w:szCs w:val="20"/>
              </w:rPr>
              <w:t>14001Z</w:t>
            </w:r>
          </w:p>
        </w:tc>
        <w:tc>
          <w:tcPr>
            <w:tcW w:w="732" w:type="dxa"/>
            <w:tcBorders>
              <w:right w:val="single" w:color="000000" w:sz="10" w:space="0"/>
            </w:tcBorders>
            <w:vAlign w:val="top"/>
          </w:tcPr>
          <w:p w14:paraId="6914075D">
            <w:pPr>
              <w:spacing w:line="264" w:lineRule="auto"/>
              <w:rPr>
                <w:rFonts w:ascii="Arial"/>
                <w:sz w:val="21"/>
              </w:rPr>
            </w:pPr>
          </w:p>
          <w:p w14:paraId="440B1A68">
            <w:pPr>
              <w:spacing w:line="264" w:lineRule="auto"/>
              <w:rPr>
                <w:rFonts w:ascii="Arial"/>
                <w:sz w:val="21"/>
              </w:rPr>
            </w:pPr>
          </w:p>
          <w:p w14:paraId="6AFA8B02">
            <w:pPr>
              <w:pStyle w:val="6"/>
              <w:spacing w:before="65" w:line="228" w:lineRule="auto"/>
              <w:ind w:left="165"/>
            </w:pPr>
            <w:r>
              <w:rPr>
                <w:spacing w:val="4"/>
              </w:rPr>
              <w:t>运行</w:t>
            </w:r>
          </w:p>
        </w:tc>
      </w:tr>
      <w:tr w14:paraId="3D138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413" w:type="dxa"/>
            <w:tcBorders>
              <w:left w:val="single" w:color="000000" w:sz="10" w:space="0"/>
            </w:tcBorders>
            <w:vAlign w:val="top"/>
          </w:tcPr>
          <w:p w14:paraId="07485CF7">
            <w:pPr>
              <w:spacing w:line="305" w:lineRule="auto"/>
              <w:rPr>
                <w:rFonts w:ascii="Arial"/>
                <w:sz w:val="21"/>
              </w:rPr>
            </w:pPr>
          </w:p>
          <w:p w14:paraId="171DD521">
            <w:pPr>
              <w:spacing w:before="58" w:line="195" w:lineRule="auto"/>
              <w:ind w:left="14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90" w:type="dxa"/>
            <w:vAlign w:val="top"/>
          </w:tcPr>
          <w:p w14:paraId="2072614E">
            <w:pPr>
              <w:pStyle w:val="6"/>
              <w:spacing w:before="55" w:line="228" w:lineRule="auto"/>
              <w:ind w:left="10"/>
            </w:pPr>
            <w:r>
              <w:rPr>
                <w:spacing w:val="8"/>
              </w:rPr>
              <w:t>湖南许丰现代</w:t>
            </w:r>
          </w:p>
          <w:p w14:paraId="7363060F">
            <w:pPr>
              <w:pStyle w:val="6"/>
              <w:spacing w:before="26" w:line="228" w:lineRule="auto"/>
              <w:ind w:left="10"/>
            </w:pPr>
            <w:r>
              <w:rPr>
                <w:spacing w:val="8"/>
              </w:rPr>
              <w:t>农业股份有限</w:t>
            </w:r>
          </w:p>
          <w:p w14:paraId="27E855A7">
            <w:pPr>
              <w:pStyle w:val="6"/>
              <w:spacing w:before="25" w:line="207" w:lineRule="auto"/>
              <w:ind w:left="437"/>
            </w:pPr>
            <w:r>
              <w:rPr>
                <w:spacing w:val="1"/>
              </w:rPr>
              <w:t>公司</w:t>
            </w:r>
          </w:p>
        </w:tc>
        <w:tc>
          <w:tcPr>
            <w:tcW w:w="2918" w:type="dxa"/>
            <w:vAlign w:val="top"/>
          </w:tcPr>
          <w:p w14:paraId="7B2476BE">
            <w:pPr>
              <w:pStyle w:val="6"/>
              <w:spacing w:before="55" w:line="228" w:lineRule="auto"/>
              <w:ind w:left="44"/>
            </w:pPr>
            <w:r>
              <w:rPr>
                <w:spacing w:val="6"/>
              </w:rPr>
              <w:t>年产</w:t>
            </w:r>
            <w:r>
              <w:rPr>
                <w:rFonts w:ascii="Times New Roman" w:hAnsi="Times New Roman" w:eastAsia="Times New Roman" w:cs="Times New Roman"/>
                <w:spacing w:val="6"/>
              </w:rPr>
              <w:t>2000</w:t>
            </w:r>
            <w:r>
              <w:rPr>
                <w:spacing w:val="6"/>
              </w:rPr>
              <w:t>吨龙牙百合系列产品</w:t>
            </w:r>
          </w:p>
          <w:p w14:paraId="437C3F6B">
            <w:pPr>
              <w:pStyle w:val="6"/>
              <w:spacing w:before="26" w:line="228" w:lineRule="auto"/>
              <w:ind w:left="24"/>
            </w:pPr>
            <w:r>
              <w:rPr>
                <w:spacing w:val="5"/>
              </w:rPr>
              <w:t>（实际是电商平台，仅进行产品</w:t>
            </w:r>
          </w:p>
          <w:p w14:paraId="6CDAD590">
            <w:pPr>
              <w:pStyle w:val="6"/>
              <w:spacing w:before="25" w:line="207" w:lineRule="auto"/>
              <w:ind w:left="1148"/>
            </w:pPr>
            <w:r>
              <w:rPr>
                <w:spacing w:val="2"/>
              </w:rPr>
              <w:t>销售）</w:t>
            </w:r>
          </w:p>
        </w:tc>
        <w:tc>
          <w:tcPr>
            <w:tcW w:w="1630" w:type="dxa"/>
            <w:vAlign w:val="top"/>
          </w:tcPr>
          <w:p w14:paraId="623B7395">
            <w:pPr>
              <w:pStyle w:val="6"/>
              <w:spacing w:before="191" w:line="228" w:lineRule="auto"/>
              <w:ind w:left="142"/>
            </w:pPr>
            <w:r>
              <w:rPr>
                <w:spacing w:val="6"/>
              </w:rPr>
              <w:t>邵市环评（</w:t>
            </w:r>
            <w:r>
              <w:rPr>
                <w:rFonts w:ascii="Times New Roman" w:hAnsi="Times New Roman" w:eastAsia="Times New Roman" w:cs="Times New Roman"/>
                <w:spacing w:val="6"/>
              </w:rPr>
              <w:t>4</w:t>
            </w:r>
            <w:r>
              <w:rPr>
                <w:spacing w:val="6"/>
              </w:rPr>
              <w:t>）</w:t>
            </w:r>
          </w:p>
          <w:p w14:paraId="64A609A5">
            <w:pPr>
              <w:pStyle w:val="6"/>
              <w:spacing w:before="24" w:line="229" w:lineRule="auto"/>
              <w:ind w:left="196"/>
            </w:pPr>
            <w:r>
              <w:rPr>
                <w:spacing w:val="1"/>
              </w:rPr>
              <w:t>〔</w:t>
            </w:r>
            <w:r>
              <w:rPr>
                <w:rFonts w:ascii="Times New Roman" w:hAnsi="Times New Roman" w:eastAsia="Times New Roman" w:cs="Times New Roman"/>
                <w:spacing w:val="1"/>
              </w:rPr>
              <w:t>2021</w:t>
            </w:r>
            <w:r>
              <w:rPr>
                <w:spacing w:val="1"/>
              </w:rPr>
              <w:t>〕</w:t>
            </w:r>
            <w:r>
              <w:rPr>
                <w:rFonts w:ascii="Times New Roman" w:hAnsi="Times New Roman" w:eastAsia="Times New Roman" w:cs="Times New Roman"/>
                <w:spacing w:val="1"/>
              </w:rPr>
              <w:t>36</w:t>
            </w:r>
            <w:r>
              <w:rPr>
                <w:spacing w:val="1"/>
              </w:rPr>
              <w:t>号</w:t>
            </w:r>
          </w:p>
        </w:tc>
        <w:tc>
          <w:tcPr>
            <w:tcW w:w="1555" w:type="dxa"/>
            <w:vAlign w:val="top"/>
          </w:tcPr>
          <w:p w14:paraId="348E7B70">
            <w:pPr>
              <w:spacing w:line="301" w:lineRule="auto"/>
              <w:rPr>
                <w:rFonts w:ascii="Arial"/>
                <w:sz w:val="21"/>
              </w:rPr>
            </w:pPr>
          </w:p>
          <w:p w14:paraId="46352A1A">
            <w:pPr>
              <w:spacing w:before="58"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32" w:type="dxa"/>
            <w:tcBorders>
              <w:right w:val="single" w:color="000000" w:sz="10" w:space="0"/>
            </w:tcBorders>
            <w:vAlign w:val="top"/>
          </w:tcPr>
          <w:p w14:paraId="0A34172D">
            <w:pPr>
              <w:spacing w:line="262" w:lineRule="auto"/>
              <w:rPr>
                <w:rFonts w:ascii="Arial"/>
                <w:sz w:val="21"/>
              </w:rPr>
            </w:pPr>
          </w:p>
          <w:p w14:paraId="2EBF9C51">
            <w:pPr>
              <w:pStyle w:val="6"/>
              <w:spacing w:before="65" w:line="228" w:lineRule="auto"/>
              <w:ind w:left="165"/>
            </w:pPr>
            <w:r>
              <w:rPr>
                <w:spacing w:val="4"/>
              </w:rPr>
              <w:t>运行</w:t>
            </w:r>
          </w:p>
        </w:tc>
      </w:tr>
      <w:tr w14:paraId="0C08D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413" w:type="dxa"/>
            <w:tcBorders>
              <w:left w:val="single" w:color="000000" w:sz="10" w:space="0"/>
            </w:tcBorders>
            <w:vAlign w:val="top"/>
          </w:tcPr>
          <w:p w14:paraId="553D4F65">
            <w:pPr>
              <w:spacing w:before="233" w:line="192"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90" w:type="dxa"/>
            <w:vAlign w:val="top"/>
          </w:tcPr>
          <w:p w14:paraId="08FFA59D">
            <w:pPr>
              <w:pStyle w:val="6"/>
              <w:spacing w:before="57" w:line="228" w:lineRule="auto"/>
              <w:ind w:left="24"/>
            </w:pPr>
            <w:r>
              <w:rPr>
                <w:spacing w:val="6"/>
              </w:rPr>
              <w:t>隆回三云制衣</w:t>
            </w:r>
          </w:p>
          <w:p w14:paraId="5F0EFBE7">
            <w:pPr>
              <w:pStyle w:val="6"/>
              <w:spacing w:before="27" w:line="204" w:lineRule="auto"/>
              <w:ind w:left="222"/>
            </w:pPr>
            <w:r>
              <w:rPr>
                <w:spacing w:val="7"/>
              </w:rPr>
              <w:t>有限公司</w:t>
            </w:r>
          </w:p>
        </w:tc>
        <w:tc>
          <w:tcPr>
            <w:tcW w:w="2918" w:type="dxa"/>
            <w:vAlign w:val="top"/>
          </w:tcPr>
          <w:p w14:paraId="656E8F2C">
            <w:pPr>
              <w:pStyle w:val="6"/>
              <w:spacing w:before="192" w:line="227" w:lineRule="auto"/>
              <w:ind w:left="516"/>
            </w:pPr>
            <w:r>
              <w:rPr>
                <w:spacing w:val="8"/>
              </w:rPr>
              <w:t>运动机织服装的生产</w:t>
            </w:r>
          </w:p>
        </w:tc>
        <w:tc>
          <w:tcPr>
            <w:tcW w:w="1630" w:type="dxa"/>
            <w:vAlign w:val="top"/>
          </w:tcPr>
          <w:p w14:paraId="3678EDA8">
            <w:pPr>
              <w:pStyle w:val="6"/>
              <w:spacing w:before="192" w:line="228" w:lineRule="auto"/>
              <w:ind w:left="511"/>
            </w:pPr>
            <w:r>
              <w:rPr>
                <w:spacing w:val="6"/>
              </w:rPr>
              <w:t>名录外</w:t>
            </w:r>
          </w:p>
        </w:tc>
        <w:tc>
          <w:tcPr>
            <w:tcW w:w="1555" w:type="dxa"/>
            <w:vAlign w:val="top"/>
          </w:tcPr>
          <w:p w14:paraId="39599AA9">
            <w:pPr>
              <w:spacing w:before="108" w:line="232" w:lineRule="auto"/>
              <w:ind w:left="176" w:right="35" w:hanging="12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91430524</w:t>
            </w:r>
            <w:r>
              <w:rPr>
                <w:rFonts w:ascii="Times New Roman" w:hAnsi="Times New Roman" w:eastAsia="Times New Roman" w:cs="Times New Roman"/>
                <w:sz w:val="20"/>
                <w:szCs w:val="20"/>
              </w:rPr>
              <w:t>MA</w:t>
            </w:r>
            <w:r>
              <w:rPr>
                <w:rFonts w:ascii="Times New Roman" w:hAnsi="Times New Roman" w:eastAsia="Times New Roman" w:cs="Times New Roman"/>
                <w:spacing w:val="5"/>
                <w:sz w:val="20"/>
                <w:szCs w:val="20"/>
              </w:rPr>
              <w:t>4M</w:t>
            </w:r>
            <w:r>
              <w:rPr>
                <w:rFonts w:ascii="Times New Roman" w:hAnsi="Times New Roman" w:eastAsia="Times New Roman" w:cs="Times New Roman"/>
                <w:spacing w:val="7"/>
                <w:sz w:val="20"/>
                <w:szCs w:val="20"/>
              </w:rPr>
              <w:t>7</w:t>
            </w:r>
            <w:r>
              <w:rPr>
                <w:rFonts w:ascii="Times New Roman" w:hAnsi="Times New Roman" w:eastAsia="Times New Roman" w:cs="Times New Roman"/>
                <w:sz w:val="20"/>
                <w:szCs w:val="20"/>
              </w:rPr>
              <w:t>NQC</w:t>
            </w:r>
            <w:r>
              <w:rPr>
                <w:rFonts w:ascii="Times New Roman" w:hAnsi="Times New Roman" w:eastAsia="Times New Roman" w:cs="Times New Roman"/>
                <w:spacing w:val="7"/>
                <w:sz w:val="20"/>
                <w:szCs w:val="20"/>
              </w:rPr>
              <w:t>95001Y</w:t>
            </w:r>
          </w:p>
        </w:tc>
        <w:tc>
          <w:tcPr>
            <w:tcW w:w="732" w:type="dxa"/>
            <w:tcBorders>
              <w:right w:val="single" w:color="000000" w:sz="10" w:space="0"/>
            </w:tcBorders>
            <w:vAlign w:val="top"/>
          </w:tcPr>
          <w:p w14:paraId="6C998158">
            <w:pPr>
              <w:pStyle w:val="6"/>
              <w:spacing w:before="192" w:line="228" w:lineRule="auto"/>
              <w:ind w:left="165"/>
            </w:pPr>
            <w:r>
              <w:rPr>
                <w:spacing w:val="4"/>
              </w:rPr>
              <w:t>运行</w:t>
            </w:r>
          </w:p>
        </w:tc>
      </w:tr>
      <w:tr w14:paraId="5B716C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413" w:type="dxa"/>
            <w:tcBorders>
              <w:left w:val="single" w:color="000000" w:sz="10" w:space="0"/>
            </w:tcBorders>
            <w:vAlign w:val="top"/>
          </w:tcPr>
          <w:p w14:paraId="70D95317">
            <w:pPr>
              <w:spacing w:before="231" w:line="195" w:lineRule="auto"/>
              <w:ind w:left="145"/>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290" w:type="dxa"/>
            <w:vAlign w:val="top"/>
          </w:tcPr>
          <w:p w14:paraId="038BAC5D">
            <w:pPr>
              <w:pStyle w:val="6"/>
              <w:spacing w:before="58" w:line="228" w:lineRule="auto"/>
              <w:ind w:left="10"/>
            </w:pPr>
            <w:r>
              <w:rPr>
                <w:spacing w:val="8"/>
              </w:rPr>
              <w:t>湖南大燕皮草</w:t>
            </w:r>
          </w:p>
          <w:p w14:paraId="4457CF24">
            <w:pPr>
              <w:pStyle w:val="6"/>
              <w:spacing w:before="26" w:line="204" w:lineRule="auto"/>
              <w:ind w:left="10"/>
            </w:pPr>
            <w:r>
              <w:rPr>
                <w:spacing w:val="8"/>
              </w:rPr>
              <w:t>服饰有限公司</w:t>
            </w:r>
          </w:p>
        </w:tc>
        <w:tc>
          <w:tcPr>
            <w:tcW w:w="2918" w:type="dxa"/>
            <w:vAlign w:val="top"/>
          </w:tcPr>
          <w:p w14:paraId="7770CCD7">
            <w:pPr>
              <w:pStyle w:val="6"/>
              <w:spacing w:before="195" w:line="228" w:lineRule="auto"/>
              <w:ind w:left="464"/>
            </w:pPr>
            <w:r>
              <w:rPr>
                <w:spacing w:val="5"/>
              </w:rPr>
              <w:t>年产</w:t>
            </w:r>
            <w:r>
              <w:rPr>
                <w:rFonts w:ascii="Times New Roman" w:hAnsi="Times New Roman" w:eastAsia="Times New Roman" w:cs="Times New Roman"/>
                <w:spacing w:val="5"/>
              </w:rPr>
              <w:t>6000</w:t>
            </w:r>
            <w:r>
              <w:rPr>
                <w:spacing w:val="5"/>
              </w:rPr>
              <w:t>件貂皮大衣</w:t>
            </w:r>
          </w:p>
        </w:tc>
        <w:tc>
          <w:tcPr>
            <w:tcW w:w="1630" w:type="dxa"/>
            <w:vAlign w:val="top"/>
          </w:tcPr>
          <w:p w14:paraId="2DAD3EA5">
            <w:pPr>
              <w:pStyle w:val="6"/>
              <w:spacing w:before="58" w:line="228" w:lineRule="auto"/>
              <w:ind w:left="76" w:right="50" w:firstLine="12"/>
            </w:pPr>
            <w:r>
              <w:rPr>
                <w:spacing w:val="8"/>
              </w:rPr>
              <w:t>邵生环隆分环评</w:t>
            </w:r>
            <w:r>
              <w:rPr>
                <w:spacing w:val="3"/>
              </w:rPr>
              <w:t>函〔</w:t>
            </w:r>
            <w:r>
              <w:rPr>
                <w:rFonts w:ascii="Times New Roman" w:hAnsi="Times New Roman" w:eastAsia="Times New Roman" w:cs="Times New Roman"/>
                <w:spacing w:val="3"/>
              </w:rPr>
              <w:t>2019</w:t>
            </w:r>
            <w:r>
              <w:rPr>
                <w:spacing w:val="3"/>
              </w:rPr>
              <w:t>〕</w:t>
            </w:r>
            <w:r>
              <w:rPr>
                <w:rFonts w:ascii="Times New Roman" w:hAnsi="Times New Roman" w:eastAsia="Times New Roman" w:cs="Times New Roman"/>
                <w:spacing w:val="3"/>
              </w:rPr>
              <w:t>39</w:t>
            </w:r>
            <w:r>
              <w:rPr>
                <w:spacing w:val="3"/>
              </w:rPr>
              <w:t>号</w:t>
            </w:r>
          </w:p>
        </w:tc>
        <w:tc>
          <w:tcPr>
            <w:tcW w:w="1555" w:type="dxa"/>
            <w:vAlign w:val="top"/>
          </w:tcPr>
          <w:p w14:paraId="630F4B2F">
            <w:pPr>
              <w:spacing w:before="112" w:line="230" w:lineRule="auto"/>
              <w:ind w:left="230" w:right="4" w:hanging="204"/>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91430524</w:t>
            </w:r>
            <w:r>
              <w:rPr>
                <w:rFonts w:ascii="Times New Roman" w:hAnsi="Times New Roman" w:eastAsia="Times New Roman" w:cs="Times New Roman"/>
                <w:sz w:val="20"/>
                <w:szCs w:val="20"/>
              </w:rPr>
              <w:t>MA</w:t>
            </w:r>
            <w:r>
              <w:rPr>
                <w:rFonts w:ascii="Times New Roman" w:hAnsi="Times New Roman" w:eastAsia="Times New Roman" w:cs="Times New Roman"/>
                <w:spacing w:val="6"/>
                <w:sz w:val="20"/>
                <w:szCs w:val="20"/>
              </w:rPr>
              <w:t>4</w:t>
            </w:r>
            <w:r>
              <w:rPr>
                <w:rFonts w:ascii="Times New Roman" w:hAnsi="Times New Roman" w:eastAsia="Times New Roman" w:cs="Times New Roman"/>
                <w:sz w:val="20"/>
                <w:szCs w:val="20"/>
              </w:rPr>
              <w:t>PEXRC</w:t>
            </w:r>
            <w:r>
              <w:rPr>
                <w:rFonts w:ascii="Times New Roman" w:hAnsi="Times New Roman" w:eastAsia="Times New Roman" w:cs="Times New Roman"/>
                <w:spacing w:val="8"/>
                <w:sz w:val="20"/>
                <w:szCs w:val="20"/>
              </w:rPr>
              <w:t>36001X</w:t>
            </w:r>
          </w:p>
        </w:tc>
        <w:tc>
          <w:tcPr>
            <w:tcW w:w="732" w:type="dxa"/>
            <w:tcBorders>
              <w:right w:val="single" w:color="000000" w:sz="10" w:space="0"/>
            </w:tcBorders>
            <w:vAlign w:val="top"/>
          </w:tcPr>
          <w:p w14:paraId="5482221D">
            <w:pPr>
              <w:pStyle w:val="6"/>
              <w:spacing w:before="195" w:line="228" w:lineRule="auto"/>
              <w:ind w:left="165"/>
            </w:pPr>
            <w:r>
              <w:rPr>
                <w:spacing w:val="4"/>
              </w:rPr>
              <w:t>运行</w:t>
            </w:r>
          </w:p>
        </w:tc>
      </w:tr>
      <w:tr w14:paraId="01D47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413" w:type="dxa"/>
            <w:tcBorders>
              <w:left w:val="single" w:color="000000" w:sz="10" w:space="0"/>
            </w:tcBorders>
            <w:vAlign w:val="top"/>
          </w:tcPr>
          <w:p w14:paraId="0D1A11F1">
            <w:pPr>
              <w:spacing w:before="235" w:line="192" w:lineRule="auto"/>
              <w:ind w:left="144"/>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290" w:type="dxa"/>
            <w:vAlign w:val="top"/>
          </w:tcPr>
          <w:p w14:paraId="40E68E60">
            <w:pPr>
              <w:pStyle w:val="6"/>
              <w:spacing w:before="62" w:line="228" w:lineRule="auto"/>
              <w:ind w:left="10"/>
            </w:pPr>
            <w:r>
              <w:rPr>
                <w:spacing w:val="8"/>
              </w:rPr>
              <w:t>湖南和亚运动</w:t>
            </w:r>
          </w:p>
          <w:p w14:paraId="0B6B526E">
            <w:pPr>
              <w:pStyle w:val="6"/>
              <w:spacing w:before="23" w:line="202" w:lineRule="auto"/>
              <w:ind w:left="12"/>
            </w:pPr>
            <w:r>
              <w:rPr>
                <w:spacing w:val="7"/>
              </w:rPr>
              <w:t>用品有限公司</w:t>
            </w:r>
          </w:p>
        </w:tc>
        <w:tc>
          <w:tcPr>
            <w:tcW w:w="2918" w:type="dxa"/>
            <w:vAlign w:val="top"/>
          </w:tcPr>
          <w:p w14:paraId="0F35F81F">
            <w:pPr>
              <w:pStyle w:val="6"/>
              <w:spacing w:before="195" w:line="228" w:lineRule="auto"/>
              <w:ind w:left="516"/>
            </w:pPr>
            <w:r>
              <w:rPr>
                <w:spacing w:val="6"/>
              </w:rPr>
              <w:t>年产</w:t>
            </w:r>
            <w:r>
              <w:rPr>
                <w:rFonts w:ascii="Times New Roman" w:hAnsi="Times New Roman" w:eastAsia="Times New Roman" w:cs="Times New Roman"/>
                <w:spacing w:val="6"/>
              </w:rPr>
              <w:t>400</w:t>
            </w:r>
            <w:r>
              <w:rPr>
                <w:spacing w:val="6"/>
              </w:rPr>
              <w:t>万双运动鞋</w:t>
            </w:r>
          </w:p>
        </w:tc>
        <w:tc>
          <w:tcPr>
            <w:tcW w:w="1630" w:type="dxa"/>
            <w:vAlign w:val="top"/>
          </w:tcPr>
          <w:p w14:paraId="39AAEB45">
            <w:pPr>
              <w:pStyle w:val="6"/>
              <w:spacing w:before="62" w:line="226" w:lineRule="auto"/>
              <w:ind w:left="573" w:hanging="538"/>
            </w:pPr>
            <w:r>
              <w:rPr>
                <w:spacing w:val="-2"/>
              </w:rPr>
              <w:t>隆环评函〔</w:t>
            </w:r>
            <w:r>
              <w:rPr>
                <w:rFonts w:ascii="Times New Roman" w:hAnsi="Times New Roman" w:eastAsia="Times New Roman" w:cs="Times New Roman"/>
                <w:spacing w:val="-2"/>
              </w:rPr>
              <w:t>2017</w:t>
            </w:r>
            <w:r>
              <w:rPr>
                <w:spacing w:val="-2"/>
              </w:rPr>
              <w:t>〕</w:t>
            </w:r>
            <w:r>
              <w:rPr>
                <w:rFonts w:ascii="Times New Roman" w:hAnsi="Times New Roman" w:eastAsia="Times New Roman" w:cs="Times New Roman"/>
                <w:spacing w:val="1"/>
              </w:rPr>
              <w:t>40</w:t>
            </w:r>
            <w:r>
              <w:rPr>
                <w:spacing w:val="1"/>
              </w:rPr>
              <w:t>号</w:t>
            </w:r>
          </w:p>
        </w:tc>
        <w:tc>
          <w:tcPr>
            <w:tcW w:w="1555" w:type="dxa"/>
            <w:vAlign w:val="top"/>
          </w:tcPr>
          <w:p w14:paraId="40D08F5E">
            <w:pPr>
              <w:spacing w:before="113" w:line="229" w:lineRule="auto"/>
              <w:ind w:left="352" w:right="32" w:hanging="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91430524563517978F001Z</w:t>
            </w:r>
          </w:p>
        </w:tc>
        <w:tc>
          <w:tcPr>
            <w:tcW w:w="732" w:type="dxa"/>
            <w:tcBorders>
              <w:right w:val="single" w:color="000000" w:sz="10" w:space="0"/>
            </w:tcBorders>
            <w:vAlign w:val="top"/>
          </w:tcPr>
          <w:p w14:paraId="747F1002">
            <w:pPr>
              <w:pStyle w:val="6"/>
              <w:spacing w:before="196" w:line="228" w:lineRule="auto"/>
              <w:ind w:left="165"/>
            </w:pPr>
            <w:r>
              <w:rPr>
                <w:spacing w:val="4"/>
              </w:rPr>
              <w:t>运行</w:t>
            </w:r>
          </w:p>
        </w:tc>
      </w:tr>
      <w:tr w14:paraId="59671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413" w:type="dxa"/>
            <w:tcBorders>
              <w:left w:val="single" w:color="000000" w:sz="10" w:space="0"/>
            </w:tcBorders>
            <w:vAlign w:val="top"/>
          </w:tcPr>
          <w:p w14:paraId="6A99EBE1">
            <w:pPr>
              <w:spacing w:before="236" w:line="195" w:lineRule="auto"/>
              <w:ind w:left="149"/>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290" w:type="dxa"/>
            <w:vAlign w:val="top"/>
          </w:tcPr>
          <w:p w14:paraId="1B7EDED7">
            <w:pPr>
              <w:pStyle w:val="6"/>
              <w:spacing w:before="63" w:line="226" w:lineRule="auto"/>
              <w:ind w:left="115" w:right="24" w:hanging="91"/>
            </w:pPr>
            <w:r>
              <w:rPr>
                <w:spacing w:val="6"/>
              </w:rPr>
              <w:t>隆回华皮匠鞋</w:t>
            </w:r>
            <w:r>
              <w:rPr>
                <w:spacing w:val="8"/>
              </w:rPr>
              <w:t>业有限公司</w:t>
            </w:r>
          </w:p>
        </w:tc>
        <w:tc>
          <w:tcPr>
            <w:tcW w:w="2918" w:type="dxa"/>
            <w:vAlign w:val="top"/>
          </w:tcPr>
          <w:p w14:paraId="084060FF">
            <w:pPr>
              <w:pStyle w:val="6"/>
              <w:spacing w:before="200" w:line="228" w:lineRule="auto"/>
              <w:ind w:left="202"/>
            </w:pPr>
            <w:r>
              <w:rPr>
                <w:spacing w:val="7"/>
              </w:rPr>
              <w:t>年产各类时装皮鞋</w:t>
            </w:r>
            <w:r>
              <w:rPr>
                <w:rFonts w:ascii="Times New Roman" w:hAnsi="Times New Roman" w:eastAsia="Times New Roman" w:cs="Times New Roman"/>
                <w:spacing w:val="7"/>
              </w:rPr>
              <w:t>200</w:t>
            </w:r>
            <w:r>
              <w:rPr>
                <w:spacing w:val="7"/>
              </w:rPr>
              <w:t>万双</w:t>
            </w:r>
          </w:p>
        </w:tc>
        <w:tc>
          <w:tcPr>
            <w:tcW w:w="1630" w:type="dxa"/>
            <w:vAlign w:val="top"/>
          </w:tcPr>
          <w:p w14:paraId="27B696E7">
            <w:pPr>
              <w:pStyle w:val="6"/>
              <w:spacing w:before="63" w:line="228" w:lineRule="auto"/>
              <w:ind w:left="416"/>
            </w:pPr>
            <w:r>
              <w:rPr>
                <w:spacing w:val="4"/>
              </w:rPr>
              <w:t>隆环评函</w:t>
            </w:r>
          </w:p>
          <w:p w14:paraId="23186701">
            <w:pPr>
              <w:pStyle w:val="6"/>
              <w:spacing w:before="27" w:line="199" w:lineRule="auto"/>
              <w:ind w:left="316"/>
            </w:pPr>
            <w:r>
              <w:rPr>
                <w:rFonts w:ascii="Times New Roman" w:hAnsi="Times New Roman" w:eastAsia="Times New Roman" w:cs="Times New Roman"/>
                <w:spacing w:val="2"/>
              </w:rPr>
              <w:t>[2013]60</w:t>
            </w:r>
            <w:r>
              <w:rPr>
                <w:spacing w:val="2"/>
              </w:rPr>
              <w:t>号</w:t>
            </w:r>
          </w:p>
        </w:tc>
        <w:tc>
          <w:tcPr>
            <w:tcW w:w="1555" w:type="dxa"/>
            <w:vAlign w:val="top"/>
          </w:tcPr>
          <w:p w14:paraId="76D80703">
            <w:pPr>
              <w:spacing w:before="116" w:line="228" w:lineRule="auto"/>
              <w:ind w:left="348" w:right="32" w:hanging="29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914305240580113789001Y</w:t>
            </w:r>
          </w:p>
        </w:tc>
        <w:tc>
          <w:tcPr>
            <w:tcW w:w="732" w:type="dxa"/>
            <w:tcBorders>
              <w:right w:val="single" w:color="000000" w:sz="10" w:space="0"/>
            </w:tcBorders>
            <w:vAlign w:val="top"/>
          </w:tcPr>
          <w:p w14:paraId="576EAC44">
            <w:pPr>
              <w:pStyle w:val="6"/>
              <w:spacing w:before="200" w:line="228" w:lineRule="auto"/>
              <w:ind w:left="165"/>
            </w:pPr>
            <w:r>
              <w:rPr>
                <w:spacing w:val="4"/>
              </w:rPr>
              <w:t>运行</w:t>
            </w:r>
          </w:p>
        </w:tc>
      </w:tr>
      <w:tr w14:paraId="150B07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413" w:type="dxa"/>
            <w:tcBorders>
              <w:left w:val="single" w:color="000000" w:sz="10" w:space="0"/>
            </w:tcBorders>
            <w:vAlign w:val="top"/>
          </w:tcPr>
          <w:p w14:paraId="3D4BCD6F">
            <w:pPr>
              <w:spacing w:line="314" w:lineRule="auto"/>
              <w:rPr>
                <w:rFonts w:ascii="Arial"/>
                <w:sz w:val="21"/>
              </w:rPr>
            </w:pPr>
          </w:p>
          <w:p w14:paraId="1A4C0773">
            <w:pPr>
              <w:spacing w:before="58" w:line="195" w:lineRule="auto"/>
              <w:ind w:left="145"/>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290" w:type="dxa"/>
            <w:vAlign w:val="top"/>
          </w:tcPr>
          <w:p w14:paraId="2F2D0F0C">
            <w:pPr>
              <w:pStyle w:val="6"/>
              <w:spacing w:before="64" w:line="228" w:lineRule="auto"/>
              <w:ind w:left="10"/>
            </w:pPr>
            <w:r>
              <w:rPr>
                <w:spacing w:val="8"/>
              </w:rPr>
              <w:t>湖南和丰信运</w:t>
            </w:r>
          </w:p>
          <w:p w14:paraId="46E65020">
            <w:pPr>
              <w:pStyle w:val="6"/>
              <w:spacing w:before="27" w:line="228" w:lineRule="auto"/>
              <w:ind w:left="11"/>
            </w:pPr>
            <w:r>
              <w:rPr>
                <w:spacing w:val="8"/>
              </w:rPr>
              <w:t>动用品有限公</w:t>
            </w:r>
          </w:p>
          <w:p w14:paraId="63F97B95">
            <w:pPr>
              <w:pStyle w:val="6"/>
              <w:spacing w:before="23" w:line="199" w:lineRule="auto"/>
              <w:ind w:left="544"/>
            </w:pPr>
            <w:r>
              <w:t>司</w:t>
            </w:r>
          </w:p>
        </w:tc>
        <w:tc>
          <w:tcPr>
            <w:tcW w:w="2918" w:type="dxa"/>
            <w:vAlign w:val="top"/>
          </w:tcPr>
          <w:p w14:paraId="01B2F030">
            <w:pPr>
              <w:spacing w:line="271" w:lineRule="auto"/>
              <w:rPr>
                <w:rFonts w:ascii="Arial"/>
                <w:sz w:val="21"/>
              </w:rPr>
            </w:pPr>
          </w:p>
          <w:p w14:paraId="06F62070">
            <w:pPr>
              <w:pStyle w:val="6"/>
              <w:spacing w:before="65" w:line="228" w:lineRule="auto"/>
              <w:ind w:left="464"/>
            </w:pPr>
            <w:r>
              <w:rPr>
                <w:spacing w:val="3"/>
              </w:rPr>
              <w:t>年产</w:t>
            </w:r>
            <w:r>
              <w:rPr>
                <w:rFonts w:ascii="Times New Roman" w:hAnsi="Times New Roman" w:eastAsia="Times New Roman" w:cs="Times New Roman"/>
                <w:spacing w:val="3"/>
              </w:rPr>
              <w:t>1200</w:t>
            </w:r>
            <w:r>
              <w:rPr>
                <w:spacing w:val="3"/>
              </w:rPr>
              <w:t>万双运动鞋</w:t>
            </w:r>
          </w:p>
        </w:tc>
        <w:tc>
          <w:tcPr>
            <w:tcW w:w="1630" w:type="dxa"/>
            <w:vAlign w:val="top"/>
          </w:tcPr>
          <w:p w14:paraId="465A159E">
            <w:pPr>
              <w:pStyle w:val="6"/>
              <w:spacing w:before="202" w:line="252" w:lineRule="auto"/>
              <w:ind w:left="76" w:right="50" w:firstLine="12"/>
            </w:pPr>
            <w:r>
              <w:rPr>
                <w:spacing w:val="8"/>
              </w:rPr>
              <w:t>邵生环隆分环评</w:t>
            </w:r>
            <w:r>
              <w:rPr>
                <w:spacing w:val="3"/>
              </w:rPr>
              <w:t>函〔</w:t>
            </w:r>
            <w:r>
              <w:rPr>
                <w:rFonts w:ascii="Times New Roman" w:hAnsi="Times New Roman" w:eastAsia="Times New Roman" w:cs="Times New Roman"/>
                <w:spacing w:val="3"/>
              </w:rPr>
              <w:t>2020</w:t>
            </w:r>
            <w:r>
              <w:rPr>
                <w:spacing w:val="3"/>
              </w:rPr>
              <w:t>〕</w:t>
            </w:r>
            <w:r>
              <w:rPr>
                <w:rFonts w:ascii="Times New Roman" w:hAnsi="Times New Roman" w:eastAsia="Times New Roman" w:cs="Times New Roman"/>
                <w:spacing w:val="3"/>
              </w:rPr>
              <w:t>13</w:t>
            </w:r>
            <w:r>
              <w:rPr>
                <w:spacing w:val="3"/>
              </w:rPr>
              <w:t>号</w:t>
            </w:r>
          </w:p>
        </w:tc>
        <w:tc>
          <w:tcPr>
            <w:tcW w:w="1555" w:type="dxa"/>
            <w:vAlign w:val="top"/>
          </w:tcPr>
          <w:p w14:paraId="005BC513">
            <w:pPr>
              <w:spacing w:line="310" w:lineRule="auto"/>
              <w:rPr>
                <w:rFonts w:ascii="Arial"/>
                <w:sz w:val="21"/>
              </w:rPr>
            </w:pPr>
          </w:p>
          <w:p w14:paraId="6CC0CA32">
            <w:pPr>
              <w:spacing w:before="58"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32" w:type="dxa"/>
            <w:tcBorders>
              <w:right w:val="single" w:color="000000" w:sz="10" w:space="0"/>
            </w:tcBorders>
            <w:vAlign w:val="top"/>
          </w:tcPr>
          <w:p w14:paraId="2D0946E0">
            <w:pPr>
              <w:spacing w:line="271" w:lineRule="auto"/>
              <w:rPr>
                <w:rFonts w:ascii="Arial"/>
                <w:sz w:val="21"/>
              </w:rPr>
            </w:pPr>
          </w:p>
          <w:p w14:paraId="1876943A">
            <w:pPr>
              <w:pStyle w:val="6"/>
              <w:spacing w:before="65" w:line="228" w:lineRule="auto"/>
              <w:ind w:left="165"/>
            </w:pPr>
            <w:r>
              <w:rPr>
                <w:spacing w:val="4"/>
              </w:rPr>
              <w:t>运行</w:t>
            </w:r>
          </w:p>
        </w:tc>
      </w:tr>
      <w:tr w14:paraId="0A981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413" w:type="dxa"/>
            <w:tcBorders>
              <w:left w:val="single" w:color="000000" w:sz="10" w:space="0"/>
            </w:tcBorders>
            <w:vAlign w:val="top"/>
          </w:tcPr>
          <w:p w14:paraId="4C237454">
            <w:pPr>
              <w:spacing w:line="316" w:lineRule="auto"/>
              <w:rPr>
                <w:rFonts w:ascii="Arial"/>
                <w:sz w:val="21"/>
              </w:rPr>
            </w:pPr>
          </w:p>
          <w:p w14:paraId="7CF5C3E6">
            <w:pPr>
              <w:spacing w:before="58" w:line="195" w:lineRule="auto"/>
              <w:ind w:left="10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290" w:type="dxa"/>
            <w:vAlign w:val="top"/>
          </w:tcPr>
          <w:p w14:paraId="08E1F4AF">
            <w:pPr>
              <w:pStyle w:val="6"/>
              <w:spacing w:before="66" w:line="229" w:lineRule="auto"/>
              <w:ind w:left="10"/>
            </w:pPr>
            <w:r>
              <w:rPr>
                <w:spacing w:val="8"/>
              </w:rPr>
              <w:t>湖南和硕智联</w:t>
            </w:r>
          </w:p>
          <w:p w14:paraId="33B03EBD">
            <w:pPr>
              <w:pStyle w:val="6"/>
              <w:spacing w:before="25" w:line="228" w:lineRule="auto"/>
              <w:ind w:left="10"/>
            </w:pPr>
            <w:r>
              <w:rPr>
                <w:spacing w:val="8"/>
              </w:rPr>
              <w:t>运动用品有限</w:t>
            </w:r>
          </w:p>
          <w:p w14:paraId="56CEBAC8">
            <w:pPr>
              <w:pStyle w:val="6"/>
              <w:spacing w:before="23" w:line="197" w:lineRule="auto"/>
              <w:ind w:left="437"/>
            </w:pPr>
            <w:r>
              <w:rPr>
                <w:spacing w:val="1"/>
              </w:rPr>
              <w:t>公司</w:t>
            </w:r>
          </w:p>
        </w:tc>
        <w:tc>
          <w:tcPr>
            <w:tcW w:w="2918" w:type="dxa"/>
            <w:vAlign w:val="top"/>
          </w:tcPr>
          <w:p w14:paraId="57400AB8">
            <w:pPr>
              <w:spacing w:line="273" w:lineRule="auto"/>
              <w:rPr>
                <w:rFonts w:ascii="Arial"/>
                <w:sz w:val="21"/>
              </w:rPr>
            </w:pPr>
          </w:p>
          <w:p w14:paraId="734739C6">
            <w:pPr>
              <w:pStyle w:val="6"/>
              <w:spacing w:before="65" w:line="228" w:lineRule="auto"/>
              <w:ind w:left="516"/>
            </w:pPr>
            <w:r>
              <w:rPr>
                <w:spacing w:val="5"/>
              </w:rPr>
              <w:t>年产</w:t>
            </w:r>
            <w:r>
              <w:rPr>
                <w:rFonts w:ascii="Times New Roman" w:hAnsi="Times New Roman" w:eastAsia="Times New Roman" w:cs="Times New Roman"/>
                <w:spacing w:val="5"/>
              </w:rPr>
              <w:t>500</w:t>
            </w:r>
            <w:r>
              <w:rPr>
                <w:spacing w:val="5"/>
              </w:rPr>
              <w:t>万双运动鞋</w:t>
            </w:r>
          </w:p>
        </w:tc>
        <w:tc>
          <w:tcPr>
            <w:tcW w:w="1630" w:type="dxa"/>
            <w:vAlign w:val="top"/>
          </w:tcPr>
          <w:p w14:paraId="0AC98472">
            <w:pPr>
              <w:pStyle w:val="6"/>
              <w:spacing w:before="204" w:line="252" w:lineRule="auto"/>
              <w:ind w:left="76" w:right="50" w:firstLine="12"/>
            </w:pPr>
            <w:r>
              <w:rPr>
                <w:spacing w:val="8"/>
              </w:rPr>
              <w:t>邵生环隆分环评</w:t>
            </w:r>
            <w:r>
              <w:rPr>
                <w:spacing w:val="3"/>
              </w:rPr>
              <w:t>函〔</w:t>
            </w:r>
            <w:r>
              <w:rPr>
                <w:rFonts w:ascii="Times New Roman" w:hAnsi="Times New Roman" w:eastAsia="Times New Roman" w:cs="Times New Roman"/>
                <w:spacing w:val="3"/>
              </w:rPr>
              <w:t>2019</w:t>
            </w:r>
            <w:r>
              <w:rPr>
                <w:spacing w:val="3"/>
              </w:rPr>
              <w:t>〕</w:t>
            </w:r>
            <w:r>
              <w:rPr>
                <w:rFonts w:ascii="Times New Roman" w:hAnsi="Times New Roman" w:eastAsia="Times New Roman" w:cs="Times New Roman"/>
                <w:spacing w:val="3"/>
              </w:rPr>
              <w:t>25</w:t>
            </w:r>
            <w:r>
              <w:rPr>
                <w:spacing w:val="3"/>
              </w:rPr>
              <w:t>号</w:t>
            </w:r>
          </w:p>
        </w:tc>
        <w:tc>
          <w:tcPr>
            <w:tcW w:w="1555" w:type="dxa"/>
            <w:vAlign w:val="top"/>
          </w:tcPr>
          <w:p w14:paraId="23D7070B">
            <w:pPr>
              <w:spacing w:before="256" w:line="259" w:lineRule="auto"/>
              <w:ind w:left="214" w:right="15" w:hanging="17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91430524</w:t>
            </w:r>
            <w:r>
              <w:rPr>
                <w:rFonts w:ascii="Times New Roman" w:hAnsi="Times New Roman" w:eastAsia="Times New Roman" w:cs="Times New Roman"/>
                <w:sz w:val="20"/>
                <w:szCs w:val="20"/>
              </w:rPr>
              <w:t>MA</w:t>
            </w:r>
            <w:r>
              <w:rPr>
                <w:rFonts w:ascii="Times New Roman" w:hAnsi="Times New Roman" w:eastAsia="Times New Roman" w:cs="Times New Roman"/>
                <w:spacing w:val="5"/>
                <w:sz w:val="20"/>
                <w:szCs w:val="20"/>
              </w:rPr>
              <w:t>4P7</w:t>
            </w:r>
            <w:r>
              <w:rPr>
                <w:rFonts w:ascii="Times New Roman" w:hAnsi="Times New Roman" w:eastAsia="Times New Roman" w:cs="Times New Roman"/>
                <w:sz w:val="20"/>
                <w:szCs w:val="20"/>
              </w:rPr>
              <w:t>NFR</w:t>
            </w:r>
            <w:r>
              <w:rPr>
                <w:rFonts w:ascii="Times New Roman" w:hAnsi="Times New Roman" w:eastAsia="Times New Roman" w:cs="Times New Roman"/>
                <w:spacing w:val="9"/>
                <w:sz w:val="20"/>
                <w:szCs w:val="20"/>
              </w:rPr>
              <w:t>45001W</w:t>
            </w:r>
          </w:p>
        </w:tc>
        <w:tc>
          <w:tcPr>
            <w:tcW w:w="732" w:type="dxa"/>
            <w:tcBorders>
              <w:right w:val="single" w:color="000000" w:sz="10" w:space="0"/>
            </w:tcBorders>
            <w:vAlign w:val="top"/>
          </w:tcPr>
          <w:p w14:paraId="2F15CBBE">
            <w:pPr>
              <w:spacing w:line="274" w:lineRule="auto"/>
              <w:rPr>
                <w:rFonts w:ascii="Arial"/>
                <w:sz w:val="21"/>
              </w:rPr>
            </w:pPr>
          </w:p>
          <w:p w14:paraId="60EDD32D">
            <w:pPr>
              <w:pStyle w:val="6"/>
              <w:spacing w:before="65" w:line="228" w:lineRule="auto"/>
              <w:ind w:left="165"/>
            </w:pPr>
            <w:r>
              <w:rPr>
                <w:spacing w:val="4"/>
              </w:rPr>
              <w:t>运行</w:t>
            </w:r>
          </w:p>
        </w:tc>
      </w:tr>
      <w:tr w14:paraId="39EE1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413" w:type="dxa"/>
            <w:tcBorders>
              <w:left w:val="single" w:color="000000" w:sz="10" w:space="0"/>
              <w:bottom w:val="single" w:color="000000" w:sz="10" w:space="0"/>
            </w:tcBorders>
            <w:vAlign w:val="top"/>
          </w:tcPr>
          <w:p w14:paraId="1377135A">
            <w:pPr>
              <w:spacing w:before="242" w:line="195" w:lineRule="auto"/>
              <w:ind w:left="10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1290" w:type="dxa"/>
            <w:tcBorders>
              <w:bottom w:val="single" w:color="000000" w:sz="10" w:space="0"/>
            </w:tcBorders>
            <w:vAlign w:val="top"/>
          </w:tcPr>
          <w:p w14:paraId="07117840">
            <w:pPr>
              <w:pStyle w:val="6"/>
              <w:spacing w:before="68" w:line="228" w:lineRule="auto"/>
              <w:ind w:left="24"/>
            </w:pPr>
            <w:r>
              <w:rPr>
                <w:spacing w:val="6"/>
              </w:rPr>
              <w:t>隆回连泰鞋业</w:t>
            </w:r>
          </w:p>
          <w:p w14:paraId="48CA6CDA">
            <w:pPr>
              <w:pStyle w:val="6"/>
              <w:spacing w:before="27" w:line="214" w:lineRule="auto"/>
              <w:ind w:left="222"/>
            </w:pPr>
            <w:r>
              <w:rPr>
                <w:spacing w:val="7"/>
              </w:rPr>
              <w:t>有限公司</w:t>
            </w:r>
          </w:p>
        </w:tc>
        <w:tc>
          <w:tcPr>
            <w:tcW w:w="2918" w:type="dxa"/>
            <w:tcBorders>
              <w:bottom w:val="single" w:color="000000" w:sz="10" w:space="0"/>
            </w:tcBorders>
            <w:vAlign w:val="top"/>
          </w:tcPr>
          <w:p w14:paraId="0E5EA199">
            <w:pPr>
              <w:pStyle w:val="6"/>
              <w:spacing w:before="70" w:line="233" w:lineRule="auto"/>
              <w:ind w:left="535" w:right="12" w:hanging="520"/>
            </w:pPr>
            <w:r>
              <w:rPr>
                <w:spacing w:val="-2"/>
              </w:rPr>
              <w:t>年产</w:t>
            </w:r>
            <w:r>
              <w:rPr>
                <w:rFonts w:ascii="Times New Roman" w:hAnsi="Times New Roman" w:eastAsia="Times New Roman" w:cs="Times New Roman"/>
                <w:spacing w:val="-2"/>
              </w:rPr>
              <w:t>300</w:t>
            </w:r>
            <w:r>
              <w:rPr>
                <w:spacing w:val="-2"/>
              </w:rPr>
              <w:t>万双鞋面、</w:t>
            </w:r>
            <w:r>
              <w:rPr>
                <w:rFonts w:ascii="Times New Roman" w:hAnsi="Times New Roman" w:eastAsia="Times New Roman" w:cs="Times New Roman"/>
                <w:spacing w:val="-2"/>
              </w:rPr>
              <w:t>200</w:t>
            </w:r>
            <w:r>
              <w:rPr>
                <w:spacing w:val="-2"/>
              </w:rPr>
              <w:t>万双</w:t>
            </w:r>
            <w:r>
              <w:rPr>
                <w:rFonts w:ascii="Times New Roman" w:hAnsi="Times New Roman" w:eastAsia="Times New Roman" w:cs="Times New Roman"/>
                <w:spacing w:val="-2"/>
              </w:rPr>
              <w:t>PU</w:t>
            </w:r>
            <w:r>
              <w:rPr>
                <w:spacing w:val="6"/>
              </w:rPr>
              <w:t>中底生产线建设项目</w:t>
            </w:r>
          </w:p>
        </w:tc>
        <w:tc>
          <w:tcPr>
            <w:tcW w:w="1630" w:type="dxa"/>
            <w:tcBorders>
              <w:bottom w:val="single" w:color="000000" w:sz="10" w:space="0"/>
            </w:tcBorders>
            <w:vAlign w:val="top"/>
          </w:tcPr>
          <w:p w14:paraId="0C34CE1F">
            <w:pPr>
              <w:pStyle w:val="6"/>
              <w:spacing w:before="68" w:line="228" w:lineRule="auto"/>
              <w:ind w:left="142"/>
            </w:pPr>
            <w:r>
              <w:rPr>
                <w:spacing w:val="6"/>
              </w:rPr>
              <w:t>邵市环评（</w:t>
            </w:r>
            <w:r>
              <w:rPr>
                <w:rFonts w:ascii="Times New Roman" w:hAnsi="Times New Roman" w:eastAsia="Times New Roman" w:cs="Times New Roman"/>
                <w:spacing w:val="6"/>
              </w:rPr>
              <w:t>4</w:t>
            </w:r>
            <w:r>
              <w:rPr>
                <w:spacing w:val="6"/>
              </w:rPr>
              <w:t>）</w:t>
            </w:r>
          </w:p>
          <w:p w14:paraId="54D36C42">
            <w:pPr>
              <w:pStyle w:val="6"/>
              <w:spacing w:before="27" w:line="214" w:lineRule="auto"/>
              <w:ind w:left="196"/>
            </w:pPr>
            <w:r>
              <w:rPr>
                <w:spacing w:val="1"/>
              </w:rPr>
              <w:t>〔</w:t>
            </w:r>
            <w:r>
              <w:rPr>
                <w:rFonts w:ascii="Times New Roman" w:hAnsi="Times New Roman" w:eastAsia="Times New Roman" w:cs="Times New Roman"/>
                <w:spacing w:val="1"/>
              </w:rPr>
              <w:t>2021</w:t>
            </w:r>
            <w:r>
              <w:rPr>
                <w:spacing w:val="1"/>
              </w:rPr>
              <w:t>〕</w:t>
            </w:r>
            <w:r>
              <w:rPr>
                <w:rFonts w:ascii="Times New Roman" w:hAnsi="Times New Roman" w:eastAsia="Times New Roman" w:cs="Times New Roman"/>
                <w:spacing w:val="1"/>
              </w:rPr>
              <w:t>38</w:t>
            </w:r>
            <w:r>
              <w:rPr>
                <w:spacing w:val="1"/>
              </w:rPr>
              <w:t>号</w:t>
            </w:r>
          </w:p>
        </w:tc>
        <w:tc>
          <w:tcPr>
            <w:tcW w:w="1555" w:type="dxa"/>
            <w:tcBorders>
              <w:bottom w:val="single" w:color="000000" w:sz="10" w:space="0"/>
            </w:tcBorders>
            <w:vAlign w:val="top"/>
          </w:tcPr>
          <w:p w14:paraId="56788610">
            <w:pPr>
              <w:spacing w:before="122" w:line="236" w:lineRule="auto"/>
              <w:ind w:left="168" w:right="58" w:hanging="8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91430500</w:t>
            </w:r>
            <w:r>
              <w:rPr>
                <w:rFonts w:ascii="Times New Roman" w:hAnsi="Times New Roman" w:eastAsia="Times New Roman" w:cs="Times New Roman"/>
                <w:sz w:val="20"/>
                <w:szCs w:val="20"/>
              </w:rPr>
              <w:t>MA</w:t>
            </w:r>
            <w:r>
              <w:rPr>
                <w:rFonts w:ascii="Times New Roman" w:hAnsi="Times New Roman" w:eastAsia="Times New Roman" w:cs="Times New Roman"/>
                <w:spacing w:val="5"/>
                <w:sz w:val="20"/>
                <w:szCs w:val="20"/>
              </w:rPr>
              <w:t>7B</w:t>
            </w:r>
            <w:r>
              <w:rPr>
                <w:rFonts w:ascii="Times New Roman" w:hAnsi="Times New Roman" w:eastAsia="Times New Roman" w:cs="Times New Roman"/>
                <w:spacing w:val="6"/>
                <w:sz w:val="20"/>
                <w:szCs w:val="20"/>
              </w:rPr>
              <w:t>E9</w:t>
            </w:r>
            <w:r>
              <w:rPr>
                <w:rFonts w:ascii="Times New Roman" w:hAnsi="Times New Roman" w:eastAsia="Times New Roman" w:cs="Times New Roman"/>
                <w:sz w:val="20"/>
                <w:szCs w:val="20"/>
              </w:rPr>
              <w:t>KT</w:t>
            </w:r>
            <w:r>
              <w:rPr>
                <w:rFonts w:ascii="Times New Roman" w:hAnsi="Times New Roman" w:eastAsia="Times New Roman" w:cs="Times New Roman"/>
                <w:spacing w:val="6"/>
                <w:sz w:val="20"/>
                <w:szCs w:val="20"/>
              </w:rPr>
              <w:t>53001W</w:t>
            </w:r>
          </w:p>
        </w:tc>
        <w:tc>
          <w:tcPr>
            <w:tcW w:w="732" w:type="dxa"/>
            <w:tcBorders>
              <w:bottom w:val="single" w:color="000000" w:sz="10" w:space="0"/>
              <w:right w:val="single" w:color="000000" w:sz="10" w:space="0"/>
            </w:tcBorders>
            <w:vAlign w:val="top"/>
          </w:tcPr>
          <w:p w14:paraId="1F2D3828">
            <w:pPr>
              <w:pStyle w:val="6"/>
              <w:spacing w:before="206" w:line="228" w:lineRule="auto"/>
              <w:ind w:left="165"/>
            </w:pPr>
            <w:r>
              <w:rPr>
                <w:spacing w:val="4"/>
              </w:rPr>
              <w:t>运行</w:t>
            </w:r>
          </w:p>
        </w:tc>
      </w:tr>
    </w:tbl>
    <w:p w14:paraId="710A6044">
      <w:pPr>
        <w:pStyle w:val="2"/>
      </w:pPr>
    </w:p>
    <w:p w14:paraId="73F78FC6">
      <w:pPr>
        <w:sectPr>
          <w:headerReference r:id="rId49" w:type="default"/>
          <w:footerReference r:id="rId50" w:type="default"/>
          <w:pgSz w:w="11907" w:h="16840"/>
          <w:pgMar w:top="1132" w:right="1635" w:bottom="1259" w:left="1671" w:header="829" w:footer="1097" w:gutter="0"/>
          <w:cols w:space="720" w:num="1"/>
        </w:sectPr>
      </w:pPr>
    </w:p>
    <w:p w14:paraId="73DB7295">
      <w:pPr>
        <w:spacing w:before="42"/>
      </w:pPr>
    </w:p>
    <w:tbl>
      <w:tblPr>
        <w:tblStyle w:val="5"/>
        <w:tblW w:w="8538"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3"/>
        <w:gridCol w:w="1290"/>
        <w:gridCol w:w="2918"/>
        <w:gridCol w:w="1630"/>
        <w:gridCol w:w="1555"/>
        <w:gridCol w:w="732"/>
      </w:tblGrid>
      <w:tr w14:paraId="57F2E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413" w:type="dxa"/>
            <w:tcBorders>
              <w:top w:val="single" w:color="000000" w:sz="10" w:space="0"/>
              <w:left w:val="single" w:color="000000" w:sz="10" w:space="0"/>
            </w:tcBorders>
            <w:textDirection w:val="tbRlV"/>
            <w:vAlign w:val="top"/>
          </w:tcPr>
          <w:p w14:paraId="711241D6">
            <w:pPr>
              <w:pStyle w:val="6"/>
              <w:spacing w:before="104" w:line="218" w:lineRule="auto"/>
              <w:ind w:left="52"/>
            </w:pPr>
            <w:r>
              <w:rPr>
                <w:b/>
                <w:bCs/>
                <w:spacing w:val="6"/>
              </w:rPr>
              <w:t>序号</w:t>
            </w:r>
          </w:p>
        </w:tc>
        <w:tc>
          <w:tcPr>
            <w:tcW w:w="1290" w:type="dxa"/>
            <w:tcBorders>
              <w:top w:val="single" w:color="000000" w:sz="10" w:space="0"/>
            </w:tcBorders>
            <w:vAlign w:val="top"/>
          </w:tcPr>
          <w:p w14:paraId="303860F6">
            <w:pPr>
              <w:pStyle w:val="6"/>
              <w:spacing w:before="186" w:line="230" w:lineRule="auto"/>
              <w:ind w:left="223"/>
            </w:pPr>
            <w:r>
              <w:rPr>
                <w:b/>
                <w:bCs/>
                <w:spacing w:val="5"/>
              </w:rPr>
              <w:t>企业名称</w:t>
            </w:r>
          </w:p>
        </w:tc>
        <w:tc>
          <w:tcPr>
            <w:tcW w:w="2918" w:type="dxa"/>
            <w:tcBorders>
              <w:top w:val="single" w:color="000000" w:sz="10" w:space="0"/>
            </w:tcBorders>
            <w:vAlign w:val="top"/>
          </w:tcPr>
          <w:p w14:paraId="45478019">
            <w:pPr>
              <w:pStyle w:val="6"/>
              <w:spacing w:before="186" w:line="228" w:lineRule="auto"/>
              <w:ind w:left="725"/>
            </w:pPr>
            <w:r>
              <w:rPr>
                <w:b/>
                <w:bCs/>
                <w:spacing w:val="6"/>
              </w:rPr>
              <w:t>建设内容及规模</w:t>
            </w:r>
          </w:p>
        </w:tc>
        <w:tc>
          <w:tcPr>
            <w:tcW w:w="1630" w:type="dxa"/>
            <w:tcBorders>
              <w:top w:val="single" w:color="000000" w:sz="10" w:space="0"/>
            </w:tcBorders>
            <w:vAlign w:val="top"/>
          </w:tcPr>
          <w:p w14:paraId="6944C068">
            <w:pPr>
              <w:pStyle w:val="6"/>
              <w:spacing w:before="187" w:line="228" w:lineRule="auto"/>
              <w:ind w:left="401"/>
            </w:pPr>
            <w:r>
              <w:rPr>
                <w:b/>
                <w:bCs/>
                <w:spacing w:val="6"/>
              </w:rPr>
              <w:t>环评批复</w:t>
            </w:r>
          </w:p>
        </w:tc>
        <w:tc>
          <w:tcPr>
            <w:tcW w:w="1555" w:type="dxa"/>
            <w:tcBorders>
              <w:top w:val="single" w:color="000000" w:sz="10" w:space="0"/>
            </w:tcBorders>
            <w:vAlign w:val="top"/>
          </w:tcPr>
          <w:p w14:paraId="05D8FB90">
            <w:pPr>
              <w:pStyle w:val="6"/>
              <w:spacing w:before="187" w:line="228" w:lineRule="auto"/>
              <w:ind w:left="369"/>
            </w:pPr>
            <w:r>
              <w:rPr>
                <w:b/>
                <w:bCs/>
                <w:spacing w:val="6"/>
              </w:rPr>
              <w:t>排污许可</w:t>
            </w:r>
          </w:p>
        </w:tc>
        <w:tc>
          <w:tcPr>
            <w:tcW w:w="732" w:type="dxa"/>
            <w:tcBorders>
              <w:top w:val="single" w:color="000000" w:sz="10" w:space="0"/>
              <w:right w:val="single" w:color="000000" w:sz="10" w:space="0"/>
            </w:tcBorders>
            <w:vAlign w:val="top"/>
          </w:tcPr>
          <w:p w14:paraId="685DEB0A">
            <w:pPr>
              <w:pStyle w:val="6"/>
              <w:spacing w:before="52" w:line="228" w:lineRule="auto"/>
              <w:ind w:left="60"/>
            </w:pPr>
            <w:r>
              <w:rPr>
                <w:b/>
                <w:bCs/>
                <w:spacing w:val="5"/>
              </w:rPr>
              <w:t>运行情</w:t>
            </w:r>
          </w:p>
          <w:p w14:paraId="2A892292">
            <w:pPr>
              <w:pStyle w:val="6"/>
              <w:spacing w:before="24" w:line="217" w:lineRule="auto"/>
              <w:ind w:left="273"/>
            </w:pPr>
            <w:r>
              <w:rPr>
                <w:b/>
                <w:bCs/>
                <w:spacing w:val="-3"/>
              </w:rPr>
              <w:t>况</w:t>
            </w:r>
          </w:p>
        </w:tc>
      </w:tr>
      <w:tr w14:paraId="3F212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413" w:type="dxa"/>
            <w:tcBorders>
              <w:left w:val="single" w:color="000000" w:sz="10" w:space="0"/>
            </w:tcBorders>
            <w:vAlign w:val="top"/>
          </w:tcPr>
          <w:p w14:paraId="158C9129">
            <w:pPr>
              <w:spacing w:before="217" w:line="195" w:lineRule="auto"/>
              <w:ind w:left="10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290" w:type="dxa"/>
            <w:vAlign w:val="top"/>
          </w:tcPr>
          <w:p w14:paraId="16849E08">
            <w:pPr>
              <w:pStyle w:val="6"/>
              <w:spacing w:before="47" w:line="228" w:lineRule="auto"/>
              <w:ind w:left="10"/>
            </w:pPr>
            <w:r>
              <w:rPr>
                <w:spacing w:val="8"/>
              </w:rPr>
              <w:t>湖南德源木业</w:t>
            </w:r>
          </w:p>
          <w:p w14:paraId="7FC5B9AF">
            <w:pPr>
              <w:pStyle w:val="6"/>
              <w:spacing w:before="23" w:line="217" w:lineRule="auto"/>
              <w:ind w:left="222"/>
            </w:pPr>
            <w:r>
              <w:rPr>
                <w:spacing w:val="7"/>
              </w:rPr>
              <w:t>有限公司</w:t>
            </w:r>
          </w:p>
        </w:tc>
        <w:tc>
          <w:tcPr>
            <w:tcW w:w="2918" w:type="dxa"/>
            <w:vAlign w:val="top"/>
          </w:tcPr>
          <w:p w14:paraId="245F6381">
            <w:pPr>
              <w:pStyle w:val="6"/>
              <w:spacing w:before="181" w:line="228" w:lineRule="auto"/>
              <w:ind w:left="358"/>
            </w:pPr>
            <w:r>
              <w:rPr>
                <w:spacing w:val="3"/>
              </w:rPr>
              <w:t>年产</w:t>
            </w:r>
            <w:r>
              <w:rPr>
                <w:rFonts w:ascii="Times New Roman" w:hAnsi="Times New Roman" w:eastAsia="Times New Roman" w:cs="Times New Roman"/>
                <w:spacing w:val="3"/>
              </w:rPr>
              <w:t>300</w:t>
            </w:r>
            <w:r>
              <w:rPr>
                <w:spacing w:val="3"/>
              </w:rPr>
              <w:t>万</w:t>
            </w:r>
            <w:r>
              <w:rPr>
                <w:rFonts w:ascii="Times New Roman" w:hAnsi="Times New Roman" w:eastAsia="Times New Roman" w:cs="Times New Roman"/>
                <w:spacing w:val="3"/>
              </w:rPr>
              <w:t>m</w:t>
            </w:r>
            <w:r>
              <w:rPr>
                <w:rFonts w:ascii="Times New Roman" w:hAnsi="Times New Roman" w:eastAsia="Times New Roman" w:cs="Times New Roman"/>
                <w:spacing w:val="3"/>
                <w:position w:val="6"/>
                <w:sz w:val="13"/>
                <w:szCs w:val="13"/>
              </w:rPr>
              <w:t>2</w:t>
            </w:r>
            <w:r>
              <w:rPr>
                <w:spacing w:val="3"/>
              </w:rPr>
              <w:t>染色木皮</w:t>
            </w:r>
          </w:p>
        </w:tc>
        <w:tc>
          <w:tcPr>
            <w:tcW w:w="1630" w:type="dxa"/>
            <w:vAlign w:val="top"/>
          </w:tcPr>
          <w:p w14:paraId="7B3BE928">
            <w:pPr>
              <w:pStyle w:val="6"/>
              <w:spacing w:before="46" w:line="234" w:lineRule="auto"/>
              <w:ind w:left="316" w:right="286" w:hanging="5"/>
            </w:pPr>
            <w:r>
              <w:rPr>
                <w:spacing w:val="5"/>
              </w:rPr>
              <w:t>隆环评分函</w:t>
            </w:r>
            <w:r>
              <w:rPr>
                <w:rFonts w:ascii="Times New Roman" w:hAnsi="Times New Roman" w:eastAsia="Times New Roman" w:cs="Times New Roman"/>
                <w:spacing w:val="2"/>
              </w:rPr>
              <w:t>[2018]15</w:t>
            </w:r>
            <w:r>
              <w:rPr>
                <w:spacing w:val="2"/>
              </w:rPr>
              <w:t>号</w:t>
            </w:r>
          </w:p>
        </w:tc>
        <w:tc>
          <w:tcPr>
            <w:tcW w:w="1555" w:type="dxa"/>
            <w:vAlign w:val="top"/>
          </w:tcPr>
          <w:p w14:paraId="6104B7A8">
            <w:pPr>
              <w:spacing w:before="97" w:line="195" w:lineRule="auto"/>
              <w:ind w:left="9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91430524</w:t>
            </w:r>
            <w:r>
              <w:rPr>
                <w:rFonts w:ascii="Times New Roman" w:hAnsi="Times New Roman" w:eastAsia="Times New Roman" w:cs="Times New Roman"/>
                <w:sz w:val="20"/>
                <w:szCs w:val="20"/>
              </w:rPr>
              <w:t>MA</w:t>
            </w:r>
            <w:r>
              <w:rPr>
                <w:rFonts w:ascii="Times New Roman" w:hAnsi="Times New Roman" w:eastAsia="Times New Roman" w:cs="Times New Roman"/>
                <w:spacing w:val="5"/>
                <w:sz w:val="20"/>
                <w:szCs w:val="20"/>
              </w:rPr>
              <w:t>4P</w:t>
            </w:r>
          </w:p>
          <w:p w14:paraId="5F275FB5">
            <w:pPr>
              <w:spacing w:before="52" w:line="197" w:lineRule="auto"/>
              <w:ind w:left="1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W4520Q002X</w:t>
            </w:r>
          </w:p>
        </w:tc>
        <w:tc>
          <w:tcPr>
            <w:tcW w:w="732" w:type="dxa"/>
            <w:tcBorders>
              <w:right w:val="single" w:color="000000" w:sz="10" w:space="0"/>
            </w:tcBorders>
            <w:vAlign w:val="top"/>
          </w:tcPr>
          <w:p w14:paraId="17BA36F9">
            <w:pPr>
              <w:pStyle w:val="6"/>
              <w:spacing w:before="181" w:line="228" w:lineRule="auto"/>
              <w:ind w:left="165"/>
            </w:pPr>
            <w:r>
              <w:rPr>
                <w:spacing w:val="4"/>
              </w:rPr>
              <w:t>运行</w:t>
            </w:r>
          </w:p>
        </w:tc>
      </w:tr>
      <w:tr w14:paraId="4C8FE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13" w:type="dxa"/>
            <w:tcBorders>
              <w:left w:val="single" w:color="000000" w:sz="10" w:space="0"/>
            </w:tcBorders>
            <w:vAlign w:val="top"/>
          </w:tcPr>
          <w:p w14:paraId="742FDD35">
            <w:pPr>
              <w:spacing w:before="220" w:line="195" w:lineRule="auto"/>
              <w:ind w:left="10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290" w:type="dxa"/>
            <w:vAlign w:val="top"/>
          </w:tcPr>
          <w:p w14:paraId="09475897">
            <w:pPr>
              <w:pStyle w:val="6"/>
              <w:spacing w:before="47" w:line="227" w:lineRule="auto"/>
              <w:ind w:left="24"/>
            </w:pPr>
            <w:r>
              <w:rPr>
                <w:spacing w:val="6"/>
              </w:rPr>
              <w:t>隆回佳鼎木业</w:t>
            </w:r>
          </w:p>
          <w:p w14:paraId="6F0AE8F8">
            <w:pPr>
              <w:pStyle w:val="6"/>
              <w:spacing w:before="27" w:line="215" w:lineRule="auto"/>
              <w:ind w:left="222"/>
            </w:pPr>
            <w:r>
              <w:rPr>
                <w:spacing w:val="7"/>
              </w:rPr>
              <w:t>有限公司</w:t>
            </w:r>
          </w:p>
        </w:tc>
        <w:tc>
          <w:tcPr>
            <w:tcW w:w="2918" w:type="dxa"/>
            <w:vAlign w:val="top"/>
          </w:tcPr>
          <w:p w14:paraId="56569259">
            <w:pPr>
              <w:pStyle w:val="6"/>
              <w:spacing w:before="182" w:line="227" w:lineRule="auto"/>
              <w:ind w:left="308"/>
            </w:pPr>
            <w:r>
              <w:rPr>
                <w:spacing w:val="4"/>
              </w:rPr>
              <w:t>年产</w:t>
            </w:r>
            <w:r>
              <w:rPr>
                <w:rFonts w:ascii="Times New Roman" w:hAnsi="Times New Roman" w:eastAsia="Times New Roman" w:cs="Times New Roman"/>
                <w:spacing w:val="4"/>
              </w:rPr>
              <w:t>150</w:t>
            </w:r>
            <w:r>
              <w:rPr>
                <w:spacing w:val="4"/>
              </w:rPr>
              <w:t>万平方米免漆板</w:t>
            </w:r>
          </w:p>
        </w:tc>
        <w:tc>
          <w:tcPr>
            <w:tcW w:w="1630" w:type="dxa"/>
            <w:vAlign w:val="top"/>
          </w:tcPr>
          <w:p w14:paraId="1A1A4870">
            <w:pPr>
              <w:pStyle w:val="6"/>
              <w:spacing w:before="47" w:line="228" w:lineRule="auto"/>
              <w:ind w:left="416"/>
            </w:pPr>
            <w:r>
              <w:rPr>
                <w:spacing w:val="4"/>
              </w:rPr>
              <w:t>隆环评函</w:t>
            </w:r>
          </w:p>
          <w:p w14:paraId="0EC38244">
            <w:pPr>
              <w:pStyle w:val="6"/>
              <w:spacing w:before="26" w:line="215" w:lineRule="auto"/>
              <w:ind w:left="316"/>
            </w:pPr>
            <w:r>
              <w:rPr>
                <w:rFonts w:ascii="Times New Roman" w:hAnsi="Times New Roman" w:eastAsia="Times New Roman" w:cs="Times New Roman"/>
                <w:spacing w:val="2"/>
              </w:rPr>
              <w:t>[2014]42</w:t>
            </w:r>
            <w:r>
              <w:rPr>
                <w:spacing w:val="2"/>
              </w:rPr>
              <w:t>号</w:t>
            </w:r>
          </w:p>
        </w:tc>
        <w:tc>
          <w:tcPr>
            <w:tcW w:w="1555" w:type="dxa"/>
            <w:vAlign w:val="top"/>
          </w:tcPr>
          <w:p w14:paraId="0D5DE7B0">
            <w:pPr>
              <w:spacing w:before="97" w:line="238" w:lineRule="auto"/>
              <w:ind w:left="188" w:right="35" w:hanging="13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91430524</w:t>
            </w:r>
            <w:r>
              <w:rPr>
                <w:rFonts w:ascii="Times New Roman" w:hAnsi="Times New Roman" w:eastAsia="Times New Roman" w:cs="Times New Roman"/>
                <w:sz w:val="20"/>
                <w:szCs w:val="20"/>
              </w:rPr>
              <w:t>MA</w:t>
            </w:r>
            <w:r>
              <w:rPr>
                <w:rFonts w:ascii="Times New Roman" w:hAnsi="Times New Roman" w:eastAsia="Times New Roman" w:cs="Times New Roman"/>
                <w:spacing w:val="5"/>
                <w:sz w:val="20"/>
                <w:szCs w:val="20"/>
              </w:rPr>
              <w:t>4M</w:t>
            </w:r>
            <w:r>
              <w:rPr>
                <w:rFonts w:ascii="Times New Roman" w:hAnsi="Times New Roman" w:eastAsia="Times New Roman" w:cs="Times New Roman"/>
                <w:spacing w:val="4"/>
                <w:sz w:val="20"/>
                <w:szCs w:val="20"/>
              </w:rPr>
              <w:t>1</w:t>
            </w:r>
            <w:r>
              <w:rPr>
                <w:rFonts w:ascii="Times New Roman" w:hAnsi="Times New Roman" w:eastAsia="Times New Roman" w:cs="Times New Roman"/>
                <w:sz w:val="20"/>
                <w:szCs w:val="20"/>
              </w:rPr>
              <w:t>JT</w:t>
            </w:r>
            <w:r>
              <w:rPr>
                <w:rFonts w:ascii="Times New Roman" w:hAnsi="Times New Roman" w:eastAsia="Times New Roman" w:cs="Times New Roman"/>
                <w:spacing w:val="4"/>
                <w:sz w:val="20"/>
                <w:szCs w:val="20"/>
              </w:rPr>
              <w:t>49W001W</w:t>
            </w:r>
          </w:p>
        </w:tc>
        <w:tc>
          <w:tcPr>
            <w:tcW w:w="732" w:type="dxa"/>
            <w:tcBorders>
              <w:right w:val="single" w:color="000000" w:sz="10" w:space="0"/>
            </w:tcBorders>
            <w:vAlign w:val="top"/>
          </w:tcPr>
          <w:p w14:paraId="567BB61F">
            <w:pPr>
              <w:pStyle w:val="6"/>
              <w:spacing w:before="182" w:line="228" w:lineRule="auto"/>
              <w:ind w:left="165"/>
            </w:pPr>
            <w:r>
              <w:rPr>
                <w:spacing w:val="4"/>
              </w:rPr>
              <w:t>运行</w:t>
            </w:r>
          </w:p>
        </w:tc>
      </w:tr>
      <w:tr w14:paraId="31CCB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13" w:type="dxa"/>
            <w:tcBorders>
              <w:left w:val="single" w:color="000000" w:sz="10" w:space="0"/>
            </w:tcBorders>
            <w:vAlign w:val="top"/>
          </w:tcPr>
          <w:p w14:paraId="221D87D0">
            <w:pPr>
              <w:spacing w:before="220" w:line="195" w:lineRule="auto"/>
              <w:ind w:left="10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290" w:type="dxa"/>
            <w:vAlign w:val="top"/>
          </w:tcPr>
          <w:p w14:paraId="1E960AC3">
            <w:pPr>
              <w:pStyle w:val="6"/>
              <w:spacing w:before="49" w:line="233" w:lineRule="auto"/>
              <w:ind w:left="120" w:right="24" w:hanging="96"/>
            </w:pPr>
            <w:r>
              <w:rPr>
                <w:spacing w:val="6"/>
              </w:rPr>
              <w:t>隆回县福宝家</w:t>
            </w:r>
            <w:r>
              <w:rPr>
                <w:spacing w:val="7"/>
              </w:rPr>
              <w:t>具有限公司</w:t>
            </w:r>
          </w:p>
        </w:tc>
        <w:tc>
          <w:tcPr>
            <w:tcW w:w="2918" w:type="dxa"/>
            <w:vAlign w:val="top"/>
          </w:tcPr>
          <w:p w14:paraId="70376615">
            <w:pPr>
              <w:pStyle w:val="6"/>
              <w:spacing w:before="49" w:line="227" w:lineRule="auto"/>
              <w:ind w:left="15"/>
            </w:pPr>
            <w:r>
              <w:rPr>
                <w:spacing w:val="4"/>
              </w:rPr>
              <w:t>年产</w:t>
            </w:r>
            <w:r>
              <w:rPr>
                <w:rFonts w:ascii="Times New Roman" w:hAnsi="Times New Roman" w:eastAsia="Times New Roman" w:cs="Times New Roman"/>
                <w:spacing w:val="4"/>
              </w:rPr>
              <w:t>2</w:t>
            </w:r>
            <w:r>
              <w:rPr>
                <w:spacing w:val="4"/>
              </w:rPr>
              <w:t>万套家具和真皮、布艺沙</w:t>
            </w:r>
          </w:p>
          <w:p w14:paraId="5439735B">
            <w:pPr>
              <w:pStyle w:val="6"/>
              <w:spacing w:before="25" w:line="215" w:lineRule="auto"/>
              <w:ind w:left="939"/>
            </w:pPr>
            <w:r>
              <w:rPr>
                <w:spacing w:val="7"/>
              </w:rPr>
              <w:t>发建设项目</w:t>
            </w:r>
          </w:p>
        </w:tc>
        <w:tc>
          <w:tcPr>
            <w:tcW w:w="1630" w:type="dxa"/>
            <w:vAlign w:val="top"/>
          </w:tcPr>
          <w:p w14:paraId="7A95E0D7">
            <w:pPr>
              <w:pStyle w:val="6"/>
              <w:spacing w:before="49" w:line="228" w:lineRule="auto"/>
              <w:ind w:left="416"/>
            </w:pPr>
            <w:r>
              <w:rPr>
                <w:spacing w:val="4"/>
              </w:rPr>
              <w:t>隆环评函</w:t>
            </w:r>
          </w:p>
          <w:p w14:paraId="030B4199">
            <w:pPr>
              <w:pStyle w:val="6"/>
              <w:spacing w:before="24" w:line="215" w:lineRule="auto"/>
              <w:ind w:left="316"/>
            </w:pPr>
            <w:r>
              <w:rPr>
                <w:rFonts w:ascii="Times New Roman" w:hAnsi="Times New Roman" w:eastAsia="Times New Roman" w:cs="Times New Roman"/>
                <w:spacing w:val="2"/>
              </w:rPr>
              <w:t>[2014]40</w:t>
            </w:r>
            <w:r>
              <w:rPr>
                <w:spacing w:val="2"/>
              </w:rPr>
              <w:t>号</w:t>
            </w:r>
          </w:p>
        </w:tc>
        <w:tc>
          <w:tcPr>
            <w:tcW w:w="1555" w:type="dxa"/>
            <w:vAlign w:val="top"/>
          </w:tcPr>
          <w:p w14:paraId="1E881026">
            <w:pPr>
              <w:spacing w:before="99" w:line="237" w:lineRule="auto"/>
              <w:ind w:left="323" w:right="32" w:hanging="2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91430524074994968G001Y</w:t>
            </w:r>
          </w:p>
        </w:tc>
        <w:tc>
          <w:tcPr>
            <w:tcW w:w="732" w:type="dxa"/>
            <w:tcBorders>
              <w:right w:val="single" w:color="000000" w:sz="10" w:space="0"/>
            </w:tcBorders>
            <w:vAlign w:val="top"/>
          </w:tcPr>
          <w:p w14:paraId="7B531317">
            <w:pPr>
              <w:pStyle w:val="6"/>
              <w:spacing w:before="184" w:line="228" w:lineRule="auto"/>
              <w:ind w:left="165"/>
            </w:pPr>
            <w:r>
              <w:rPr>
                <w:spacing w:val="4"/>
              </w:rPr>
              <w:t>运行</w:t>
            </w:r>
          </w:p>
        </w:tc>
      </w:tr>
      <w:tr w14:paraId="470D1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413" w:type="dxa"/>
            <w:tcBorders>
              <w:left w:val="single" w:color="000000" w:sz="10" w:space="0"/>
            </w:tcBorders>
            <w:vAlign w:val="top"/>
          </w:tcPr>
          <w:p w14:paraId="35A6F14B">
            <w:pPr>
              <w:spacing w:line="297" w:lineRule="auto"/>
              <w:rPr>
                <w:rFonts w:ascii="Arial"/>
                <w:sz w:val="21"/>
              </w:rPr>
            </w:pPr>
          </w:p>
          <w:p w14:paraId="0C35D265">
            <w:pPr>
              <w:spacing w:before="58" w:line="195" w:lineRule="auto"/>
              <w:ind w:left="10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290" w:type="dxa"/>
            <w:vAlign w:val="top"/>
          </w:tcPr>
          <w:p w14:paraId="495E972F">
            <w:pPr>
              <w:pStyle w:val="6"/>
              <w:spacing w:before="49" w:line="228" w:lineRule="auto"/>
              <w:ind w:left="24"/>
            </w:pPr>
            <w:r>
              <w:rPr>
                <w:spacing w:val="6"/>
              </w:rPr>
              <w:t>隆回县好树衣</w:t>
            </w:r>
          </w:p>
          <w:p w14:paraId="13A478E4">
            <w:pPr>
              <w:pStyle w:val="6"/>
              <w:spacing w:before="24" w:line="228" w:lineRule="auto"/>
              <w:ind w:left="10"/>
            </w:pPr>
            <w:r>
              <w:rPr>
                <w:spacing w:val="8"/>
              </w:rPr>
              <w:t>柜制造有限公</w:t>
            </w:r>
          </w:p>
          <w:p w14:paraId="2F31D118">
            <w:pPr>
              <w:pStyle w:val="6"/>
              <w:spacing w:before="23" w:line="215" w:lineRule="auto"/>
              <w:ind w:left="544"/>
            </w:pPr>
            <w:r>
              <w:t>司</w:t>
            </w:r>
          </w:p>
        </w:tc>
        <w:tc>
          <w:tcPr>
            <w:tcW w:w="2918" w:type="dxa"/>
            <w:vAlign w:val="top"/>
          </w:tcPr>
          <w:p w14:paraId="3469A619">
            <w:pPr>
              <w:spacing w:line="254" w:lineRule="auto"/>
              <w:rPr>
                <w:rFonts w:ascii="Arial"/>
                <w:sz w:val="21"/>
              </w:rPr>
            </w:pPr>
          </w:p>
          <w:p w14:paraId="342F8647">
            <w:pPr>
              <w:pStyle w:val="6"/>
              <w:spacing w:before="65" w:line="228" w:lineRule="auto"/>
              <w:ind w:left="464"/>
            </w:pPr>
            <w:r>
              <w:rPr>
                <w:spacing w:val="6"/>
              </w:rPr>
              <w:t>年产</w:t>
            </w:r>
            <w:r>
              <w:rPr>
                <w:rFonts w:ascii="Times New Roman" w:hAnsi="Times New Roman" w:eastAsia="Times New Roman" w:cs="Times New Roman"/>
                <w:spacing w:val="6"/>
              </w:rPr>
              <w:t>3000</w:t>
            </w:r>
            <w:r>
              <w:rPr>
                <w:spacing w:val="6"/>
              </w:rPr>
              <w:t>套整体衣柜</w:t>
            </w:r>
          </w:p>
        </w:tc>
        <w:tc>
          <w:tcPr>
            <w:tcW w:w="1630" w:type="dxa"/>
            <w:vAlign w:val="top"/>
          </w:tcPr>
          <w:p w14:paraId="17D89E64">
            <w:pPr>
              <w:pStyle w:val="6"/>
              <w:spacing w:before="183" w:line="228" w:lineRule="auto"/>
              <w:ind w:left="416"/>
            </w:pPr>
            <w:r>
              <w:rPr>
                <w:spacing w:val="4"/>
              </w:rPr>
              <w:t>隆环评函</w:t>
            </w:r>
          </w:p>
          <w:p w14:paraId="664E80CB">
            <w:pPr>
              <w:pStyle w:val="6"/>
              <w:spacing w:before="26" w:line="221" w:lineRule="auto"/>
              <w:ind w:left="316"/>
            </w:pPr>
            <w:r>
              <w:rPr>
                <w:rFonts w:ascii="Times New Roman" w:hAnsi="Times New Roman" w:eastAsia="Times New Roman" w:cs="Times New Roman"/>
                <w:spacing w:val="2"/>
              </w:rPr>
              <w:t>[2016]36</w:t>
            </w:r>
            <w:r>
              <w:rPr>
                <w:spacing w:val="2"/>
              </w:rPr>
              <w:t>号</w:t>
            </w:r>
          </w:p>
        </w:tc>
        <w:tc>
          <w:tcPr>
            <w:tcW w:w="1555" w:type="dxa"/>
            <w:vAlign w:val="top"/>
          </w:tcPr>
          <w:p w14:paraId="047130DF">
            <w:pPr>
              <w:spacing w:line="293" w:lineRule="auto"/>
              <w:rPr>
                <w:rFonts w:ascii="Arial"/>
                <w:sz w:val="21"/>
              </w:rPr>
            </w:pPr>
          </w:p>
          <w:p w14:paraId="36AECA0A">
            <w:pPr>
              <w:spacing w:before="58"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32" w:type="dxa"/>
            <w:tcBorders>
              <w:right w:val="single" w:color="000000" w:sz="10" w:space="0"/>
            </w:tcBorders>
            <w:vAlign w:val="top"/>
          </w:tcPr>
          <w:p w14:paraId="1D5B402C">
            <w:pPr>
              <w:spacing w:line="254" w:lineRule="auto"/>
              <w:rPr>
                <w:rFonts w:ascii="Arial"/>
                <w:sz w:val="21"/>
              </w:rPr>
            </w:pPr>
          </w:p>
          <w:p w14:paraId="2EE1EF99">
            <w:pPr>
              <w:pStyle w:val="6"/>
              <w:spacing w:before="65" w:line="228" w:lineRule="auto"/>
              <w:ind w:left="165"/>
            </w:pPr>
            <w:r>
              <w:rPr>
                <w:spacing w:val="4"/>
              </w:rPr>
              <w:t>运行</w:t>
            </w:r>
          </w:p>
        </w:tc>
      </w:tr>
      <w:tr w14:paraId="58643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413" w:type="dxa"/>
            <w:tcBorders>
              <w:left w:val="single" w:color="000000" w:sz="10" w:space="0"/>
            </w:tcBorders>
            <w:vAlign w:val="top"/>
          </w:tcPr>
          <w:p w14:paraId="7A5E89EE">
            <w:pPr>
              <w:spacing w:before="222" w:line="195" w:lineRule="auto"/>
              <w:ind w:left="10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290" w:type="dxa"/>
            <w:vAlign w:val="top"/>
          </w:tcPr>
          <w:p w14:paraId="411E274F">
            <w:pPr>
              <w:pStyle w:val="6"/>
              <w:spacing w:before="52" w:line="231" w:lineRule="auto"/>
              <w:ind w:left="120" w:right="24" w:hanging="96"/>
            </w:pPr>
            <w:r>
              <w:rPr>
                <w:spacing w:val="6"/>
              </w:rPr>
              <w:t>隆回县金果家</w:t>
            </w:r>
            <w:r>
              <w:rPr>
                <w:spacing w:val="7"/>
              </w:rPr>
              <w:t>具有限公司</w:t>
            </w:r>
          </w:p>
        </w:tc>
        <w:tc>
          <w:tcPr>
            <w:tcW w:w="2918" w:type="dxa"/>
            <w:vAlign w:val="top"/>
          </w:tcPr>
          <w:p w14:paraId="31E13695">
            <w:pPr>
              <w:pStyle w:val="6"/>
              <w:spacing w:before="51" w:line="228" w:lineRule="auto"/>
              <w:ind w:left="15"/>
            </w:pPr>
            <w:r>
              <w:rPr>
                <w:spacing w:val="3"/>
              </w:rPr>
              <w:t>年产</w:t>
            </w:r>
            <w:r>
              <w:rPr>
                <w:rFonts w:ascii="Times New Roman" w:hAnsi="Times New Roman" w:eastAsia="Times New Roman" w:cs="Times New Roman"/>
                <w:spacing w:val="3"/>
              </w:rPr>
              <w:t>5</w:t>
            </w:r>
            <w:r>
              <w:rPr>
                <w:spacing w:val="3"/>
              </w:rPr>
              <w:t>万件家具、沙发和席梦思</w:t>
            </w:r>
          </w:p>
          <w:p w14:paraId="0A96EAD2">
            <w:pPr>
              <w:pStyle w:val="6"/>
              <w:spacing w:before="24" w:line="212" w:lineRule="auto"/>
              <w:ind w:left="1248"/>
            </w:pPr>
            <w:r>
              <w:rPr>
                <w:spacing w:val="5"/>
              </w:rPr>
              <w:t>床垫</w:t>
            </w:r>
          </w:p>
        </w:tc>
        <w:tc>
          <w:tcPr>
            <w:tcW w:w="1630" w:type="dxa"/>
            <w:vAlign w:val="top"/>
          </w:tcPr>
          <w:p w14:paraId="2DC292FE">
            <w:pPr>
              <w:pStyle w:val="6"/>
              <w:spacing w:before="52" w:line="231" w:lineRule="auto"/>
              <w:ind w:left="126" w:right="74" w:hanging="37"/>
            </w:pPr>
            <w:r>
              <w:rPr>
                <w:spacing w:val="8"/>
              </w:rPr>
              <w:t>邵生环隆分环评</w:t>
            </w:r>
            <w:r>
              <w:rPr>
                <w:spacing w:val="3"/>
              </w:rPr>
              <w:t>函〔</w:t>
            </w:r>
            <w:r>
              <w:rPr>
                <w:rFonts w:ascii="Times New Roman" w:hAnsi="Times New Roman" w:eastAsia="Times New Roman" w:cs="Times New Roman"/>
                <w:spacing w:val="3"/>
              </w:rPr>
              <w:t>2020</w:t>
            </w:r>
            <w:r>
              <w:rPr>
                <w:spacing w:val="3"/>
              </w:rPr>
              <w:t>〕</w:t>
            </w:r>
            <w:r>
              <w:rPr>
                <w:rFonts w:ascii="Times New Roman" w:hAnsi="Times New Roman" w:eastAsia="Times New Roman" w:cs="Times New Roman"/>
                <w:spacing w:val="3"/>
              </w:rPr>
              <w:t>5</w:t>
            </w:r>
            <w:r>
              <w:rPr>
                <w:spacing w:val="3"/>
              </w:rPr>
              <w:t>号</w:t>
            </w:r>
          </w:p>
        </w:tc>
        <w:tc>
          <w:tcPr>
            <w:tcW w:w="1555" w:type="dxa"/>
            <w:vAlign w:val="top"/>
          </w:tcPr>
          <w:p w14:paraId="0F8BB944">
            <w:pPr>
              <w:spacing w:before="98" w:line="237" w:lineRule="auto"/>
              <w:ind w:left="302" w:right="32" w:hanging="254"/>
              <w:rPr>
                <w:rFonts w:ascii="Times New Roman" w:hAnsi="Times New Roman" w:eastAsia="Times New Roman" w:cs="Times New Roman"/>
                <w:sz w:val="20"/>
                <w:szCs w:val="20"/>
              </w:rPr>
            </w:pPr>
            <w:r>
              <w:rPr>
                <w:rFonts w:ascii="Times New Roman" w:hAnsi="Times New Roman" w:eastAsia="Times New Roman" w:cs="Times New Roman"/>
                <w:sz w:val="20"/>
                <w:szCs w:val="20"/>
              </w:rPr>
              <w:t>hb</w:t>
            </w:r>
            <w:r>
              <w:rPr>
                <w:rFonts w:ascii="Times New Roman" w:hAnsi="Times New Roman" w:eastAsia="Times New Roman" w:cs="Times New Roman"/>
                <w:spacing w:val="5"/>
                <w:sz w:val="20"/>
                <w:szCs w:val="20"/>
              </w:rPr>
              <w:t>430500500000</w:t>
            </w:r>
            <w:r>
              <w:rPr>
                <w:rFonts w:ascii="Times New Roman" w:hAnsi="Times New Roman" w:eastAsia="Times New Roman" w:cs="Times New Roman"/>
                <w:spacing w:val="4"/>
                <w:sz w:val="20"/>
                <w:szCs w:val="20"/>
              </w:rPr>
              <w:t>691W001Y</w:t>
            </w:r>
          </w:p>
        </w:tc>
        <w:tc>
          <w:tcPr>
            <w:tcW w:w="732" w:type="dxa"/>
            <w:tcBorders>
              <w:right w:val="single" w:color="000000" w:sz="10" w:space="0"/>
            </w:tcBorders>
            <w:vAlign w:val="top"/>
          </w:tcPr>
          <w:p w14:paraId="5F155CC3">
            <w:pPr>
              <w:pStyle w:val="6"/>
              <w:spacing w:before="187" w:line="228" w:lineRule="auto"/>
              <w:ind w:left="165"/>
            </w:pPr>
            <w:r>
              <w:rPr>
                <w:spacing w:val="4"/>
              </w:rPr>
              <w:t>运行</w:t>
            </w:r>
          </w:p>
        </w:tc>
      </w:tr>
      <w:tr w14:paraId="72C78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413" w:type="dxa"/>
            <w:tcBorders>
              <w:left w:val="single" w:color="000000" w:sz="10" w:space="0"/>
            </w:tcBorders>
            <w:vAlign w:val="top"/>
          </w:tcPr>
          <w:p w14:paraId="7950901D">
            <w:pPr>
              <w:spacing w:line="300" w:lineRule="auto"/>
              <w:rPr>
                <w:rFonts w:ascii="Arial"/>
                <w:sz w:val="21"/>
              </w:rPr>
            </w:pPr>
          </w:p>
          <w:p w14:paraId="2567A6D7">
            <w:pPr>
              <w:spacing w:before="58" w:line="195" w:lineRule="auto"/>
              <w:ind w:left="10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290" w:type="dxa"/>
            <w:vAlign w:val="top"/>
          </w:tcPr>
          <w:p w14:paraId="0DE2805E">
            <w:pPr>
              <w:pStyle w:val="6"/>
              <w:spacing w:before="190" w:line="252" w:lineRule="auto"/>
              <w:ind w:left="120" w:right="24" w:hanging="110"/>
            </w:pPr>
            <w:r>
              <w:rPr>
                <w:spacing w:val="8"/>
              </w:rPr>
              <w:t>湖南省格林家</w:t>
            </w:r>
            <w:r>
              <w:rPr>
                <w:spacing w:val="7"/>
              </w:rPr>
              <w:t>具有限公司</w:t>
            </w:r>
          </w:p>
        </w:tc>
        <w:tc>
          <w:tcPr>
            <w:tcW w:w="2918" w:type="dxa"/>
            <w:vAlign w:val="top"/>
          </w:tcPr>
          <w:p w14:paraId="4A1C8213">
            <w:pPr>
              <w:pStyle w:val="6"/>
              <w:spacing w:before="52" w:line="228" w:lineRule="auto"/>
              <w:ind w:left="70"/>
              <w:rPr>
                <w:rFonts w:ascii="Times New Roman" w:hAnsi="Times New Roman" w:eastAsia="Times New Roman" w:cs="Times New Roman"/>
              </w:rPr>
            </w:pPr>
            <w:r>
              <w:rPr>
                <w:spacing w:val="7"/>
              </w:rPr>
              <w:t>年生产实木办公家具产品</w:t>
            </w:r>
            <w:r>
              <w:rPr>
                <w:rFonts w:ascii="Times New Roman" w:hAnsi="Times New Roman" w:eastAsia="Times New Roman" w:cs="Times New Roman"/>
                <w:spacing w:val="7"/>
              </w:rPr>
              <w:t>6000</w:t>
            </w:r>
          </w:p>
          <w:p w14:paraId="68A16B8D">
            <w:pPr>
              <w:pStyle w:val="6"/>
              <w:spacing w:before="24" w:line="227" w:lineRule="auto"/>
              <w:ind w:left="15"/>
            </w:pPr>
            <w:r>
              <w:rPr>
                <w:spacing w:val="2"/>
              </w:rPr>
              <w:t>套、生态免漆板产品</w:t>
            </w:r>
            <w:r>
              <w:rPr>
                <w:rFonts w:ascii="Times New Roman" w:hAnsi="Times New Roman" w:eastAsia="Times New Roman" w:cs="Times New Roman"/>
                <w:spacing w:val="2"/>
              </w:rPr>
              <w:t>150</w:t>
            </w:r>
            <w:r>
              <w:rPr>
                <w:spacing w:val="2"/>
              </w:rPr>
              <w:t>万平方</w:t>
            </w:r>
          </w:p>
          <w:p w14:paraId="7BAF4B27">
            <w:pPr>
              <w:pStyle w:val="6"/>
              <w:spacing w:before="27" w:line="211" w:lineRule="auto"/>
              <w:ind w:left="1356"/>
            </w:pPr>
            <w:r>
              <w:t>米</w:t>
            </w:r>
          </w:p>
        </w:tc>
        <w:tc>
          <w:tcPr>
            <w:tcW w:w="1630" w:type="dxa"/>
            <w:vAlign w:val="top"/>
          </w:tcPr>
          <w:p w14:paraId="6155E84F">
            <w:pPr>
              <w:pStyle w:val="6"/>
              <w:spacing w:before="190" w:line="252" w:lineRule="auto"/>
              <w:ind w:left="126" w:right="74" w:hanging="37"/>
            </w:pPr>
            <w:r>
              <w:rPr>
                <w:spacing w:val="8"/>
              </w:rPr>
              <w:t>邵生环隆分环评</w:t>
            </w:r>
            <w:r>
              <w:rPr>
                <w:spacing w:val="3"/>
              </w:rPr>
              <w:t>函〔</w:t>
            </w:r>
            <w:r>
              <w:rPr>
                <w:rFonts w:ascii="Times New Roman" w:hAnsi="Times New Roman" w:eastAsia="Times New Roman" w:cs="Times New Roman"/>
                <w:spacing w:val="3"/>
              </w:rPr>
              <w:t>2020</w:t>
            </w:r>
            <w:r>
              <w:rPr>
                <w:spacing w:val="3"/>
              </w:rPr>
              <w:t>〕</w:t>
            </w:r>
            <w:r>
              <w:rPr>
                <w:rFonts w:ascii="Times New Roman" w:hAnsi="Times New Roman" w:eastAsia="Times New Roman" w:cs="Times New Roman"/>
                <w:spacing w:val="3"/>
              </w:rPr>
              <w:t>4</w:t>
            </w:r>
            <w:r>
              <w:rPr>
                <w:spacing w:val="3"/>
              </w:rPr>
              <w:t>号</w:t>
            </w:r>
          </w:p>
        </w:tc>
        <w:tc>
          <w:tcPr>
            <w:tcW w:w="1555" w:type="dxa"/>
            <w:vAlign w:val="top"/>
          </w:tcPr>
          <w:p w14:paraId="56D65C2D">
            <w:pPr>
              <w:spacing w:line="297" w:lineRule="auto"/>
              <w:rPr>
                <w:rFonts w:ascii="Arial"/>
                <w:sz w:val="21"/>
              </w:rPr>
            </w:pPr>
          </w:p>
          <w:p w14:paraId="5F5920CF">
            <w:pPr>
              <w:spacing w:before="57"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32" w:type="dxa"/>
            <w:tcBorders>
              <w:right w:val="single" w:color="000000" w:sz="10" w:space="0"/>
            </w:tcBorders>
            <w:vAlign w:val="top"/>
          </w:tcPr>
          <w:p w14:paraId="027087F8">
            <w:pPr>
              <w:spacing w:line="257" w:lineRule="auto"/>
              <w:rPr>
                <w:rFonts w:ascii="Arial"/>
                <w:sz w:val="21"/>
              </w:rPr>
            </w:pPr>
          </w:p>
          <w:p w14:paraId="49DB455E">
            <w:pPr>
              <w:pStyle w:val="6"/>
              <w:spacing w:before="65" w:line="228" w:lineRule="auto"/>
              <w:ind w:left="166"/>
            </w:pPr>
            <w:r>
              <w:rPr>
                <w:spacing w:val="4"/>
              </w:rPr>
              <w:t>停产</w:t>
            </w:r>
          </w:p>
        </w:tc>
      </w:tr>
      <w:tr w14:paraId="7FE59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413" w:type="dxa"/>
            <w:tcBorders>
              <w:left w:val="single" w:color="000000" w:sz="10" w:space="0"/>
            </w:tcBorders>
            <w:vAlign w:val="top"/>
          </w:tcPr>
          <w:p w14:paraId="0F3C09C4">
            <w:pPr>
              <w:spacing w:before="227" w:line="195" w:lineRule="auto"/>
              <w:ind w:left="10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1290" w:type="dxa"/>
            <w:vAlign w:val="top"/>
          </w:tcPr>
          <w:p w14:paraId="6A17EBE9">
            <w:pPr>
              <w:pStyle w:val="6"/>
              <w:spacing w:before="54" w:line="230" w:lineRule="auto"/>
              <w:ind w:left="118" w:right="24" w:hanging="108"/>
            </w:pPr>
            <w:r>
              <w:rPr>
                <w:spacing w:val="8"/>
              </w:rPr>
              <w:t>湖南柏路宝家</w:t>
            </w:r>
            <w:r>
              <w:rPr>
                <w:spacing w:val="7"/>
              </w:rPr>
              <w:t>居有限公司</w:t>
            </w:r>
          </w:p>
        </w:tc>
        <w:tc>
          <w:tcPr>
            <w:tcW w:w="2918" w:type="dxa"/>
            <w:vAlign w:val="top"/>
          </w:tcPr>
          <w:p w14:paraId="45A36BE3">
            <w:pPr>
              <w:pStyle w:val="6"/>
              <w:spacing w:before="54" w:line="230" w:lineRule="auto"/>
              <w:ind w:left="274" w:right="201" w:hanging="72"/>
            </w:pPr>
            <w:r>
              <w:rPr>
                <w:spacing w:val="6"/>
              </w:rPr>
              <w:t>年生产床</w:t>
            </w:r>
            <w:r>
              <w:rPr>
                <w:rFonts w:ascii="Times New Roman" w:hAnsi="Times New Roman" w:eastAsia="Times New Roman" w:cs="Times New Roman"/>
                <w:spacing w:val="6"/>
              </w:rPr>
              <w:t>20000</w:t>
            </w:r>
            <w:r>
              <w:rPr>
                <w:spacing w:val="6"/>
              </w:rPr>
              <w:t>张、床头柜</w:t>
            </w:r>
            <w:r>
              <w:rPr>
                <w:rFonts w:ascii="Times New Roman" w:hAnsi="Times New Roman" w:eastAsia="Times New Roman" w:cs="Times New Roman"/>
                <w:spacing w:val="5"/>
              </w:rPr>
              <w:t>20000</w:t>
            </w:r>
            <w:r>
              <w:rPr>
                <w:spacing w:val="5"/>
              </w:rPr>
              <w:t>个、床垫</w:t>
            </w:r>
            <w:r>
              <w:rPr>
                <w:rFonts w:ascii="Times New Roman" w:hAnsi="Times New Roman" w:eastAsia="Times New Roman" w:cs="Times New Roman"/>
                <w:spacing w:val="5"/>
              </w:rPr>
              <w:t>3000</w:t>
            </w:r>
            <w:r>
              <w:rPr>
                <w:spacing w:val="5"/>
              </w:rPr>
              <w:t>个。</w:t>
            </w:r>
          </w:p>
        </w:tc>
        <w:tc>
          <w:tcPr>
            <w:tcW w:w="1630" w:type="dxa"/>
            <w:vAlign w:val="top"/>
          </w:tcPr>
          <w:p w14:paraId="0D55795F">
            <w:pPr>
              <w:pStyle w:val="6"/>
              <w:spacing w:before="54" w:line="228" w:lineRule="auto"/>
              <w:ind w:left="142"/>
            </w:pPr>
            <w:r>
              <w:rPr>
                <w:spacing w:val="6"/>
              </w:rPr>
              <w:t>邵市环评（</w:t>
            </w:r>
            <w:r>
              <w:rPr>
                <w:rFonts w:ascii="Times New Roman" w:hAnsi="Times New Roman" w:eastAsia="Times New Roman" w:cs="Times New Roman"/>
                <w:spacing w:val="6"/>
              </w:rPr>
              <w:t>4</w:t>
            </w:r>
            <w:r>
              <w:rPr>
                <w:spacing w:val="6"/>
              </w:rPr>
              <w:t>）</w:t>
            </w:r>
          </w:p>
          <w:p w14:paraId="1EEE61EB">
            <w:pPr>
              <w:pStyle w:val="6"/>
              <w:spacing w:before="24" w:line="210" w:lineRule="auto"/>
              <w:ind w:left="247"/>
            </w:pPr>
            <w:r>
              <w:rPr>
                <w:spacing w:val="1"/>
              </w:rPr>
              <w:t>〔</w:t>
            </w:r>
            <w:r>
              <w:rPr>
                <w:rFonts w:ascii="Times New Roman" w:hAnsi="Times New Roman" w:eastAsia="Times New Roman" w:cs="Times New Roman"/>
                <w:spacing w:val="1"/>
              </w:rPr>
              <w:t>2021</w:t>
            </w:r>
            <w:r>
              <w:rPr>
                <w:spacing w:val="1"/>
              </w:rPr>
              <w:t>〕</w:t>
            </w:r>
            <w:r>
              <w:rPr>
                <w:rFonts w:ascii="Times New Roman" w:hAnsi="Times New Roman" w:eastAsia="Times New Roman" w:cs="Times New Roman"/>
                <w:spacing w:val="1"/>
              </w:rPr>
              <w:t>6</w:t>
            </w:r>
            <w:r>
              <w:rPr>
                <w:spacing w:val="1"/>
              </w:rPr>
              <w:t>号</w:t>
            </w:r>
          </w:p>
        </w:tc>
        <w:tc>
          <w:tcPr>
            <w:tcW w:w="1555" w:type="dxa"/>
            <w:vAlign w:val="top"/>
          </w:tcPr>
          <w:p w14:paraId="502CD641">
            <w:pPr>
              <w:spacing w:before="104" w:line="234" w:lineRule="auto"/>
              <w:ind w:left="179" w:right="51" w:hanging="10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91430524</w:t>
            </w:r>
            <w:r>
              <w:rPr>
                <w:rFonts w:ascii="Times New Roman" w:hAnsi="Times New Roman" w:eastAsia="Times New Roman" w:cs="Times New Roman"/>
                <w:sz w:val="20"/>
                <w:szCs w:val="20"/>
              </w:rPr>
              <w:t>MA</w:t>
            </w:r>
            <w:r>
              <w:rPr>
                <w:rFonts w:ascii="Times New Roman" w:hAnsi="Times New Roman" w:eastAsia="Times New Roman" w:cs="Times New Roman"/>
                <w:spacing w:val="5"/>
                <w:sz w:val="20"/>
                <w:szCs w:val="20"/>
              </w:rPr>
              <w:t>4Q</w:t>
            </w:r>
            <w:r>
              <w:rPr>
                <w:rFonts w:ascii="Times New Roman" w:hAnsi="Times New Roman" w:eastAsia="Times New Roman" w:cs="Times New Roman"/>
                <w:spacing w:val="8"/>
                <w:sz w:val="20"/>
                <w:szCs w:val="20"/>
              </w:rPr>
              <w:t>R9</w:t>
            </w:r>
            <w:r>
              <w:rPr>
                <w:rFonts w:ascii="Times New Roman" w:hAnsi="Times New Roman" w:eastAsia="Times New Roman" w:cs="Times New Roman"/>
                <w:sz w:val="20"/>
                <w:szCs w:val="20"/>
              </w:rPr>
              <w:t>TJXR</w:t>
            </w:r>
            <w:r>
              <w:rPr>
                <w:rFonts w:ascii="Times New Roman" w:hAnsi="Times New Roman" w:eastAsia="Times New Roman" w:cs="Times New Roman"/>
                <w:spacing w:val="8"/>
                <w:sz w:val="20"/>
                <w:szCs w:val="20"/>
              </w:rPr>
              <w:t>001X</w:t>
            </w:r>
          </w:p>
        </w:tc>
        <w:tc>
          <w:tcPr>
            <w:tcW w:w="732" w:type="dxa"/>
            <w:tcBorders>
              <w:right w:val="single" w:color="000000" w:sz="10" w:space="0"/>
            </w:tcBorders>
            <w:vAlign w:val="top"/>
          </w:tcPr>
          <w:p w14:paraId="7585583F">
            <w:pPr>
              <w:pStyle w:val="6"/>
              <w:spacing w:before="189" w:line="228" w:lineRule="auto"/>
              <w:ind w:left="165"/>
            </w:pPr>
            <w:r>
              <w:rPr>
                <w:spacing w:val="4"/>
              </w:rPr>
              <w:t>运行</w:t>
            </w:r>
          </w:p>
        </w:tc>
      </w:tr>
      <w:tr w14:paraId="5AEB9B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413" w:type="dxa"/>
            <w:tcBorders>
              <w:left w:val="single" w:color="000000" w:sz="10" w:space="0"/>
            </w:tcBorders>
            <w:vAlign w:val="top"/>
          </w:tcPr>
          <w:p w14:paraId="637CDA43">
            <w:pPr>
              <w:spacing w:line="305" w:lineRule="auto"/>
              <w:rPr>
                <w:rFonts w:ascii="Arial"/>
                <w:sz w:val="21"/>
              </w:rPr>
            </w:pPr>
          </w:p>
          <w:p w14:paraId="39A6E6C0">
            <w:pPr>
              <w:spacing w:before="57" w:line="195" w:lineRule="auto"/>
              <w:ind w:left="10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1290" w:type="dxa"/>
            <w:vAlign w:val="top"/>
          </w:tcPr>
          <w:p w14:paraId="221A7309">
            <w:pPr>
              <w:pStyle w:val="6"/>
              <w:spacing w:before="191" w:line="228" w:lineRule="auto"/>
              <w:ind w:left="24"/>
            </w:pPr>
            <w:r>
              <w:rPr>
                <w:spacing w:val="6"/>
              </w:rPr>
              <w:t>隆回艺隆家具</w:t>
            </w:r>
          </w:p>
          <w:p w14:paraId="5566B3AA">
            <w:pPr>
              <w:pStyle w:val="6"/>
              <w:spacing w:before="24" w:line="228" w:lineRule="auto"/>
              <w:ind w:left="222"/>
            </w:pPr>
            <w:r>
              <w:rPr>
                <w:spacing w:val="7"/>
              </w:rPr>
              <w:t>有限公司</w:t>
            </w:r>
          </w:p>
        </w:tc>
        <w:tc>
          <w:tcPr>
            <w:tcW w:w="2918" w:type="dxa"/>
            <w:vAlign w:val="top"/>
          </w:tcPr>
          <w:p w14:paraId="4A6B3A0D">
            <w:pPr>
              <w:pStyle w:val="6"/>
              <w:spacing w:before="54" w:line="228" w:lineRule="auto"/>
              <w:jc w:val="right"/>
            </w:pPr>
            <w:r>
              <w:rPr>
                <w:spacing w:val="2"/>
              </w:rPr>
              <w:t>年产木柜</w:t>
            </w:r>
            <w:r>
              <w:rPr>
                <w:rFonts w:ascii="Times New Roman" w:hAnsi="Times New Roman" w:eastAsia="Times New Roman" w:cs="Times New Roman"/>
                <w:spacing w:val="2"/>
              </w:rPr>
              <w:t>5</w:t>
            </w:r>
            <w:r>
              <w:rPr>
                <w:spacing w:val="2"/>
              </w:rPr>
              <w:t>万件、木架</w:t>
            </w:r>
            <w:r>
              <w:rPr>
                <w:rFonts w:ascii="Times New Roman" w:hAnsi="Times New Roman" w:eastAsia="Times New Roman" w:cs="Times New Roman"/>
                <w:spacing w:val="2"/>
              </w:rPr>
              <w:t>7</w:t>
            </w:r>
            <w:r>
              <w:rPr>
                <w:spacing w:val="2"/>
              </w:rPr>
              <w:t>万件、</w:t>
            </w:r>
          </w:p>
          <w:p w14:paraId="1701AEDC">
            <w:pPr>
              <w:pStyle w:val="6"/>
              <w:spacing w:before="26" w:line="228" w:lineRule="auto"/>
              <w:ind w:left="44"/>
            </w:pPr>
            <w:r>
              <w:rPr>
                <w:spacing w:val="6"/>
              </w:rPr>
              <w:t>木桌三万件、其它木制品</w:t>
            </w:r>
            <w:r>
              <w:rPr>
                <w:rFonts w:ascii="Times New Roman" w:hAnsi="Times New Roman" w:eastAsia="Times New Roman" w:cs="Times New Roman"/>
                <w:spacing w:val="6"/>
              </w:rPr>
              <w:t>10</w:t>
            </w:r>
            <w:r>
              <w:rPr>
                <w:spacing w:val="6"/>
              </w:rPr>
              <w:t>万</w:t>
            </w:r>
          </w:p>
          <w:p w14:paraId="3D8536F9">
            <w:pPr>
              <w:pStyle w:val="6"/>
              <w:spacing w:before="24" w:line="208" w:lineRule="auto"/>
              <w:ind w:left="1249"/>
            </w:pPr>
            <w:r>
              <w:t>件。</w:t>
            </w:r>
          </w:p>
        </w:tc>
        <w:tc>
          <w:tcPr>
            <w:tcW w:w="1630" w:type="dxa"/>
            <w:vAlign w:val="top"/>
          </w:tcPr>
          <w:p w14:paraId="070D8A45">
            <w:pPr>
              <w:pStyle w:val="6"/>
              <w:spacing w:before="191" w:line="228" w:lineRule="auto"/>
              <w:ind w:left="142"/>
            </w:pPr>
            <w:r>
              <w:rPr>
                <w:spacing w:val="6"/>
              </w:rPr>
              <w:t>邵市环审（</w:t>
            </w:r>
            <w:r>
              <w:rPr>
                <w:rFonts w:ascii="Times New Roman" w:hAnsi="Times New Roman" w:eastAsia="Times New Roman" w:cs="Times New Roman"/>
                <w:spacing w:val="6"/>
              </w:rPr>
              <w:t>4</w:t>
            </w:r>
            <w:r>
              <w:rPr>
                <w:spacing w:val="6"/>
              </w:rPr>
              <w:t>）</w:t>
            </w:r>
          </w:p>
          <w:p w14:paraId="74378A98">
            <w:pPr>
              <w:pStyle w:val="6"/>
              <w:spacing w:before="24" w:line="229" w:lineRule="auto"/>
              <w:ind w:left="247"/>
            </w:pPr>
            <w:r>
              <w:rPr>
                <w:spacing w:val="1"/>
              </w:rPr>
              <w:t>〔</w:t>
            </w:r>
            <w:r>
              <w:rPr>
                <w:rFonts w:ascii="Times New Roman" w:hAnsi="Times New Roman" w:eastAsia="Times New Roman" w:cs="Times New Roman"/>
                <w:spacing w:val="1"/>
              </w:rPr>
              <w:t>2021</w:t>
            </w:r>
            <w:r>
              <w:rPr>
                <w:spacing w:val="1"/>
              </w:rPr>
              <w:t>〕</w:t>
            </w:r>
            <w:r>
              <w:rPr>
                <w:rFonts w:ascii="Times New Roman" w:hAnsi="Times New Roman" w:eastAsia="Times New Roman" w:cs="Times New Roman"/>
                <w:spacing w:val="1"/>
              </w:rPr>
              <w:t>2</w:t>
            </w:r>
            <w:r>
              <w:rPr>
                <w:spacing w:val="1"/>
              </w:rPr>
              <w:t>号</w:t>
            </w:r>
          </w:p>
        </w:tc>
        <w:tc>
          <w:tcPr>
            <w:tcW w:w="1555" w:type="dxa"/>
            <w:vAlign w:val="top"/>
          </w:tcPr>
          <w:p w14:paraId="402E85B3">
            <w:pPr>
              <w:spacing w:before="244" w:line="259" w:lineRule="auto"/>
              <w:ind w:left="204" w:right="11" w:hanging="17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91430524</w:t>
            </w:r>
            <w:r>
              <w:rPr>
                <w:rFonts w:ascii="Times New Roman" w:hAnsi="Times New Roman" w:eastAsia="Times New Roman" w:cs="Times New Roman"/>
                <w:sz w:val="20"/>
                <w:szCs w:val="20"/>
              </w:rPr>
              <w:t>MA</w:t>
            </w:r>
            <w:r>
              <w:rPr>
                <w:rFonts w:ascii="Times New Roman" w:hAnsi="Times New Roman" w:eastAsia="Times New Roman" w:cs="Times New Roman"/>
                <w:spacing w:val="5"/>
                <w:sz w:val="20"/>
                <w:szCs w:val="20"/>
              </w:rPr>
              <w:t>4T9</w:t>
            </w:r>
            <w:r>
              <w:rPr>
                <w:rFonts w:ascii="Times New Roman" w:hAnsi="Times New Roman" w:eastAsia="Times New Roman" w:cs="Times New Roman"/>
                <w:sz w:val="20"/>
                <w:szCs w:val="20"/>
              </w:rPr>
              <w:t>TWP</w:t>
            </w:r>
            <w:r>
              <w:rPr>
                <w:rFonts w:ascii="Times New Roman" w:hAnsi="Times New Roman" w:eastAsia="Times New Roman" w:cs="Times New Roman"/>
                <w:spacing w:val="8"/>
                <w:sz w:val="20"/>
                <w:szCs w:val="20"/>
              </w:rPr>
              <w:t>7A001X</w:t>
            </w:r>
          </w:p>
        </w:tc>
        <w:tc>
          <w:tcPr>
            <w:tcW w:w="732" w:type="dxa"/>
            <w:tcBorders>
              <w:right w:val="single" w:color="000000" w:sz="10" w:space="0"/>
            </w:tcBorders>
            <w:vAlign w:val="top"/>
          </w:tcPr>
          <w:p w14:paraId="51B84A7C">
            <w:pPr>
              <w:spacing w:line="262" w:lineRule="auto"/>
              <w:rPr>
                <w:rFonts w:ascii="Arial"/>
                <w:sz w:val="21"/>
              </w:rPr>
            </w:pPr>
          </w:p>
          <w:p w14:paraId="00D3338A">
            <w:pPr>
              <w:pStyle w:val="6"/>
              <w:spacing w:before="65" w:line="228" w:lineRule="auto"/>
              <w:ind w:left="165"/>
            </w:pPr>
            <w:r>
              <w:rPr>
                <w:spacing w:val="4"/>
              </w:rPr>
              <w:t>运行</w:t>
            </w:r>
          </w:p>
        </w:tc>
      </w:tr>
      <w:tr w14:paraId="76ED2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13" w:type="dxa"/>
            <w:tcBorders>
              <w:left w:val="single" w:color="000000" w:sz="10" w:space="0"/>
            </w:tcBorders>
            <w:vAlign w:val="top"/>
          </w:tcPr>
          <w:p w14:paraId="4193E47C">
            <w:pPr>
              <w:spacing w:before="230" w:line="195" w:lineRule="auto"/>
              <w:ind w:left="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290" w:type="dxa"/>
            <w:vAlign w:val="top"/>
          </w:tcPr>
          <w:p w14:paraId="1CE29512">
            <w:pPr>
              <w:pStyle w:val="6"/>
              <w:spacing w:before="58" w:line="228" w:lineRule="auto"/>
              <w:ind w:left="10"/>
            </w:pPr>
            <w:r>
              <w:rPr>
                <w:spacing w:val="8"/>
              </w:rPr>
              <w:t>湖南瀚星纸业</w:t>
            </w:r>
          </w:p>
          <w:p w14:paraId="275446AA">
            <w:pPr>
              <w:pStyle w:val="6"/>
              <w:spacing w:before="25" w:line="206" w:lineRule="auto"/>
              <w:ind w:left="222"/>
            </w:pPr>
            <w:r>
              <w:rPr>
                <w:spacing w:val="7"/>
              </w:rPr>
              <w:t>有限公司</w:t>
            </w:r>
          </w:p>
        </w:tc>
        <w:tc>
          <w:tcPr>
            <w:tcW w:w="2918" w:type="dxa"/>
            <w:vAlign w:val="top"/>
          </w:tcPr>
          <w:p w14:paraId="12321592">
            <w:pPr>
              <w:pStyle w:val="6"/>
              <w:spacing w:before="194" w:line="228" w:lineRule="auto"/>
              <w:ind w:left="404"/>
            </w:pPr>
            <w:r>
              <w:rPr>
                <w:rFonts w:ascii="Times New Roman" w:hAnsi="Times New Roman" w:eastAsia="Times New Roman" w:cs="Times New Roman"/>
                <w:spacing w:val="7"/>
              </w:rPr>
              <w:t>2</w:t>
            </w:r>
            <w:r>
              <w:rPr>
                <w:spacing w:val="7"/>
              </w:rPr>
              <w:t>万吨</w:t>
            </w:r>
            <w:r>
              <w:rPr>
                <w:rFonts w:ascii="Times New Roman" w:hAnsi="Times New Roman" w:eastAsia="Times New Roman" w:cs="Times New Roman"/>
                <w:spacing w:val="7"/>
              </w:rPr>
              <w:t>/</w:t>
            </w:r>
            <w:r>
              <w:rPr>
                <w:spacing w:val="7"/>
              </w:rPr>
              <w:t>年一体化速印纸</w:t>
            </w:r>
          </w:p>
        </w:tc>
        <w:tc>
          <w:tcPr>
            <w:tcW w:w="1630" w:type="dxa"/>
            <w:vAlign w:val="top"/>
          </w:tcPr>
          <w:p w14:paraId="532761D0">
            <w:pPr>
              <w:pStyle w:val="6"/>
              <w:spacing w:before="57" w:line="223" w:lineRule="auto"/>
              <w:ind w:left="122"/>
              <w:rPr>
                <w:rFonts w:ascii="Times New Roman" w:hAnsi="Times New Roman" w:eastAsia="Times New Roman" w:cs="Times New Roman"/>
              </w:rPr>
            </w:pPr>
            <w:r>
              <w:rPr>
                <w:spacing w:val="5"/>
              </w:rPr>
              <w:t>湘环评</w:t>
            </w:r>
            <w:r>
              <w:rPr>
                <w:rFonts w:ascii="Times New Roman" w:hAnsi="Times New Roman" w:eastAsia="Times New Roman" w:cs="Times New Roman"/>
                <w:spacing w:val="5"/>
              </w:rPr>
              <w:t>[2013]37</w:t>
            </w:r>
          </w:p>
          <w:p w14:paraId="098D2290">
            <w:pPr>
              <w:pStyle w:val="6"/>
              <w:spacing w:before="31" w:line="206" w:lineRule="auto"/>
              <w:ind w:left="723"/>
            </w:pPr>
            <w:r>
              <w:t>号</w:t>
            </w:r>
          </w:p>
        </w:tc>
        <w:tc>
          <w:tcPr>
            <w:tcW w:w="1555" w:type="dxa"/>
            <w:vAlign w:val="top"/>
          </w:tcPr>
          <w:p w14:paraId="137257F3">
            <w:pPr>
              <w:spacing w:before="111" w:line="231" w:lineRule="auto"/>
              <w:ind w:left="375" w:right="32" w:hanging="32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91430524064202</w:t>
            </w:r>
            <w:r>
              <w:rPr>
                <w:rFonts w:ascii="Times New Roman" w:hAnsi="Times New Roman" w:eastAsia="Times New Roman" w:cs="Times New Roman"/>
                <w:spacing w:val="1"/>
                <w:sz w:val="20"/>
                <w:szCs w:val="20"/>
              </w:rPr>
              <w:t>138P001P</w:t>
            </w:r>
          </w:p>
        </w:tc>
        <w:tc>
          <w:tcPr>
            <w:tcW w:w="732" w:type="dxa"/>
            <w:tcBorders>
              <w:right w:val="single" w:color="000000" w:sz="10" w:space="0"/>
            </w:tcBorders>
            <w:vAlign w:val="top"/>
          </w:tcPr>
          <w:p w14:paraId="3EB4CFA4">
            <w:pPr>
              <w:pStyle w:val="6"/>
              <w:spacing w:before="194" w:line="228" w:lineRule="auto"/>
              <w:ind w:left="165"/>
            </w:pPr>
            <w:r>
              <w:rPr>
                <w:spacing w:val="4"/>
              </w:rPr>
              <w:t>运行</w:t>
            </w:r>
          </w:p>
        </w:tc>
      </w:tr>
      <w:tr w14:paraId="77C322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413" w:type="dxa"/>
            <w:tcBorders>
              <w:left w:val="single" w:color="000000" w:sz="10" w:space="0"/>
            </w:tcBorders>
            <w:vAlign w:val="top"/>
          </w:tcPr>
          <w:p w14:paraId="3C6C9E3E">
            <w:pPr>
              <w:spacing w:line="307" w:lineRule="auto"/>
              <w:rPr>
                <w:rFonts w:ascii="Arial"/>
                <w:sz w:val="21"/>
              </w:rPr>
            </w:pPr>
          </w:p>
          <w:p w14:paraId="02F9297D">
            <w:pPr>
              <w:spacing w:before="58" w:line="195" w:lineRule="auto"/>
              <w:ind w:left="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1290" w:type="dxa"/>
            <w:vAlign w:val="top"/>
          </w:tcPr>
          <w:p w14:paraId="22D2DB7B">
            <w:pPr>
              <w:pStyle w:val="6"/>
              <w:spacing w:before="193" w:line="228" w:lineRule="auto"/>
              <w:ind w:left="10"/>
            </w:pPr>
            <w:r>
              <w:rPr>
                <w:spacing w:val="8"/>
              </w:rPr>
              <w:t>湖南湘丰特种</w:t>
            </w:r>
          </w:p>
          <w:p w14:paraId="6803CB79">
            <w:pPr>
              <w:pStyle w:val="6"/>
              <w:spacing w:before="24" w:line="228" w:lineRule="auto"/>
              <w:ind w:left="12"/>
            </w:pPr>
            <w:r>
              <w:rPr>
                <w:spacing w:val="7"/>
              </w:rPr>
              <w:t>纸业有限公司</w:t>
            </w:r>
          </w:p>
        </w:tc>
        <w:tc>
          <w:tcPr>
            <w:tcW w:w="2918" w:type="dxa"/>
            <w:vAlign w:val="top"/>
          </w:tcPr>
          <w:p w14:paraId="63112F2E">
            <w:pPr>
              <w:spacing w:line="264" w:lineRule="auto"/>
              <w:rPr>
                <w:rFonts w:ascii="Arial"/>
                <w:sz w:val="21"/>
              </w:rPr>
            </w:pPr>
          </w:p>
          <w:p w14:paraId="5D1385A5">
            <w:pPr>
              <w:pStyle w:val="6"/>
              <w:spacing w:before="65" w:line="228" w:lineRule="auto"/>
              <w:ind w:left="464"/>
            </w:pPr>
            <w:r>
              <w:rPr>
                <w:spacing w:val="4"/>
              </w:rPr>
              <w:t>年产</w:t>
            </w:r>
            <w:r>
              <w:rPr>
                <w:rFonts w:ascii="Times New Roman" w:hAnsi="Times New Roman" w:eastAsia="Times New Roman" w:cs="Times New Roman"/>
                <w:spacing w:val="4"/>
              </w:rPr>
              <w:t>8000</w:t>
            </w:r>
            <w:r>
              <w:rPr>
                <w:spacing w:val="4"/>
              </w:rPr>
              <w:t>吨卷烟用纸</w:t>
            </w:r>
          </w:p>
        </w:tc>
        <w:tc>
          <w:tcPr>
            <w:tcW w:w="1630" w:type="dxa"/>
            <w:vAlign w:val="top"/>
          </w:tcPr>
          <w:p w14:paraId="763DDF7E">
            <w:pPr>
              <w:pStyle w:val="6"/>
              <w:spacing w:before="57" w:line="228" w:lineRule="auto"/>
              <w:jc w:val="right"/>
            </w:pPr>
            <w:r>
              <w:rPr>
                <w:rFonts w:ascii="Times New Roman" w:hAnsi="Times New Roman" w:eastAsia="Times New Roman" w:cs="Times New Roman"/>
                <w:spacing w:val="-4"/>
              </w:rPr>
              <w:t>2006</w:t>
            </w:r>
            <w:r>
              <w:rPr>
                <w:spacing w:val="-4"/>
              </w:rPr>
              <w:t>年</w:t>
            </w:r>
            <w:r>
              <w:rPr>
                <w:rFonts w:ascii="Times New Roman" w:hAnsi="Times New Roman" w:eastAsia="Times New Roman" w:cs="Times New Roman"/>
                <w:spacing w:val="-4"/>
              </w:rPr>
              <w:t>5</w:t>
            </w:r>
            <w:r>
              <w:rPr>
                <w:spacing w:val="-4"/>
              </w:rPr>
              <w:t>月</w:t>
            </w:r>
            <w:r>
              <w:rPr>
                <w:rFonts w:ascii="Times New Roman" w:hAnsi="Times New Roman" w:eastAsia="Times New Roman" w:cs="Times New Roman"/>
                <w:spacing w:val="-4"/>
              </w:rPr>
              <w:t>15</w:t>
            </w:r>
            <w:r>
              <w:rPr>
                <w:spacing w:val="-4"/>
              </w:rPr>
              <w:t>日</w:t>
            </w:r>
          </w:p>
          <w:p w14:paraId="6AF85E92">
            <w:pPr>
              <w:pStyle w:val="6"/>
              <w:spacing w:before="26" w:line="228" w:lineRule="auto"/>
              <w:ind w:left="720" w:right="74" w:hanging="632"/>
            </w:pPr>
            <w:r>
              <w:rPr>
                <w:spacing w:val="8"/>
              </w:rPr>
              <w:t>湖南省环境保护</w:t>
            </w:r>
            <w:r>
              <w:t>厅</w:t>
            </w:r>
          </w:p>
        </w:tc>
        <w:tc>
          <w:tcPr>
            <w:tcW w:w="1555" w:type="dxa"/>
            <w:vAlign w:val="top"/>
          </w:tcPr>
          <w:p w14:paraId="1F058AE8">
            <w:pPr>
              <w:spacing w:before="246" w:line="259" w:lineRule="auto"/>
              <w:ind w:left="356" w:right="32" w:hanging="3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91430524770074</w:t>
            </w:r>
            <w:r>
              <w:rPr>
                <w:rFonts w:ascii="Times New Roman" w:hAnsi="Times New Roman" w:eastAsia="Times New Roman" w:cs="Times New Roman"/>
                <w:spacing w:val="3"/>
                <w:sz w:val="20"/>
                <w:szCs w:val="20"/>
              </w:rPr>
              <w:t>866L001P</w:t>
            </w:r>
          </w:p>
        </w:tc>
        <w:tc>
          <w:tcPr>
            <w:tcW w:w="732" w:type="dxa"/>
            <w:tcBorders>
              <w:right w:val="single" w:color="000000" w:sz="10" w:space="0"/>
            </w:tcBorders>
            <w:vAlign w:val="top"/>
          </w:tcPr>
          <w:p w14:paraId="480C075E">
            <w:pPr>
              <w:spacing w:line="264" w:lineRule="auto"/>
              <w:rPr>
                <w:rFonts w:ascii="Arial"/>
                <w:sz w:val="21"/>
              </w:rPr>
            </w:pPr>
          </w:p>
          <w:p w14:paraId="47CBA40C">
            <w:pPr>
              <w:pStyle w:val="6"/>
              <w:spacing w:before="65" w:line="228" w:lineRule="auto"/>
              <w:ind w:left="165"/>
            </w:pPr>
            <w:r>
              <w:rPr>
                <w:spacing w:val="4"/>
              </w:rPr>
              <w:t>运行</w:t>
            </w:r>
          </w:p>
        </w:tc>
      </w:tr>
      <w:tr w14:paraId="140DB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13" w:type="dxa"/>
            <w:tcBorders>
              <w:left w:val="single" w:color="000000" w:sz="10" w:space="0"/>
            </w:tcBorders>
            <w:vAlign w:val="top"/>
          </w:tcPr>
          <w:p w14:paraId="1073072A">
            <w:pPr>
              <w:spacing w:before="232" w:line="195" w:lineRule="auto"/>
              <w:ind w:left="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1290" w:type="dxa"/>
            <w:vAlign w:val="top"/>
          </w:tcPr>
          <w:p w14:paraId="51B88535">
            <w:pPr>
              <w:pStyle w:val="6"/>
              <w:spacing w:before="59" w:line="228" w:lineRule="auto"/>
              <w:ind w:left="10"/>
            </w:pPr>
            <w:r>
              <w:rPr>
                <w:spacing w:val="8"/>
              </w:rPr>
              <w:t>湖南康业生物</w:t>
            </w:r>
          </w:p>
          <w:p w14:paraId="1B4F637B">
            <w:pPr>
              <w:pStyle w:val="6"/>
              <w:spacing w:before="26" w:line="204" w:lineRule="auto"/>
              <w:ind w:left="10"/>
            </w:pPr>
            <w:r>
              <w:rPr>
                <w:spacing w:val="8"/>
              </w:rPr>
              <w:t>科技有限公司</w:t>
            </w:r>
          </w:p>
        </w:tc>
        <w:tc>
          <w:tcPr>
            <w:tcW w:w="2918" w:type="dxa"/>
            <w:vAlign w:val="top"/>
          </w:tcPr>
          <w:p w14:paraId="61DDC594">
            <w:pPr>
              <w:pStyle w:val="6"/>
              <w:spacing w:before="59" w:line="227" w:lineRule="auto"/>
              <w:ind w:left="44"/>
            </w:pPr>
            <w:r>
              <w:rPr>
                <w:spacing w:val="6"/>
              </w:rPr>
              <w:t>年产</w:t>
            </w:r>
            <w:r>
              <w:rPr>
                <w:rFonts w:ascii="Times New Roman" w:hAnsi="Times New Roman" w:eastAsia="Times New Roman" w:cs="Times New Roman"/>
                <w:spacing w:val="6"/>
              </w:rPr>
              <w:t>10</w:t>
            </w:r>
            <w:r>
              <w:rPr>
                <w:spacing w:val="6"/>
              </w:rPr>
              <w:t>万吨传统民俗文化喜庆</w:t>
            </w:r>
          </w:p>
          <w:p w14:paraId="5112624B">
            <w:pPr>
              <w:pStyle w:val="6"/>
              <w:spacing w:before="27" w:line="204" w:lineRule="auto"/>
              <w:ind w:left="1252"/>
            </w:pPr>
            <w:r>
              <w:rPr>
                <w:spacing w:val="3"/>
              </w:rPr>
              <w:t>用品</w:t>
            </w:r>
          </w:p>
        </w:tc>
        <w:tc>
          <w:tcPr>
            <w:tcW w:w="1630" w:type="dxa"/>
            <w:vAlign w:val="top"/>
          </w:tcPr>
          <w:p w14:paraId="5633D75B">
            <w:pPr>
              <w:pStyle w:val="6"/>
              <w:spacing w:before="60" w:line="228" w:lineRule="auto"/>
              <w:ind w:left="196" w:right="154" w:firstLine="114"/>
            </w:pPr>
            <w:r>
              <w:rPr>
                <w:spacing w:val="5"/>
              </w:rPr>
              <w:t>隆环评分函</w:t>
            </w:r>
            <w:r>
              <w:rPr>
                <w:spacing w:val="1"/>
              </w:rPr>
              <w:t>〔</w:t>
            </w:r>
            <w:r>
              <w:rPr>
                <w:rFonts w:ascii="Times New Roman" w:hAnsi="Times New Roman" w:eastAsia="Times New Roman" w:cs="Times New Roman"/>
                <w:spacing w:val="1"/>
              </w:rPr>
              <w:t>2019</w:t>
            </w:r>
            <w:r>
              <w:rPr>
                <w:spacing w:val="1"/>
              </w:rPr>
              <w:t>〕</w:t>
            </w:r>
            <w:r>
              <w:rPr>
                <w:rFonts w:ascii="Times New Roman" w:hAnsi="Times New Roman" w:eastAsia="Times New Roman" w:cs="Times New Roman"/>
                <w:spacing w:val="1"/>
              </w:rPr>
              <w:t>05</w:t>
            </w:r>
            <w:r>
              <w:rPr>
                <w:spacing w:val="1"/>
              </w:rPr>
              <w:t>号</w:t>
            </w:r>
          </w:p>
        </w:tc>
        <w:tc>
          <w:tcPr>
            <w:tcW w:w="1555" w:type="dxa"/>
            <w:vAlign w:val="top"/>
          </w:tcPr>
          <w:p w14:paraId="6E5D3424">
            <w:pPr>
              <w:spacing w:before="111" w:line="231" w:lineRule="auto"/>
              <w:ind w:left="377" w:right="32" w:hanging="32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91430500599430</w:t>
            </w:r>
            <w:r>
              <w:rPr>
                <w:rFonts w:ascii="Times New Roman" w:hAnsi="Times New Roman" w:eastAsia="Times New Roman" w:cs="Times New Roman"/>
                <w:spacing w:val="3"/>
                <w:sz w:val="20"/>
                <w:szCs w:val="20"/>
              </w:rPr>
              <w:t>612J001P</w:t>
            </w:r>
          </w:p>
        </w:tc>
        <w:tc>
          <w:tcPr>
            <w:tcW w:w="732" w:type="dxa"/>
            <w:tcBorders>
              <w:right w:val="single" w:color="000000" w:sz="10" w:space="0"/>
            </w:tcBorders>
            <w:vAlign w:val="top"/>
          </w:tcPr>
          <w:p w14:paraId="2151D22F">
            <w:pPr>
              <w:pStyle w:val="6"/>
              <w:spacing w:before="194" w:line="228" w:lineRule="auto"/>
              <w:ind w:left="165"/>
            </w:pPr>
            <w:r>
              <w:rPr>
                <w:spacing w:val="4"/>
              </w:rPr>
              <w:t>运行</w:t>
            </w:r>
          </w:p>
        </w:tc>
      </w:tr>
      <w:tr w14:paraId="0320EF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413" w:type="dxa"/>
            <w:tcBorders>
              <w:left w:val="single" w:color="000000" w:sz="10" w:space="0"/>
            </w:tcBorders>
            <w:vAlign w:val="top"/>
          </w:tcPr>
          <w:p w14:paraId="689C8C06">
            <w:pPr>
              <w:spacing w:line="309" w:lineRule="auto"/>
              <w:rPr>
                <w:rFonts w:ascii="Arial"/>
                <w:sz w:val="21"/>
              </w:rPr>
            </w:pPr>
          </w:p>
          <w:p w14:paraId="7C904771">
            <w:pPr>
              <w:spacing w:before="58" w:line="195" w:lineRule="auto"/>
              <w:ind w:left="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290" w:type="dxa"/>
            <w:vAlign w:val="top"/>
          </w:tcPr>
          <w:p w14:paraId="353015FA">
            <w:pPr>
              <w:pStyle w:val="6"/>
              <w:spacing w:before="61" w:line="228" w:lineRule="auto"/>
              <w:ind w:left="10"/>
            </w:pPr>
            <w:r>
              <w:rPr>
                <w:spacing w:val="8"/>
              </w:rPr>
              <w:t>湖南永隆昇雕</w:t>
            </w:r>
          </w:p>
          <w:p w14:paraId="2E2BD246">
            <w:pPr>
              <w:pStyle w:val="6"/>
              <w:spacing w:before="24" w:line="228" w:lineRule="auto"/>
              <w:ind w:left="12"/>
            </w:pPr>
            <w:r>
              <w:rPr>
                <w:spacing w:val="7"/>
              </w:rPr>
              <w:t>刻工艺有限公</w:t>
            </w:r>
          </w:p>
          <w:p w14:paraId="21B22D54">
            <w:pPr>
              <w:pStyle w:val="6"/>
              <w:spacing w:before="25" w:line="204" w:lineRule="auto"/>
              <w:ind w:left="544"/>
            </w:pPr>
            <w:r>
              <w:t>司</w:t>
            </w:r>
          </w:p>
        </w:tc>
        <w:tc>
          <w:tcPr>
            <w:tcW w:w="2918" w:type="dxa"/>
            <w:vAlign w:val="top"/>
          </w:tcPr>
          <w:p w14:paraId="76BAEAF1">
            <w:pPr>
              <w:spacing w:line="266" w:lineRule="auto"/>
              <w:rPr>
                <w:rFonts w:ascii="Arial"/>
                <w:sz w:val="21"/>
              </w:rPr>
            </w:pPr>
          </w:p>
          <w:p w14:paraId="2D50B8F0">
            <w:pPr>
              <w:pStyle w:val="6"/>
              <w:spacing w:before="65" w:line="228" w:lineRule="auto"/>
              <w:ind w:left="308"/>
            </w:pPr>
            <w:r>
              <w:rPr>
                <w:spacing w:val="5"/>
              </w:rPr>
              <w:t>年产</w:t>
            </w:r>
            <w:r>
              <w:rPr>
                <w:rFonts w:ascii="Times New Roman" w:hAnsi="Times New Roman" w:eastAsia="Times New Roman" w:cs="Times New Roman"/>
                <w:spacing w:val="5"/>
              </w:rPr>
              <w:t>15000</w:t>
            </w:r>
            <w:r>
              <w:rPr>
                <w:spacing w:val="5"/>
              </w:rPr>
              <w:t>套神龛、佛龛</w:t>
            </w:r>
          </w:p>
        </w:tc>
        <w:tc>
          <w:tcPr>
            <w:tcW w:w="1630" w:type="dxa"/>
            <w:vAlign w:val="top"/>
          </w:tcPr>
          <w:p w14:paraId="40E1FD4B">
            <w:pPr>
              <w:pStyle w:val="6"/>
              <w:spacing w:before="195" w:line="255" w:lineRule="auto"/>
              <w:ind w:left="574" w:hanging="539"/>
            </w:pPr>
            <w:r>
              <w:rPr>
                <w:spacing w:val="-2"/>
              </w:rPr>
              <w:t>隆环评函〔</w:t>
            </w:r>
            <w:r>
              <w:rPr>
                <w:rFonts w:ascii="Times New Roman" w:hAnsi="Times New Roman" w:eastAsia="Times New Roman" w:cs="Times New Roman"/>
                <w:spacing w:val="-2"/>
              </w:rPr>
              <w:t>2018</w:t>
            </w:r>
            <w:r>
              <w:rPr>
                <w:spacing w:val="-2"/>
              </w:rPr>
              <w:t>〕</w:t>
            </w:r>
            <w:r>
              <w:rPr>
                <w:rFonts w:ascii="Times New Roman" w:hAnsi="Times New Roman" w:eastAsia="Times New Roman" w:cs="Times New Roman"/>
              </w:rPr>
              <w:t>23</w:t>
            </w:r>
            <w:r>
              <w:t>号</w:t>
            </w:r>
          </w:p>
        </w:tc>
        <w:tc>
          <w:tcPr>
            <w:tcW w:w="1555" w:type="dxa"/>
            <w:vAlign w:val="top"/>
          </w:tcPr>
          <w:p w14:paraId="11BB6CE4">
            <w:pPr>
              <w:spacing w:before="249" w:line="259" w:lineRule="auto"/>
              <w:ind w:left="360" w:right="32" w:hanging="30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91430524394065340J001Y</w:t>
            </w:r>
          </w:p>
        </w:tc>
        <w:tc>
          <w:tcPr>
            <w:tcW w:w="732" w:type="dxa"/>
            <w:tcBorders>
              <w:right w:val="single" w:color="000000" w:sz="10" w:space="0"/>
            </w:tcBorders>
            <w:vAlign w:val="top"/>
          </w:tcPr>
          <w:p w14:paraId="3EFF65A3">
            <w:pPr>
              <w:spacing w:line="267" w:lineRule="auto"/>
              <w:rPr>
                <w:rFonts w:ascii="Arial"/>
                <w:sz w:val="21"/>
              </w:rPr>
            </w:pPr>
          </w:p>
          <w:p w14:paraId="35C8389E">
            <w:pPr>
              <w:pStyle w:val="6"/>
              <w:spacing w:before="65" w:line="228" w:lineRule="auto"/>
              <w:ind w:left="165"/>
            </w:pPr>
            <w:r>
              <w:rPr>
                <w:spacing w:val="4"/>
              </w:rPr>
              <w:t>运行</w:t>
            </w:r>
          </w:p>
        </w:tc>
      </w:tr>
      <w:tr w14:paraId="56DF8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413" w:type="dxa"/>
            <w:tcBorders>
              <w:left w:val="single" w:color="000000" w:sz="10" w:space="0"/>
            </w:tcBorders>
            <w:vAlign w:val="top"/>
          </w:tcPr>
          <w:p w14:paraId="233C63A4">
            <w:pPr>
              <w:spacing w:before="233" w:line="195" w:lineRule="auto"/>
              <w:ind w:left="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290" w:type="dxa"/>
            <w:vAlign w:val="top"/>
          </w:tcPr>
          <w:p w14:paraId="7941213E">
            <w:pPr>
              <w:pStyle w:val="6"/>
              <w:spacing w:before="63" w:line="228" w:lineRule="auto"/>
              <w:ind w:left="24"/>
            </w:pPr>
            <w:r>
              <w:rPr>
                <w:spacing w:val="6"/>
              </w:rPr>
              <w:t>隆回大华珠宝</w:t>
            </w:r>
          </w:p>
          <w:p w14:paraId="3C144DAE">
            <w:pPr>
              <w:pStyle w:val="6"/>
              <w:spacing w:before="24" w:line="202" w:lineRule="auto"/>
              <w:ind w:left="10"/>
            </w:pPr>
            <w:r>
              <w:rPr>
                <w:spacing w:val="8"/>
              </w:rPr>
              <w:t>饰品有限公司</w:t>
            </w:r>
          </w:p>
        </w:tc>
        <w:tc>
          <w:tcPr>
            <w:tcW w:w="2918" w:type="dxa"/>
            <w:vAlign w:val="top"/>
          </w:tcPr>
          <w:p w14:paraId="10D97C13">
            <w:pPr>
              <w:pStyle w:val="6"/>
              <w:spacing w:before="197" w:line="228" w:lineRule="auto"/>
              <w:ind w:left="569"/>
            </w:pPr>
            <w:r>
              <w:rPr>
                <w:spacing w:val="2"/>
              </w:rPr>
              <w:t>年产</w:t>
            </w:r>
            <w:r>
              <w:rPr>
                <w:rFonts w:ascii="Times New Roman" w:hAnsi="Times New Roman" w:eastAsia="Times New Roman" w:cs="Times New Roman"/>
                <w:spacing w:val="2"/>
              </w:rPr>
              <w:t>10</w:t>
            </w:r>
            <w:r>
              <w:rPr>
                <w:spacing w:val="2"/>
              </w:rPr>
              <w:t>吨珠宝饰品</w:t>
            </w:r>
          </w:p>
        </w:tc>
        <w:tc>
          <w:tcPr>
            <w:tcW w:w="1630" w:type="dxa"/>
            <w:vAlign w:val="top"/>
          </w:tcPr>
          <w:p w14:paraId="5FB93A64">
            <w:pPr>
              <w:pStyle w:val="6"/>
              <w:spacing w:before="63" w:line="228" w:lineRule="auto"/>
              <w:ind w:left="416"/>
            </w:pPr>
            <w:r>
              <w:rPr>
                <w:spacing w:val="4"/>
              </w:rPr>
              <w:t>隆环评函</w:t>
            </w:r>
          </w:p>
          <w:p w14:paraId="2FDBA3C6">
            <w:pPr>
              <w:pStyle w:val="6"/>
              <w:spacing w:before="24" w:line="202" w:lineRule="auto"/>
              <w:ind w:left="316"/>
            </w:pPr>
            <w:r>
              <w:rPr>
                <w:rFonts w:ascii="Times New Roman" w:hAnsi="Times New Roman" w:eastAsia="Times New Roman" w:cs="Times New Roman"/>
                <w:spacing w:val="2"/>
              </w:rPr>
              <w:t>[2018]24</w:t>
            </w:r>
            <w:r>
              <w:rPr>
                <w:spacing w:val="2"/>
              </w:rPr>
              <w:t>号</w:t>
            </w:r>
          </w:p>
        </w:tc>
        <w:tc>
          <w:tcPr>
            <w:tcW w:w="1555" w:type="dxa"/>
            <w:vAlign w:val="top"/>
          </w:tcPr>
          <w:p w14:paraId="3A5BFF6D">
            <w:pPr>
              <w:spacing w:before="114" w:line="229" w:lineRule="auto"/>
              <w:ind w:left="168" w:right="35" w:hanging="11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91430524</w:t>
            </w:r>
            <w:r>
              <w:rPr>
                <w:rFonts w:ascii="Times New Roman" w:hAnsi="Times New Roman" w:eastAsia="Times New Roman" w:cs="Times New Roman"/>
                <w:sz w:val="20"/>
                <w:szCs w:val="20"/>
              </w:rPr>
              <w:t>MA</w:t>
            </w:r>
            <w:r>
              <w:rPr>
                <w:rFonts w:ascii="Times New Roman" w:hAnsi="Times New Roman" w:eastAsia="Times New Roman" w:cs="Times New Roman"/>
                <w:spacing w:val="5"/>
                <w:sz w:val="20"/>
                <w:szCs w:val="20"/>
              </w:rPr>
              <w:t>4M</w:t>
            </w:r>
            <w:r>
              <w:rPr>
                <w:rFonts w:ascii="Times New Roman" w:hAnsi="Times New Roman" w:eastAsia="Times New Roman" w:cs="Times New Roman"/>
                <w:spacing w:val="7"/>
                <w:sz w:val="20"/>
                <w:szCs w:val="20"/>
              </w:rPr>
              <w:t>2</w:t>
            </w:r>
            <w:r>
              <w:rPr>
                <w:rFonts w:ascii="Times New Roman" w:hAnsi="Times New Roman" w:eastAsia="Times New Roman" w:cs="Times New Roman"/>
                <w:sz w:val="20"/>
                <w:szCs w:val="20"/>
              </w:rPr>
              <w:t>LXU</w:t>
            </w:r>
            <w:r>
              <w:rPr>
                <w:rFonts w:ascii="Times New Roman" w:hAnsi="Times New Roman" w:eastAsia="Times New Roman" w:cs="Times New Roman"/>
                <w:spacing w:val="7"/>
                <w:sz w:val="20"/>
                <w:szCs w:val="20"/>
              </w:rPr>
              <w:t>8Q001Z</w:t>
            </w:r>
          </w:p>
        </w:tc>
        <w:tc>
          <w:tcPr>
            <w:tcW w:w="732" w:type="dxa"/>
            <w:tcBorders>
              <w:right w:val="single" w:color="000000" w:sz="10" w:space="0"/>
            </w:tcBorders>
            <w:vAlign w:val="top"/>
          </w:tcPr>
          <w:p w14:paraId="640B4F28">
            <w:pPr>
              <w:pStyle w:val="6"/>
              <w:spacing w:before="198" w:line="228" w:lineRule="auto"/>
              <w:ind w:left="165"/>
            </w:pPr>
            <w:r>
              <w:rPr>
                <w:spacing w:val="4"/>
              </w:rPr>
              <w:t>运行</w:t>
            </w:r>
          </w:p>
        </w:tc>
      </w:tr>
      <w:tr w14:paraId="12696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13" w:type="dxa"/>
            <w:tcBorders>
              <w:left w:val="single" w:color="000000" w:sz="10" w:space="0"/>
            </w:tcBorders>
            <w:vAlign w:val="top"/>
          </w:tcPr>
          <w:p w14:paraId="4487C8E2">
            <w:pPr>
              <w:spacing w:before="236" w:line="195" w:lineRule="auto"/>
              <w:ind w:left="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290" w:type="dxa"/>
            <w:vAlign w:val="top"/>
          </w:tcPr>
          <w:p w14:paraId="59D40659">
            <w:pPr>
              <w:pStyle w:val="6"/>
              <w:spacing w:before="63" w:line="228" w:lineRule="auto"/>
              <w:ind w:left="24"/>
            </w:pPr>
            <w:r>
              <w:rPr>
                <w:spacing w:val="6"/>
              </w:rPr>
              <w:t>隆回盛泰饰品</w:t>
            </w:r>
          </w:p>
          <w:p w14:paraId="66C5580D">
            <w:pPr>
              <w:pStyle w:val="6"/>
              <w:spacing w:before="24" w:line="202" w:lineRule="auto"/>
              <w:ind w:left="222"/>
            </w:pPr>
            <w:r>
              <w:rPr>
                <w:spacing w:val="7"/>
              </w:rPr>
              <w:t>有限公司</w:t>
            </w:r>
          </w:p>
        </w:tc>
        <w:tc>
          <w:tcPr>
            <w:tcW w:w="2918" w:type="dxa"/>
            <w:vAlign w:val="top"/>
          </w:tcPr>
          <w:p w14:paraId="7F529341">
            <w:pPr>
              <w:pStyle w:val="6"/>
              <w:spacing w:before="198" w:line="228" w:lineRule="auto"/>
              <w:ind w:left="308"/>
            </w:pPr>
            <w:r>
              <w:rPr>
                <w:spacing w:val="5"/>
              </w:rPr>
              <w:t>年产</w:t>
            </w:r>
            <w:r>
              <w:rPr>
                <w:rFonts w:ascii="Times New Roman" w:hAnsi="Times New Roman" w:eastAsia="Times New Roman" w:cs="Times New Roman"/>
                <w:spacing w:val="5"/>
              </w:rPr>
              <w:t>600</w:t>
            </w:r>
            <w:r>
              <w:rPr>
                <w:spacing w:val="5"/>
              </w:rPr>
              <w:t>万件贝壳珠项链</w:t>
            </w:r>
          </w:p>
        </w:tc>
        <w:tc>
          <w:tcPr>
            <w:tcW w:w="1630" w:type="dxa"/>
            <w:vAlign w:val="top"/>
          </w:tcPr>
          <w:p w14:paraId="41392528">
            <w:pPr>
              <w:pStyle w:val="6"/>
              <w:spacing w:before="63" w:line="228" w:lineRule="auto"/>
              <w:ind w:left="416"/>
            </w:pPr>
            <w:r>
              <w:rPr>
                <w:spacing w:val="4"/>
              </w:rPr>
              <w:t>隆环评函</w:t>
            </w:r>
          </w:p>
          <w:p w14:paraId="73892714">
            <w:pPr>
              <w:pStyle w:val="6"/>
              <w:spacing w:before="24" w:line="202" w:lineRule="auto"/>
              <w:ind w:left="263"/>
            </w:pPr>
            <w:r>
              <w:rPr>
                <w:rFonts w:ascii="Times New Roman" w:hAnsi="Times New Roman" w:eastAsia="Times New Roman" w:cs="Times New Roman"/>
                <w:spacing w:val="2"/>
              </w:rPr>
              <w:t>[2013]112</w:t>
            </w:r>
            <w:r>
              <w:rPr>
                <w:spacing w:val="2"/>
              </w:rPr>
              <w:t>号</w:t>
            </w:r>
          </w:p>
        </w:tc>
        <w:tc>
          <w:tcPr>
            <w:tcW w:w="1555" w:type="dxa"/>
            <w:vAlign w:val="top"/>
          </w:tcPr>
          <w:p w14:paraId="728906E7">
            <w:pPr>
              <w:spacing w:before="115" w:line="229" w:lineRule="auto"/>
              <w:ind w:left="318" w:right="32" w:hanging="26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91430524066362</w:t>
            </w:r>
            <w:r>
              <w:rPr>
                <w:rFonts w:ascii="Times New Roman" w:hAnsi="Times New Roman" w:eastAsia="Times New Roman" w:cs="Times New Roman"/>
                <w:spacing w:val="5"/>
                <w:sz w:val="20"/>
                <w:szCs w:val="20"/>
              </w:rPr>
              <w:t>4852001W</w:t>
            </w:r>
          </w:p>
        </w:tc>
        <w:tc>
          <w:tcPr>
            <w:tcW w:w="732" w:type="dxa"/>
            <w:tcBorders>
              <w:right w:val="single" w:color="000000" w:sz="10" w:space="0"/>
            </w:tcBorders>
            <w:vAlign w:val="top"/>
          </w:tcPr>
          <w:p w14:paraId="06BE118C">
            <w:pPr>
              <w:pStyle w:val="6"/>
              <w:spacing w:before="199" w:line="228" w:lineRule="auto"/>
              <w:ind w:left="165"/>
            </w:pPr>
            <w:r>
              <w:rPr>
                <w:spacing w:val="4"/>
              </w:rPr>
              <w:t>运行</w:t>
            </w:r>
          </w:p>
        </w:tc>
      </w:tr>
      <w:tr w14:paraId="61091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7" w:hRule="atLeast"/>
        </w:trPr>
        <w:tc>
          <w:tcPr>
            <w:tcW w:w="413" w:type="dxa"/>
            <w:tcBorders>
              <w:left w:val="single" w:color="000000" w:sz="10" w:space="0"/>
            </w:tcBorders>
            <w:vAlign w:val="top"/>
          </w:tcPr>
          <w:p w14:paraId="66EFC5CC">
            <w:pPr>
              <w:spacing w:line="450" w:lineRule="auto"/>
              <w:rPr>
                <w:rFonts w:ascii="Arial"/>
                <w:sz w:val="21"/>
              </w:rPr>
            </w:pPr>
          </w:p>
          <w:p w14:paraId="3C645566">
            <w:pPr>
              <w:spacing w:before="57" w:line="195" w:lineRule="auto"/>
              <w:ind w:left="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1290" w:type="dxa"/>
            <w:vAlign w:val="top"/>
          </w:tcPr>
          <w:p w14:paraId="01002270">
            <w:pPr>
              <w:pStyle w:val="6"/>
              <w:spacing w:before="200" w:line="228" w:lineRule="auto"/>
              <w:ind w:left="24"/>
            </w:pPr>
            <w:r>
              <w:rPr>
                <w:spacing w:val="6"/>
              </w:rPr>
              <w:t>隆回县福鸿工</w:t>
            </w:r>
          </w:p>
          <w:p w14:paraId="76DAA008">
            <w:pPr>
              <w:pStyle w:val="6"/>
              <w:spacing w:before="25" w:line="228" w:lineRule="auto"/>
              <w:ind w:left="15"/>
            </w:pPr>
            <w:r>
              <w:rPr>
                <w:spacing w:val="7"/>
              </w:rPr>
              <w:t>艺制品有限公</w:t>
            </w:r>
          </w:p>
          <w:p w14:paraId="238421DF">
            <w:pPr>
              <w:pStyle w:val="6"/>
              <w:spacing w:before="23" w:line="230" w:lineRule="auto"/>
              <w:ind w:left="544"/>
            </w:pPr>
            <w:r>
              <w:t>司</w:t>
            </w:r>
          </w:p>
        </w:tc>
        <w:tc>
          <w:tcPr>
            <w:tcW w:w="2918" w:type="dxa"/>
            <w:vAlign w:val="top"/>
          </w:tcPr>
          <w:p w14:paraId="22A03DB1">
            <w:pPr>
              <w:spacing w:line="270" w:lineRule="auto"/>
              <w:rPr>
                <w:rFonts w:ascii="Arial"/>
                <w:sz w:val="21"/>
              </w:rPr>
            </w:pPr>
          </w:p>
          <w:p w14:paraId="2C83913D">
            <w:pPr>
              <w:pStyle w:val="6"/>
              <w:spacing w:before="65" w:line="252" w:lineRule="auto"/>
              <w:ind w:left="400" w:right="19" w:hanging="385"/>
            </w:pPr>
            <w:r>
              <w:rPr>
                <w:spacing w:val="7"/>
              </w:rPr>
              <w:t>年产波丽类工艺制品</w:t>
            </w:r>
            <w:r>
              <w:rPr>
                <w:rFonts w:ascii="Times New Roman" w:hAnsi="Times New Roman" w:eastAsia="Times New Roman" w:cs="Times New Roman"/>
                <w:spacing w:val="7"/>
              </w:rPr>
              <w:t>600</w:t>
            </w:r>
            <w:r>
              <w:rPr>
                <w:spacing w:val="7"/>
              </w:rPr>
              <w:t>万只，</w:t>
            </w:r>
            <w:r>
              <w:rPr>
                <w:rFonts w:ascii="Times New Roman" w:hAnsi="Times New Roman" w:eastAsia="Times New Roman" w:cs="Times New Roman"/>
                <w:spacing w:val="5"/>
              </w:rPr>
              <w:t>1200</w:t>
            </w:r>
            <w:r>
              <w:rPr>
                <w:spacing w:val="5"/>
              </w:rPr>
              <w:t>万只塑胶工艺制品</w:t>
            </w:r>
          </w:p>
        </w:tc>
        <w:tc>
          <w:tcPr>
            <w:tcW w:w="1630" w:type="dxa"/>
            <w:vAlign w:val="top"/>
          </w:tcPr>
          <w:p w14:paraId="725059CD">
            <w:pPr>
              <w:pStyle w:val="6"/>
              <w:spacing w:before="66" w:line="228" w:lineRule="auto"/>
              <w:ind w:left="416"/>
            </w:pPr>
            <w:r>
              <w:rPr>
                <w:spacing w:val="4"/>
              </w:rPr>
              <w:t>隆环评函</w:t>
            </w:r>
          </w:p>
          <w:p w14:paraId="7CD1C4F2">
            <w:pPr>
              <w:pStyle w:val="6"/>
              <w:spacing w:before="24" w:line="221" w:lineRule="auto"/>
              <w:ind w:left="316"/>
            </w:pPr>
            <w:r>
              <w:rPr>
                <w:rFonts w:ascii="Times New Roman" w:hAnsi="Times New Roman" w:eastAsia="Times New Roman" w:cs="Times New Roman"/>
                <w:spacing w:val="2"/>
              </w:rPr>
              <w:t>[2011]90</w:t>
            </w:r>
            <w:r>
              <w:rPr>
                <w:spacing w:val="2"/>
              </w:rPr>
              <w:t>号</w:t>
            </w:r>
          </w:p>
          <w:p w14:paraId="78880B01">
            <w:pPr>
              <w:pStyle w:val="6"/>
              <w:spacing w:before="31" w:line="228" w:lineRule="auto"/>
              <w:jc w:val="right"/>
            </w:pPr>
            <w:r>
              <w:rPr>
                <w:spacing w:val="-2"/>
              </w:rPr>
              <w:t>隆环评函〔</w:t>
            </w:r>
            <w:r>
              <w:rPr>
                <w:rFonts w:ascii="Times New Roman" w:hAnsi="Times New Roman" w:eastAsia="Times New Roman" w:cs="Times New Roman"/>
                <w:spacing w:val="-2"/>
              </w:rPr>
              <w:t>2015</w:t>
            </w:r>
            <w:r>
              <w:rPr>
                <w:spacing w:val="-2"/>
              </w:rPr>
              <w:t>〕</w:t>
            </w:r>
          </w:p>
          <w:p w14:paraId="0A752B12">
            <w:pPr>
              <w:pStyle w:val="6"/>
              <w:spacing w:before="27" w:line="198" w:lineRule="auto"/>
              <w:ind w:left="549"/>
            </w:pPr>
            <w:r>
              <w:rPr>
                <w:rFonts w:ascii="Times New Roman" w:hAnsi="Times New Roman" w:eastAsia="Times New Roman" w:cs="Times New Roman"/>
                <w:spacing w:val="-3"/>
              </w:rPr>
              <w:t>141</w:t>
            </w:r>
            <w:r>
              <w:rPr>
                <w:spacing w:val="-3"/>
              </w:rPr>
              <w:t>号</w:t>
            </w:r>
          </w:p>
        </w:tc>
        <w:tc>
          <w:tcPr>
            <w:tcW w:w="1555" w:type="dxa"/>
            <w:vAlign w:val="top"/>
          </w:tcPr>
          <w:p w14:paraId="155A645A">
            <w:pPr>
              <w:spacing w:line="446" w:lineRule="auto"/>
              <w:rPr>
                <w:rFonts w:ascii="Arial"/>
                <w:sz w:val="21"/>
              </w:rPr>
            </w:pPr>
          </w:p>
          <w:p w14:paraId="7179FDFE">
            <w:pPr>
              <w:spacing w:before="57"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32" w:type="dxa"/>
            <w:tcBorders>
              <w:right w:val="single" w:color="000000" w:sz="10" w:space="0"/>
            </w:tcBorders>
            <w:vAlign w:val="top"/>
          </w:tcPr>
          <w:p w14:paraId="6A64A8C4">
            <w:pPr>
              <w:spacing w:line="406" w:lineRule="auto"/>
              <w:rPr>
                <w:rFonts w:ascii="Arial"/>
                <w:sz w:val="21"/>
              </w:rPr>
            </w:pPr>
          </w:p>
          <w:p w14:paraId="7CB7AC48">
            <w:pPr>
              <w:pStyle w:val="6"/>
              <w:spacing w:before="65" w:line="228" w:lineRule="auto"/>
              <w:ind w:left="166"/>
            </w:pPr>
            <w:r>
              <w:rPr>
                <w:spacing w:val="4"/>
              </w:rPr>
              <w:t>停产</w:t>
            </w:r>
          </w:p>
        </w:tc>
      </w:tr>
      <w:tr w14:paraId="66DE9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413" w:type="dxa"/>
            <w:tcBorders>
              <w:left w:val="single" w:color="000000" w:sz="10" w:space="0"/>
            </w:tcBorders>
            <w:vAlign w:val="top"/>
          </w:tcPr>
          <w:p w14:paraId="30BA7D55">
            <w:pPr>
              <w:spacing w:line="315" w:lineRule="auto"/>
              <w:rPr>
                <w:rFonts w:ascii="Arial"/>
                <w:sz w:val="21"/>
              </w:rPr>
            </w:pPr>
          </w:p>
          <w:p w14:paraId="7DCD45C9">
            <w:pPr>
              <w:spacing w:before="58" w:line="195" w:lineRule="auto"/>
              <w:ind w:left="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290" w:type="dxa"/>
            <w:vAlign w:val="top"/>
          </w:tcPr>
          <w:p w14:paraId="74A56EA9">
            <w:pPr>
              <w:pStyle w:val="6"/>
              <w:spacing w:before="68" w:line="228" w:lineRule="auto"/>
              <w:ind w:left="10"/>
            </w:pPr>
            <w:r>
              <w:rPr>
                <w:spacing w:val="8"/>
              </w:rPr>
              <w:t>湖南新源发制</w:t>
            </w:r>
          </w:p>
          <w:p w14:paraId="294F0A51">
            <w:pPr>
              <w:pStyle w:val="6"/>
              <w:spacing w:before="23" w:line="228" w:lineRule="auto"/>
              <w:ind w:left="28"/>
            </w:pPr>
            <w:r>
              <w:rPr>
                <w:spacing w:val="5"/>
              </w:rPr>
              <w:t>品股份有限公</w:t>
            </w:r>
          </w:p>
          <w:p w14:paraId="3CB02C4E">
            <w:pPr>
              <w:pStyle w:val="6"/>
              <w:spacing w:before="24" w:line="199" w:lineRule="auto"/>
              <w:ind w:left="544"/>
            </w:pPr>
            <w:r>
              <w:t>司</w:t>
            </w:r>
          </w:p>
        </w:tc>
        <w:tc>
          <w:tcPr>
            <w:tcW w:w="2918" w:type="dxa"/>
            <w:vAlign w:val="top"/>
          </w:tcPr>
          <w:p w14:paraId="3AE0FDAB">
            <w:pPr>
              <w:pStyle w:val="6"/>
              <w:spacing w:before="202" w:line="254" w:lineRule="auto"/>
              <w:ind w:left="520" w:right="20" w:hanging="505"/>
            </w:pPr>
            <w:r>
              <w:rPr>
                <w:spacing w:val="4"/>
              </w:rPr>
              <w:t>年产人发</w:t>
            </w:r>
            <w:r>
              <w:rPr>
                <w:rFonts w:ascii="Times New Roman" w:hAnsi="Times New Roman" w:eastAsia="Times New Roman" w:cs="Times New Roman"/>
                <w:spacing w:val="4"/>
              </w:rPr>
              <w:t>100</w:t>
            </w:r>
            <w:r>
              <w:rPr>
                <w:spacing w:val="4"/>
              </w:rPr>
              <w:t>万套、化纤发</w:t>
            </w:r>
            <w:r>
              <w:rPr>
                <w:rFonts w:ascii="Times New Roman" w:hAnsi="Times New Roman" w:eastAsia="Times New Roman" w:cs="Times New Roman"/>
                <w:spacing w:val="4"/>
              </w:rPr>
              <w:t>200</w:t>
            </w:r>
            <w:r>
              <w:rPr>
                <w:spacing w:val="3"/>
              </w:rPr>
              <w:t>万套及发条</w:t>
            </w:r>
            <w:r>
              <w:rPr>
                <w:rFonts w:ascii="Times New Roman" w:hAnsi="Times New Roman" w:eastAsia="Times New Roman" w:cs="Times New Roman"/>
                <w:spacing w:val="3"/>
              </w:rPr>
              <w:t>100</w:t>
            </w:r>
            <w:r>
              <w:rPr>
                <w:spacing w:val="3"/>
              </w:rPr>
              <w:t>万套</w:t>
            </w:r>
          </w:p>
        </w:tc>
        <w:tc>
          <w:tcPr>
            <w:tcW w:w="1630" w:type="dxa"/>
            <w:vAlign w:val="top"/>
          </w:tcPr>
          <w:p w14:paraId="5998CA95">
            <w:pPr>
              <w:pStyle w:val="6"/>
              <w:spacing w:before="201" w:line="255" w:lineRule="auto"/>
              <w:ind w:left="578" w:hanging="543"/>
            </w:pPr>
            <w:r>
              <w:rPr>
                <w:spacing w:val="-2"/>
              </w:rPr>
              <w:t>隆环评函〔</w:t>
            </w:r>
            <w:r>
              <w:rPr>
                <w:rFonts w:ascii="Times New Roman" w:hAnsi="Times New Roman" w:eastAsia="Times New Roman" w:cs="Times New Roman"/>
                <w:spacing w:val="-2"/>
              </w:rPr>
              <w:t>2014</w:t>
            </w:r>
            <w:r>
              <w:rPr>
                <w:spacing w:val="-2"/>
              </w:rPr>
              <w:t>〕</w:t>
            </w:r>
            <w:r>
              <w:rPr>
                <w:rFonts w:ascii="Times New Roman" w:hAnsi="Times New Roman" w:eastAsia="Times New Roman" w:cs="Times New Roman"/>
                <w:spacing w:val="-1"/>
              </w:rPr>
              <w:t>77</w:t>
            </w:r>
            <w:r>
              <w:rPr>
                <w:spacing w:val="-1"/>
              </w:rPr>
              <w:t>号</w:t>
            </w:r>
          </w:p>
        </w:tc>
        <w:tc>
          <w:tcPr>
            <w:tcW w:w="1555" w:type="dxa"/>
            <w:vAlign w:val="top"/>
          </w:tcPr>
          <w:p w14:paraId="4426DE14">
            <w:pPr>
              <w:spacing w:before="255" w:line="259" w:lineRule="auto"/>
              <w:ind w:left="282" w:right="32" w:hanging="22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91430524068223876W001W</w:t>
            </w:r>
          </w:p>
        </w:tc>
        <w:tc>
          <w:tcPr>
            <w:tcW w:w="732" w:type="dxa"/>
            <w:tcBorders>
              <w:right w:val="single" w:color="000000" w:sz="10" w:space="0"/>
            </w:tcBorders>
            <w:vAlign w:val="top"/>
          </w:tcPr>
          <w:p w14:paraId="293F0C55">
            <w:pPr>
              <w:spacing w:line="272" w:lineRule="auto"/>
              <w:rPr>
                <w:rFonts w:ascii="Arial"/>
                <w:sz w:val="21"/>
              </w:rPr>
            </w:pPr>
          </w:p>
          <w:p w14:paraId="05F8A02E">
            <w:pPr>
              <w:pStyle w:val="6"/>
              <w:spacing w:before="65" w:line="228" w:lineRule="auto"/>
              <w:ind w:left="165"/>
            </w:pPr>
            <w:r>
              <w:rPr>
                <w:spacing w:val="4"/>
              </w:rPr>
              <w:t>运行</w:t>
            </w:r>
          </w:p>
        </w:tc>
      </w:tr>
      <w:tr w14:paraId="0D7BB5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413" w:type="dxa"/>
            <w:tcBorders>
              <w:left w:val="single" w:color="000000" w:sz="10" w:space="0"/>
            </w:tcBorders>
            <w:vAlign w:val="top"/>
          </w:tcPr>
          <w:p w14:paraId="78ED67BE">
            <w:pPr>
              <w:spacing w:line="317" w:lineRule="auto"/>
              <w:rPr>
                <w:rFonts w:ascii="Arial"/>
                <w:sz w:val="21"/>
              </w:rPr>
            </w:pPr>
          </w:p>
          <w:p w14:paraId="38518777">
            <w:pPr>
              <w:spacing w:before="57" w:line="195" w:lineRule="auto"/>
              <w:ind w:left="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290" w:type="dxa"/>
            <w:vAlign w:val="top"/>
          </w:tcPr>
          <w:p w14:paraId="6BD70431">
            <w:pPr>
              <w:pStyle w:val="6"/>
              <w:spacing w:before="69" w:line="228" w:lineRule="auto"/>
              <w:ind w:left="24"/>
            </w:pPr>
            <w:r>
              <w:rPr>
                <w:spacing w:val="6"/>
              </w:rPr>
              <w:t>隆回县三百运</w:t>
            </w:r>
          </w:p>
          <w:p w14:paraId="7FE4AC52">
            <w:pPr>
              <w:pStyle w:val="6"/>
              <w:spacing w:before="24" w:line="228" w:lineRule="auto"/>
              <w:ind w:left="11"/>
            </w:pPr>
            <w:r>
              <w:rPr>
                <w:spacing w:val="8"/>
              </w:rPr>
              <w:t>动用品有限公</w:t>
            </w:r>
          </w:p>
          <w:p w14:paraId="7BBAEFFE">
            <w:pPr>
              <w:pStyle w:val="6"/>
              <w:spacing w:before="23" w:line="197" w:lineRule="auto"/>
              <w:ind w:left="544"/>
            </w:pPr>
            <w:r>
              <w:t>司</w:t>
            </w:r>
          </w:p>
        </w:tc>
        <w:tc>
          <w:tcPr>
            <w:tcW w:w="2918" w:type="dxa"/>
            <w:vAlign w:val="top"/>
          </w:tcPr>
          <w:p w14:paraId="0443D68C">
            <w:pPr>
              <w:spacing w:line="273" w:lineRule="auto"/>
              <w:rPr>
                <w:rFonts w:ascii="Arial"/>
                <w:sz w:val="21"/>
              </w:rPr>
            </w:pPr>
          </w:p>
          <w:p w14:paraId="354575DE">
            <w:pPr>
              <w:pStyle w:val="6"/>
              <w:spacing w:before="65" w:line="228" w:lineRule="auto"/>
              <w:ind w:left="411"/>
            </w:pPr>
            <w:r>
              <w:rPr>
                <w:spacing w:val="6"/>
              </w:rPr>
              <w:t>年产</w:t>
            </w:r>
            <w:r>
              <w:rPr>
                <w:rFonts w:ascii="Times New Roman" w:hAnsi="Times New Roman" w:eastAsia="Times New Roman" w:cs="Times New Roman"/>
                <w:spacing w:val="6"/>
              </w:rPr>
              <w:t>200</w:t>
            </w:r>
            <w:r>
              <w:rPr>
                <w:spacing w:val="6"/>
              </w:rPr>
              <w:t>万件运动用品</w:t>
            </w:r>
          </w:p>
        </w:tc>
        <w:tc>
          <w:tcPr>
            <w:tcW w:w="1630" w:type="dxa"/>
            <w:vAlign w:val="top"/>
          </w:tcPr>
          <w:p w14:paraId="105E7577">
            <w:pPr>
              <w:pStyle w:val="6"/>
              <w:spacing w:before="203" w:line="255" w:lineRule="auto"/>
              <w:ind w:left="573" w:hanging="538"/>
            </w:pPr>
            <w:r>
              <w:rPr>
                <w:spacing w:val="-2"/>
              </w:rPr>
              <w:t>隆环评函〔</w:t>
            </w:r>
            <w:r>
              <w:rPr>
                <w:rFonts w:ascii="Times New Roman" w:hAnsi="Times New Roman" w:eastAsia="Times New Roman" w:cs="Times New Roman"/>
                <w:spacing w:val="-2"/>
              </w:rPr>
              <w:t>2017</w:t>
            </w:r>
            <w:r>
              <w:rPr>
                <w:spacing w:val="-2"/>
              </w:rPr>
              <w:t>〕</w:t>
            </w:r>
            <w:r>
              <w:rPr>
                <w:rFonts w:ascii="Times New Roman" w:hAnsi="Times New Roman" w:eastAsia="Times New Roman" w:cs="Times New Roman"/>
                <w:spacing w:val="1"/>
              </w:rPr>
              <w:t>46</w:t>
            </w:r>
            <w:r>
              <w:rPr>
                <w:spacing w:val="1"/>
              </w:rPr>
              <w:t>号</w:t>
            </w:r>
          </w:p>
        </w:tc>
        <w:tc>
          <w:tcPr>
            <w:tcW w:w="1555" w:type="dxa"/>
            <w:vAlign w:val="top"/>
          </w:tcPr>
          <w:p w14:paraId="7F1D11CA">
            <w:pPr>
              <w:spacing w:before="256" w:line="259" w:lineRule="auto"/>
              <w:ind w:left="162" w:right="62" w:hanging="7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91430524</w:t>
            </w:r>
            <w:r>
              <w:rPr>
                <w:rFonts w:ascii="Times New Roman" w:hAnsi="Times New Roman" w:eastAsia="Times New Roman" w:cs="Times New Roman"/>
                <w:sz w:val="20"/>
                <w:szCs w:val="20"/>
              </w:rPr>
              <w:t>MA</w:t>
            </w:r>
            <w:r>
              <w:rPr>
                <w:rFonts w:ascii="Times New Roman" w:hAnsi="Times New Roman" w:eastAsia="Times New Roman" w:cs="Times New Roman"/>
                <w:spacing w:val="5"/>
                <w:sz w:val="20"/>
                <w:szCs w:val="20"/>
              </w:rPr>
              <w:t>4L</w:t>
            </w:r>
            <w:r>
              <w:rPr>
                <w:rFonts w:ascii="Times New Roman" w:hAnsi="Times New Roman" w:eastAsia="Times New Roman" w:cs="Times New Roman"/>
                <w:sz w:val="20"/>
                <w:szCs w:val="20"/>
              </w:rPr>
              <w:t>MY</w:t>
            </w:r>
            <w:r>
              <w:rPr>
                <w:rFonts w:ascii="Times New Roman" w:hAnsi="Times New Roman" w:eastAsia="Times New Roman" w:cs="Times New Roman"/>
                <w:spacing w:val="6"/>
                <w:sz w:val="20"/>
                <w:szCs w:val="20"/>
              </w:rPr>
              <w:t>4J77001W</w:t>
            </w:r>
          </w:p>
        </w:tc>
        <w:tc>
          <w:tcPr>
            <w:tcW w:w="732" w:type="dxa"/>
            <w:tcBorders>
              <w:right w:val="single" w:color="000000" w:sz="10" w:space="0"/>
            </w:tcBorders>
            <w:vAlign w:val="top"/>
          </w:tcPr>
          <w:p w14:paraId="5B790832">
            <w:pPr>
              <w:spacing w:line="274" w:lineRule="auto"/>
              <w:rPr>
                <w:rFonts w:ascii="Arial"/>
                <w:sz w:val="21"/>
              </w:rPr>
            </w:pPr>
          </w:p>
          <w:p w14:paraId="264F3BF9">
            <w:pPr>
              <w:pStyle w:val="6"/>
              <w:spacing w:before="65" w:line="228" w:lineRule="auto"/>
              <w:ind w:left="165"/>
            </w:pPr>
            <w:r>
              <w:rPr>
                <w:spacing w:val="4"/>
              </w:rPr>
              <w:t>运行</w:t>
            </w:r>
          </w:p>
        </w:tc>
      </w:tr>
      <w:tr w14:paraId="77432C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13" w:type="dxa"/>
            <w:tcBorders>
              <w:left w:val="single" w:color="000000" w:sz="10" w:space="0"/>
            </w:tcBorders>
            <w:vAlign w:val="top"/>
          </w:tcPr>
          <w:p w14:paraId="2D29885E">
            <w:pPr>
              <w:spacing w:before="242" w:line="195" w:lineRule="auto"/>
              <w:ind w:left="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1290" w:type="dxa"/>
            <w:vAlign w:val="top"/>
          </w:tcPr>
          <w:p w14:paraId="52017DAD">
            <w:pPr>
              <w:pStyle w:val="6"/>
              <w:spacing w:before="69" w:line="228" w:lineRule="auto"/>
              <w:ind w:left="10"/>
            </w:pPr>
            <w:r>
              <w:rPr>
                <w:spacing w:val="8"/>
              </w:rPr>
              <w:t>邵阳沃克动漫</w:t>
            </w:r>
          </w:p>
          <w:p w14:paraId="056FB760">
            <w:pPr>
              <w:pStyle w:val="6"/>
              <w:spacing w:before="26" w:line="195" w:lineRule="auto"/>
              <w:ind w:left="12"/>
            </w:pPr>
            <w:r>
              <w:rPr>
                <w:spacing w:val="7"/>
              </w:rPr>
              <w:t>文化有限公司</w:t>
            </w:r>
          </w:p>
        </w:tc>
        <w:tc>
          <w:tcPr>
            <w:tcW w:w="2918" w:type="dxa"/>
            <w:vAlign w:val="top"/>
          </w:tcPr>
          <w:p w14:paraId="0A0DC716">
            <w:pPr>
              <w:pStyle w:val="6"/>
              <w:spacing w:before="205" w:line="228" w:lineRule="auto"/>
              <w:ind w:left="202"/>
            </w:pPr>
            <w:r>
              <w:rPr>
                <w:spacing w:val="7"/>
              </w:rPr>
              <w:t>年产</w:t>
            </w:r>
            <w:r>
              <w:rPr>
                <w:rFonts w:ascii="Times New Roman" w:hAnsi="Times New Roman" w:eastAsia="Times New Roman" w:cs="Times New Roman"/>
                <w:spacing w:val="7"/>
              </w:rPr>
              <w:t>200</w:t>
            </w:r>
            <w:r>
              <w:rPr>
                <w:spacing w:val="7"/>
              </w:rPr>
              <w:t>万件玩具系列产品</w:t>
            </w:r>
          </w:p>
        </w:tc>
        <w:tc>
          <w:tcPr>
            <w:tcW w:w="1630" w:type="dxa"/>
            <w:vAlign w:val="top"/>
          </w:tcPr>
          <w:p w14:paraId="46591048">
            <w:pPr>
              <w:pStyle w:val="6"/>
              <w:spacing w:before="68" w:line="224" w:lineRule="auto"/>
              <w:ind w:left="76" w:right="50" w:firstLine="12"/>
            </w:pPr>
            <w:r>
              <w:rPr>
                <w:spacing w:val="8"/>
              </w:rPr>
              <w:t>邵生环隆分环评</w:t>
            </w:r>
            <w:r>
              <w:rPr>
                <w:spacing w:val="3"/>
              </w:rPr>
              <w:t>函〔</w:t>
            </w:r>
            <w:r>
              <w:rPr>
                <w:rFonts w:ascii="Times New Roman" w:hAnsi="Times New Roman" w:eastAsia="Times New Roman" w:cs="Times New Roman"/>
                <w:spacing w:val="3"/>
              </w:rPr>
              <w:t>2019</w:t>
            </w:r>
            <w:r>
              <w:rPr>
                <w:spacing w:val="3"/>
              </w:rPr>
              <w:t>〕</w:t>
            </w:r>
            <w:r>
              <w:rPr>
                <w:rFonts w:ascii="Times New Roman" w:hAnsi="Times New Roman" w:eastAsia="Times New Roman" w:cs="Times New Roman"/>
                <w:spacing w:val="3"/>
              </w:rPr>
              <w:t>40</w:t>
            </w:r>
            <w:r>
              <w:rPr>
                <w:spacing w:val="3"/>
              </w:rPr>
              <w:t>号</w:t>
            </w:r>
          </w:p>
        </w:tc>
        <w:tc>
          <w:tcPr>
            <w:tcW w:w="1555" w:type="dxa"/>
            <w:vAlign w:val="top"/>
          </w:tcPr>
          <w:p w14:paraId="6091BA81">
            <w:pPr>
              <w:spacing w:before="122" w:line="225" w:lineRule="auto"/>
              <w:ind w:left="191" w:right="35" w:hanging="13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91430524</w:t>
            </w:r>
            <w:r>
              <w:rPr>
                <w:rFonts w:ascii="Times New Roman" w:hAnsi="Times New Roman" w:eastAsia="Times New Roman" w:cs="Times New Roman"/>
                <w:sz w:val="20"/>
                <w:szCs w:val="20"/>
              </w:rPr>
              <w:t>MA</w:t>
            </w:r>
            <w:r>
              <w:rPr>
                <w:rFonts w:ascii="Times New Roman" w:hAnsi="Times New Roman" w:eastAsia="Times New Roman" w:cs="Times New Roman"/>
                <w:spacing w:val="5"/>
                <w:sz w:val="20"/>
                <w:szCs w:val="20"/>
              </w:rPr>
              <w:t>4M</w:t>
            </w:r>
            <w:r>
              <w:rPr>
                <w:rFonts w:ascii="Times New Roman" w:hAnsi="Times New Roman" w:eastAsia="Times New Roman" w:cs="Times New Roman"/>
                <w:spacing w:val="6"/>
                <w:sz w:val="20"/>
                <w:szCs w:val="20"/>
              </w:rPr>
              <w:t>520</w:t>
            </w:r>
            <w:r>
              <w:rPr>
                <w:rFonts w:ascii="Times New Roman" w:hAnsi="Times New Roman" w:eastAsia="Times New Roman" w:cs="Times New Roman"/>
                <w:sz w:val="20"/>
                <w:szCs w:val="20"/>
              </w:rPr>
              <w:t>FXX</w:t>
            </w:r>
            <w:r>
              <w:rPr>
                <w:rFonts w:ascii="Times New Roman" w:hAnsi="Times New Roman" w:eastAsia="Times New Roman" w:cs="Times New Roman"/>
                <w:spacing w:val="6"/>
                <w:sz w:val="20"/>
                <w:szCs w:val="20"/>
              </w:rPr>
              <w:t>001X</w:t>
            </w:r>
          </w:p>
        </w:tc>
        <w:tc>
          <w:tcPr>
            <w:tcW w:w="732" w:type="dxa"/>
            <w:tcBorders>
              <w:right w:val="single" w:color="000000" w:sz="10" w:space="0"/>
            </w:tcBorders>
            <w:vAlign w:val="top"/>
          </w:tcPr>
          <w:p w14:paraId="1B148D4B">
            <w:pPr>
              <w:pStyle w:val="6"/>
              <w:spacing w:before="206" w:line="228" w:lineRule="auto"/>
              <w:ind w:left="165"/>
            </w:pPr>
            <w:r>
              <w:rPr>
                <w:spacing w:val="4"/>
              </w:rPr>
              <w:t>运行</w:t>
            </w:r>
          </w:p>
        </w:tc>
      </w:tr>
      <w:tr w14:paraId="2DF21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413" w:type="dxa"/>
            <w:tcBorders>
              <w:left w:val="single" w:color="000000" w:sz="10" w:space="0"/>
              <w:bottom w:val="single" w:color="000000" w:sz="10" w:space="0"/>
            </w:tcBorders>
            <w:vAlign w:val="top"/>
          </w:tcPr>
          <w:p w14:paraId="2166192C">
            <w:pPr>
              <w:spacing w:before="244" w:line="195" w:lineRule="auto"/>
              <w:ind w:left="92"/>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290" w:type="dxa"/>
            <w:tcBorders>
              <w:bottom w:val="single" w:color="000000" w:sz="10" w:space="0"/>
            </w:tcBorders>
            <w:vAlign w:val="top"/>
          </w:tcPr>
          <w:p w14:paraId="264A7749">
            <w:pPr>
              <w:pStyle w:val="6"/>
              <w:spacing w:before="71" w:line="228" w:lineRule="auto"/>
              <w:ind w:left="24"/>
            </w:pPr>
            <w:r>
              <w:rPr>
                <w:spacing w:val="6"/>
              </w:rPr>
              <w:t>隆回县源林生</w:t>
            </w:r>
          </w:p>
          <w:p w14:paraId="3C57044A">
            <w:pPr>
              <w:pStyle w:val="6"/>
              <w:spacing w:before="24" w:line="215" w:lineRule="auto"/>
              <w:ind w:left="10"/>
            </w:pPr>
            <w:r>
              <w:rPr>
                <w:spacing w:val="8"/>
              </w:rPr>
              <w:t>物质燃料科技</w:t>
            </w:r>
          </w:p>
        </w:tc>
        <w:tc>
          <w:tcPr>
            <w:tcW w:w="2918" w:type="dxa"/>
            <w:tcBorders>
              <w:bottom w:val="single" w:color="000000" w:sz="10" w:space="0"/>
            </w:tcBorders>
            <w:vAlign w:val="top"/>
          </w:tcPr>
          <w:p w14:paraId="38ACC0D2">
            <w:pPr>
              <w:pStyle w:val="6"/>
              <w:spacing w:before="205" w:line="228" w:lineRule="auto"/>
              <w:ind w:left="411"/>
            </w:pPr>
            <w:r>
              <w:rPr>
                <w:spacing w:val="6"/>
              </w:rPr>
              <w:t>年产</w:t>
            </w:r>
            <w:r>
              <w:rPr>
                <w:rFonts w:ascii="Times New Roman" w:hAnsi="Times New Roman" w:eastAsia="Times New Roman" w:cs="Times New Roman"/>
                <w:spacing w:val="6"/>
              </w:rPr>
              <w:t>2</w:t>
            </w:r>
            <w:r>
              <w:rPr>
                <w:spacing w:val="6"/>
              </w:rPr>
              <w:t>万吨生物质颗粒</w:t>
            </w:r>
          </w:p>
        </w:tc>
        <w:tc>
          <w:tcPr>
            <w:tcW w:w="1630" w:type="dxa"/>
            <w:tcBorders>
              <w:bottom w:val="single" w:color="000000" w:sz="10" w:space="0"/>
            </w:tcBorders>
            <w:vAlign w:val="top"/>
          </w:tcPr>
          <w:p w14:paraId="7404720C">
            <w:pPr>
              <w:pStyle w:val="6"/>
              <w:spacing w:before="71" w:line="228" w:lineRule="auto"/>
              <w:ind w:left="416"/>
            </w:pPr>
            <w:r>
              <w:rPr>
                <w:spacing w:val="4"/>
              </w:rPr>
              <w:t>隆环评函</w:t>
            </w:r>
          </w:p>
          <w:p w14:paraId="4A76F4C4">
            <w:pPr>
              <w:pStyle w:val="6"/>
              <w:spacing w:before="24" w:line="215" w:lineRule="auto"/>
              <w:ind w:left="316"/>
            </w:pPr>
            <w:r>
              <w:rPr>
                <w:rFonts w:ascii="Times New Roman" w:hAnsi="Times New Roman" w:eastAsia="Times New Roman" w:cs="Times New Roman"/>
                <w:spacing w:val="2"/>
              </w:rPr>
              <w:t>[2017]14</w:t>
            </w:r>
            <w:r>
              <w:rPr>
                <w:spacing w:val="2"/>
              </w:rPr>
              <w:t>号</w:t>
            </w:r>
          </w:p>
        </w:tc>
        <w:tc>
          <w:tcPr>
            <w:tcW w:w="1555" w:type="dxa"/>
            <w:tcBorders>
              <w:bottom w:val="single" w:color="000000" w:sz="10" w:space="0"/>
            </w:tcBorders>
            <w:vAlign w:val="top"/>
          </w:tcPr>
          <w:p w14:paraId="053D0F8D">
            <w:pPr>
              <w:spacing w:before="121" w:line="237" w:lineRule="auto"/>
              <w:ind w:left="247" w:right="13" w:hanging="21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91430524</w:t>
            </w:r>
            <w:r>
              <w:rPr>
                <w:rFonts w:ascii="Times New Roman" w:hAnsi="Times New Roman" w:eastAsia="Times New Roman" w:cs="Times New Roman"/>
                <w:sz w:val="20"/>
                <w:szCs w:val="20"/>
              </w:rPr>
              <w:t>MA</w:t>
            </w:r>
            <w:r>
              <w:rPr>
                <w:rFonts w:ascii="Times New Roman" w:hAnsi="Times New Roman" w:eastAsia="Times New Roman" w:cs="Times New Roman"/>
                <w:spacing w:val="5"/>
                <w:sz w:val="20"/>
                <w:szCs w:val="20"/>
              </w:rPr>
              <w:t>4L7A6R80001X</w:t>
            </w:r>
          </w:p>
        </w:tc>
        <w:tc>
          <w:tcPr>
            <w:tcW w:w="732" w:type="dxa"/>
            <w:tcBorders>
              <w:bottom w:val="single" w:color="000000" w:sz="10" w:space="0"/>
              <w:right w:val="single" w:color="000000" w:sz="10" w:space="0"/>
            </w:tcBorders>
            <w:vAlign w:val="top"/>
          </w:tcPr>
          <w:p w14:paraId="17693321">
            <w:pPr>
              <w:pStyle w:val="6"/>
              <w:spacing w:before="206" w:line="228" w:lineRule="auto"/>
              <w:ind w:left="165"/>
            </w:pPr>
            <w:r>
              <w:rPr>
                <w:spacing w:val="4"/>
              </w:rPr>
              <w:t>运行</w:t>
            </w:r>
          </w:p>
        </w:tc>
      </w:tr>
    </w:tbl>
    <w:p w14:paraId="7467FCEC">
      <w:pPr>
        <w:pStyle w:val="2"/>
      </w:pPr>
    </w:p>
    <w:p w14:paraId="020C4BAC">
      <w:pPr>
        <w:sectPr>
          <w:headerReference r:id="rId51" w:type="default"/>
          <w:footerReference r:id="rId52" w:type="default"/>
          <w:pgSz w:w="11907" w:h="16840"/>
          <w:pgMar w:top="1132" w:right="1671" w:bottom="1259" w:left="1671" w:header="829" w:footer="1097" w:gutter="0"/>
          <w:cols w:space="720" w:num="1"/>
        </w:sectPr>
      </w:pPr>
    </w:p>
    <w:p w14:paraId="2DB95B9E">
      <w:pPr>
        <w:spacing w:before="42"/>
      </w:pPr>
    </w:p>
    <w:tbl>
      <w:tblPr>
        <w:tblStyle w:val="5"/>
        <w:tblW w:w="8538"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3"/>
        <w:gridCol w:w="1290"/>
        <w:gridCol w:w="2918"/>
        <w:gridCol w:w="1630"/>
        <w:gridCol w:w="1555"/>
        <w:gridCol w:w="732"/>
      </w:tblGrid>
      <w:tr w14:paraId="19715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413" w:type="dxa"/>
            <w:tcBorders>
              <w:top w:val="single" w:color="000000" w:sz="10" w:space="0"/>
              <w:left w:val="single" w:color="000000" w:sz="10" w:space="0"/>
            </w:tcBorders>
            <w:textDirection w:val="tbRlV"/>
            <w:vAlign w:val="top"/>
          </w:tcPr>
          <w:p w14:paraId="3FE80797">
            <w:pPr>
              <w:pStyle w:val="6"/>
              <w:spacing w:before="104" w:line="218" w:lineRule="auto"/>
              <w:ind w:left="52"/>
            </w:pPr>
            <w:r>
              <w:rPr>
                <w:b/>
                <w:bCs/>
                <w:spacing w:val="6"/>
              </w:rPr>
              <w:t>序号</w:t>
            </w:r>
          </w:p>
        </w:tc>
        <w:tc>
          <w:tcPr>
            <w:tcW w:w="1290" w:type="dxa"/>
            <w:tcBorders>
              <w:top w:val="single" w:color="000000" w:sz="10" w:space="0"/>
            </w:tcBorders>
            <w:vAlign w:val="top"/>
          </w:tcPr>
          <w:p w14:paraId="09D23CE8">
            <w:pPr>
              <w:pStyle w:val="6"/>
              <w:spacing w:before="186" w:line="230" w:lineRule="auto"/>
              <w:ind w:left="223"/>
            </w:pPr>
            <w:r>
              <w:rPr>
                <w:b/>
                <w:bCs/>
                <w:spacing w:val="5"/>
              </w:rPr>
              <w:t>企业名称</w:t>
            </w:r>
          </w:p>
        </w:tc>
        <w:tc>
          <w:tcPr>
            <w:tcW w:w="2918" w:type="dxa"/>
            <w:tcBorders>
              <w:top w:val="single" w:color="000000" w:sz="10" w:space="0"/>
            </w:tcBorders>
            <w:vAlign w:val="top"/>
          </w:tcPr>
          <w:p w14:paraId="250A8C26">
            <w:pPr>
              <w:pStyle w:val="6"/>
              <w:spacing w:before="186" w:line="228" w:lineRule="auto"/>
              <w:ind w:left="725"/>
            </w:pPr>
            <w:r>
              <w:rPr>
                <w:b/>
                <w:bCs/>
                <w:spacing w:val="6"/>
              </w:rPr>
              <w:t>建设内容及规模</w:t>
            </w:r>
          </w:p>
        </w:tc>
        <w:tc>
          <w:tcPr>
            <w:tcW w:w="1630" w:type="dxa"/>
            <w:tcBorders>
              <w:top w:val="single" w:color="000000" w:sz="10" w:space="0"/>
            </w:tcBorders>
            <w:vAlign w:val="top"/>
          </w:tcPr>
          <w:p w14:paraId="181F204F">
            <w:pPr>
              <w:pStyle w:val="6"/>
              <w:spacing w:before="187" w:line="228" w:lineRule="auto"/>
              <w:ind w:left="401"/>
            </w:pPr>
            <w:r>
              <w:rPr>
                <w:b/>
                <w:bCs/>
                <w:spacing w:val="6"/>
              </w:rPr>
              <w:t>环评批复</w:t>
            </w:r>
          </w:p>
        </w:tc>
        <w:tc>
          <w:tcPr>
            <w:tcW w:w="1555" w:type="dxa"/>
            <w:tcBorders>
              <w:top w:val="single" w:color="000000" w:sz="10" w:space="0"/>
            </w:tcBorders>
            <w:vAlign w:val="top"/>
          </w:tcPr>
          <w:p w14:paraId="3E523652">
            <w:pPr>
              <w:pStyle w:val="6"/>
              <w:spacing w:before="187" w:line="228" w:lineRule="auto"/>
              <w:ind w:left="369"/>
            </w:pPr>
            <w:r>
              <w:rPr>
                <w:b/>
                <w:bCs/>
                <w:spacing w:val="6"/>
              </w:rPr>
              <w:t>排污许可</w:t>
            </w:r>
          </w:p>
        </w:tc>
        <w:tc>
          <w:tcPr>
            <w:tcW w:w="732" w:type="dxa"/>
            <w:tcBorders>
              <w:top w:val="single" w:color="000000" w:sz="10" w:space="0"/>
              <w:right w:val="single" w:color="000000" w:sz="10" w:space="0"/>
            </w:tcBorders>
            <w:vAlign w:val="top"/>
          </w:tcPr>
          <w:p w14:paraId="0C86CC8B">
            <w:pPr>
              <w:pStyle w:val="6"/>
              <w:spacing w:before="52" w:line="228" w:lineRule="auto"/>
              <w:ind w:left="60"/>
            </w:pPr>
            <w:r>
              <w:rPr>
                <w:b/>
                <w:bCs/>
                <w:spacing w:val="5"/>
              </w:rPr>
              <w:t>运行情</w:t>
            </w:r>
          </w:p>
          <w:p w14:paraId="62D1F373">
            <w:pPr>
              <w:pStyle w:val="6"/>
              <w:spacing w:before="24" w:line="217" w:lineRule="auto"/>
              <w:ind w:left="273"/>
            </w:pPr>
            <w:r>
              <w:rPr>
                <w:b/>
                <w:bCs/>
                <w:spacing w:val="-3"/>
              </w:rPr>
              <w:t>况</w:t>
            </w:r>
          </w:p>
        </w:tc>
      </w:tr>
      <w:tr w14:paraId="3F2103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413" w:type="dxa"/>
            <w:tcBorders>
              <w:left w:val="single" w:color="000000" w:sz="10" w:space="0"/>
            </w:tcBorders>
            <w:vAlign w:val="top"/>
          </w:tcPr>
          <w:p w14:paraId="2E1BDB47">
            <w:pPr>
              <w:rPr>
                <w:rFonts w:ascii="Arial"/>
                <w:sz w:val="21"/>
              </w:rPr>
            </w:pPr>
          </w:p>
        </w:tc>
        <w:tc>
          <w:tcPr>
            <w:tcW w:w="1290" w:type="dxa"/>
            <w:vAlign w:val="top"/>
          </w:tcPr>
          <w:p w14:paraId="7747D2B5">
            <w:pPr>
              <w:pStyle w:val="6"/>
              <w:spacing w:before="47" w:line="228" w:lineRule="auto"/>
              <w:ind w:left="222"/>
            </w:pPr>
            <w:r>
              <w:rPr>
                <w:spacing w:val="7"/>
              </w:rPr>
              <w:t>有限公司</w:t>
            </w:r>
          </w:p>
        </w:tc>
        <w:tc>
          <w:tcPr>
            <w:tcW w:w="2918" w:type="dxa"/>
            <w:vAlign w:val="top"/>
          </w:tcPr>
          <w:p w14:paraId="379021DD">
            <w:pPr>
              <w:rPr>
                <w:rFonts w:ascii="Arial"/>
                <w:sz w:val="21"/>
              </w:rPr>
            </w:pPr>
          </w:p>
        </w:tc>
        <w:tc>
          <w:tcPr>
            <w:tcW w:w="1630" w:type="dxa"/>
            <w:vAlign w:val="top"/>
          </w:tcPr>
          <w:p w14:paraId="520548C5">
            <w:pPr>
              <w:rPr>
                <w:rFonts w:ascii="Arial"/>
                <w:sz w:val="21"/>
              </w:rPr>
            </w:pPr>
          </w:p>
        </w:tc>
        <w:tc>
          <w:tcPr>
            <w:tcW w:w="1555" w:type="dxa"/>
            <w:vAlign w:val="top"/>
          </w:tcPr>
          <w:p w14:paraId="47BE2C5B">
            <w:pPr>
              <w:rPr>
                <w:rFonts w:ascii="Arial"/>
                <w:sz w:val="21"/>
              </w:rPr>
            </w:pPr>
          </w:p>
        </w:tc>
        <w:tc>
          <w:tcPr>
            <w:tcW w:w="732" w:type="dxa"/>
            <w:tcBorders>
              <w:right w:val="single" w:color="000000" w:sz="10" w:space="0"/>
            </w:tcBorders>
            <w:vAlign w:val="top"/>
          </w:tcPr>
          <w:p w14:paraId="2CDDE9CB">
            <w:pPr>
              <w:rPr>
                <w:rFonts w:ascii="Arial"/>
                <w:sz w:val="21"/>
              </w:rPr>
            </w:pPr>
          </w:p>
        </w:tc>
      </w:tr>
      <w:tr w14:paraId="59E05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413" w:type="dxa"/>
            <w:tcBorders>
              <w:left w:val="single" w:color="000000" w:sz="10" w:space="0"/>
            </w:tcBorders>
            <w:vAlign w:val="top"/>
          </w:tcPr>
          <w:p w14:paraId="69E27CAD">
            <w:pPr>
              <w:spacing w:before="218" w:line="195" w:lineRule="auto"/>
              <w:ind w:left="92"/>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1290" w:type="dxa"/>
            <w:vAlign w:val="top"/>
          </w:tcPr>
          <w:p w14:paraId="759AA9B8">
            <w:pPr>
              <w:pStyle w:val="6"/>
              <w:spacing w:before="47" w:line="228" w:lineRule="auto"/>
              <w:ind w:left="24"/>
            </w:pPr>
            <w:r>
              <w:rPr>
                <w:spacing w:val="6"/>
              </w:rPr>
              <w:t>隆回群丰生物</w:t>
            </w:r>
          </w:p>
          <w:p w14:paraId="13C35ACE">
            <w:pPr>
              <w:pStyle w:val="6"/>
              <w:spacing w:before="24" w:line="216" w:lineRule="auto"/>
              <w:ind w:left="11"/>
            </w:pPr>
            <w:r>
              <w:rPr>
                <w:spacing w:val="8"/>
              </w:rPr>
              <w:t>化工有限公司</w:t>
            </w:r>
          </w:p>
        </w:tc>
        <w:tc>
          <w:tcPr>
            <w:tcW w:w="2918" w:type="dxa"/>
            <w:vAlign w:val="top"/>
          </w:tcPr>
          <w:p w14:paraId="26614E2F">
            <w:pPr>
              <w:pStyle w:val="6"/>
              <w:spacing w:before="48" w:line="233" w:lineRule="auto"/>
              <w:ind w:left="105" w:right="13" w:hanging="90"/>
            </w:pPr>
            <w:r>
              <w:rPr>
                <w:spacing w:val="-2"/>
              </w:rPr>
              <w:t>年产</w:t>
            </w:r>
            <w:r>
              <w:rPr>
                <w:rFonts w:ascii="Times New Roman" w:hAnsi="Times New Roman" w:eastAsia="Times New Roman" w:cs="Times New Roman"/>
                <w:spacing w:val="-2"/>
              </w:rPr>
              <w:t>120</w:t>
            </w:r>
            <w:r>
              <w:rPr>
                <w:spacing w:val="-2"/>
              </w:rPr>
              <w:t>吨双烯醇酮醋酸酯、</w:t>
            </w:r>
            <w:r>
              <w:rPr>
                <w:rFonts w:ascii="Times New Roman" w:hAnsi="Times New Roman" w:eastAsia="Times New Roman" w:cs="Times New Roman"/>
                <w:spacing w:val="-2"/>
              </w:rPr>
              <w:t>200</w:t>
            </w:r>
            <w:r>
              <w:rPr>
                <w:spacing w:val="5"/>
              </w:rPr>
              <w:t>吨牛至油和</w:t>
            </w:r>
            <w:r>
              <w:rPr>
                <w:rFonts w:ascii="Times New Roman" w:hAnsi="Times New Roman" w:eastAsia="Times New Roman" w:cs="Times New Roman"/>
                <w:spacing w:val="5"/>
              </w:rPr>
              <w:t>500</w:t>
            </w:r>
            <w:r>
              <w:rPr>
                <w:spacing w:val="5"/>
              </w:rPr>
              <w:t>吨异硫氰酸酯</w:t>
            </w:r>
          </w:p>
        </w:tc>
        <w:tc>
          <w:tcPr>
            <w:tcW w:w="1630" w:type="dxa"/>
            <w:vAlign w:val="top"/>
          </w:tcPr>
          <w:p w14:paraId="0F66F402">
            <w:pPr>
              <w:pStyle w:val="6"/>
              <w:spacing w:before="47" w:line="228" w:lineRule="auto"/>
              <w:ind w:left="298"/>
            </w:pPr>
            <w:r>
              <w:rPr>
                <w:spacing w:val="8"/>
              </w:rPr>
              <w:t>邵市环评字</w:t>
            </w:r>
          </w:p>
          <w:p w14:paraId="0A755BD8">
            <w:pPr>
              <w:pStyle w:val="6"/>
              <w:spacing w:before="24" w:line="216" w:lineRule="auto"/>
              <w:ind w:left="263"/>
            </w:pPr>
            <w:r>
              <w:rPr>
                <w:rFonts w:ascii="Times New Roman" w:hAnsi="Times New Roman" w:eastAsia="Times New Roman" w:cs="Times New Roman"/>
                <w:spacing w:val="2"/>
              </w:rPr>
              <w:t>[2009]110</w:t>
            </w:r>
            <w:r>
              <w:rPr>
                <w:spacing w:val="2"/>
              </w:rPr>
              <w:t>号</w:t>
            </w:r>
          </w:p>
        </w:tc>
        <w:tc>
          <w:tcPr>
            <w:tcW w:w="1555" w:type="dxa"/>
            <w:vAlign w:val="top"/>
          </w:tcPr>
          <w:p w14:paraId="0AE5837E">
            <w:pPr>
              <w:spacing w:before="98" w:line="237" w:lineRule="auto"/>
              <w:ind w:left="359" w:right="32" w:hanging="3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91430524675572</w:t>
            </w:r>
            <w:r>
              <w:rPr>
                <w:rFonts w:ascii="Times New Roman" w:hAnsi="Times New Roman" w:eastAsia="Times New Roman" w:cs="Times New Roman"/>
                <w:spacing w:val="2"/>
                <w:sz w:val="20"/>
                <w:szCs w:val="20"/>
              </w:rPr>
              <w:t>170D001P</w:t>
            </w:r>
          </w:p>
        </w:tc>
        <w:tc>
          <w:tcPr>
            <w:tcW w:w="732" w:type="dxa"/>
            <w:tcBorders>
              <w:right w:val="single" w:color="000000" w:sz="10" w:space="0"/>
            </w:tcBorders>
            <w:vAlign w:val="top"/>
          </w:tcPr>
          <w:p w14:paraId="46233BF3">
            <w:pPr>
              <w:pStyle w:val="6"/>
              <w:spacing w:before="182" w:line="228" w:lineRule="auto"/>
              <w:ind w:left="166"/>
            </w:pPr>
            <w:r>
              <w:rPr>
                <w:spacing w:val="4"/>
              </w:rPr>
              <w:t>停产</w:t>
            </w:r>
          </w:p>
        </w:tc>
      </w:tr>
      <w:tr w14:paraId="4C717C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413" w:type="dxa"/>
            <w:tcBorders>
              <w:left w:val="single" w:color="000000" w:sz="10" w:space="0"/>
            </w:tcBorders>
            <w:vAlign w:val="top"/>
          </w:tcPr>
          <w:p w14:paraId="450C6526">
            <w:pPr>
              <w:spacing w:line="299" w:lineRule="auto"/>
              <w:rPr>
                <w:rFonts w:ascii="Arial"/>
                <w:sz w:val="21"/>
              </w:rPr>
            </w:pPr>
          </w:p>
          <w:p w14:paraId="619FB039">
            <w:pPr>
              <w:spacing w:before="57" w:line="195" w:lineRule="auto"/>
              <w:ind w:left="92"/>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1290" w:type="dxa"/>
            <w:vAlign w:val="top"/>
          </w:tcPr>
          <w:p w14:paraId="06B5799E">
            <w:pPr>
              <w:pStyle w:val="6"/>
              <w:spacing w:before="49" w:line="228" w:lineRule="auto"/>
              <w:ind w:left="10"/>
            </w:pPr>
            <w:r>
              <w:rPr>
                <w:spacing w:val="8"/>
              </w:rPr>
              <w:t>湖南和诚医药</w:t>
            </w:r>
          </w:p>
          <w:p w14:paraId="4CE9B832">
            <w:pPr>
              <w:pStyle w:val="6"/>
              <w:spacing w:before="26" w:line="228" w:lineRule="auto"/>
              <w:ind w:left="11"/>
            </w:pPr>
            <w:r>
              <w:rPr>
                <w:spacing w:val="8"/>
              </w:rPr>
              <w:t>化学品有限公</w:t>
            </w:r>
          </w:p>
          <w:p w14:paraId="7A373F1B">
            <w:pPr>
              <w:pStyle w:val="6"/>
              <w:spacing w:before="23" w:line="214" w:lineRule="auto"/>
              <w:ind w:left="544"/>
            </w:pPr>
            <w:r>
              <w:t>司</w:t>
            </w:r>
          </w:p>
        </w:tc>
        <w:tc>
          <w:tcPr>
            <w:tcW w:w="2918" w:type="dxa"/>
            <w:vAlign w:val="top"/>
          </w:tcPr>
          <w:p w14:paraId="1B02EE06">
            <w:pPr>
              <w:pStyle w:val="6"/>
              <w:spacing w:before="199" w:line="228" w:lineRule="auto"/>
              <w:ind w:left="15"/>
            </w:pPr>
            <w:r>
              <w:rPr>
                <w:rFonts w:ascii="Times New Roman" w:hAnsi="Times New Roman" w:eastAsia="Times New Roman" w:cs="Times New Roman"/>
                <w:spacing w:val="5"/>
              </w:rPr>
              <w:t>600t/a</w:t>
            </w:r>
            <w:r>
              <w:rPr>
                <w:spacing w:val="5"/>
              </w:rPr>
              <w:t>赤血盐钾、</w:t>
            </w:r>
            <w:r>
              <w:rPr>
                <w:rFonts w:ascii="Times New Roman" w:hAnsi="Times New Roman" w:eastAsia="Times New Roman" w:cs="Times New Roman"/>
                <w:spacing w:val="5"/>
              </w:rPr>
              <w:t>200t/</w:t>
            </w:r>
            <w:r>
              <w:rPr>
                <w:rFonts w:ascii="Times New Roman" w:hAnsi="Times New Roman" w:eastAsia="Times New Roman" w:cs="Times New Roman"/>
              </w:rPr>
              <w:t>aBCIM</w:t>
            </w:r>
            <w:r>
              <w:rPr>
                <w:spacing w:val="5"/>
              </w:rPr>
              <w:t>、</w:t>
            </w:r>
          </w:p>
          <w:p w14:paraId="2FF54335">
            <w:pPr>
              <w:spacing w:before="42" w:line="199" w:lineRule="auto"/>
              <w:ind w:left="102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50t/</w:t>
            </w:r>
            <w:r>
              <w:rPr>
                <w:rFonts w:ascii="Times New Roman" w:hAnsi="Times New Roman" w:eastAsia="Times New Roman" w:cs="Times New Roman"/>
                <w:sz w:val="20"/>
                <w:szCs w:val="20"/>
              </w:rPr>
              <w:t>aDHD</w:t>
            </w:r>
          </w:p>
        </w:tc>
        <w:tc>
          <w:tcPr>
            <w:tcW w:w="1630" w:type="dxa"/>
            <w:vAlign w:val="top"/>
          </w:tcPr>
          <w:p w14:paraId="06EE7C99">
            <w:pPr>
              <w:pStyle w:val="6"/>
              <w:spacing w:before="186" w:line="252" w:lineRule="auto"/>
              <w:ind w:left="579" w:hanging="557"/>
            </w:pPr>
            <w:r>
              <w:t>邵市环评〔</w:t>
            </w:r>
            <w:r>
              <w:rPr>
                <w:rFonts w:ascii="Times New Roman" w:hAnsi="Times New Roman" w:eastAsia="Times New Roman" w:cs="Times New Roman"/>
              </w:rPr>
              <w:t>2009</w:t>
            </w:r>
            <w:r>
              <w:t>〕</w:t>
            </w:r>
            <w:r>
              <w:rPr>
                <w:rFonts w:ascii="Times New Roman" w:hAnsi="Times New Roman" w:eastAsia="Times New Roman" w:cs="Times New Roman"/>
                <w:spacing w:val="-1"/>
              </w:rPr>
              <w:t>61</w:t>
            </w:r>
            <w:r>
              <w:rPr>
                <w:spacing w:val="-1"/>
              </w:rPr>
              <w:t>号</w:t>
            </w:r>
          </w:p>
        </w:tc>
        <w:tc>
          <w:tcPr>
            <w:tcW w:w="1555" w:type="dxa"/>
            <w:vAlign w:val="top"/>
          </w:tcPr>
          <w:p w14:paraId="610D1538">
            <w:pPr>
              <w:spacing w:before="238" w:line="259" w:lineRule="auto"/>
              <w:ind w:left="347" w:right="32" w:hanging="2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91430524707305449T001P</w:t>
            </w:r>
          </w:p>
        </w:tc>
        <w:tc>
          <w:tcPr>
            <w:tcW w:w="732" w:type="dxa"/>
            <w:tcBorders>
              <w:right w:val="single" w:color="000000" w:sz="10" w:space="0"/>
            </w:tcBorders>
            <w:vAlign w:val="top"/>
          </w:tcPr>
          <w:p w14:paraId="24C3A786">
            <w:pPr>
              <w:spacing w:line="256" w:lineRule="auto"/>
              <w:rPr>
                <w:rFonts w:ascii="Arial"/>
                <w:sz w:val="21"/>
              </w:rPr>
            </w:pPr>
          </w:p>
          <w:p w14:paraId="0B089CB9">
            <w:pPr>
              <w:pStyle w:val="6"/>
              <w:spacing w:before="65" w:line="228" w:lineRule="auto"/>
              <w:ind w:left="165"/>
            </w:pPr>
            <w:r>
              <w:rPr>
                <w:spacing w:val="4"/>
              </w:rPr>
              <w:t>运行</w:t>
            </w:r>
          </w:p>
        </w:tc>
      </w:tr>
      <w:tr w14:paraId="288C7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13" w:type="dxa"/>
            <w:tcBorders>
              <w:left w:val="single" w:color="000000" w:sz="10" w:space="0"/>
            </w:tcBorders>
            <w:vAlign w:val="top"/>
          </w:tcPr>
          <w:p w14:paraId="474B547D">
            <w:pPr>
              <w:spacing w:before="223" w:line="195" w:lineRule="auto"/>
              <w:ind w:left="92"/>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1290" w:type="dxa"/>
            <w:vAlign w:val="top"/>
          </w:tcPr>
          <w:p w14:paraId="453C2EC9">
            <w:pPr>
              <w:pStyle w:val="6"/>
              <w:spacing w:before="50" w:line="228" w:lineRule="auto"/>
              <w:ind w:left="10"/>
            </w:pPr>
            <w:r>
              <w:rPr>
                <w:spacing w:val="8"/>
              </w:rPr>
              <w:t>湖南金海塑胶</w:t>
            </w:r>
          </w:p>
          <w:p w14:paraId="71750100">
            <w:pPr>
              <w:pStyle w:val="6"/>
              <w:spacing w:before="24" w:line="214" w:lineRule="auto"/>
              <w:ind w:left="15"/>
            </w:pPr>
            <w:r>
              <w:rPr>
                <w:spacing w:val="7"/>
              </w:rPr>
              <w:t>管业有限公司</w:t>
            </w:r>
          </w:p>
        </w:tc>
        <w:tc>
          <w:tcPr>
            <w:tcW w:w="2918" w:type="dxa"/>
            <w:vAlign w:val="top"/>
          </w:tcPr>
          <w:p w14:paraId="70DA0B94">
            <w:pPr>
              <w:pStyle w:val="6"/>
              <w:spacing w:before="185" w:line="228" w:lineRule="auto"/>
              <w:ind w:left="15"/>
            </w:pPr>
            <w:r>
              <w:rPr>
                <w:spacing w:val="4"/>
              </w:rPr>
              <w:t>年产</w:t>
            </w:r>
            <w:r>
              <w:rPr>
                <w:rFonts w:ascii="Times New Roman" w:hAnsi="Times New Roman" w:eastAsia="Times New Roman" w:cs="Times New Roman"/>
                <w:spacing w:val="4"/>
              </w:rPr>
              <w:t>10000</w:t>
            </w:r>
            <w:r>
              <w:rPr>
                <w:spacing w:val="4"/>
              </w:rPr>
              <w:t>吨塑料管道建设项目</w:t>
            </w:r>
          </w:p>
        </w:tc>
        <w:tc>
          <w:tcPr>
            <w:tcW w:w="1630" w:type="dxa"/>
            <w:vAlign w:val="top"/>
          </w:tcPr>
          <w:p w14:paraId="27FA0269">
            <w:pPr>
              <w:pStyle w:val="6"/>
              <w:spacing w:before="51" w:line="232" w:lineRule="auto"/>
              <w:ind w:left="579" w:hanging="544"/>
            </w:pPr>
            <w:r>
              <w:rPr>
                <w:spacing w:val="-2"/>
              </w:rPr>
              <w:t>隆环评函〔</w:t>
            </w:r>
            <w:r>
              <w:rPr>
                <w:rFonts w:ascii="Times New Roman" w:hAnsi="Times New Roman" w:eastAsia="Times New Roman" w:cs="Times New Roman"/>
                <w:spacing w:val="-2"/>
              </w:rPr>
              <w:t>2016</w:t>
            </w:r>
            <w:r>
              <w:rPr>
                <w:spacing w:val="-2"/>
              </w:rPr>
              <w:t>〕</w:t>
            </w:r>
            <w:r>
              <w:rPr>
                <w:rFonts w:ascii="Times New Roman" w:hAnsi="Times New Roman" w:eastAsia="Times New Roman" w:cs="Times New Roman"/>
                <w:spacing w:val="-1"/>
              </w:rPr>
              <w:t>62</w:t>
            </w:r>
            <w:r>
              <w:rPr>
                <w:spacing w:val="-1"/>
              </w:rPr>
              <w:t>号</w:t>
            </w:r>
          </w:p>
        </w:tc>
        <w:tc>
          <w:tcPr>
            <w:tcW w:w="1555" w:type="dxa"/>
            <w:vAlign w:val="top"/>
          </w:tcPr>
          <w:p w14:paraId="29379388">
            <w:pPr>
              <w:spacing w:before="101" w:line="236" w:lineRule="auto"/>
              <w:ind w:left="232" w:right="13" w:hanging="20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91430524</w:t>
            </w:r>
            <w:r>
              <w:rPr>
                <w:rFonts w:ascii="Times New Roman" w:hAnsi="Times New Roman" w:eastAsia="Times New Roman" w:cs="Times New Roman"/>
                <w:sz w:val="20"/>
                <w:szCs w:val="20"/>
              </w:rPr>
              <w:t>MA</w:t>
            </w:r>
            <w:r>
              <w:rPr>
                <w:rFonts w:ascii="Times New Roman" w:hAnsi="Times New Roman" w:eastAsia="Times New Roman" w:cs="Times New Roman"/>
                <w:spacing w:val="5"/>
                <w:sz w:val="20"/>
                <w:szCs w:val="20"/>
              </w:rPr>
              <w:t>4L4K5K5L001U</w:t>
            </w:r>
          </w:p>
        </w:tc>
        <w:tc>
          <w:tcPr>
            <w:tcW w:w="732" w:type="dxa"/>
            <w:tcBorders>
              <w:right w:val="single" w:color="000000" w:sz="10" w:space="0"/>
            </w:tcBorders>
            <w:vAlign w:val="top"/>
          </w:tcPr>
          <w:p w14:paraId="2165923B">
            <w:pPr>
              <w:pStyle w:val="6"/>
              <w:spacing w:before="186" w:line="228" w:lineRule="auto"/>
              <w:ind w:left="165"/>
            </w:pPr>
            <w:r>
              <w:rPr>
                <w:spacing w:val="4"/>
              </w:rPr>
              <w:t>运行</w:t>
            </w:r>
          </w:p>
        </w:tc>
      </w:tr>
      <w:tr w14:paraId="42F87B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413" w:type="dxa"/>
            <w:tcBorders>
              <w:left w:val="single" w:color="000000" w:sz="10" w:space="0"/>
            </w:tcBorders>
            <w:vAlign w:val="top"/>
          </w:tcPr>
          <w:p w14:paraId="0C500727">
            <w:pPr>
              <w:spacing w:line="301" w:lineRule="auto"/>
              <w:rPr>
                <w:rFonts w:ascii="Arial"/>
                <w:sz w:val="21"/>
              </w:rPr>
            </w:pPr>
          </w:p>
          <w:p w14:paraId="6A7C49A4">
            <w:pPr>
              <w:spacing w:before="57" w:line="195" w:lineRule="auto"/>
              <w:ind w:left="92"/>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tc>
        <w:tc>
          <w:tcPr>
            <w:tcW w:w="1290" w:type="dxa"/>
            <w:vAlign w:val="top"/>
          </w:tcPr>
          <w:p w14:paraId="7B2BF724">
            <w:pPr>
              <w:pStyle w:val="6"/>
              <w:spacing w:before="53" w:line="227" w:lineRule="auto"/>
              <w:ind w:left="10"/>
            </w:pPr>
            <w:r>
              <w:rPr>
                <w:spacing w:val="8"/>
              </w:rPr>
              <w:t>邵阳市祥佳塑</w:t>
            </w:r>
          </w:p>
          <w:p w14:paraId="1A2F3649">
            <w:pPr>
              <w:pStyle w:val="6"/>
              <w:spacing w:before="25" w:line="227" w:lineRule="auto"/>
              <w:ind w:left="10"/>
            </w:pPr>
            <w:r>
              <w:rPr>
                <w:spacing w:val="8"/>
              </w:rPr>
              <w:t>胶科技有限公</w:t>
            </w:r>
          </w:p>
          <w:p w14:paraId="2C2291E5">
            <w:pPr>
              <w:pStyle w:val="6"/>
              <w:spacing w:before="25" w:line="212" w:lineRule="auto"/>
              <w:ind w:left="544"/>
            </w:pPr>
            <w:r>
              <w:t>司</w:t>
            </w:r>
          </w:p>
        </w:tc>
        <w:tc>
          <w:tcPr>
            <w:tcW w:w="2918" w:type="dxa"/>
            <w:vAlign w:val="top"/>
          </w:tcPr>
          <w:p w14:paraId="6313D032">
            <w:pPr>
              <w:pStyle w:val="6"/>
              <w:spacing w:before="187" w:line="228" w:lineRule="auto"/>
              <w:ind w:left="15"/>
            </w:pPr>
            <w:r>
              <w:rPr>
                <w:spacing w:val="4"/>
              </w:rPr>
              <w:t>年产</w:t>
            </w:r>
            <w:r>
              <w:rPr>
                <w:rFonts w:ascii="Times New Roman" w:hAnsi="Times New Roman" w:eastAsia="Times New Roman" w:cs="Times New Roman"/>
                <w:spacing w:val="4"/>
              </w:rPr>
              <w:t>120</w:t>
            </w:r>
            <w:r>
              <w:rPr>
                <w:spacing w:val="4"/>
              </w:rPr>
              <w:t>万箱高品质环保封缄胶</w:t>
            </w:r>
          </w:p>
          <w:p w14:paraId="504D96D3">
            <w:pPr>
              <w:pStyle w:val="6"/>
              <w:spacing w:before="26" w:line="228" w:lineRule="auto"/>
              <w:ind w:left="941"/>
            </w:pPr>
            <w:r>
              <w:rPr>
                <w:spacing w:val="7"/>
              </w:rPr>
              <w:t>带系列产品</w:t>
            </w:r>
          </w:p>
        </w:tc>
        <w:tc>
          <w:tcPr>
            <w:tcW w:w="1630" w:type="dxa"/>
            <w:vAlign w:val="top"/>
          </w:tcPr>
          <w:p w14:paraId="406552ED">
            <w:pPr>
              <w:pStyle w:val="6"/>
              <w:spacing w:before="187" w:line="255" w:lineRule="auto"/>
              <w:ind w:left="196" w:right="154" w:firstLine="114"/>
            </w:pPr>
            <w:r>
              <w:rPr>
                <w:spacing w:val="5"/>
              </w:rPr>
              <w:t>隆环评分函</w:t>
            </w:r>
            <w:r>
              <w:rPr>
                <w:spacing w:val="1"/>
              </w:rPr>
              <w:t>〔</w:t>
            </w:r>
            <w:r>
              <w:rPr>
                <w:rFonts w:ascii="Times New Roman" w:hAnsi="Times New Roman" w:eastAsia="Times New Roman" w:cs="Times New Roman"/>
                <w:spacing w:val="1"/>
              </w:rPr>
              <w:t>2018</w:t>
            </w:r>
            <w:r>
              <w:rPr>
                <w:spacing w:val="1"/>
              </w:rPr>
              <w:t>〕</w:t>
            </w:r>
            <w:r>
              <w:rPr>
                <w:rFonts w:ascii="Times New Roman" w:hAnsi="Times New Roman" w:eastAsia="Times New Roman" w:cs="Times New Roman"/>
                <w:spacing w:val="1"/>
              </w:rPr>
              <w:t>23</w:t>
            </w:r>
            <w:r>
              <w:rPr>
                <w:spacing w:val="1"/>
              </w:rPr>
              <w:t>号</w:t>
            </w:r>
          </w:p>
        </w:tc>
        <w:tc>
          <w:tcPr>
            <w:tcW w:w="1555" w:type="dxa"/>
            <w:vAlign w:val="top"/>
          </w:tcPr>
          <w:p w14:paraId="151BBCD8">
            <w:pPr>
              <w:spacing w:before="240" w:line="195" w:lineRule="auto"/>
              <w:ind w:left="9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91430524</w:t>
            </w:r>
            <w:r>
              <w:rPr>
                <w:rFonts w:ascii="Times New Roman" w:hAnsi="Times New Roman" w:eastAsia="Times New Roman" w:cs="Times New Roman"/>
                <w:sz w:val="20"/>
                <w:szCs w:val="20"/>
              </w:rPr>
              <w:t>MA</w:t>
            </w:r>
            <w:r>
              <w:rPr>
                <w:rFonts w:ascii="Times New Roman" w:hAnsi="Times New Roman" w:eastAsia="Times New Roman" w:cs="Times New Roman"/>
                <w:spacing w:val="5"/>
                <w:sz w:val="20"/>
                <w:szCs w:val="20"/>
              </w:rPr>
              <w:t>4P</w:t>
            </w:r>
          </w:p>
          <w:p w14:paraId="08E14593">
            <w:pPr>
              <w:spacing w:before="53" w:line="195" w:lineRule="auto"/>
              <w:ind w:left="110"/>
              <w:rPr>
                <w:rFonts w:ascii="Times New Roman" w:hAnsi="Times New Roman" w:eastAsia="Times New Roman" w:cs="Times New Roman"/>
                <w:sz w:val="20"/>
                <w:szCs w:val="20"/>
              </w:rPr>
            </w:pPr>
            <w:r>
              <w:rPr>
                <w:rFonts w:ascii="Times New Roman" w:hAnsi="Times New Roman" w:eastAsia="Times New Roman" w:cs="Times New Roman"/>
                <w:sz w:val="20"/>
                <w:szCs w:val="20"/>
              </w:rPr>
              <w:t>MTMN</w:t>
            </w:r>
            <w:r>
              <w:rPr>
                <w:rFonts w:ascii="Times New Roman" w:hAnsi="Times New Roman" w:eastAsia="Times New Roman" w:cs="Times New Roman"/>
                <w:spacing w:val="9"/>
                <w:sz w:val="20"/>
                <w:szCs w:val="20"/>
              </w:rPr>
              <w:t>4D001Z</w:t>
            </w:r>
          </w:p>
        </w:tc>
        <w:tc>
          <w:tcPr>
            <w:tcW w:w="732" w:type="dxa"/>
            <w:tcBorders>
              <w:right w:val="single" w:color="000000" w:sz="10" w:space="0"/>
            </w:tcBorders>
            <w:vAlign w:val="top"/>
          </w:tcPr>
          <w:p w14:paraId="0076C81B">
            <w:pPr>
              <w:spacing w:line="258" w:lineRule="auto"/>
              <w:rPr>
                <w:rFonts w:ascii="Arial"/>
                <w:sz w:val="21"/>
              </w:rPr>
            </w:pPr>
          </w:p>
          <w:p w14:paraId="2473D089">
            <w:pPr>
              <w:pStyle w:val="6"/>
              <w:spacing w:before="65" w:line="228" w:lineRule="auto"/>
              <w:ind w:left="165"/>
            </w:pPr>
            <w:r>
              <w:rPr>
                <w:spacing w:val="4"/>
              </w:rPr>
              <w:t>运行</w:t>
            </w:r>
          </w:p>
        </w:tc>
      </w:tr>
      <w:tr w14:paraId="13DC4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13" w:type="dxa"/>
            <w:tcBorders>
              <w:left w:val="single" w:color="000000" w:sz="10" w:space="0"/>
            </w:tcBorders>
            <w:vAlign w:val="top"/>
          </w:tcPr>
          <w:p w14:paraId="7E8746EE">
            <w:pPr>
              <w:spacing w:before="225" w:line="195" w:lineRule="auto"/>
              <w:ind w:left="92"/>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1290" w:type="dxa"/>
            <w:vAlign w:val="top"/>
          </w:tcPr>
          <w:p w14:paraId="53C6EDAF">
            <w:pPr>
              <w:pStyle w:val="6"/>
              <w:spacing w:before="53" w:line="231" w:lineRule="auto"/>
              <w:ind w:left="115" w:right="24" w:hanging="105"/>
            </w:pPr>
            <w:r>
              <w:rPr>
                <w:spacing w:val="8"/>
              </w:rPr>
              <w:t>湖南省鹏达塑业有限公司</w:t>
            </w:r>
          </w:p>
        </w:tc>
        <w:tc>
          <w:tcPr>
            <w:tcW w:w="2918" w:type="dxa"/>
            <w:vAlign w:val="top"/>
          </w:tcPr>
          <w:p w14:paraId="1A36FA81">
            <w:pPr>
              <w:pStyle w:val="6"/>
              <w:spacing w:before="52" w:line="227" w:lineRule="auto"/>
              <w:ind w:left="48"/>
            </w:pPr>
            <w:r>
              <w:rPr>
                <w:rFonts w:ascii="Times New Roman" w:hAnsi="Times New Roman" w:eastAsia="Times New Roman" w:cs="Times New Roman"/>
              </w:rPr>
              <w:t>PE</w:t>
            </w:r>
            <w:r>
              <w:rPr>
                <w:spacing w:val="9"/>
              </w:rPr>
              <w:t>给水管材、管件、燃气管材</w:t>
            </w:r>
          </w:p>
          <w:p w14:paraId="1A33B982">
            <w:pPr>
              <w:pStyle w:val="6"/>
              <w:spacing w:before="28" w:line="210" w:lineRule="auto"/>
              <w:ind w:left="1164"/>
            </w:pPr>
            <w:r>
              <w:rPr>
                <w:spacing w:val="1"/>
              </w:rPr>
              <w:t>的生产</w:t>
            </w:r>
          </w:p>
        </w:tc>
        <w:tc>
          <w:tcPr>
            <w:tcW w:w="1630" w:type="dxa"/>
            <w:vAlign w:val="top"/>
          </w:tcPr>
          <w:p w14:paraId="63AC00A6">
            <w:pPr>
              <w:pStyle w:val="6"/>
              <w:spacing w:before="189" w:line="228" w:lineRule="auto"/>
              <w:ind w:left="511"/>
            </w:pPr>
            <w:r>
              <w:rPr>
                <w:spacing w:val="6"/>
              </w:rPr>
              <w:t>名录外</w:t>
            </w:r>
          </w:p>
        </w:tc>
        <w:tc>
          <w:tcPr>
            <w:tcW w:w="1555" w:type="dxa"/>
            <w:vAlign w:val="top"/>
          </w:tcPr>
          <w:p w14:paraId="3987BAE9">
            <w:pPr>
              <w:spacing w:before="105" w:line="234" w:lineRule="auto"/>
              <w:ind w:left="347" w:right="32" w:hanging="2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914305245507439764001Y</w:t>
            </w:r>
          </w:p>
        </w:tc>
        <w:tc>
          <w:tcPr>
            <w:tcW w:w="732" w:type="dxa"/>
            <w:tcBorders>
              <w:right w:val="single" w:color="000000" w:sz="10" w:space="0"/>
            </w:tcBorders>
            <w:vAlign w:val="top"/>
          </w:tcPr>
          <w:p w14:paraId="1B46A391">
            <w:pPr>
              <w:pStyle w:val="6"/>
              <w:spacing w:before="189" w:line="228" w:lineRule="auto"/>
              <w:ind w:left="165"/>
            </w:pPr>
            <w:r>
              <w:rPr>
                <w:spacing w:val="4"/>
              </w:rPr>
              <w:t>运行</w:t>
            </w:r>
          </w:p>
        </w:tc>
      </w:tr>
      <w:tr w14:paraId="7AC325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413" w:type="dxa"/>
            <w:tcBorders>
              <w:left w:val="single" w:color="000000" w:sz="10" w:space="0"/>
            </w:tcBorders>
            <w:vAlign w:val="top"/>
          </w:tcPr>
          <w:p w14:paraId="0DEFCD44">
            <w:pPr>
              <w:spacing w:line="302" w:lineRule="auto"/>
              <w:rPr>
                <w:rFonts w:ascii="Arial"/>
                <w:sz w:val="21"/>
              </w:rPr>
            </w:pPr>
          </w:p>
          <w:p w14:paraId="2FCA114A">
            <w:pPr>
              <w:spacing w:before="57" w:line="195" w:lineRule="auto"/>
              <w:ind w:left="92"/>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1290" w:type="dxa"/>
            <w:vAlign w:val="top"/>
          </w:tcPr>
          <w:p w14:paraId="243FD48D">
            <w:pPr>
              <w:pStyle w:val="6"/>
              <w:spacing w:before="51" w:line="228" w:lineRule="auto"/>
              <w:ind w:left="10"/>
            </w:pPr>
            <w:r>
              <w:rPr>
                <w:spacing w:val="8"/>
              </w:rPr>
              <w:t>邵阳市君伟建</w:t>
            </w:r>
          </w:p>
          <w:p w14:paraId="0B4F7F4F">
            <w:pPr>
              <w:pStyle w:val="6"/>
              <w:spacing w:before="26" w:line="227" w:lineRule="auto"/>
              <w:ind w:left="10"/>
            </w:pPr>
            <w:r>
              <w:rPr>
                <w:spacing w:val="8"/>
              </w:rPr>
              <w:t>材有限责任公</w:t>
            </w:r>
          </w:p>
          <w:p w14:paraId="5B9F74B3">
            <w:pPr>
              <w:pStyle w:val="6"/>
              <w:spacing w:before="25" w:line="210" w:lineRule="auto"/>
              <w:ind w:left="544"/>
            </w:pPr>
            <w:r>
              <w:t>司</w:t>
            </w:r>
          </w:p>
        </w:tc>
        <w:tc>
          <w:tcPr>
            <w:tcW w:w="2918" w:type="dxa"/>
            <w:vAlign w:val="top"/>
          </w:tcPr>
          <w:p w14:paraId="432AE14C">
            <w:pPr>
              <w:pStyle w:val="6"/>
              <w:spacing w:before="188" w:line="228" w:lineRule="auto"/>
              <w:ind w:left="17"/>
            </w:pPr>
            <w:r>
              <w:rPr>
                <w:spacing w:val="6"/>
              </w:rPr>
              <w:t>年产</w:t>
            </w:r>
            <w:r>
              <w:rPr>
                <w:rFonts w:ascii="Times New Roman" w:hAnsi="Times New Roman" w:eastAsia="Times New Roman" w:cs="Times New Roman"/>
                <w:spacing w:val="6"/>
              </w:rPr>
              <w:t>200</w:t>
            </w:r>
            <w:r>
              <w:rPr>
                <w:spacing w:val="6"/>
              </w:rPr>
              <w:t>万米金属护栏、</w:t>
            </w:r>
            <w:r>
              <w:rPr>
                <w:rFonts w:ascii="Times New Roman" w:hAnsi="Times New Roman" w:eastAsia="Times New Roman" w:cs="Times New Roman"/>
                <w:spacing w:val="6"/>
              </w:rPr>
              <w:t>2</w:t>
            </w:r>
            <w:r>
              <w:rPr>
                <w:spacing w:val="6"/>
              </w:rPr>
              <w:t>万樘</w:t>
            </w:r>
          </w:p>
          <w:p w14:paraId="23715C23">
            <w:pPr>
              <w:pStyle w:val="6"/>
              <w:spacing w:before="24" w:line="229" w:lineRule="auto"/>
              <w:ind w:left="1149"/>
            </w:pPr>
            <w:r>
              <w:rPr>
                <w:spacing w:val="6"/>
              </w:rPr>
              <w:t>金属门</w:t>
            </w:r>
          </w:p>
        </w:tc>
        <w:tc>
          <w:tcPr>
            <w:tcW w:w="1630" w:type="dxa"/>
            <w:vAlign w:val="top"/>
          </w:tcPr>
          <w:p w14:paraId="0D97413A">
            <w:pPr>
              <w:pStyle w:val="6"/>
              <w:spacing w:before="190" w:line="252" w:lineRule="auto"/>
              <w:ind w:left="76" w:right="50" w:firstLine="12"/>
            </w:pPr>
            <w:r>
              <w:rPr>
                <w:spacing w:val="8"/>
              </w:rPr>
              <w:t>邵生环隆分环评</w:t>
            </w:r>
            <w:r>
              <w:rPr>
                <w:spacing w:val="3"/>
              </w:rPr>
              <w:t>函〔</w:t>
            </w:r>
            <w:r>
              <w:rPr>
                <w:rFonts w:ascii="Times New Roman" w:hAnsi="Times New Roman" w:eastAsia="Times New Roman" w:cs="Times New Roman"/>
                <w:spacing w:val="3"/>
              </w:rPr>
              <w:t>2020</w:t>
            </w:r>
            <w:r>
              <w:rPr>
                <w:spacing w:val="3"/>
              </w:rPr>
              <w:t>〕</w:t>
            </w:r>
            <w:r>
              <w:rPr>
                <w:rFonts w:ascii="Times New Roman" w:hAnsi="Times New Roman" w:eastAsia="Times New Roman" w:cs="Times New Roman"/>
                <w:spacing w:val="3"/>
              </w:rPr>
              <w:t>39</w:t>
            </w:r>
            <w:r>
              <w:rPr>
                <w:spacing w:val="3"/>
              </w:rPr>
              <w:t>号</w:t>
            </w:r>
          </w:p>
        </w:tc>
        <w:tc>
          <w:tcPr>
            <w:tcW w:w="1555" w:type="dxa"/>
            <w:vAlign w:val="top"/>
          </w:tcPr>
          <w:p w14:paraId="169E5B51">
            <w:pPr>
              <w:spacing w:before="241" w:line="259" w:lineRule="auto"/>
              <w:ind w:left="232" w:right="15" w:hanging="19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91430524</w:t>
            </w:r>
            <w:r>
              <w:rPr>
                <w:rFonts w:ascii="Times New Roman" w:hAnsi="Times New Roman" w:eastAsia="Times New Roman" w:cs="Times New Roman"/>
                <w:sz w:val="20"/>
                <w:szCs w:val="20"/>
              </w:rPr>
              <w:t>MA</w:t>
            </w:r>
            <w:r>
              <w:rPr>
                <w:rFonts w:ascii="Times New Roman" w:hAnsi="Times New Roman" w:eastAsia="Times New Roman" w:cs="Times New Roman"/>
                <w:spacing w:val="5"/>
                <w:sz w:val="20"/>
                <w:szCs w:val="20"/>
              </w:rPr>
              <w:t>4P8H9G5G001Z</w:t>
            </w:r>
          </w:p>
        </w:tc>
        <w:tc>
          <w:tcPr>
            <w:tcW w:w="732" w:type="dxa"/>
            <w:tcBorders>
              <w:right w:val="single" w:color="000000" w:sz="10" w:space="0"/>
            </w:tcBorders>
            <w:vAlign w:val="top"/>
          </w:tcPr>
          <w:p w14:paraId="234EBEA9">
            <w:pPr>
              <w:spacing w:line="259" w:lineRule="auto"/>
              <w:rPr>
                <w:rFonts w:ascii="Arial"/>
                <w:sz w:val="21"/>
              </w:rPr>
            </w:pPr>
          </w:p>
          <w:p w14:paraId="75A2BA36">
            <w:pPr>
              <w:pStyle w:val="6"/>
              <w:spacing w:before="65" w:line="228" w:lineRule="auto"/>
              <w:ind w:left="165"/>
            </w:pPr>
            <w:r>
              <w:rPr>
                <w:spacing w:val="4"/>
              </w:rPr>
              <w:t>运行</w:t>
            </w:r>
          </w:p>
        </w:tc>
      </w:tr>
      <w:tr w14:paraId="0E148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13" w:type="dxa"/>
            <w:tcBorders>
              <w:left w:val="single" w:color="000000" w:sz="10" w:space="0"/>
            </w:tcBorders>
            <w:vAlign w:val="top"/>
          </w:tcPr>
          <w:p w14:paraId="260FFB5F">
            <w:pPr>
              <w:spacing w:before="227" w:line="195" w:lineRule="auto"/>
              <w:ind w:left="92"/>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1290" w:type="dxa"/>
            <w:vAlign w:val="top"/>
          </w:tcPr>
          <w:p w14:paraId="5F217954">
            <w:pPr>
              <w:pStyle w:val="6"/>
              <w:spacing w:before="54" w:line="227" w:lineRule="auto"/>
              <w:ind w:left="10"/>
            </w:pPr>
            <w:r>
              <w:rPr>
                <w:spacing w:val="8"/>
              </w:rPr>
              <w:t>湖南春峰科技</w:t>
            </w:r>
          </w:p>
          <w:p w14:paraId="551AC449">
            <w:pPr>
              <w:pStyle w:val="6"/>
              <w:spacing w:before="28" w:line="208" w:lineRule="auto"/>
              <w:ind w:left="222"/>
            </w:pPr>
            <w:r>
              <w:rPr>
                <w:spacing w:val="7"/>
              </w:rPr>
              <w:t>有限公司</w:t>
            </w:r>
          </w:p>
        </w:tc>
        <w:tc>
          <w:tcPr>
            <w:tcW w:w="2918" w:type="dxa"/>
            <w:vAlign w:val="top"/>
          </w:tcPr>
          <w:p w14:paraId="01720614">
            <w:pPr>
              <w:pStyle w:val="6"/>
              <w:spacing w:before="191" w:line="228" w:lineRule="auto"/>
              <w:ind w:left="255"/>
            </w:pPr>
            <w:r>
              <w:rPr>
                <w:spacing w:val="4"/>
              </w:rPr>
              <w:t>年产</w:t>
            </w:r>
            <w:r>
              <w:rPr>
                <w:rFonts w:ascii="Times New Roman" w:hAnsi="Times New Roman" w:eastAsia="Times New Roman" w:cs="Times New Roman"/>
                <w:spacing w:val="4"/>
              </w:rPr>
              <w:t>1000</w:t>
            </w:r>
            <w:r>
              <w:rPr>
                <w:spacing w:val="4"/>
              </w:rPr>
              <w:t>万片钢化玻璃膜</w:t>
            </w:r>
          </w:p>
        </w:tc>
        <w:tc>
          <w:tcPr>
            <w:tcW w:w="1630" w:type="dxa"/>
            <w:vAlign w:val="top"/>
          </w:tcPr>
          <w:p w14:paraId="78FE194D">
            <w:pPr>
              <w:pStyle w:val="6"/>
              <w:spacing w:before="55" w:line="230" w:lineRule="auto"/>
              <w:ind w:left="196" w:right="154" w:firstLine="114"/>
            </w:pPr>
            <w:r>
              <w:rPr>
                <w:spacing w:val="5"/>
              </w:rPr>
              <w:t>隆环评分函</w:t>
            </w:r>
            <w:r>
              <w:rPr>
                <w:spacing w:val="1"/>
              </w:rPr>
              <w:t>〔</w:t>
            </w:r>
            <w:r>
              <w:rPr>
                <w:rFonts w:ascii="Times New Roman" w:hAnsi="Times New Roman" w:eastAsia="Times New Roman" w:cs="Times New Roman"/>
                <w:spacing w:val="1"/>
              </w:rPr>
              <w:t>2018</w:t>
            </w:r>
            <w:r>
              <w:rPr>
                <w:spacing w:val="1"/>
              </w:rPr>
              <w:t>〕</w:t>
            </w:r>
            <w:r>
              <w:rPr>
                <w:rFonts w:ascii="Times New Roman" w:hAnsi="Times New Roman" w:eastAsia="Times New Roman" w:cs="Times New Roman"/>
                <w:spacing w:val="1"/>
              </w:rPr>
              <w:t>12</w:t>
            </w:r>
            <w:r>
              <w:rPr>
                <w:spacing w:val="1"/>
              </w:rPr>
              <w:t>号</w:t>
            </w:r>
          </w:p>
        </w:tc>
        <w:tc>
          <w:tcPr>
            <w:tcW w:w="1555" w:type="dxa"/>
            <w:vAlign w:val="top"/>
          </w:tcPr>
          <w:p w14:paraId="5464E159">
            <w:pPr>
              <w:spacing w:before="107" w:line="195" w:lineRule="auto"/>
              <w:ind w:left="9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91430524</w:t>
            </w:r>
            <w:r>
              <w:rPr>
                <w:rFonts w:ascii="Times New Roman" w:hAnsi="Times New Roman" w:eastAsia="Times New Roman" w:cs="Times New Roman"/>
                <w:sz w:val="20"/>
                <w:szCs w:val="20"/>
              </w:rPr>
              <w:t>MA</w:t>
            </w:r>
            <w:r>
              <w:rPr>
                <w:rFonts w:ascii="Times New Roman" w:hAnsi="Times New Roman" w:eastAsia="Times New Roman" w:cs="Times New Roman"/>
                <w:spacing w:val="5"/>
                <w:sz w:val="20"/>
                <w:szCs w:val="20"/>
              </w:rPr>
              <w:t>4P</w:t>
            </w:r>
          </w:p>
          <w:p w14:paraId="793CBC33">
            <w:pPr>
              <w:spacing w:before="53" w:line="195" w:lineRule="auto"/>
              <w:ind w:left="133"/>
              <w:rPr>
                <w:rFonts w:ascii="Times New Roman" w:hAnsi="Times New Roman" w:eastAsia="Times New Roman" w:cs="Times New Roman"/>
                <w:sz w:val="20"/>
                <w:szCs w:val="20"/>
              </w:rPr>
            </w:pPr>
            <w:r>
              <w:rPr>
                <w:rFonts w:ascii="Times New Roman" w:hAnsi="Times New Roman" w:eastAsia="Times New Roman" w:cs="Times New Roman"/>
                <w:sz w:val="20"/>
                <w:szCs w:val="20"/>
              </w:rPr>
              <w:t>NUAY</w:t>
            </w:r>
            <w:r>
              <w:rPr>
                <w:rFonts w:ascii="Times New Roman" w:hAnsi="Times New Roman" w:eastAsia="Times New Roman" w:cs="Times New Roman"/>
                <w:spacing w:val="10"/>
                <w:sz w:val="20"/>
                <w:szCs w:val="20"/>
              </w:rPr>
              <w:t>6C001Z</w:t>
            </w:r>
          </w:p>
        </w:tc>
        <w:tc>
          <w:tcPr>
            <w:tcW w:w="732" w:type="dxa"/>
            <w:tcBorders>
              <w:right w:val="single" w:color="000000" w:sz="10" w:space="0"/>
            </w:tcBorders>
            <w:vAlign w:val="top"/>
          </w:tcPr>
          <w:p w14:paraId="4F582714">
            <w:pPr>
              <w:pStyle w:val="6"/>
              <w:spacing w:before="191" w:line="228" w:lineRule="auto"/>
              <w:ind w:left="165"/>
            </w:pPr>
            <w:r>
              <w:rPr>
                <w:spacing w:val="4"/>
              </w:rPr>
              <w:t>运行</w:t>
            </w:r>
          </w:p>
        </w:tc>
      </w:tr>
      <w:tr w14:paraId="37AD96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413" w:type="dxa"/>
            <w:tcBorders>
              <w:left w:val="single" w:color="000000" w:sz="10" w:space="0"/>
            </w:tcBorders>
            <w:vAlign w:val="top"/>
          </w:tcPr>
          <w:p w14:paraId="224D07C0">
            <w:pPr>
              <w:spacing w:before="227" w:line="195" w:lineRule="auto"/>
              <w:ind w:left="92"/>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1290" w:type="dxa"/>
            <w:vAlign w:val="top"/>
          </w:tcPr>
          <w:p w14:paraId="5D9094C2">
            <w:pPr>
              <w:pStyle w:val="6"/>
              <w:spacing w:before="56" w:line="228" w:lineRule="auto"/>
              <w:ind w:left="10"/>
            </w:pPr>
            <w:r>
              <w:rPr>
                <w:spacing w:val="8"/>
              </w:rPr>
              <w:t>湖南茂豐屏保</w:t>
            </w:r>
          </w:p>
          <w:p w14:paraId="3161A845">
            <w:pPr>
              <w:pStyle w:val="6"/>
              <w:spacing w:before="24" w:line="208" w:lineRule="auto"/>
              <w:ind w:left="11"/>
            </w:pPr>
            <w:r>
              <w:rPr>
                <w:spacing w:val="8"/>
              </w:rPr>
              <w:t>制造有限公司</w:t>
            </w:r>
          </w:p>
        </w:tc>
        <w:tc>
          <w:tcPr>
            <w:tcW w:w="2918" w:type="dxa"/>
            <w:vAlign w:val="top"/>
          </w:tcPr>
          <w:p w14:paraId="41A885B1">
            <w:pPr>
              <w:pStyle w:val="6"/>
              <w:spacing w:before="191" w:line="227" w:lineRule="auto"/>
              <w:ind w:left="308"/>
            </w:pPr>
            <w:r>
              <w:rPr>
                <w:spacing w:val="6"/>
              </w:rPr>
              <w:t>年产</w:t>
            </w:r>
            <w:r>
              <w:rPr>
                <w:rFonts w:ascii="Times New Roman" w:hAnsi="Times New Roman" w:eastAsia="Times New Roman" w:cs="Times New Roman"/>
                <w:spacing w:val="6"/>
              </w:rPr>
              <w:t>400</w:t>
            </w:r>
            <w:r>
              <w:rPr>
                <w:spacing w:val="6"/>
              </w:rPr>
              <w:t>万片手机钢化膜</w:t>
            </w:r>
          </w:p>
        </w:tc>
        <w:tc>
          <w:tcPr>
            <w:tcW w:w="1630" w:type="dxa"/>
            <w:vAlign w:val="top"/>
          </w:tcPr>
          <w:p w14:paraId="5D198563">
            <w:pPr>
              <w:pStyle w:val="6"/>
              <w:spacing w:before="56" w:line="228" w:lineRule="auto"/>
              <w:ind w:left="142"/>
            </w:pPr>
            <w:r>
              <w:rPr>
                <w:spacing w:val="6"/>
              </w:rPr>
              <w:t>邵市环评（</w:t>
            </w:r>
            <w:r>
              <w:rPr>
                <w:rFonts w:ascii="Times New Roman" w:hAnsi="Times New Roman" w:eastAsia="Times New Roman" w:cs="Times New Roman"/>
                <w:spacing w:val="6"/>
              </w:rPr>
              <w:t>4</w:t>
            </w:r>
            <w:r>
              <w:rPr>
                <w:spacing w:val="6"/>
              </w:rPr>
              <w:t>）</w:t>
            </w:r>
          </w:p>
          <w:p w14:paraId="0406F89C">
            <w:pPr>
              <w:pStyle w:val="6"/>
              <w:spacing w:before="24" w:line="208" w:lineRule="auto"/>
              <w:ind w:left="247"/>
            </w:pPr>
            <w:r>
              <w:rPr>
                <w:spacing w:val="1"/>
              </w:rPr>
              <w:t>〔</w:t>
            </w:r>
            <w:r>
              <w:rPr>
                <w:rFonts w:ascii="Times New Roman" w:hAnsi="Times New Roman" w:eastAsia="Times New Roman" w:cs="Times New Roman"/>
                <w:spacing w:val="1"/>
              </w:rPr>
              <w:t>2021</w:t>
            </w:r>
            <w:r>
              <w:rPr>
                <w:spacing w:val="1"/>
              </w:rPr>
              <w:t>〕</w:t>
            </w:r>
            <w:r>
              <w:rPr>
                <w:rFonts w:ascii="Times New Roman" w:hAnsi="Times New Roman" w:eastAsia="Times New Roman" w:cs="Times New Roman"/>
                <w:spacing w:val="1"/>
              </w:rPr>
              <w:t>2</w:t>
            </w:r>
            <w:r>
              <w:rPr>
                <w:spacing w:val="1"/>
              </w:rPr>
              <w:t>号</w:t>
            </w:r>
          </w:p>
        </w:tc>
        <w:tc>
          <w:tcPr>
            <w:tcW w:w="1555" w:type="dxa"/>
            <w:vAlign w:val="top"/>
          </w:tcPr>
          <w:p w14:paraId="74D3CB49">
            <w:pPr>
              <w:spacing w:before="106" w:line="233" w:lineRule="auto"/>
              <w:ind w:left="179" w:right="51" w:hanging="10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91430524</w:t>
            </w:r>
            <w:r>
              <w:rPr>
                <w:rFonts w:ascii="Times New Roman" w:hAnsi="Times New Roman" w:eastAsia="Times New Roman" w:cs="Times New Roman"/>
                <w:sz w:val="20"/>
                <w:szCs w:val="20"/>
              </w:rPr>
              <w:t>MA</w:t>
            </w:r>
            <w:r>
              <w:rPr>
                <w:rFonts w:ascii="Times New Roman" w:hAnsi="Times New Roman" w:eastAsia="Times New Roman" w:cs="Times New Roman"/>
                <w:spacing w:val="5"/>
                <w:sz w:val="20"/>
                <w:szCs w:val="20"/>
              </w:rPr>
              <w:t>4QH25R9B001X</w:t>
            </w:r>
          </w:p>
        </w:tc>
        <w:tc>
          <w:tcPr>
            <w:tcW w:w="732" w:type="dxa"/>
            <w:tcBorders>
              <w:right w:val="single" w:color="000000" w:sz="10" w:space="0"/>
            </w:tcBorders>
            <w:vAlign w:val="top"/>
          </w:tcPr>
          <w:p w14:paraId="287B2749">
            <w:pPr>
              <w:pStyle w:val="6"/>
              <w:spacing w:before="190" w:line="228" w:lineRule="auto"/>
              <w:ind w:left="166"/>
            </w:pPr>
            <w:r>
              <w:rPr>
                <w:spacing w:val="4"/>
              </w:rPr>
              <w:t>停产</w:t>
            </w:r>
          </w:p>
        </w:tc>
      </w:tr>
      <w:tr w14:paraId="08394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8" w:hRule="atLeast"/>
        </w:trPr>
        <w:tc>
          <w:tcPr>
            <w:tcW w:w="413" w:type="dxa"/>
            <w:tcBorders>
              <w:left w:val="single" w:color="000000" w:sz="10" w:space="0"/>
            </w:tcBorders>
            <w:vAlign w:val="top"/>
          </w:tcPr>
          <w:p w14:paraId="28E22011">
            <w:pPr>
              <w:spacing w:line="441" w:lineRule="auto"/>
              <w:rPr>
                <w:rFonts w:ascii="Arial"/>
                <w:sz w:val="21"/>
              </w:rPr>
            </w:pPr>
          </w:p>
          <w:p w14:paraId="581370D2">
            <w:pPr>
              <w:spacing w:before="57" w:line="195" w:lineRule="auto"/>
              <w:ind w:left="92"/>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1290" w:type="dxa"/>
            <w:vAlign w:val="top"/>
          </w:tcPr>
          <w:p w14:paraId="28DC428B">
            <w:pPr>
              <w:spacing w:line="264" w:lineRule="auto"/>
              <w:rPr>
                <w:rFonts w:ascii="Arial"/>
                <w:sz w:val="21"/>
              </w:rPr>
            </w:pPr>
          </w:p>
          <w:p w14:paraId="0E48A3BA">
            <w:pPr>
              <w:pStyle w:val="6"/>
              <w:spacing w:before="65" w:line="228" w:lineRule="auto"/>
              <w:ind w:left="24"/>
            </w:pPr>
            <w:r>
              <w:rPr>
                <w:spacing w:val="6"/>
              </w:rPr>
              <w:t>隆回中力钢化</w:t>
            </w:r>
          </w:p>
          <w:p w14:paraId="78BA78EF">
            <w:pPr>
              <w:pStyle w:val="6"/>
              <w:spacing w:before="24" w:line="228" w:lineRule="auto"/>
              <w:ind w:left="14"/>
            </w:pPr>
            <w:r>
              <w:rPr>
                <w:spacing w:val="7"/>
              </w:rPr>
              <w:t>玻璃有限公司</w:t>
            </w:r>
          </w:p>
        </w:tc>
        <w:tc>
          <w:tcPr>
            <w:tcW w:w="2918" w:type="dxa"/>
            <w:vAlign w:val="top"/>
          </w:tcPr>
          <w:p w14:paraId="05E7982A">
            <w:pPr>
              <w:spacing w:line="397" w:lineRule="auto"/>
              <w:rPr>
                <w:rFonts w:ascii="Arial"/>
                <w:sz w:val="21"/>
              </w:rPr>
            </w:pPr>
          </w:p>
          <w:p w14:paraId="220EE72D">
            <w:pPr>
              <w:pStyle w:val="6"/>
              <w:spacing w:before="65" w:line="228" w:lineRule="auto"/>
              <w:ind w:left="411"/>
            </w:pPr>
            <w:r>
              <w:rPr>
                <w:spacing w:val="4"/>
              </w:rPr>
              <w:t>年产</w:t>
            </w:r>
            <w:r>
              <w:rPr>
                <w:rFonts w:ascii="Times New Roman" w:hAnsi="Times New Roman" w:eastAsia="Times New Roman" w:cs="Times New Roman"/>
                <w:spacing w:val="4"/>
              </w:rPr>
              <w:t>70</w:t>
            </w:r>
            <w:r>
              <w:rPr>
                <w:spacing w:val="4"/>
              </w:rPr>
              <w:t>万</w:t>
            </w:r>
            <w:r>
              <w:rPr>
                <w:rFonts w:ascii="Times New Roman" w:hAnsi="Times New Roman" w:eastAsia="Times New Roman" w:cs="Times New Roman"/>
                <w:spacing w:val="4"/>
              </w:rPr>
              <w:t>m</w:t>
            </w:r>
            <w:r>
              <w:rPr>
                <w:rFonts w:ascii="Times New Roman" w:hAnsi="Times New Roman" w:eastAsia="Times New Roman" w:cs="Times New Roman"/>
                <w:spacing w:val="4"/>
                <w:position w:val="6"/>
                <w:sz w:val="13"/>
                <w:szCs w:val="13"/>
              </w:rPr>
              <w:t>2</w:t>
            </w:r>
            <w:r>
              <w:rPr>
                <w:spacing w:val="4"/>
              </w:rPr>
              <w:t>钢化玻璃</w:t>
            </w:r>
          </w:p>
        </w:tc>
        <w:tc>
          <w:tcPr>
            <w:tcW w:w="1630" w:type="dxa"/>
            <w:vAlign w:val="top"/>
          </w:tcPr>
          <w:p w14:paraId="645CE648">
            <w:pPr>
              <w:pStyle w:val="6"/>
              <w:spacing w:before="58" w:line="251" w:lineRule="auto"/>
              <w:ind w:left="130" w:hanging="95"/>
            </w:pPr>
            <w:r>
              <w:rPr>
                <w:spacing w:val="-2"/>
              </w:rPr>
              <w:t>隆环评函〔</w:t>
            </w:r>
            <w:r>
              <w:rPr>
                <w:rFonts w:ascii="Times New Roman" w:hAnsi="Times New Roman" w:eastAsia="Times New Roman" w:cs="Times New Roman"/>
                <w:spacing w:val="-2"/>
              </w:rPr>
              <w:t>2016</w:t>
            </w:r>
            <w:r>
              <w:rPr>
                <w:spacing w:val="-2"/>
              </w:rPr>
              <w:t>〕</w:t>
            </w:r>
            <w:r>
              <w:rPr>
                <w:rFonts w:ascii="Times New Roman" w:hAnsi="Times New Roman" w:eastAsia="Times New Roman" w:cs="Times New Roman"/>
                <w:spacing w:val="2"/>
              </w:rPr>
              <w:t>44</w:t>
            </w:r>
            <w:r>
              <w:rPr>
                <w:spacing w:val="2"/>
              </w:rPr>
              <w:t>号</w:t>
            </w:r>
            <w:r>
              <w:rPr>
                <w:rFonts w:ascii="Times New Roman" w:hAnsi="Times New Roman" w:eastAsia="Times New Roman" w:cs="Times New Roman"/>
                <w:spacing w:val="2"/>
              </w:rPr>
              <w:t>/</w:t>
            </w:r>
            <w:r>
              <w:rPr>
                <w:spacing w:val="2"/>
              </w:rPr>
              <w:t>邵市环评</w:t>
            </w:r>
          </w:p>
          <w:p w14:paraId="672D916C">
            <w:pPr>
              <w:pStyle w:val="6"/>
              <w:spacing w:before="1" w:line="228" w:lineRule="auto"/>
              <w:ind w:left="722" w:right="37" w:hanging="690"/>
            </w:pPr>
            <w:r>
              <w:rPr>
                <w:spacing w:val="5"/>
              </w:rPr>
              <w:t>（</w:t>
            </w:r>
            <w:r>
              <w:rPr>
                <w:rFonts w:ascii="Times New Roman" w:hAnsi="Times New Roman" w:eastAsia="Times New Roman" w:cs="Times New Roman"/>
                <w:spacing w:val="5"/>
              </w:rPr>
              <w:t>4</w:t>
            </w:r>
            <w:r>
              <w:rPr>
                <w:spacing w:val="5"/>
              </w:rPr>
              <w:t>）〔</w:t>
            </w:r>
            <w:r>
              <w:rPr>
                <w:rFonts w:ascii="Times New Roman" w:hAnsi="Times New Roman" w:eastAsia="Times New Roman" w:cs="Times New Roman"/>
                <w:spacing w:val="5"/>
              </w:rPr>
              <w:t>2021</w:t>
            </w:r>
            <w:r>
              <w:rPr>
                <w:spacing w:val="5"/>
              </w:rPr>
              <w:t>〕</w:t>
            </w:r>
            <w:r>
              <w:rPr>
                <w:rFonts w:ascii="Times New Roman" w:hAnsi="Times New Roman" w:eastAsia="Times New Roman" w:cs="Times New Roman"/>
                <w:spacing w:val="5"/>
              </w:rPr>
              <w:t>35</w:t>
            </w:r>
            <w:r>
              <w:t>号</w:t>
            </w:r>
          </w:p>
        </w:tc>
        <w:tc>
          <w:tcPr>
            <w:tcW w:w="1555" w:type="dxa"/>
            <w:vAlign w:val="top"/>
          </w:tcPr>
          <w:p w14:paraId="6A68BB31">
            <w:pPr>
              <w:spacing w:line="323" w:lineRule="auto"/>
              <w:rPr>
                <w:rFonts w:ascii="Arial"/>
                <w:sz w:val="21"/>
              </w:rPr>
            </w:pPr>
          </w:p>
          <w:p w14:paraId="0CEB8DEA">
            <w:pPr>
              <w:spacing w:before="57" w:line="261" w:lineRule="auto"/>
              <w:ind w:left="343" w:right="32" w:hanging="28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91430524320698698N001P</w:t>
            </w:r>
          </w:p>
        </w:tc>
        <w:tc>
          <w:tcPr>
            <w:tcW w:w="732" w:type="dxa"/>
            <w:tcBorders>
              <w:right w:val="single" w:color="000000" w:sz="10" w:space="0"/>
            </w:tcBorders>
            <w:vAlign w:val="top"/>
          </w:tcPr>
          <w:p w14:paraId="255E258D">
            <w:pPr>
              <w:spacing w:line="398" w:lineRule="auto"/>
              <w:rPr>
                <w:rFonts w:ascii="Arial"/>
                <w:sz w:val="21"/>
              </w:rPr>
            </w:pPr>
          </w:p>
          <w:p w14:paraId="65CB3B9F">
            <w:pPr>
              <w:pStyle w:val="6"/>
              <w:spacing w:before="65" w:line="228" w:lineRule="auto"/>
              <w:ind w:left="165"/>
            </w:pPr>
            <w:r>
              <w:rPr>
                <w:spacing w:val="4"/>
              </w:rPr>
              <w:t>运行</w:t>
            </w:r>
          </w:p>
        </w:tc>
      </w:tr>
      <w:tr w14:paraId="1D9AE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413" w:type="dxa"/>
            <w:tcBorders>
              <w:left w:val="single" w:color="000000" w:sz="10" w:space="0"/>
            </w:tcBorders>
            <w:vAlign w:val="top"/>
          </w:tcPr>
          <w:p w14:paraId="299C8B02">
            <w:pPr>
              <w:spacing w:before="230" w:line="195" w:lineRule="auto"/>
              <w:ind w:left="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290" w:type="dxa"/>
            <w:vAlign w:val="top"/>
          </w:tcPr>
          <w:p w14:paraId="4EC93CF9">
            <w:pPr>
              <w:pStyle w:val="6"/>
              <w:spacing w:before="58" w:line="228" w:lineRule="auto"/>
              <w:ind w:left="115" w:right="24" w:hanging="105"/>
            </w:pPr>
            <w:r>
              <w:rPr>
                <w:spacing w:val="8"/>
              </w:rPr>
              <w:t>湖南省兴业竹业有限公司</w:t>
            </w:r>
          </w:p>
        </w:tc>
        <w:tc>
          <w:tcPr>
            <w:tcW w:w="2918" w:type="dxa"/>
            <w:vAlign w:val="top"/>
          </w:tcPr>
          <w:p w14:paraId="1A908FCA">
            <w:pPr>
              <w:pStyle w:val="6"/>
              <w:spacing w:before="194" w:line="228" w:lineRule="auto"/>
              <w:ind w:left="411"/>
            </w:pPr>
            <w:r>
              <w:rPr>
                <w:spacing w:val="4"/>
              </w:rPr>
              <w:t>年产</w:t>
            </w:r>
            <w:r>
              <w:rPr>
                <w:rFonts w:ascii="Times New Roman" w:hAnsi="Times New Roman" w:eastAsia="Times New Roman" w:cs="Times New Roman"/>
                <w:spacing w:val="4"/>
              </w:rPr>
              <w:t>50</w:t>
            </w:r>
            <w:r>
              <w:rPr>
                <w:spacing w:val="4"/>
              </w:rPr>
              <w:t>万</w:t>
            </w:r>
            <w:r>
              <w:rPr>
                <w:rFonts w:ascii="Times New Roman" w:hAnsi="Times New Roman" w:eastAsia="Times New Roman" w:cs="Times New Roman"/>
                <w:spacing w:val="4"/>
              </w:rPr>
              <w:t>m</w:t>
            </w:r>
            <w:r>
              <w:rPr>
                <w:rFonts w:ascii="Times New Roman" w:hAnsi="Times New Roman" w:eastAsia="Times New Roman" w:cs="Times New Roman"/>
                <w:spacing w:val="4"/>
                <w:position w:val="6"/>
                <w:sz w:val="13"/>
                <w:szCs w:val="13"/>
              </w:rPr>
              <w:t>2</w:t>
            </w:r>
            <w:r>
              <w:rPr>
                <w:spacing w:val="4"/>
              </w:rPr>
              <w:t>钢化玻璃</w:t>
            </w:r>
          </w:p>
        </w:tc>
        <w:tc>
          <w:tcPr>
            <w:tcW w:w="1630" w:type="dxa"/>
            <w:vAlign w:val="top"/>
          </w:tcPr>
          <w:p w14:paraId="4A134016">
            <w:pPr>
              <w:pStyle w:val="6"/>
              <w:spacing w:before="58" w:line="228" w:lineRule="auto"/>
              <w:ind w:left="196" w:right="154" w:firstLine="114"/>
            </w:pPr>
            <w:r>
              <w:rPr>
                <w:spacing w:val="5"/>
              </w:rPr>
              <w:t>隆环评分函</w:t>
            </w:r>
            <w:r>
              <w:rPr>
                <w:spacing w:val="1"/>
              </w:rPr>
              <w:t>〔</w:t>
            </w:r>
            <w:r>
              <w:rPr>
                <w:rFonts w:ascii="Times New Roman" w:hAnsi="Times New Roman" w:eastAsia="Times New Roman" w:cs="Times New Roman"/>
                <w:spacing w:val="1"/>
              </w:rPr>
              <w:t>2018</w:t>
            </w:r>
            <w:r>
              <w:rPr>
                <w:spacing w:val="1"/>
              </w:rPr>
              <w:t>〕</w:t>
            </w:r>
            <w:r>
              <w:rPr>
                <w:rFonts w:ascii="Times New Roman" w:hAnsi="Times New Roman" w:eastAsia="Times New Roman" w:cs="Times New Roman"/>
                <w:spacing w:val="1"/>
              </w:rPr>
              <w:t>21</w:t>
            </w:r>
            <w:r>
              <w:rPr>
                <w:spacing w:val="1"/>
              </w:rPr>
              <w:t>号</w:t>
            </w:r>
          </w:p>
        </w:tc>
        <w:tc>
          <w:tcPr>
            <w:tcW w:w="1555" w:type="dxa"/>
            <w:vAlign w:val="top"/>
          </w:tcPr>
          <w:p w14:paraId="5A08C90C">
            <w:pPr>
              <w:spacing w:before="110" w:line="231" w:lineRule="auto"/>
              <w:ind w:left="332" w:right="32" w:hanging="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91430524090499529B001U</w:t>
            </w:r>
          </w:p>
        </w:tc>
        <w:tc>
          <w:tcPr>
            <w:tcW w:w="732" w:type="dxa"/>
            <w:tcBorders>
              <w:right w:val="single" w:color="000000" w:sz="10" w:space="0"/>
            </w:tcBorders>
            <w:vAlign w:val="top"/>
          </w:tcPr>
          <w:p w14:paraId="3B4FCE87">
            <w:pPr>
              <w:pStyle w:val="6"/>
              <w:spacing w:before="195" w:line="228" w:lineRule="auto"/>
              <w:ind w:left="165"/>
            </w:pPr>
            <w:r>
              <w:rPr>
                <w:spacing w:val="4"/>
              </w:rPr>
              <w:t>运行</w:t>
            </w:r>
          </w:p>
        </w:tc>
      </w:tr>
      <w:tr w14:paraId="48672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13" w:type="dxa"/>
            <w:tcBorders>
              <w:left w:val="single" w:color="000000" w:sz="10" w:space="0"/>
            </w:tcBorders>
            <w:vAlign w:val="top"/>
          </w:tcPr>
          <w:p w14:paraId="5E5C3327">
            <w:pPr>
              <w:spacing w:before="234" w:line="195" w:lineRule="auto"/>
              <w:ind w:left="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1290" w:type="dxa"/>
            <w:vAlign w:val="top"/>
          </w:tcPr>
          <w:p w14:paraId="4EB449BF">
            <w:pPr>
              <w:pStyle w:val="6"/>
              <w:spacing w:before="61" w:line="228" w:lineRule="auto"/>
              <w:ind w:left="10"/>
            </w:pPr>
            <w:r>
              <w:rPr>
                <w:spacing w:val="8"/>
              </w:rPr>
              <w:t>湖南友亮钢化</w:t>
            </w:r>
          </w:p>
          <w:p w14:paraId="74BA5EFE">
            <w:pPr>
              <w:pStyle w:val="6"/>
              <w:spacing w:before="24" w:line="204" w:lineRule="auto"/>
              <w:ind w:left="14"/>
            </w:pPr>
            <w:r>
              <w:rPr>
                <w:spacing w:val="7"/>
              </w:rPr>
              <w:t>玻璃有限公司</w:t>
            </w:r>
          </w:p>
        </w:tc>
        <w:tc>
          <w:tcPr>
            <w:tcW w:w="2918" w:type="dxa"/>
            <w:vAlign w:val="top"/>
          </w:tcPr>
          <w:p w14:paraId="71A880FD">
            <w:pPr>
              <w:pStyle w:val="6"/>
              <w:spacing w:before="61" w:line="228" w:lineRule="auto"/>
              <w:ind w:left="123"/>
            </w:pPr>
            <w:r>
              <w:rPr>
                <w:spacing w:val="4"/>
              </w:rPr>
              <w:t>年产</w:t>
            </w:r>
            <w:r>
              <w:rPr>
                <w:rFonts w:ascii="Times New Roman" w:hAnsi="Times New Roman" w:eastAsia="Times New Roman" w:cs="Times New Roman"/>
                <w:spacing w:val="4"/>
              </w:rPr>
              <w:t>30</w:t>
            </w:r>
            <w:r>
              <w:rPr>
                <w:spacing w:val="4"/>
              </w:rPr>
              <w:t>万</w:t>
            </w:r>
            <w:r>
              <w:rPr>
                <w:rFonts w:ascii="Times New Roman" w:hAnsi="Times New Roman" w:eastAsia="Times New Roman" w:cs="Times New Roman"/>
                <w:spacing w:val="4"/>
              </w:rPr>
              <w:t>m</w:t>
            </w:r>
            <w:r>
              <w:rPr>
                <w:rFonts w:ascii="Times New Roman" w:hAnsi="Times New Roman" w:eastAsia="Times New Roman" w:cs="Times New Roman"/>
                <w:spacing w:val="4"/>
                <w:position w:val="6"/>
                <w:sz w:val="13"/>
                <w:szCs w:val="13"/>
              </w:rPr>
              <w:t>2</w:t>
            </w:r>
            <w:r>
              <w:rPr>
                <w:spacing w:val="4"/>
              </w:rPr>
              <w:t>钢化玻璃、</w:t>
            </w:r>
            <w:r>
              <w:rPr>
                <w:rFonts w:ascii="Times New Roman" w:hAnsi="Times New Roman" w:eastAsia="Times New Roman" w:cs="Times New Roman"/>
                <w:spacing w:val="4"/>
              </w:rPr>
              <w:t>8</w:t>
            </w:r>
            <w:r>
              <w:rPr>
                <w:spacing w:val="4"/>
              </w:rPr>
              <w:t>万</w:t>
            </w:r>
          </w:p>
          <w:p w14:paraId="2872B6DA">
            <w:pPr>
              <w:pStyle w:val="6"/>
              <w:spacing w:before="24" w:line="204" w:lineRule="auto"/>
              <w:ind w:left="900"/>
            </w:pPr>
            <w:r>
              <w:rPr>
                <w:rFonts w:ascii="Times New Roman" w:hAnsi="Times New Roman" w:eastAsia="Times New Roman" w:cs="Times New Roman"/>
                <w:spacing w:val="3"/>
              </w:rPr>
              <w:t>m</w:t>
            </w:r>
            <w:r>
              <w:rPr>
                <w:rFonts w:ascii="Times New Roman" w:hAnsi="Times New Roman" w:eastAsia="Times New Roman" w:cs="Times New Roman"/>
                <w:spacing w:val="3"/>
                <w:position w:val="6"/>
                <w:sz w:val="13"/>
                <w:szCs w:val="13"/>
              </w:rPr>
              <w:t>2</w:t>
            </w:r>
            <w:r>
              <w:rPr>
                <w:spacing w:val="3"/>
              </w:rPr>
              <w:t>中空玻璃</w:t>
            </w:r>
          </w:p>
        </w:tc>
        <w:tc>
          <w:tcPr>
            <w:tcW w:w="1630" w:type="dxa"/>
            <w:vAlign w:val="top"/>
          </w:tcPr>
          <w:p w14:paraId="1963C79E">
            <w:pPr>
              <w:pStyle w:val="6"/>
              <w:spacing w:before="61" w:line="228" w:lineRule="auto"/>
              <w:ind w:left="142"/>
            </w:pPr>
            <w:r>
              <w:rPr>
                <w:spacing w:val="6"/>
              </w:rPr>
              <w:t>邵市环审（</w:t>
            </w:r>
            <w:r>
              <w:rPr>
                <w:rFonts w:ascii="Times New Roman" w:hAnsi="Times New Roman" w:eastAsia="Times New Roman" w:cs="Times New Roman"/>
                <w:spacing w:val="6"/>
              </w:rPr>
              <w:t>4</w:t>
            </w:r>
            <w:r>
              <w:rPr>
                <w:spacing w:val="6"/>
              </w:rPr>
              <w:t>）</w:t>
            </w:r>
          </w:p>
          <w:p w14:paraId="0F85087D">
            <w:pPr>
              <w:pStyle w:val="6"/>
              <w:spacing w:before="24" w:line="204" w:lineRule="auto"/>
              <w:ind w:left="247"/>
            </w:pPr>
            <w:r>
              <w:rPr>
                <w:spacing w:val="1"/>
              </w:rPr>
              <w:t>〔</w:t>
            </w:r>
            <w:r>
              <w:rPr>
                <w:rFonts w:ascii="Times New Roman" w:hAnsi="Times New Roman" w:eastAsia="Times New Roman" w:cs="Times New Roman"/>
                <w:spacing w:val="1"/>
              </w:rPr>
              <w:t>2021</w:t>
            </w:r>
            <w:r>
              <w:rPr>
                <w:spacing w:val="1"/>
              </w:rPr>
              <w:t>〕</w:t>
            </w:r>
            <w:r>
              <w:rPr>
                <w:rFonts w:ascii="Times New Roman" w:hAnsi="Times New Roman" w:eastAsia="Times New Roman" w:cs="Times New Roman"/>
                <w:spacing w:val="1"/>
              </w:rPr>
              <w:t>4</w:t>
            </w:r>
            <w:r>
              <w:rPr>
                <w:spacing w:val="1"/>
              </w:rPr>
              <w:t>号</w:t>
            </w:r>
          </w:p>
        </w:tc>
        <w:tc>
          <w:tcPr>
            <w:tcW w:w="1555" w:type="dxa"/>
            <w:vAlign w:val="top"/>
          </w:tcPr>
          <w:p w14:paraId="740BE29B">
            <w:pPr>
              <w:spacing w:before="111" w:line="231" w:lineRule="auto"/>
              <w:ind w:left="206" w:right="3" w:hanging="18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91430524</w:t>
            </w:r>
            <w:r>
              <w:rPr>
                <w:rFonts w:ascii="Times New Roman" w:hAnsi="Times New Roman" w:eastAsia="Times New Roman" w:cs="Times New Roman"/>
                <w:sz w:val="20"/>
                <w:szCs w:val="20"/>
              </w:rPr>
              <w:t>MA</w:t>
            </w:r>
            <w:r>
              <w:rPr>
                <w:rFonts w:ascii="Times New Roman" w:hAnsi="Times New Roman" w:eastAsia="Times New Roman" w:cs="Times New Roman"/>
                <w:spacing w:val="5"/>
                <w:sz w:val="20"/>
                <w:szCs w:val="20"/>
              </w:rPr>
              <w:t>4R7</w:t>
            </w:r>
            <w:r>
              <w:rPr>
                <w:rFonts w:ascii="Times New Roman" w:hAnsi="Times New Roman" w:eastAsia="Times New Roman" w:cs="Times New Roman"/>
                <w:sz w:val="20"/>
                <w:szCs w:val="20"/>
              </w:rPr>
              <w:t>XRC</w:t>
            </w:r>
            <w:r>
              <w:rPr>
                <w:rFonts w:ascii="Times New Roman" w:hAnsi="Times New Roman" w:eastAsia="Times New Roman" w:cs="Times New Roman"/>
                <w:spacing w:val="8"/>
                <w:sz w:val="20"/>
                <w:szCs w:val="20"/>
              </w:rPr>
              <w:t>7H001Q</w:t>
            </w:r>
          </w:p>
        </w:tc>
        <w:tc>
          <w:tcPr>
            <w:tcW w:w="732" w:type="dxa"/>
            <w:tcBorders>
              <w:right w:val="single" w:color="000000" w:sz="10" w:space="0"/>
            </w:tcBorders>
            <w:vAlign w:val="top"/>
          </w:tcPr>
          <w:p w14:paraId="730F90F7">
            <w:pPr>
              <w:pStyle w:val="6"/>
              <w:spacing w:before="196" w:line="228" w:lineRule="auto"/>
              <w:ind w:left="165"/>
            </w:pPr>
            <w:r>
              <w:rPr>
                <w:spacing w:val="4"/>
              </w:rPr>
              <w:t>运行</w:t>
            </w:r>
          </w:p>
        </w:tc>
      </w:tr>
      <w:tr w14:paraId="25371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13" w:type="dxa"/>
            <w:tcBorders>
              <w:left w:val="single" w:color="000000" w:sz="10" w:space="0"/>
            </w:tcBorders>
            <w:vAlign w:val="top"/>
          </w:tcPr>
          <w:p w14:paraId="76371DDA">
            <w:pPr>
              <w:spacing w:before="234" w:line="195" w:lineRule="auto"/>
              <w:ind w:left="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1290" w:type="dxa"/>
            <w:vAlign w:val="top"/>
          </w:tcPr>
          <w:p w14:paraId="496AC613">
            <w:pPr>
              <w:pStyle w:val="6"/>
              <w:spacing w:before="62" w:line="227" w:lineRule="auto"/>
              <w:ind w:left="116" w:right="24" w:hanging="92"/>
            </w:pPr>
            <w:r>
              <w:rPr>
                <w:spacing w:val="6"/>
              </w:rPr>
              <w:t>隆回县恒新建</w:t>
            </w:r>
            <w:r>
              <w:rPr>
                <w:spacing w:val="8"/>
              </w:rPr>
              <w:t>材有限公司</w:t>
            </w:r>
          </w:p>
        </w:tc>
        <w:tc>
          <w:tcPr>
            <w:tcW w:w="2918" w:type="dxa"/>
            <w:vAlign w:val="top"/>
          </w:tcPr>
          <w:p w14:paraId="66836591">
            <w:pPr>
              <w:pStyle w:val="6"/>
              <w:spacing w:before="61" w:line="227" w:lineRule="auto"/>
              <w:ind w:left="15"/>
            </w:pPr>
            <w:r>
              <w:rPr>
                <w:spacing w:val="5"/>
              </w:rPr>
              <w:t>年产</w:t>
            </w:r>
            <w:r>
              <w:rPr>
                <w:rFonts w:ascii="Times New Roman" w:hAnsi="Times New Roman" w:eastAsia="Times New Roman" w:cs="Times New Roman"/>
                <w:spacing w:val="5"/>
              </w:rPr>
              <w:t>20</w:t>
            </w:r>
            <w:r>
              <w:rPr>
                <w:spacing w:val="5"/>
              </w:rPr>
              <w:t>万</w:t>
            </w:r>
            <w:r>
              <w:rPr>
                <w:rFonts w:ascii="Times New Roman" w:hAnsi="Times New Roman" w:eastAsia="Times New Roman" w:cs="Times New Roman"/>
                <w:spacing w:val="5"/>
              </w:rPr>
              <w:t>m</w:t>
            </w:r>
            <w:r>
              <w:rPr>
                <w:rFonts w:ascii="Times New Roman" w:hAnsi="Times New Roman" w:eastAsia="Times New Roman" w:cs="Times New Roman"/>
                <w:spacing w:val="5"/>
                <w:position w:val="6"/>
                <w:sz w:val="13"/>
                <w:szCs w:val="13"/>
              </w:rPr>
              <w:t>2</w:t>
            </w:r>
            <w:r>
              <w:rPr>
                <w:spacing w:val="5"/>
              </w:rPr>
              <w:t>地瓷砖装饰材料深</w:t>
            </w:r>
          </w:p>
          <w:p w14:paraId="05C6ACBB">
            <w:pPr>
              <w:pStyle w:val="6"/>
              <w:spacing w:before="25" w:line="204" w:lineRule="auto"/>
              <w:ind w:left="1250"/>
            </w:pPr>
            <w:r>
              <w:rPr>
                <w:spacing w:val="4"/>
              </w:rPr>
              <w:t>加工</w:t>
            </w:r>
          </w:p>
        </w:tc>
        <w:tc>
          <w:tcPr>
            <w:tcW w:w="1630" w:type="dxa"/>
            <w:vAlign w:val="top"/>
          </w:tcPr>
          <w:p w14:paraId="6E9E1E05">
            <w:pPr>
              <w:pStyle w:val="6"/>
              <w:spacing w:before="60" w:line="228" w:lineRule="auto"/>
              <w:ind w:left="416"/>
            </w:pPr>
            <w:r>
              <w:rPr>
                <w:spacing w:val="4"/>
              </w:rPr>
              <w:t>隆环评函</w:t>
            </w:r>
          </w:p>
          <w:p w14:paraId="6D802F6D">
            <w:pPr>
              <w:pStyle w:val="6"/>
              <w:spacing w:before="25" w:line="204" w:lineRule="auto"/>
              <w:ind w:left="316"/>
            </w:pPr>
            <w:r>
              <w:rPr>
                <w:rFonts w:ascii="Times New Roman" w:hAnsi="Times New Roman" w:eastAsia="Times New Roman" w:cs="Times New Roman"/>
                <w:spacing w:val="2"/>
              </w:rPr>
              <w:t>[2017]11</w:t>
            </w:r>
            <w:r>
              <w:rPr>
                <w:spacing w:val="2"/>
              </w:rPr>
              <w:t>号</w:t>
            </w:r>
          </w:p>
        </w:tc>
        <w:tc>
          <w:tcPr>
            <w:tcW w:w="1555" w:type="dxa"/>
            <w:vAlign w:val="top"/>
          </w:tcPr>
          <w:p w14:paraId="215B987D">
            <w:pPr>
              <w:spacing w:before="111" w:line="231" w:lineRule="auto"/>
              <w:ind w:left="217" w:right="13" w:hanging="18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91430524</w:t>
            </w:r>
            <w:r>
              <w:rPr>
                <w:rFonts w:ascii="Times New Roman" w:hAnsi="Times New Roman" w:eastAsia="Times New Roman" w:cs="Times New Roman"/>
                <w:sz w:val="20"/>
                <w:szCs w:val="20"/>
              </w:rPr>
              <w:t>MA</w:t>
            </w:r>
            <w:r>
              <w:rPr>
                <w:rFonts w:ascii="Times New Roman" w:hAnsi="Times New Roman" w:eastAsia="Times New Roman" w:cs="Times New Roman"/>
                <w:spacing w:val="5"/>
                <w:sz w:val="20"/>
                <w:szCs w:val="20"/>
              </w:rPr>
              <w:t>4L6</w:t>
            </w:r>
            <w:r>
              <w:rPr>
                <w:rFonts w:ascii="Times New Roman" w:hAnsi="Times New Roman" w:eastAsia="Times New Roman" w:cs="Times New Roman"/>
                <w:sz w:val="20"/>
                <w:szCs w:val="20"/>
              </w:rPr>
              <w:t>GHF</w:t>
            </w:r>
            <w:r>
              <w:rPr>
                <w:rFonts w:ascii="Times New Roman" w:hAnsi="Times New Roman" w:eastAsia="Times New Roman" w:cs="Times New Roman"/>
                <w:spacing w:val="7"/>
                <w:sz w:val="20"/>
                <w:szCs w:val="20"/>
              </w:rPr>
              <w:t>0Y001Y</w:t>
            </w:r>
          </w:p>
        </w:tc>
        <w:tc>
          <w:tcPr>
            <w:tcW w:w="732" w:type="dxa"/>
            <w:tcBorders>
              <w:right w:val="single" w:color="000000" w:sz="10" w:space="0"/>
            </w:tcBorders>
            <w:vAlign w:val="top"/>
          </w:tcPr>
          <w:p w14:paraId="3A0E98F5">
            <w:pPr>
              <w:pStyle w:val="6"/>
              <w:spacing w:before="196" w:line="228" w:lineRule="auto"/>
              <w:ind w:left="165"/>
            </w:pPr>
            <w:r>
              <w:rPr>
                <w:spacing w:val="4"/>
              </w:rPr>
              <w:t>运行</w:t>
            </w:r>
          </w:p>
        </w:tc>
      </w:tr>
      <w:tr w14:paraId="36F01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413" w:type="dxa"/>
            <w:tcBorders>
              <w:left w:val="single" w:color="000000" w:sz="10" w:space="0"/>
            </w:tcBorders>
            <w:vAlign w:val="top"/>
          </w:tcPr>
          <w:p w14:paraId="3D63B4C5">
            <w:pPr>
              <w:spacing w:before="233" w:line="195" w:lineRule="auto"/>
              <w:ind w:left="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1290" w:type="dxa"/>
            <w:vAlign w:val="top"/>
          </w:tcPr>
          <w:p w14:paraId="3E9289C4">
            <w:pPr>
              <w:pStyle w:val="6"/>
              <w:spacing w:before="63" w:line="226" w:lineRule="auto"/>
              <w:ind w:left="115" w:right="24" w:hanging="91"/>
            </w:pPr>
            <w:r>
              <w:rPr>
                <w:spacing w:val="6"/>
              </w:rPr>
              <w:t>隆回县肆成门</w:t>
            </w:r>
            <w:r>
              <w:rPr>
                <w:spacing w:val="8"/>
              </w:rPr>
              <w:t>业有限公司</w:t>
            </w:r>
          </w:p>
        </w:tc>
        <w:tc>
          <w:tcPr>
            <w:tcW w:w="2918" w:type="dxa"/>
            <w:vAlign w:val="top"/>
          </w:tcPr>
          <w:p w14:paraId="10D86630">
            <w:pPr>
              <w:pStyle w:val="6"/>
              <w:spacing w:before="197" w:line="228" w:lineRule="auto"/>
              <w:ind w:left="569"/>
            </w:pPr>
            <w:r>
              <w:rPr>
                <w:spacing w:val="5"/>
              </w:rPr>
              <w:t>年产</w:t>
            </w:r>
            <w:r>
              <w:rPr>
                <w:rFonts w:ascii="Times New Roman" w:hAnsi="Times New Roman" w:eastAsia="Times New Roman" w:cs="Times New Roman"/>
                <w:spacing w:val="5"/>
              </w:rPr>
              <w:t>3000</w:t>
            </w:r>
            <w:r>
              <w:rPr>
                <w:spacing w:val="5"/>
              </w:rPr>
              <w:t>套金属门</w:t>
            </w:r>
          </w:p>
        </w:tc>
        <w:tc>
          <w:tcPr>
            <w:tcW w:w="1630" w:type="dxa"/>
            <w:vAlign w:val="top"/>
          </w:tcPr>
          <w:p w14:paraId="4FF492FE">
            <w:pPr>
              <w:pStyle w:val="6"/>
              <w:spacing w:before="63" w:line="226" w:lineRule="auto"/>
              <w:ind w:left="573" w:hanging="538"/>
            </w:pPr>
            <w:r>
              <w:rPr>
                <w:spacing w:val="-2"/>
              </w:rPr>
              <w:t>隆环评函〔</w:t>
            </w:r>
            <w:r>
              <w:rPr>
                <w:rFonts w:ascii="Times New Roman" w:hAnsi="Times New Roman" w:eastAsia="Times New Roman" w:cs="Times New Roman"/>
                <w:spacing w:val="-2"/>
              </w:rPr>
              <w:t>2017</w:t>
            </w:r>
            <w:r>
              <w:rPr>
                <w:spacing w:val="-2"/>
              </w:rPr>
              <w:t>〕</w:t>
            </w:r>
            <w:r>
              <w:rPr>
                <w:rFonts w:ascii="Times New Roman" w:hAnsi="Times New Roman" w:eastAsia="Times New Roman" w:cs="Times New Roman"/>
                <w:spacing w:val="1"/>
              </w:rPr>
              <w:t>42</w:t>
            </w:r>
            <w:r>
              <w:rPr>
                <w:spacing w:val="1"/>
              </w:rPr>
              <w:t>号</w:t>
            </w:r>
          </w:p>
        </w:tc>
        <w:tc>
          <w:tcPr>
            <w:tcW w:w="1555" w:type="dxa"/>
            <w:vAlign w:val="top"/>
          </w:tcPr>
          <w:p w14:paraId="1072A2E4">
            <w:pPr>
              <w:spacing w:before="114" w:line="229" w:lineRule="auto"/>
              <w:ind w:left="120" w:right="62" w:hanging="3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91430524</w:t>
            </w:r>
            <w:r>
              <w:rPr>
                <w:rFonts w:ascii="Times New Roman" w:hAnsi="Times New Roman" w:eastAsia="Times New Roman" w:cs="Times New Roman"/>
                <w:sz w:val="20"/>
                <w:szCs w:val="20"/>
              </w:rPr>
              <w:t>MA</w:t>
            </w:r>
            <w:r>
              <w:rPr>
                <w:rFonts w:ascii="Times New Roman" w:hAnsi="Times New Roman" w:eastAsia="Times New Roman" w:cs="Times New Roman"/>
                <w:spacing w:val="5"/>
                <w:sz w:val="20"/>
                <w:szCs w:val="20"/>
              </w:rPr>
              <w:t>4L</w:t>
            </w:r>
            <w:r>
              <w:rPr>
                <w:rFonts w:ascii="Times New Roman" w:hAnsi="Times New Roman" w:eastAsia="Times New Roman" w:cs="Times New Roman"/>
                <w:sz w:val="20"/>
                <w:szCs w:val="20"/>
              </w:rPr>
              <w:t>APRU</w:t>
            </w:r>
            <w:r>
              <w:rPr>
                <w:rFonts w:ascii="Times New Roman" w:hAnsi="Times New Roman" w:eastAsia="Times New Roman" w:cs="Times New Roman"/>
                <w:spacing w:val="10"/>
                <w:sz w:val="20"/>
                <w:szCs w:val="20"/>
              </w:rPr>
              <w:t>3K002W</w:t>
            </w:r>
          </w:p>
        </w:tc>
        <w:tc>
          <w:tcPr>
            <w:tcW w:w="732" w:type="dxa"/>
            <w:tcBorders>
              <w:right w:val="single" w:color="000000" w:sz="10" w:space="0"/>
            </w:tcBorders>
            <w:vAlign w:val="top"/>
          </w:tcPr>
          <w:p w14:paraId="0D94D80E">
            <w:pPr>
              <w:pStyle w:val="6"/>
              <w:spacing w:before="198" w:line="228" w:lineRule="auto"/>
              <w:ind w:left="165"/>
            </w:pPr>
            <w:r>
              <w:rPr>
                <w:spacing w:val="4"/>
              </w:rPr>
              <w:t>运行</w:t>
            </w:r>
          </w:p>
        </w:tc>
      </w:tr>
      <w:tr w14:paraId="0F2E9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413" w:type="dxa"/>
            <w:tcBorders>
              <w:left w:val="single" w:color="000000" w:sz="10" w:space="0"/>
            </w:tcBorders>
            <w:vAlign w:val="top"/>
          </w:tcPr>
          <w:p w14:paraId="39442908">
            <w:pPr>
              <w:spacing w:line="311" w:lineRule="auto"/>
              <w:rPr>
                <w:rFonts w:ascii="Arial"/>
                <w:sz w:val="21"/>
              </w:rPr>
            </w:pPr>
          </w:p>
          <w:p w14:paraId="789ACA56">
            <w:pPr>
              <w:spacing w:before="58" w:line="195" w:lineRule="auto"/>
              <w:ind w:left="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1290" w:type="dxa"/>
            <w:vAlign w:val="top"/>
          </w:tcPr>
          <w:p w14:paraId="1C44DE97">
            <w:pPr>
              <w:pStyle w:val="6"/>
              <w:spacing w:before="200" w:line="228" w:lineRule="auto"/>
              <w:ind w:left="24"/>
            </w:pPr>
            <w:r>
              <w:rPr>
                <w:spacing w:val="6"/>
              </w:rPr>
              <w:t>隆回县响当当</w:t>
            </w:r>
          </w:p>
          <w:p w14:paraId="1A30471A">
            <w:pPr>
              <w:pStyle w:val="6"/>
              <w:spacing w:before="24" w:line="228" w:lineRule="auto"/>
              <w:ind w:left="34"/>
            </w:pPr>
            <w:r>
              <w:rPr>
                <w:spacing w:val="4"/>
              </w:rPr>
              <w:t>门窗有限公司</w:t>
            </w:r>
          </w:p>
        </w:tc>
        <w:tc>
          <w:tcPr>
            <w:tcW w:w="2918" w:type="dxa"/>
            <w:vAlign w:val="top"/>
          </w:tcPr>
          <w:p w14:paraId="22099829">
            <w:pPr>
              <w:pStyle w:val="6"/>
              <w:spacing w:before="63" w:line="228" w:lineRule="auto"/>
              <w:ind w:left="15"/>
            </w:pPr>
            <w:r>
              <w:rPr>
                <w:spacing w:val="6"/>
              </w:rPr>
              <w:t>年产十万平方米铝合金门窗、年</w:t>
            </w:r>
          </w:p>
          <w:p w14:paraId="22216BAC">
            <w:pPr>
              <w:pStyle w:val="6"/>
              <w:spacing w:before="24" w:line="228" w:lineRule="auto"/>
              <w:ind w:left="14"/>
            </w:pPr>
            <w:r>
              <w:rPr>
                <w:spacing w:val="6"/>
              </w:rPr>
              <w:t>产五万平方米不锈钢门（仅涉切</w:t>
            </w:r>
          </w:p>
          <w:p w14:paraId="021F4F85">
            <w:pPr>
              <w:pStyle w:val="6"/>
              <w:spacing w:before="27" w:line="199" w:lineRule="auto"/>
              <w:ind w:left="937"/>
            </w:pPr>
            <w:r>
              <w:rPr>
                <w:spacing w:val="5"/>
              </w:rPr>
              <w:t>割、组装）</w:t>
            </w:r>
          </w:p>
        </w:tc>
        <w:tc>
          <w:tcPr>
            <w:tcW w:w="1630" w:type="dxa"/>
            <w:vAlign w:val="top"/>
          </w:tcPr>
          <w:p w14:paraId="33B6F146">
            <w:pPr>
              <w:pStyle w:val="6"/>
              <w:spacing w:before="63" w:line="228" w:lineRule="auto"/>
              <w:jc w:val="right"/>
            </w:pPr>
            <w:r>
              <w:rPr>
                <w:spacing w:val="-2"/>
              </w:rPr>
              <w:t>隆环评函〔</w:t>
            </w:r>
            <w:r>
              <w:rPr>
                <w:rFonts w:ascii="Times New Roman" w:hAnsi="Times New Roman" w:eastAsia="Times New Roman" w:cs="Times New Roman"/>
                <w:spacing w:val="-2"/>
              </w:rPr>
              <w:t>2016</w:t>
            </w:r>
            <w:r>
              <w:rPr>
                <w:spacing w:val="-2"/>
              </w:rPr>
              <w:t>〕</w:t>
            </w:r>
          </w:p>
          <w:p w14:paraId="10A1A89F">
            <w:pPr>
              <w:pStyle w:val="6"/>
              <w:spacing w:before="24" w:line="226" w:lineRule="auto"/>
              <w:ind w:left="246" w:right="127" w:hanging="114"/>
            </w:pPr>
            <w:r>
              <w:rPr>
                <w:rFonts w:ascii="Times New Roman" w:hAnsi="Times New Roman" w:eastAsia="Times New Roman" w:cs="Times New Roman"/>
                <w:spacing w:val="5"/>
              </w:rPr>
              <w:t>43</w:t>
            </w:r>
            <w:r>
              <w:rPr>
                <w:spacing w:val="5"/>
              </w:rPr>
              <w:t>号</w:t>
            </w:r>
            <w:r>
              <w:rPr>
                <w:rFonts w:ascii="Times New Roman" w:hAnsi="Times New Roman" w:eastAsia="Times New Roman" w:cs="Times New Roman"/>
                <w:spacing w:val="5"/>
              </w:rPr>
              <w:t>/</w:t>
            </w:r>
            <w:r>
              <w:rPr>
                <w:spacing w:val="5"/>
              </w:rPr>
              <w:t>隆环审函</w:t>
            </w:r>
            <w:r>
              <w:rPr>
                <w:spacing w:val="1"/>
              </w:rPr>
              <w:t>〔</w:t>
            </w:r>
            <w:r>
              <w:rPr>
                <w:rFonts w:ascii="Times New Roman" w:hAnsi="Times New Roman" w:eastAsia="Times New Roman" w:cs="Times New Roman"/>
                <w:spacing w:val="1"/>
              </w:rPr>
              <w:t>2017</w:t>
            </w:r>
            <w:r>
              <w:rPr>
                <w:spacing w:val="1"/>
              </w:rPr>
              <w:t>〕</w:t>
            </w:r>
            <w:r>
              <w:rPr>
                <w:rFonts w:ascii="Times New Roman" w:hAnsi="Times New Roman" w:eastAsia="Times New Roman" w:cs="Times New Roman"/>
                <w:spacing w:val="1"/>
              </w:rPr>
              <w:t>1</w:t>
            </w:r>
            <w:r>
              <w:rPr>
                <w:spacing w:val="1"/>
              </w:rPr>
              <w:t>号</w:t>
            </w:r>
          </w:p>
        </w:tc>
        <w:tc>
          <w:tcPr>
            <w:tcW w:w="1555" w:type="dxa"/>
            <w:vAlign w:val="top"/>
          </w:tcPr>
          <w:p w14:paraId="0EDDFF48">
            <w:pPr>
              <w:spacing w:before="252" w:line="261" w:lineRule="auto"/>
              <w:ind w:left="221" w:right="35" w:hanging="16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91430524</w:t>
            </w:r>
            <w:r>
              <w:rPr>
                <w:rFonts w:ascii="Times New Roman" w:hAnsi="Times New Roman" w:eastAsia="Times New Roman" w:cs="Times New Roman"/>
                <w:sz w:val="20"/>
                <w:szCs w:val="20"/>
              </w:rPr>
              <w:t>MA</w:t>
            </w:r>
            <w:r>
              <w:rPr>
                <w:rFonts w:ascii="Times New Roman" w:hAnsi="Times New Roman" w:eastAsia="Times New Roman" w:cs="Times New Roman"/>
                <w:spacing w:val="5"/>
                <w:sz w:val="20"/>
                <w:szCs w:val="20"/>
              </w:rPr>
              <w:t>4M2L715P001Y</w:t>
            </w:r>
          </w:p>
        </w:tc>
        <w:tc>
          <w:tcPr>
            <w:tcW w:w="732" w:type="dxa"/>
            <w:tcBorders>
              <w:right w:val="single" w:color="000000" w:sz="10" w:space="0"/>
            </w:tcBorders>
            <w:vAlign w:val="top"/>
          </w:tcPr>
          <w:p w14:paraId="673014E6">
            <w:pPr>
              <w:spacing w:line="269" w:lineRule="auto"/>
              <w:rPr>
                <w:rFonts w:ascii="Arial"/>
                <w:sz w:val="21"/>
              </w:rPr>
            </w:pPr>
          </w:p>
          <w:p w14:paraId="687BCDE3">
            <w:pPr>
              <w:pStyle w:val="6"/>
              <w:spacing w:before="65" w:line="228" w:lineRule="auto"/>
              <w:ind w:left="165"/>
            </w:pPr>
            <w:r>
              <w:rPr>
                <w:spacing w:val="4"/>
              </w:rPr>
              <w:t>运行</w:t>
            </w:r>
          </w:p>
        </w:tc>
      </w:tr>
      <w:tr w14:paraId="50BB1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413" w:type="dxa"/>
            <w:tcBorders>
              <w:left w:val="single" w:color="000000" w:sz="10" w:space="0"/>
            </w:tcBorders>
            <w:vAlign w:val="top"/>
          </w:tcPr>
          <w:p w14:paraId="1E8EBE8F">
            <w:pPr>
              <w:spacing w:line="314" w:lineRule="auto"/>
              <w:rPr>
                <w:rFonts w:ascii="Arial"/>
                <w:sz w:val="21"/>
              </w:rPr>
            </w:pPr>
          </w:p>
          <w:p w14:paraId="2B2F64BE">
            <w:pPr>
              <w:spacing w:before="57" w:line="195" w:lineRule="auto"/>
              <w:ind w:left="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290" w:type="dxa"/>
            <w:vAlign w:val="top"/>
          </w:tcPr>
          <w:p w14:paraId="431A2EC8">
            <w:pPr>
              <w:pStyle w:val="6"/>
              <w:spacing w:before="66" w:line="228" w:lineRule="auto"/>
              <w:ind w:left="24"/>
            </w:pPr>
            <w:r>
              <w:rPr>
                <w:spacing w:val="6"/>
              </w:rPr>
              <w:t>隆回县凤德铝</w:t>
            </w:r>
          </w:p>
          <w:p w14:paraId="5430C53E">
            <w:pPr>
              <w:pStyle w:val="6"/>
              <w:spacing w:before="24" w:line="228" w:lineRule="auto"/>
              <w:ind w:left="10"/>
            </w:pPr>
            <w:r>
              <w:rPr>
                <w:spacing w:val="8"/>
              </w:rPr>
              <w:t>业有限责任公</w:t>
            </w:r>
          </w:p>
          <w:p w14:paraId="23E48503">
            <w:pPr>
              <w:pStyle w:val="6"/>
              <w:spacing w:before="27" w:line="198" w:lineRule="auto"/>
              <w:ind w:left="544"/>
            </w:pPr>
            <w:r>
              <w:t>司</w:t>
            </w:r>
          </w:p>
        </w:tc>
        <w:tc>
          <w:tcPr>
            <w:tcW w:w="2918" w:type="dxa"/>
            <w:vAlign w:val="top"/>
          </w:tcPr>
          <w:p w14:paraId="1D769758">
            <w:pPr>
              <w:spacing w:line="270" w:lineRule="auto"/>
              <w:rPr>
                <w:rFonts w:ascii="Arial"/>
                <w:sz w:val="21"/>
              </w:rPr>
            </w:pPr>
          </w:p>
          <w:p w14:paraId="56070883">
            <w:pPr>
              <w:pStyle w:val="6"/>
              <w:spacing w:before="65" w:line="228" w:lineRule="auto"/>
              <w:ind w:left="149"/>
            </w:pPr>
            <w:r>
              <w:rPr>
                <w:spacing w:val="5"/>
              </w:rPr>
              <w:t>年加工</w:t>
            </w:r>
            <w:r>
              <w:rPr>
                <w:rFonts w:ascii="Times New Roman" w:hAnsi="Times New Roman" w:eastAsia="Times New Roman" w:cs="Times New Roman"/>
                <w:spacing w:val="5"/>
              </w:rPr>
              <w:t>10</w:t>
            </w:r>
            <w:r>
              <w:rPr>
                <w:spacing w:val="5"/>
              </w:rPr>
              <w:t>万樘环保节能门窗</w:t>
            </w:r>
          </w:p>
        </w:tc>
        <w:tc>
          <w:tcPr>
            <w:tcW w:w="1630" w:type="dxa"/>
            <w:vAlign w:val="top"/>
          </w:tcPr>
          <w:p w14:paraId="1339BD80">
            <w:pPr>
              <w:pStyle w:val="6"/>
              <w:spacing w:before="204" w:line="252" w:lineRule="auto"/>
              <w:ind w:left="579" w:hanging="544"/>
            </w:pPr>
            <w:r>
              <w:rPr>
                <w:spacing w:val="-2"/>
              </w:rPr>
              <w:t>隆环评函〔</w:t>
            </w:r>
            <w:r>
              <w:rPr>
                <w:rFonts w:ascii="Times New Roman" w:hAnsi="Times New Roman" w:eastAsia="Times New Roman" w:cs="Times New Roman"/>
                <w:spacing w:val="-2"/>
              </w:rPr>
              <w:t>2017</w:t>
            </w:r>
            <w:r>
              <w:rPr>
                <w:spacing w:val="-2"/>
              </w:rPr>
              <w:t>〕</w:t>
            </w:r>
            <w:r>
              <w:rPr>
                <w:rFonts w:ascii="Times New Roman" w:hAnsi="Times New Roman" w:eastAsia="Times New Roman" w:cs="Times New Roman"/>
                <w:spacing w:val="-1"/>
              </w:rPr>
              <w:t>39</w:t>
            </w:r>
            <w:r>
              <w:rPr>
                <w:spacing w:val="-1"/>
              </w:rPr>
              <w:t>号</w:t>
            </w:r>
          </w:p>
        </w:tc>
        <w:tc>
          <w:tcPr>
            <w:tcW w:w="1555" w:type="dxa"/>
            <w:vAlign w:val="top"/>
          </w:tcPr>
          <w:p w14:paraId="47EFCEF4">
            <w:pPr>
              <w:spacing w:before="254" w:line="261" w:lineRule="auto"/>
              <w:ind w:left="196" w:right="13" w:hanging="16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91430524</w:t>
            </w:r>
            <w:r>
              <w:rPr>
                <w:rFonts w:ascii="Times New Roman" w:hAnsi="Times New Roman" w:eastAsia="Times New Roman" w:cs="Times New Roman"/>
                <w:sz w:val="20"/>
                <w:szCs w:val="20"/>
              </w:rPr>
              <w:t>MA</w:t>
            </w:r>
            <w:r>
              <w:rPr>
                <w:rFonts w:ascii="Times New Roman" w:hAnsi="Times New Roman" w:eastAsia="Times New Roman" w:cs="Times New Roman"/>
                <w:spacing w:val="5"/>
                <w:sz w:val="20"/>
                <w:szCs w:val="20"/>
              </w:rPr>
              <w:t>4L6</w:t>
            </w:r>
            <w:r>
              <w:rPr>
                <w:rFonts w:ascii="Times New Roman" w:hAnsi="Times New Roman" w:eastAsia="Times New Roman" w:cs="Times New Roman"/>
                <w:sz w:val="20"/>
                <w:szCs w:val="20"/>
              </w:rPr>
              <w:t>BLBXH</w:t>
            </w:r>
            <w:r>
              <w:rPr>
                <w:rFonts w:ascii="Times New Roman" w:hAnsi="Times New Roman" w:eastAsia="Times New Roman" w:cs="Times New Roman"/>
                <w:spacing w:val="13"/>
                <w:sz w:val="20"/>
                <w:szCs w:val="20"/>
              </w:rPr>
              <w:t>001X</w:t>
            </w:r>
          </w:p>
        </w:tc>
        <w:tc>
          <w:tcPr>
            <w:tcW w:w="732" w:type="dxa"/>
            <w:tcBorders>
              <w:right w:val="single" w:color="000000" w:sz="10" w:space="0"/>
            </w:tcBorders>
            <w:vAlign w:val="top"/>
          </w:tcPr>
          <w:p w14:paraId="67FCA928">
            <w:pPr>
              <w:spacing w:line="271" w:lineRule="auto"/>
              <w:rPr>
                <w:rFonts w:ascii="Arial"/>
                <w:sz w:val="21"/>
              </w:rPr>
            </w:pPr>
          </w:p>
          <w:p w14:paraId="1836A101">
            <w:pPr>
              <w:pStyle w:val="6"/>
              <w:spacing w:before="65" w:line="228" w:lineRule="auto"/>
              <w:ind w:left="165"/>
            </w:pPr>
            <w:r>
              <w:rPr>
                <w:spacing w:val="4"/>
              </w:rPr>
              <w:t>运行</w:t>
            </w:r>
          </w:p>
        </w:tc>
      </w:tr>
      <w:tr w14:paraId="7943E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13" w:type="dxa"/>
            <w:tcBorders>
              <w:left w:val="single" w:color="000000" w:sz="10" w:space="0"/>
            </w:tcBorders>
            <w:vAlign w:val="top"/>
          </w:tcPr>
          <w:p w14:paraId="3DC3B6A1">
            <w:pPr>
              <w:spacing w:before="238" w:line="195" w:lineRule="auto"/>
              <w:ind w:left="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1290" w:type="dxa"/>
            <w:vAlign w:val="top"/>
          </w:tcPr>
          <w:p w14:paraId="72F8EF54">
            <w:pPr>
              <w:pStyle w:val="6"/>
              <w:spacing w:before="67" w:line="227" w:lineRule="auto"/>
              <w:ind w:left="24"/>
            </w:pPr>
            <w:r>
              <w:rPr>
                <w:spacing w:val="6"/>
              </w:rPr>
              <w:t>隆回三鼎金属</w:t>
            </w:r>
          </w:p>
          <w:p w14:paraId="6F975751">
            <w:pPr>
              <w:pStyle w:val="6"/>
              <w:spacing w:before="25" w:line="198" w:lineRule="auto"/>
              <w:ind w:left="11"/>
            </w:pPr>
            <w:r>
              <w:rPr>
                <w:spacing w:val="8"/>
              </w:rPr>
              <w:t>制品有限公司</w:t>
            </w:r>
          </w:p>
        </w:tc>
        <w:tc>
          <w:tcPr>
            <w:tcW w:w="2918" w:type="dxa"/>
            <w:vAlign w:val="top"/>
          </w:tcPr>
          <w:p w14:paraId="62AFA189">
            <w:pPr>
              <w:pStyle w:val="6"/>
              <w:spacing w:before="67" w:line="228" w:lineRule="auto"/>
              <w:ind w:left="17"/>
            </w:pPr>
            <w:r>
              <w:rPr>
                <w:spacing w:val="6"/>
              </w:rPr>
              <w:t>年产</w:t>
            </w:r>
            <w:r>
              <w:rPr>
                <w:rFonts w:ascii="Times New Roman" w:hAnsi="Times New Roman" w:eastAsia="Times New Roman" w:cs="Times New Roman"/>
                <w:spacing w:val="6"/>
              </w:rPr>
              <w:t>6000</w:t>
            </w:r>
            <w:r>
              <w:rPr>
                <w:spacing w:val="6"/>
              </w:rPr>
              <w:t>套不锈钢门、</w:t>
            </w:r>
            <w:r>
              <w:rPr>
                <w:rFonts w:ascii="Times New Roman" w:hAnsi="Times New Roman" w:eastAsia="Times New Roman" w:cs="Times New Roman"/>
                <w:spacing w:val="6"/>
              </w:rPr>
              <w:t>2000</w:t>
            </w:r>
            <w:r>
              <w:rPr>
                <w:spacing w:val="6"/>
              </w:rPr>
              <w:t>套</w:t>
            </w:r>
          </w:p>
          <w:p w14:paraId="1F569801">
            <w:pPr>
              <w:pStyle w:val="6"/>
              <w:spacing w:before="24" w:line="198" w:lineRule="auto"/>
              <w:ind w:left="1149"/>
            </w:pPr>
            <w:r>
              <w:rPr>
                <w:spacing w:val="6"/>
              </w:rPr>
              <w:t>仿铜门</w:t>
            </w:r>
          </w:p>
        </w:tc>
        <w:tc>
          <w:tcPr>
            <w:tcW w:w="1630" w:type="dxa"/>
            <w:vAlign w:val="top"/>
          </w:tcPr>
          <w:p w14:paraId="46324DFA">
            <w:pPr>
              <w:pStyle w:val="6"/>
              <w:spacing w:before="67" w:line="228" w:lineRule="auto"/>
              <w:ind w:left="142"/>
            </w:pPr>
            <w:r>
              <w:rPr>
                <w:spacing w:val="6"/>
              </w:rPr>
              <w:t>邵市环评（</w:t>
            </w:r>
            <w:r>
              <w:rPr>
                <w:rFonts w:ascii="Times New Roman" w:hAnsi="Times New Roman" w:eastAsia="Times New Roman" w:cs="Times New Roman"/>
                <w:spacing w:val="6"/>
              </w:rPr>
              <w:t>4</w:t>
            </w:r>
            <w:r>
              <w:rPr>
                <w:spacing w:val="6"/>
              </w:rPr>
              <w:t>）</w:t>
            </w:r>
          </w:p>
          <w:p w14:paraId="1AB9020A">
            <w:pPr>
              <w:pStyle w:val="6"/>
              <w:spacing w:before="24" w:line="198" w:lineRule="auto"/>
              <w:ind w:left="196"/>
            </w:pPr>
            <w:r>
              <w:rPr>
                <w:spacing w:val="1"/>
              </w:rPr>
              <w:t>〔</w:t>
            </w:r>
            <w:r>
              <w:rPr>
                <w:rFonts w:ascii="Times New Roman" w:hAnsi="Times New Roman" w:eastAsia="Times New Roman" w:cs="Times New Roman"/>
                <w:spacing w:val="1"/>
              </w:rPr>
              <w:t>2021</w:t>
            </w:r>
            <w:r>
              <w:rPr>
                <w:spacing w:val="1"/>
              </w:rPr>
              <w:t>〕</w:t>
            </w:r>
            <w:r>
              <w:rPr>
                <w:rFonts w:ascii="Times New Roman" w:hAnsi="Times New Roman" w:eastAsia="Times New Roman" w:cs="Times New Roman"/>
                <w:spacing w:val="1"/>
              </w:rPr>
              <w:t>29</w:t>
            </w:r>
            <w:r>
              <w:rPr>
                <w:spacing w:val="1"/>
              </w:rPr>
              <w:t>号</w:t>
            </w:r>
          </w:p>
        </w:tc>
        <w:tc>
          <w:tcPr>
            <w:tcW w:w="1555" w:type="dxa"/>
            <w:vAlign w:val="top"/>
          </w:tcPr>
          <w:p w14:paraId="67AC7CB1">
            <w:pPr>
              <w:spacing w:before="118" w:line="227" w:lineRule="auto"/>
              <w:ind w:left="196" w:right="55" w:hanging="11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91430524</w:t>
            </w:r>
            <w:r>
              <w:rPr>
                <w:rFonts w:ascii="Times New Roman" w:hAnsi="Times New Roman" w:eastAsia="Times New Roman" w:cs="Times New Roman"/>
                <w:sz w:val="20"/>
                <w:szCs w:val="20"/>
              </w:rPr>
              <w:t>MA</w:t>
            </w:r>
            <w:r>
              <w:rPr>
                <w:rFonts w:ascii="Times New Roman" w:hAnsi="Times New Roman" w:eastAsia="Times New Roman" w:cs="Times New Roman"/>
                <w:spacing w:val="5"/>
                <w:sz w:val="20"/>
                <w:szCs w:val="20"/>
              </w:rPr>
              <w:t>4R</w:t>
            </w:r>
            <w:r>
              <w:rPr>
                <w:rFonts w:ascii="Times New Roman" w:hAnsi="Times New Roman" w:eastAsia="Times New Roman" w:cs="Times New Roman"/>
                <w:sz w:val="20"/>
                <w:szCs w:val="20"/>
              </w:rPr>
              <w:t>BE</w:t>
            </w:r>
            <w:r>
              <w:rPr>
                <w:rFonts w:ascii="Times New Roman" w:hAnsi="Times New Roman" w:eastAsia="Times New Roman" w:cs="Times New Roman"/>
                <w:spacing w:val="6"/>
                <w:sz w:val="20"/>
                <w:szCs w:val="20"/>
              </w:rPr>
              <w:t>6U02001Z</w:t>
            </w:r>
          </w:p>
        </w:tc>
        <w:tc>
          <w:tcPr>
            <w:tcW w:w="732" w:type="dxa"/>
            <w:tcBorders>
              <w:right w:val="single" w:color="000000" w:sz="10" w:space="0"/>
            </w:tcBorders>
            <w:vAlign w:val="top"/>
          </w:tcPr>
          <w:p w14:paraId="2B34121F">
            <w:pPr>
              <w:pStyle w:val="6"/>
              <w:spacing w:before="202" w:line="228" w:lineRule="auto"/>
              <w:ind w:left="165"/>
            </w:pPr>
            <w:r>
              <w:rPr>
                <w:spacing w:val="4"/>
              </w:rPr>
              <w:t>运行</w:t>
            </w:r>
          </w:p>
        </w:tc>
      </w:tr>
      <w:tr w14:paraId="46C3E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413" w:type="dxa"/>
            <w:tcBorders>
              <w:left w:val="single" w:color="000000" w:sz="10" w:space="0"/>
            </w:tcBorders>
            <w:vAlign w:val="top"/>
          </w:tcPr>
          <w:p w14:paraId="0330B4DB">
            <w:pPr>
              <w:spacing w:line="317" w:lineRule="auto"/>
              <w:rPr>
                <w:rFonts w:ascii="Arial"/>
                <w:sz w:val="21"/>
              </w:rPr>
            </w:pPr>
          </w:p>
          <w:p w14:paraId="3825FA5B">
            <w:pPr>
              <w:spacing w:before="58" w:line="195" w:lineRule="auto"/>
              <w:ind w:left="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1290" w:type="dxa"/>
            <w:vAlign w:val="top"/>
          </w:tcPr>
          <w:p w14:paraId="6BED505F">
            <w:pPr>
              <w:pStyle w:val="6"/>
              <w:spacing w:before="67" w:line="228" w:lineRule="auto"/>
              <w:ind w:left="24"/>
            </w:pPr>
            <w:r>
              <w:rPr>
                <w:spacing w:val="6"/>
              </w:rPr>
              <w:t>隆回县泽辉不</w:t>
            </w:r>
          </w:p>
          <w:p w14:paraId="7D05CA55">
            <w:pPr>
              <w:pStyle w:val="6"/>
              <w:spacing w:before="27" w:line="228" w:lineRule="auto"/>
              <w:ind w:left="10"/>
            </w:pPr>
            <w:r>
              <w:rPr>
                <w:spacing w:val="8"/>
              </w:rPr>
              <w:t>锈钢制品有限</w:t>
            </w:r>
          </w:p>
          <w:p w14:paraId="054B201F">
            <w:pPr>
              <w:pStyle w:val="6"/>
              <w:spacing w:before="23" w:line="196" w:lineRule="auto"/>
              <w:ind w:left="437"/>
            </w:pPr>
            <w:r>
              <w:rPr>
                <w:spacing w:val="1"/>
              </w:rPr>
              <w:t>公司</w:t>
            </w:r>
          </w:p>
        </w:tc>
        <w:tc>
          <w:tcPr>
            <w:tcW w:w="2918" w:type="dxa"/>
            <w:vAlign w:val="top"/>
          </w:tcPr>
          <w:p w14:paraId="2E16D0EB">
            <w:pPr>
              <w:pStyle w:val="6"/>
              <w:spacing w:before="67" w:line="228" w:lineRule="auto"/>
              <w:ind w:left="15"/>
            </w:pPr>
            <w:r>
              <w:rPr>
                <w:spacing w:val="6"/>
              </w:rPr>
              <w:t>年产</w:t>
            </w:r>
            <w:r>
              <w:rPr>
                <w:rFonts w:ascii="Times New Roman" w:hAnsi="Times New Roman" w:eastAsia="Times New Roman" w:cs="Times New Roman"/>
                <w:spacing w:val="6"/>
              </w:rPr>
              <w:t>5</w:t>
            </w:r>
            <w:r>
              <w:rPr>
                <w:spacing w:val="6"/>
              </w:rPr>
              <w:t>万平方米铝合金门窗系列</w:t>
            </w:r>
          </w:p>
          <w:p w14:paraId="428AD881">
            <w:pPr>
              <w:pStyle w:val="6"/>
              <w:spacing w:before="26" w:line="228" w:lineRule="auto"/>
              <w:ind w:left="13"/>
            </w:pPr>
            <w:r>
              <w:rPr>
                <w:spacing w:val="6"/>
              </w:rPr>
              <w:t>及不锈钢制品生产加工项目（仅</w:t>
            </w:r>
          </w:p>
          <w:p w14:paraId="5367CDE4">
            <w:pPr>
              <w:pStyle w:val="6"/>
              <w:spacing w:before="24" w:line="196" w:lineRule="auto"/>
              <w:ind w:left="729"/>
            </w:pPr>
            <w:r>
              <w:rPr>
                <w:spacing w:val="6"/>
              </w:rPr>
              <w:t>涉切割、组装）</w:t>
            </w:r>
          </w:p>
        </w:tc>
        <w:tc>
          <w:tcPr>
            <w:tcW w:w="1630" w:type="dxa"/>
            <w:vAlign w:val="top"/>
          </w:tcPr>
          <w:p w14:paraId="1FEA50F1">
            <w:pPr>
              <w:pStyle w:val="6"/>
              <w:spacing w:before="204" w:line="228" w:lineRule="auto"/>
              <w:ind w:left="416"/>
            </w:pPr>
            <w:r>
              <w:rPr>
                <w:spacing w:val="4"/>
              </w:rPr>
              <w:t>隆环评函</w:t>
            </w:r>
          </w:p>
          <w:p w14:paraId="55ECEE82">
            <w:pPr>
              <w:pStyle w:val="6"/>
              <w:spacing w:before="24" w:line="223" w:lineRule="auto"/>
              <w:ind w:left="263"/>
            </w:pPr>
            <w:r>
              <w:rPr>
                <w:rFonts w:ascii="Times New Roman" w:hAnsi="Times New Roman" w:eastAsia="Times New Roman" w:cs="Times New Roman"/>
                <w:spacing w:val="2"/>
              </w:rPr>
              <w:t>[2013]106</w:t>
            </w:r>
            <w:r>
              <w:rPr>
                <w:spacing w:val="2"/>
              </w:rPr>
              <w:t>号</w:t>
            </w:r>
          </w:p>
        </w:tc>
        <w:tc>
          <w:tcPr>
            <w:tcW w:w="1555" w:type="dxa"/>
            <w:vAlign w:val="top"/>
          </w:tcPr>
          <w:p w14:paraId="14B79128">
            <w:pPr>
              <w:spacing w:before="256" w:line="262" w:lineRule="auto"/>
              <w:ind w:left="301" w:right="32" w:hanging="24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91430524060125</w:t>
            </w:r>
            <w:r>
              <w:rPr>
                <w:rFonts w:ascii="Times New Roman" w:hAnsi="Times New Roman" w:eastAsia="Times New Roman" w:cs="Times New Roman"/>
                <w:spacing w:val="6"/>
                <w:sz w:val="20"/>
                <w:szCs w:val="20"/>
              </w:rPr>
              <w:t>77</w:t>
            </w:r>
            <w:r>
              <w:rPr>
                <w:rFonts w:ascii="Times New Roman" w:hAnsi="Times New Roman" w:eastAsia="Times New Roman" w:cs="Times New Roman"/>
                <w:sz w:val="20"/>
                <w:szCs w:val="20"/>
              </w:rPr>
              <w:t>XQ</w:t>
            </w:r>
            <w:r>
              <w:rPr>
                <w:rFonts w:ascii="Times New Roman" w:hAnsi="Times New Roman" w:eastAsia="Times New Roman" w:cs="Times New Roman"/>
                <w:spacing w:val="6"/>
                <w:sz w:val="20"/>
                <w:szCs w:val="20"/>
              </w:rPr>
              <w:t>001X</w:t>
            </w:r>
          </w:p>
        </w:tc>
        <w:tc>
          <w:tcPr>
            <w:tcW w:w="732" w:type="dxa"/>
            <w:tcBorders>
              <w:right w:val="single" w:color="000000" w:sz="10" w:space="0"/>
            </w:tcBorders>
            <w:vAlign w:val="top"/>
          </w:tcPr>
          <w:p w14:paraId="524AD77C">
            <w:pPr>
              <w:spacing w:line="275" w:lineRule="auto"/>
              <w:rPr>
                <w:rFonts w:ascii="Arial"/>
                <w:sz w:val="21"/>
              </w:rPr>
            </w:pPr>
          </w:p>
          <w:p w14:paraId="64EFCB54">
            <w:pPr>
              <w:pStyle w:val="6"/>
              <w:spacing w:before="65" w:line="228" w:lineRule="auto"/>
              <w:ind w:left="165"/>
            </w:pPr>
            <w:r>
              <w:rPr>
                <w:spacing w:val="4"/>
              </w:rPr>
              <w:t>运行</w:t>
            </w:r>
          </w:p>
        </w:tc>
      </w:tr>
      <w:tr w14:paraId="4F4A98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7" w:hRule="atLeast"/>
        </w:trPr>
        <w:tc>
          <w:tcPr>
            <w:tcW w:w="413" w:type="dxa"/>
            <w:tcBorders>
              <w:left w:val="single" w:color="000000" w:sz="10" w:space="0"/>
              <w:bottom w:val="single" w:color="000000" w:sz="10" w:space="0"/>
            </w:tcBorders>
            <w:vAlign w:val="top"/>
          </w:tcPr>
          <w:p w14:paraId="10E814C5">
            <w:pPr>
              <w:spacing w:line="317" w:lineRule="auto"/>
              <w:rPr>
                <w:rFonts w:ascii="Arial"/>
                <w:sz w:val="21"/>
              </w:rPr>
            </w:pPr>
          </w:p>
          <w:p w14:paraId="1DD55CB9">
            <w:pPr>
              <w:spacing w:before="58" w:line="195" w:lineRule="auto"/>
              <w:ind w:left="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1290" w:type="dxa"/>
            <w:tcBorders>
              <w:bottom w:val="single" w:color="000000" w:sz="10" w:space="0"/>
            </w:tcBorders>
            <w:vAlign w:val="top"/>
          </w:tcPr>
          <w:p w14:paraId="1653A898">
            <w:pPr>
              <w:pStyle w:val="6"/>
              <w:spacing w:before="69" w:line="228" w:lineRule="auto"/>
              <w:ind w:left="10"/>
            </w:pPr>
            <w:r>
              <w:rPr>
                <w:spacing w:val="8"/>
              </w:rPr>
              <w:t>邵阳市深砂磨</w:t>
            </w:r>
          </w:p>
          <w:p w14:paraId="211EFE23">
            <w:pPr>
              <w:pStyle w:val="6"/>
              <w:spacing w:before="24" w:line="228" w:lineRule="auto"/>
              <w:ind w:left="10"/>
            </w:pPr>
            <w:r>
              <w:rPr>
                <w:spacing w:val="8"/>
              </w:rPr>
              <w:t>料磨具有限公</w:t>
            </w:r>
          </w:p>
          <w:p w14:paraId="3428DFFD">
            <w:pPr>
              <w:pStyle w:val="6"/>
              <w:spacing w:before="26" w:line="214" w:lineRule="auto"/>
              <w:ind w:left="544"/>
            </w:pPr>
            <w:r>
              <w:t>司</w:t>
            </w:r>
          </w:p>
        </w:tc>
        <w:tc>
          <w:tcPr>
            <w:tcW w:w="2918" w:type="dxa"/>
            <w:tcBorders>
              <w:bottom w:val="single" w:color="000000" w:sz="10" w:space="0"/>
            </w:tcBorders>
            <w:vAlign w:val="top"/>
          </w:tcPr>
          <w:p w14:paraId="7B3C82D4">
            <w:pPr>
              <w:pStyle w:val="6"/>
              <w:spacing w:before="206" w:line="228" w:lineRule="auto"/>
              <w:ind w:left="15"/>
            </w:pPr>
            <w:r>
              <w:rPr>
                <w:spacing w:val="9"/>
              </w:rPr>
              <w:t>年产</w:t>
            </w:r>
            <w:r>
              <w:rPr>
                <w:rFonts w:ascii="Times New Roman" w:hAnsi="Times New Roman" w:eastAsia="Times New Roman" w:cs="Times New Roman"/>
                <w:spacing w:val="9"/>
              </w:rPr>
              <w:t>30</w:t>
            </w:r>
            <w:r>
              <w:rPr>
                <w:spacing w:val="9"/>
              </w:rPr>
              <w:t>万片直径</w:t>
            </w:r>
            <w:r>
              <w:rPr>
                <w:rFonts w:ascii="Times New Roman" w:hAnsi="Times New Roman" w:eastAsia="Times New Roman" w:cs="Times New Roman"/>
                <w:spacing w:val="9"/>
              </w:rPr>
              <w:t>400</w:t>
            </w:r>
            <w:r>
              <w:rPr>
                <w:rFonts w:ascii="Times New Roman" w:hAnsi="Times New Roman" w:eastAsia="Times New Roman" w:cs="Times New Roman"/>
              </w:rPr>
              <w:t>mm</w:t>
            </w:r>
            <w:r>
              <w:rPr>
                <w:spacing w:val="9"/>
              </w:rPr>
              <w:t>及以下</w:t>
            </w:r>
          </w:p>
          <w:p w14:paraId="17217D63">
            <w:pPr>
              <w:pStyle w:val="6"/>
              <w:spacing w:before="24" w:line="227" w:lineRule="auto"/>
              <w:ind w:left="936"/>
            </w:pPr>
            <w:r>
              <w:rPr>
                <w:spacing w:val="8"/>
              </w:rPr>
              <w:t>树脂结合剂</w:t>
            </w:r>
          </w:p>
        </w:tc>
        <w:tc>
          <w:tcPr>
            <w:tcW w:w="1630" w:type="dxa"/>
            <w:tcBorders>
              <w:bottom w:val="single" w:color="000000" w:sz="10" w:space="0"/>
            </w:tcBorders>
            <w:vAlign w:val="top"/>
          </w:tcPr>
          <w:p w14:paraId="66A74489">
            <w:pPr>
              <w:pStyle w:val="6"/>
              <w:spacing w:before="206" w:line="228" w:lineRule="auto"/>
              <w:ind w:left="416"/>
            </w:pPr>
            <w:r>
              <w:rPr>
                <w:spacing w:val="4"/>
              </w:rPr>
              <w:t>隆环评函</w:t>
            </w:r>
          </w:p>
          <w:p w14:paraId="56C2A9EA">
            <w:pPr>
              <w:pStyle w:val="6"/>
              <w:spacing w:before="24" w:line="221" w:lineRule="auto"/>
              <w:ind w:left="316"/>
            </w:pPr>
            <w:r>
              <w:rPr>
                <w:rFonts w:ascii="Times New Roman" w:hAnsi="Times New Roman" w:eastAsia="Times New Roman" w:cs="Times New Roman"/>
                <w:spacing w:val="2"/>
              </w:rPr>
              <w:t>[2011]82</w:t>
            </w:r>
            <w:r>
              <w:rPr>
                <w:spacing w:val="2"/>
              </w:rPr>
              <w:t>号</w:t>
            </w:r>
          </w:p>
        </w:tc>
        <w:tc>
          <w:tcPr>
            <w:tcW w:w="1555" w:type="dxa"/>
            <w:tcBorders>
              <w:bottom w:val="single" w:color="000000" w:sz="10" w:space="0"/>
            </w:tcBorders>
            <w:vAlign w:val="top"/>
          </w:tcPr>
          <w:p w14:paraId="44369919">
            <w:pPr>
              <w:spacing w:before="258" w:line="261" w:lineRule="auto"/>
              <w:ind w:left="342" w:right="32" w:hanging="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91430524572213749B001Z</w:t>
            </w:r>
          </w:p>
        </w:tc>
        <w:tc>
          <w:tcPr>
            <w:tcW w:w="732" w:type="dxa"/>
            <w:tcBorders>
              <w:bottom w:val="single" w:color="000000" w:sz="10" w:space="0"/>
              <w:right w:val="single" w:color="000000" w:sz="10" w:space="0"/>
            </w:tcBorders>
            <w:vAlign w:val="top"/>
          </w:tcPr>
          <w:p w14:paraId="6AB8F435">
            <w:pPr>
              <w:spacing w:line="275" w:lineRule="auto"/>
              <w:rPr>
                <w:rFonts w:ascii="Arial"/>
                <w:sz w:val="21"/>
              </w:rPr>
            </w:pPr>
          </w:p>
          <w:p w14:paraId="762B3452">
            <w:pPr>
              <w:pStyle w:val="6"/>
              <w:spacing w:before="65" w:line="228" w:lineRule="auto"/>
              <w:ind w:left="165"/>
            </w:pPr>
            <w:r>
              <w:rPr>
                <w:spacing w:val="4"/>
              </w:rPr>
              <w:t>运行</w:t>
            </w:r>
          </w:p>
        </w:tc>
      </w:tr>
    </w:tbl>
    <w:p w14:paraId="678B2F5A">
      <w:pPr>
        <w:pStyle w:val="2"/>
      </w:pPr>
    </w:p>
    <w:p w14:paraId="0E1CE6F4">
      <w:pPr>
        <w:sectPr>
          <w:footerReference r:id="rId53" w:type="default"/>
          <w:pgSz w:w="11907" w:h="16840"/>
          <w:pgMar w:top="1132" w:right="1671" w:bottom="1259" w:left="1671" w:header="829" w:footer="1097" w:gutter="0"/>
          <w:cols w:space="720" w:num="1"/>
        </w:sectPr>
      </w:pPr>
    </w:p>
    <w:p w14:paraId="6A24F58D">
      <w:pPr>
        <w:spacing w:before="42"/>
      </w:pPr>
    </w:p>
    <w:tbl>
      <w:tblPr>
        <w:tblStyle w:val="5"/>
        <w:tblW w:w="8538"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3"/>
        <w:gridCol w:w="1290"/>
        <w:gridCol w:w="2918"/>
        <w:gridCol w:w="1630"/>
        <w:gridCol w:w="1555"/>
        <w:gridCol w:w="732"/>
      </w:tblGrid>
      <w:tr w14:paraId="3960D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413" w:type="dxa"/>
            <w:tcBorders>
              <w:top w:val="single" w:color="000000" w:sz="10" w:space="0"/>
              <w:left w:val="single" w:color="000000" w:sz="10" w:space="0"/>
            </w:tcBorders>
            <w:textDirection w:val="tbRlV"/>
            <w:vAlign w:val="top"/>
          </w:tcPr>
          <w:p w14:paraId="05B03138">
            <w:pPr>
              <w:pStyle w:val="6"/>
              <w:spacing w:before="104" w:line="218" w:lineRule="auto"/>
              <w:ind w:left="52"/>
            </w:pPr>
            <w:r>
              <w:rPr>
                <w:b/>
                <w:bCs/>
                <w:spacing w:val="6"/>
              </w:rPr>
              <w:t>序号</w:t>
            </w:r>
          </w:p>
        </w:tc>
        <w:tc>
          <w:tcPr>
            <w:tcW w:w="1290" w:type="dxa"/>
            <w:tcBorders>
              <w:top w:val="single" w:color="000000" w:sz="10" w:space="0"/>
            </w:tcBorders>
            <w:vAlign w:val="top"/>
          </w:tcPr>
          <w:p w14:paraId="03CE2C33">
            <w:pPr>
              <w:pStyle w:val="6"/>
              <w:spacing w:before="186" w:line="230" w:lineRule="auto"/>
              <w:ind w:left="223"/>
            </w:pPr>
            <w:r>
              <w:rPr>
                <w:b/>
                <w:bCs/>
                <w:spacing w:val="5"/>
              </w:rPr>
              <w:t>企业名称</w:t>
            </w:r>
          </w:p>
        </w:tc>
        <w:tc>
          <w:tcPr>
            <w:tcW w:w="2918" w:type="dxa"/>
            <w:tcBorders>
              <w:top w:val="single" w:color="000000" w:sz="10" w:space="0"/>
            </w:tcBorders>
            <w:vAlign w:val="top"/>
          </w:tcPr>
          <w:p w14:paraId="1DFA5A89">
            <w:pPr>
              <w:pStyle w:val="6"/>
              <w:spacing w:before="186" w:line="228" w:lineRule="auto"/>
              <w:ind w:left="725"/>
            </w:pPr>
            <w:r>
              <w:rPr>
                <w:b/>
                <w:bCs/>
                <w:spacing w:val="6"/>
              </w:rPr>
              <w:t>建设内容及规模</w:t>
            </w:r>
          </w:p>
        </w:tc>
        <w:tc>
          <w:tcPr>
            <w:tcW w:w="1630" w:type="dxa"/>
            <w:tcBorders>
              <w:top w:val="single" w:color="000000" w:sz="10" w:space="0"/>
            </w:tcBorders>
            <w:vAlign w:val="top"/>
          </w:tcPr>
          <w:p w14:paraId="78E2A7AB">
            <w:pPr>
              <w:pStyle w:val="6"/>
              <w:spacing w:before="187" w:line="228" w:lineRule="auto"/>
              <w:ind w:left="401"/>
            </w:pPr>
            <w:r>
              <w:rPr>
                <w:b/>
                <w:bCs/>
                <w:spacing w:val="6"/>
              </w:rPr>
              <w:t>环评批复</w:t>
            </w:r>
          </w:p>
        </w:tc>
        <w:tc>
          <w:tcPr>
            <w:tcW w:w="1555" w:type="dxa"/>
            <w:tcBorders>
              <w:top w:val="single" w:color="000000" w:sz="10" w:space="0"/>
            </w:tcBorders>
            <w:vAlign w:val="top"/>
          </w:tcPr>
          <w:p w14:paraId="4F6F4BDE">
            <w:pPr>
              <w:pStyle w:val="6"/>
              <w:spacing w:before="187" w:line="228" w:lineRule="auto"/>
              <w:ind w:left="369"/>
            </w:pPr>
            <w:r>
              <w:rPr>
                <w:b/>
                <w:bCs/>
                <w:spacing w:val="6"/>
              </w:rPr>
              <w:t>排污许可</w:t>
            </w:r>
          </w:p>
        </w:tc>
        <w:tc>
          <w:tcPr>
            <w:tcW w:w="732" w:type="dxa"/>
            <w:tcBorders>
              <w:top w:val="single" w:color="000000" w:sz="10" w:space="0"/>
              <w:right w:val="single" w:color="000000" w:sz="10" w:space="0"/>
            </w:tcBorders>
            <w:vAlign w:val="top"/>
          </w:tcPr>
          <w:p w14:paraId="19BEF9C6">
            <w:pPr>
              <w:pStyle w:val="6"/>
              <w:spacing w:before="52" w:line="228" w:lineRule="auto"/>
              <w:ind w:left="60"/>
            </w:pPr>
            <w:r>
              <w:rPr>
                <w:b/>
                <w:bCs/>
                <w:spacing w:val="5"/>
              </w:rPr>
              <w:t>运行情</w:t>
            </w:r>
          </w:p>
          <w:p w14:paraId="5BCEE91C">
            <w:pPr>
              <w:pStyle w:val="6"/>
              <w:spacing w:before="24" w:line="217" w:lineRule="auto"/>
              <w:ind w:left="273"/>
            </w:pPr>
            <w:r>
              <w:rPr>
                <w:b/>
                <w:bCs/>
                <w:spacing w:val="-3"/>
              </w:rPr>
              <w:t>况</w:t>
            </w:r>
          </w:p>
        </w:tc>
      </w:tr>
      <w:tr w14:paraId="1BFC0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9" w:hRule="atLeast"/>
        </w:trPr>
        <w:tc>
          <w:tcPr>
            <w:tcW w:w="413" w:type="dxa"/>
            <w:tcBorders>
              <w:left w:val="single" w:color="000000" w:sz="10" w:space="0"/>
            </w:tcBorders>
            <w:vAlign w:val="top"/>
          </w:tcPr>
          <w:p w14:paraId="166D28A8">
            <w:pPr>
              <w:spacing w:line="282" w:lineRule="auto"/>
              <w:rPr>
                <w:rFonts w:ascii="Arial"/>
                <w:sz w:val="21"/>
              </w:rPr>
            </w:pPr>
          </w:p>
          <w:p w14:paraId="0C3D3D30">
            <w:pPr>
              <w:spacing w:line="282" w:lineRule="auto"/>
              <w:rPr>
                <w:rFonts w:ascii="Arial"/>
                <w:sz w:val="21"/>
              </w:rPr>
            </w:pPr>
          </w:p>
          <w:p w14:paraId="0202C707">
            <w:pPr>
              <w:spacing w:before="57" w:line="195" w:lineRule="auto"/>
              <w:ind w:left="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1290" w:type="dxa"/>
            <w:vAlign w:val="top"/>
          </w:tcPr>
          <w:p w14:paraId="39C022DA">
            <w:pPr>
              <w:spacing w:line="387" w:lineRule="auto"/>
              <w:rPr>
                <w:rFonts w:ascii="Arial"/>
                <w:sz w:val="21"/>
              </w:rPr>
            </w:pPr>
          </w:p>
          <w:p w14:paraId="26A669D6">
            <w:pPr>
              <w:pStyle w:val="6"/>
              <w:spacing w:before="65" w:line="229" w:lineRule="auto"/>
              <w:ind w:left="10"/>
            </w:pPr>
            <w:r>
              <w:rPr>
                <w:spacing w:val="8"/>
              </w:rPr>
              <w:t>湖南铭工智能</w:t>
            </w:r>
          </w:p>
          <w:p w14:paraId="3DF98A4B">
            <w:pPr>
              <w:pStyle w:val="6"/>
              <w:spacing w:before="23" w:line="228" w:lineRule="auto"/>
              <w:ind w:left="10"/>
            </w:pPr>
            <w:r>
              <w:rPr>
                <w:spacing w:val="8"/>
              </w:rPr>
              <w:t>装备有限公司</w:t>
            </w:r>
          </w:p>
        </w:tc>
        <w:tc>
          <w:tcPr>
            <w:tcW w:w="2918" w:type="dxa"/>
            <w:vAlign w:val="top"/>
          </w:tcPr>
          <w:p w14:paraId="3BFCE40B">
            <w:pPr>
              <w:pStyle w:val="6"/>
              <w:spacing w:before="46" w:line="227" w:lineRule="auto"/>
              <w:ind w:left="123"/>
              <w:rPr>
                <w:rFonts w:ascii="Times New Roman" w:hAnsi="Times New Roman" w:eastAsia="Times New Roman" w:cs="Times New Roman"/>
              </w:rPr>
            </w:pPr>
            <w:r>
              <w:rPr>
                <w:spacing w:val="6"/>
              </w:rPr>
              <w:t>年产树脂砂轮自动成型机</w:t>
            </w:r>
            <w:r>
              <w:rPr>
                <w:rFonts w:ascii="Times New Roman" w:hAnsi="Times New Roman" w:eastAsia="Times New Roman" w:cs="Times New Roman"/>
                <w:spacing w:val="6"/>
              </w:rPr>
              <w:t>170</w:t>
            </w:r>
          </w:p>
          <w:p w14:paraId="69FED357">
            <w:pPr>
              <w:pStyle w:val="6"/>
              <w:spacing w:before="24" w:line="228" w:lineRule="auto"/>
              <w:ind w:left="30"/>
            </w:pPr>
            <w:r>
              <w:rPr>
                <w:spacing w:val="4"/>
              </w:rPr>
              <w:t>台、套（条）及经营自动化控制</w:t>
            </w:r>
          </w:p>
          <w:p w14:paraId="4356F473">
            <w:pPr>
              <w:pStyle w:val="6"/>
              <w:spacing w:before="24" w:line="227" w:lineRule="auto"/>
              <w:jc w:val="right"/>
            </w:pPr>
            <w:r>
              <w:rPr>
                <w:spacing w:val="-8"/>
              </w:rPr>
              <w:t>系统、电动缸、油压机、机械手、</w:t>
            </w:r>
          </w:p>
          <w:p w14:paraId="130C231D">
            <w:pPr>
              <w:pStyle w:val="6"/>
              <w:spacing w:before="28" w:line="227" w:lineRule="auto"/>
              <w:ind w:left="42"/>
            </w:pPr>
            <w:r>
              <w:rPr>
                <w:spacing w:val="6"/>
              </w:rPr>
              <w:t>模具、送料机等产品约</w:t>
            </w:r>
            <w:r>
              <w:rPr>
                <w:rFonts w:ascii="Times New Roman" w:hAnsi="Times New Roman" w:eastAsia="Times New Roman" w:cs="Times New Roman"/>
                <w:spacing w:val="6"/>
              </w:rPr>
              <w:t>2775</w:t>
            </w:r>
            <w:r>
              <w:rPr>
                <w:spacing w:val="6"/>
              </w:rPr>
              <w:t>台</w:t>
            </w:r>
          </w:p>
          <w:p w14:paraId="50849F1B">
            <w:pPr>
              <w:pStyle w:val="6"/>
              <w:spacing w:before="25" w:line="217" w:lineRule="auto"/>
              <w:ind w:left="1157"/>
            </w:pPr>
            <w:r>
              <w:rPr>
                <w:spacing w:val="-1"/>
              </w:rPr>
              <w:t>（套）</w:t>
            </w:r>
          </w:p>
        </w:tc>
        <w:tc>
          <w:tcPr>
            <w:tcW w:w="1630" w:type="dxa"/>
            <w:vAlign w:val="top"/>
          </w:tcPr>
          <w:p w14:paraId="4D133311">
            <w:pPr>
              <w:spacing w:line="387" w:lineRule="auto"/>
              <w:rPr>
                <w:rFonts w:ascii="Arial"/>
                <w:sz w:val="21"/>
              </w:rPr>
            </w:pPr>
          </w:p>
          <w:p w14:paraId="2D5D4DCA">
            <w:pPr>
              <w:pStyle w:val="6"/>
              <w:spacing w:before="65" w:line="228" w:lineRule="auto"/>
              <w:ind w:left="142"/>
            </w:pPr>
            <w:r>
              <w:rPr>
                <w:spacing w:val="6"/>
              </w:rPr>
              <w:t>邵市环评（</w:t>
            </w:r>
            <w:r>
              <w:rPr>
                <w:rFonts w:ascii="Times New Roman" w:hAnsi="Times New Roman" w:eastAsia="Times New Roman" w:cs="Times New Roman"/>
                <w:spacing w:val="6"/>
              </w:rPr>
              <w:t>4</w:t>
            </w:r>
            <w:r>
              <w:rPr>
                <w:spacing w:val="6"/>
              </w:rPr>
              <w:t>）</w:t>
            </w:r>
          </w:p>
          <w:p w14:paraId="237A866B">
            <w:pPr>
              <w:pStyle w:val="6"/>
              <w:spacing w:before="24" w:line="229" w:lineRule="auto"/>
              <w:ind w:left="196"/>
            </w:pPr>
            <w:r>
              <w:rPr>
                <w:spacing w:val="1"/>
              </w:rPr>
              <w:t>〔</w:t>
            </w:r>
            <w:r>
              <w:rPr>
                <w:rFonts w:ascii="Times New Roman" w:hAnsi="Times New Roman" w:eastAsia="Times New Roman" w:cs="Times New Roman"/>
                <w:spacing w:val="1"/>
              </w:rPr>
              <w:t>2021</w:t>
            </w:r>
            <w:r>
              <w:rPr>
                <w:spacing w:val="1"/>
              </w:rPr>
              <w:t>〕</w:t>
            </w:r>
            <w:r>
              <w:rPr>
                <w:rFonts w:ascii="Times New Roman" w:hAnsi="Times New Roman" w:eastAsia="Times New Roman" w:cs="Times New Roman"/>
                <w:spacing w:val="1"/>
              </w:rPr>
              <w:t>14</w:t>
            </w:r>
            <w:r>
              <w:rPr>
                <w:spacing w:val="1"/>
              </w:rPr>
              <w:t>号</w:t>
            </w:r>
          </w:p>
        </w:tc>
        <w:tc>
          <w:tcPr>
            <w:tcW w:w="1555" w:type="dxa"/>
            <w:vAlign w:val="top"/>
          </w:tcPr>
          <w:p w14:paraId="7276F705">
            <w:pPr>
              <w:spacing w:line="445" w:lineRule="auto"/>
              <w:rPr>
                <w:rFonts w:ascii="Arial"/>
                <w:sz w:val="21"/>
              </w:rPr>
            </w:pPr>
          </w:p>
          <w:p w14:paraId="422C61FF">
            <w:pPr>
              <w:spacing w:before="58" w:line="241" w:lineRule="auto"/>
              <w:ind w:left="149" w:right="51" w:hanging="7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91430524</w:t>
            </w:r>
            <w:r>
              <w:rPr>
                <w:rFonts w:ascii="Times New Roman" w:hAnsi="Times New Roman" w:eastAsia="Times New Roman" w:cs="Times New Roman"/>
                <w:sz w:val="20"/>
                <w:szCs w:val="20"/>
              </w:rPr>
              <w:t>MA</w:t>
            </w:r>
            <w:r>
              <w:rPr>
                <w:rFonts w:ascii="Times New Roman" w:hAnsi="Times New Roman" w:eastAsia="Times New Roman" w:cs="Times New Roman"/>
                <w:spacing w:val="5"/>
                <w:sz w:val="20"/>
                <w:szCs w:val="20"/>
              </w:rPr>
              <w:t>4Q</w:t>
            </w:r>
            <w:r>
              <w:rPr>
                <w:rFonts w:ascii="Times New Roman" w:hAnsi="Times New Roman" w:eastAsia="Times New Roman" w:cs="Times New Roman"/>
                <w:spacing w:val="7"/>
                <w:sz w:val="20"/>
                <w:szCs w:val="20"/>
              </w:rPr>
              <w:t>W3</w:t>
            </w:r>
            <w:r>
              <w:rPr>
                <w:rFonts w:ascii="Times New Roman" w:hAnsi="Times New Roman" w:eastAsia="Times New Roman" w:cs="Times New Roman"/>
                <w:sz w:val="20"/>
                <w:szCs w:val="20"/>
              </w:rPr>
              <w:t>TF</w:t>
            </w:r>
            <w:r>
              <w:rPr>
                <w:rFonts w:ascii="Times New Roman" w:hAnsi="Times New Roman" w:eastAsia="Times New Roman" w:cs="Times New Roman"/>
                <w:spacing w:val="7"/>
                <w:sz w:val="20"/>
                <w:szCs w:val="20"/>
              </w:rPr>
              <w:t>8H001Y</w:t>
            </w:r>
          </w:p>
        </w:tc>
        <w:tc>
          <w:tcPr>
            <w:tcW w:w="732" w:type="dxa"/>
            <w:tcBorders>
              <w:right w:val="single" w:color="000000" w:sz="10" w:space="0"/>
            </w:tcBorders>
            <w:vAlign w:val="top"/>
          </w:tcPr>
          <w:p w14:paraId="619E0683">
            <w:pPr>
              <w:spacing w:line="260" w:lineRule="auto"/>
              <w:rPr>
                <w:rFonts w:ascii="Arial"/>
                <w:sz w:val="21"/>
              </w:rPr>
            </w:pPr>
          </w:p>
          <w:p w14:paraId="7BC92294">
            <w:pPr>
              <w:spacing w:line="261" w:lineRule="auto"/>
              <w:rPr>
                <w:rFonts w:ascii="Arial"/>
                <w:sz w:val="21"/>
              </w:rPr>
            </w:pPr>
          </w:p>
          <w:p w14:paraId="4544402E">
            <w:pPr>
              <w:pStyle w:val="6"/>
              <w:spacing w:before="65" w:line="228" w:lineRule="auto"/>
              <w:ind w:left="165"/>
            </w:pPr>
            <w:r>
              <w:rPr>
                <w:spacing w:val="4"/>
              </w:rPr>
              <w:t>运行</w:t>
            </w:r>
          </w:p>
        </w:tc>
      </w:tr>
      <w:tr w14:paraId="6C932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413" w:type="dxa"/>
            <w:tcBorders>
              <w:left w:val="single" w:color="000000" w:sz="10" w:space="0"/>
            </w:tcBorders>
            <w:vAlign w:val="top"/>
          </w:tcPr>
          <w:p w14:paraId="4BD2DC94">
            <w:pPr>
              <w:spacing w:line="298" w:lineRule="auto"/>
              <w:rPr>
                <w:rFonts w:ascii="Arial"/>
                <w:sz w:val="21"/>
              </w:rPr>
            </w:pPr>
          </w:p>
          <w:p w14:paraId="6C30367B">
            <w:pPr>
              <w:spacing w:before="57" w:line="195" w:lineRule="auto"/>
              <w:ind w:left="94"/>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290" w:type="dxa"/>
            <w:vAlign w:val="top"/>
          </w:tcPr>
          <w:p w14:paraId="5028FD74">
            <w:pPr>
              <w:pStyle w:val="6"/>
              <w:spacing w:before="184" w:line="227" w:lineRule="auto"/>
              <w:ind w:left="10"/>
            </w:pPr>
            <w:r>
              <w:rPr>
                <w:spacing w:val="8"/>
              </w:rPr>
              <w:t>湖南启点科技</w:t>
            </w:r>
          </w:p>
          <w:p w14:paraId="218D7B81">
            <w:pPr>
              <w:pStyle w:val="6"/>
              <w:spacing w:before="28" w:line="228" w:lineRule="auto"/>
              <w:ind w:left="222"/>
            </w:pPr>
            <w:r>
              <w:rPr>
                <w:spacing w:val="7"/>
              </w:rPr>
              <w:t>有限公司</w:t>
            </w:r>
          </w:p>
        </w:tc>
        <w:tc>
          <w:tcPr>
            <w:tcW w:w="2918" w:type="dxa"/>
            <w:vAlign w:val="top"/>
          </w:tcPr>
          <w:p w14:paraId="1F9879E7">
            <w:pPr>
              <w:pStyle w:val="6"/>
              <w:spacing w:before="49" w:line="228" w:lineRule="auto"/>
              <w:ind w:left="44"/>
            </w:pPr>
            <w:r>
              <w:rPr>
                <w:spacing w:val="7"/>
              </w:rPr>
              <w:t>年产</w:t>
            </w:r>
            <w:r>
              <w:rPr>
                <w:rFonts w:ascii="Times New Roman" w:hAnsi="Times New Roman" w:eastAsia="Times New Roman" w:cs="Times New Roman"/>
                <w:spacing w:val="7"/>
              </w:rPr>
              <w:t>80</w:t>
            </w:r>
            <w:r>
              <w:rPr>
                <w:spacing w:val="7"/>
              </w:rPr>
              <w:t>套全自动环型电感线圈</w:t>
            </w:r>
          </w:p>
          <w:p w14:paraId="6A875D8D">
            <w:pPr>
              <w:pStyle w:val="6"/>
              <w:spacing w:before="24" w:line="228" w:lineRule="auto"/>
              <w:ind w:left="45"/>
            </w:pPr>
            <w:r>
              <w:rPr>
                <w:spacing w:val="6"/>
              </w:rPr>
              <w:t>绕线设备及</w:t>
            </w:r>
            <w:r>
              <w:rPr>
                <w:rFonts w:ascii="Times New Roman" w:hAnsi="Times New Roman" w:eastAsia="Times New Roman" w:cs="Times New Roman"/>
                <w:spacing w:val="6"/>
              </w:rPr>
              <w:t>6000</w:t>
            </w:r>
            <w:r>
              <w:rPr>
                <w:spacing w:val="6"/>
              </w:rPr>
              <w:t>万组线圈（无</w:t>
            </w:r>
          </w:p>
          <w:p w14:paraId="10355013">
            <w:pPr>
              <w:pStyle w:val="6"/>
              <w:spacing w:before="24" w:line="214" w:lineRule="auto"/>
              <w:ind w:left="838"/>
            </w:pPr>
            <w:r>
              <w:rPr>
                <w:spacing w:val="5"/>
              </w:rPr>
              <w:t>喷漆、电镀）</w:t>
            </w:r>
          </w:p>
        </w:tc>
        <w:tc>
          <w:tcPr>
            <w:tcW w:w="1630" w:type="dxa"/>
            <w:vAlign w:val="top"/>
          </w:tcPr>
          <w:p w14:paraId="4CC217BB">
            <w:pPr>
              <w:pStyle w:val="6"/>
              <w:spacing w:before="184" w:line="228" w:lineRule="auto"/>
              <w:ind w:left="142"/>
            </w:pPr>
            <w:r>
              <w:rPr>
                <w:spacing w:val="6"/>
              </w:rPr>
              <w:t>邵市环评（</w:t>
            </w:r>
            <w:r>
              <w:rPr>
                <w:rFonts w:ascii="Times New Roman" w:hAnsi="Times New Roman" w:eastAsia="Times New Roman" w:cs="Times New Roman"/>
                <w:spacing w:val="6"/>
              </w:rPr>
              <w:t>4</w:t>
            </w:r>
            <w:r>
              <w:rPr>
                <w:spacing w:val="6"/>
              </w:rPr>
              <w:t>）</w:t>
            </w:r>
          </w:p>
          <w:p w14:paraId="31B5C4EE">
            <w:pPr>
              <w:pStyle w:val="6"/>
              <w:spacing w:before="27" w:line="229" w:lineRule="auto"/>
              <w:ind w:left="196"/>
            </w:pPr>
            <w:r>
              <w:rPr>
                <w:spacing w:val="1"/>
              </w:rPr>
              <w:t>〔</w:t>
            </w:r>
            <w:r>
              <w:rPr>
                <w:rFonts w:ascii="Times New Roman" w:hAnsi="Times New Roman" w:eastAsia="Times New Roman" w:cs="Times New Roman"/>
                <w:spacing w:val="1"/>
              </w:rPr>
              <w:t>2021</w:t>
            </w:r>
            <w:r>
              <w:rPr>
                <w:spacing w:val="1"/>
              </w:rPr>
              <w:t>〕</w:t>
            </w:r>
            <w:r>
              <w:rPr>
                <w:rFonts w:ascii="Times New Roman" w:hAnsi="Times New Roman" w:eastAsia="Times New Roman" w:cs="Times New Roman"/>
                <w:spacing w:val="1"/>
              </w:rPr>
              <w:t>15</w:t>
            </w:r>
            <w:r>
              <w:rPr>
                <w:spacing w:val="1"/>
              </w:rPr>
              <w:t>号</w:t>
            </w:r>
          </w:p>
        </w:tc>
        <w:tc>
          <w:tcPr>
            <w:tcW w:w="1555" w:type="dxa"/>
            <w:vAlign w:val="top"/>
          </w:tcPr>
          <w:p w14:paraId="34798C28">
            <w:pPr>
              <w:spacing w:line="294" w:lineRule="auto"/>
              <w:rPr>
                <w:rFonts w:ascii="Arial"/>
                <w:sz w:val="21"/>
              </w:rPr>
            </w:pPr>
          </w:p>
          <w:p w14:paraId="7755C5A8">
            <w:pPr>
              <w:spacing w:before="57"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32" w:type="dxa"/>
            <w:tcBorders>
              <w:right w:val="single" w:color="000000" w:sz="10" w:space="0"/>
            </w:tcBorders>
            <w:vAlign w:val="top"/>
          </w:tcPr>
          <w:p w14:paraId="3592115F">
            <w:pPr>
              <w:spacing w:line="255" w:lineRule="auto"/>
              <w:rPr>
                <w:rFonts w:ascii="Arial"/>
                <w:sz w:val="21"/>
              </w:rPr>
            </w:pPr>
          </w:p>
          <w:p w14:paraId="35936A1A">
            <w:pPr>
              <w:pStyle w:val="6"/>
              <w:spacing w:before="65" w:line="228" w:lineRule="auto"/>
              <w:ind w:left="165"/>
            </w:pPr>
            <w:r>
              <w:rPr>
                <w:spacing w:val="4"/>
              </w:rPr>
              <w:t>运行</w:t>
            </w:r>
          </w:p>
        </w:tc>
      </w:tr>
      <w:tr w14:paraId="44788A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9" w:hRule="atLeast"/>
        </w:trPr>
        <w:tc>
          <w:tcPr>
            <w:tcW w:w="413" w:type="dxa"/>
            <w:tcBorders>
              <w:left w:val="single" w:color="000000" w:sz="10" w:space="0"/>
            </w:tcBorders>
            <w:vAlign w:val="top"/>
          </w:tcPr>
          <w:p w14:paraId="14EBF61C">
            <w:pPr>
              <w:spacing w:line="284" w:lineRule="auto"/>
              <w:rPr>
                <w:rFonts w:ascii="Arial"/>
                <w:sz w:val="21"/>
              </w:rPr>
            </w:pPr>
          </w:p>
          <w:p w14:paraId="6689BA6E">
            <w:pPr>
              <w:spacing w:line="285" w:lineRule="auto"/>
              <w:rPr>
                <w:rFonts w:ascii="Arial"/>
                <w:sz w:val="21"/>
              </w:rPr>
            </w:pPr>
          </w:p>
          <w:p w14:paraId="25AB8BCA">
            <w:pPr>
              <w:spacing w:before="58" w:line="195" w:lineRule="auto"/>
              <w:ind w:left="94"/>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1290" w:type="dxa"/>
            <w:vAlign w:val="top"/>
          </w:tcPr>
          <w:p w14:paraId="4657E7E2">
            <w:pPr>
              <w:spacing w:line="254" w:lineRule="auto"/>
              <w:rPr>
                <w:rFonts w:ascii="Arial"/>
                <w:sz w:val="21"/>
              </w:rPr>
            </w:pPr>
          </w:p>
          <w:p w14:paraId="4F329FE4">
            <w:pPr>
              <w:pStyle w:val="6"/>
              <w:spacing w:before="65" w:line="228" w:lineRule="auto"/>
              <w:ind w:left="10"/>
            </w:pPr>
            <w:r>
              <w:rPr>
                <w:spacing w:val="8"/>
              </w:rPr>
              <w:t>湖南鸿展自动</w:t>
            </w:r>
          </w:p>
          <w:p w14:paraId="503BD192">
            <w:pPr>
              <w:pStyle w:val="6"/>
              <w:spacing w:before="27" w:line="228" w:lineRule="auto"/>
              <w:ind w:left="11"/>
            </w:pPr>
            <w:r>
              <w:rPr>
                <w:spacing w:val="8"/>
              </w:rPr>
              <w:t>化设备有限公</w:t>
            </w:r>
          </w:p>
          <w:p w14:paraId="16F6B5E7">
            <w:pPr>
              <w:pStyle w:val="6"/>
              <w:spacing w:before="23" w:line="230" w:lineRule="auto"/>
              <w:ind w:left="544"/>
            </w:pPr>
            <w:r>
              <w:t>司</w:t>
            </w:r>
          </w:p>
        </w:tc>
        <w:tc>
          <w:tcPr>
            <w:tcW w:w="2918" w:type="dxa"/>
            <w:vAlign w:val="top"/>
          </w:tcPr>
          <w:p w14:paraId="2A02660D">
            <w:pPr>
              <w:pStyle w:val="6"/>
              <w:spacing w:before="52" w:line="243" w:lineRule="auto"/>
              <w:ind w:left="14" w:firstLine="37"/>
            </w:pPr>
            <w:r>
              <w:rPr>
                <w:rFonts w:ascii="Times New Roman" w:hAnsi="Times New Roman" w:eastAsia="Times New Roman" w:cs="Times New Roman"/>
                <w:spacing w:val="7"/>
              </w:rPr>
              <w:t>50</w:t>
            </w:r>
            <w:r>
              <w:rPr>
                <w:spacing w:val="7"/>
              </w:rPr>
              <w:t>条（套）</w:t>
            </w:r>
            <w:r>
              <w:rPr>
                <w:rFonts w:ascii="Times New Roman" w:hAnsi="Times New Roman" w:eastAsia="Times New Roman" w:cs="Times New Roman"/>
              </w:rPr>
              <w:t>VCP</w:t>
            </w:r>
            <w:r>
              <w:rPr>
                <w:spacing w:val="7"/>
              </w:rPr>
              <w:t>垂直连续电镀</w:t>
            </w:r>
            <w:r>
              <w:rPr>
                <w:spacing w:val="8"/>
              </w:rPr>
              <w:t>线、电镀铜</w:t>
            </w:r>
            <w:r>
              <w:rPr>
                <w:rFonts w:ascii="Times New Roman" w:hAnsi="Times New Roman" w:eastAsia="Times New Roman" w:cs="Times New Roman"/>
                <w:spacing w:val="8"/>
              </w:rPr>
              <w:t>&amp;</w:t>
            </w:r>
            <w:r>
              <w:rPr>
                <w:spacing w:val="8"/>
              </w:rPr>
              <w:t>锡生产线、板面电</w:t>
            </w:r>
            <w:r>
              <w:rPr>
                <w:spacing w:val="17"/>
              </w:rPr>
              <w:t>镀线、</w:t>
            </w:r>
            <w:r>
              <w:rPr>
                <w:rFonts w:ascii="Times New Roman" w:hAnsi="Times New Roman" w:eastAsia="Times New Roman" w:cs="Times New Roman"/>
              </w:rPr>
              <w:t>PTH</w:t>
            </w:r>
            <w:r>
              <w:rPr>
                <w:rFonts w:ascii="Times New Roman" w:hAnsi="Times New Roman" w:eastAsia="Times New Roman" w:cs="Times New Roman"/>
                <w:spacing w:val="17"/>
              </w:rPr>
              <w:t>&amp;</w:t>
            </w:r>
            <w:r>
              <w:rPr>
                <w:rFonts w:ascii="Times New Roman" w:hAnsi="Times New Roman" w:eastAsia="Times New Roman" w:cs="Times New Roman"/>
              </w:rPr>
              <w:t>Desmear</w:t>
            </w:r>
            <w:r>
              <w:rPr>
                <w:spacing w:val="17"/>
              </w:rPr>
              <w:t>生产线、</w:t>
            </w:r>
            <w:r>
              <w:rPr>
                <w:spacing w:val="7"/>
              </w:rPr>
              <w:t>食品加工机械智能设备生产线、环保处理设备（无喷漆、电镀）</w:t>
            </w:r>
          </w:p>
        </w:tc>
        <w:tc>
          <w:tcPr>
            <w:tcW w:w="1630" w:type="dxa"/>
            <w:vAlign w:val="top"/>
          </w:tcPr>
          <w:p w14:paraId="1483795B">
            <w:pPr>
              <w:spacing w:line="390" w:lineRule="auto"/>
              <w:rPr>
                <w:rFonts w:ascii="Arial"/>
                <w:sz w:val="21"/>
              </w:rPr>
            </w:pPr>
          </w:p>
          <w:p w14:paraId="7D5DB1C1">
            <w:pPr>
              <w:pStyle w:val="6"/>
              <w:spacing w:before="65" w:line="255" w:lineRule="auto"/>
              <w:ind w:left="126" w:right="74" w:hanging="37"/>
            </w:pPr>
            <w:r>
              <w:rPr>
                <w:spacing w:val="8"/>
              </w:rPr>
              <w:t>邵生环隆分环评</w:t>
            </w:r>
            <w:r>
              <w:rPr>
                <w:spacing w:val="3"/>
              </w:rPr>
              <w:t>函〔</w:t>
            </w:r>
            <w:r>
              <w:rPr>
                <w:rFonts w:ascii="Times New Roman" w:hAnsi="Times New Roman" w:eastAsia="Times New Roman" w:cs="Times New Roman"/>
                <w:spacing w:val="3"/>
              </w:rPr>
              <w:t>2020</w:t>
            </w:r>
            <w:r>
              <w:rPr>
                <w:spacing w:val="3"/>
              </w:rPr>
              <w:t>〕</w:t>
            </w:r>
            <w:r>
              <w:rPr>
                <w:rFonts w:ascii="Times New Roman" w:hAnsi="Times New Roman" w:eastAsia="Times New Roman" w:cs="Times New Roman"/>
                <w:spacing w:val="3"/>
              </w:rPr>
              <w:t>7</w:t>
            </w:r>
            <w:r>
              <w:rPr>
                <w:spacing w:val="3"/>
              </w:rPr>
              <w:t>号</w:t>
            </w:r>
          </w:p>
        </w:tc>
        <w:tc>
          <w:tcPr>
            <w:tcW w:w="1555" w:type="dxa"/>
            <w:vAlign w:val="top"/>
          </w:tcPr>
          <w:p w14:paraId="058C9F88">
            <w:pPr>
              <w:spacing w:line="451" w:lineRule="auto"/>
              <w:rPr>
                <w:rFonts w:ascii="Arial"/>
                <w:sz w:val="21"/>
              </w:rPr>
            </w:pPr>
          </w:p>
          <w:p w14:paraId="04B061C9">
            <w:pPr>
              <w:spacing w:before="57" w:line="241" w:lineRule="auto"/>
              <w:ind w:left="144" w:right="51" w:hanging="7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91430524</w:t>
            </w:r>
            <w:r>
              <w:rPr>
                <w:rFonts w:ascii="Times New Roman" w:hAnsi="Times New Roman" w:eastAsia="Times New Roman" w:cs="Times New Roman"/>
                <w:sz w:val="20"/>
                <w:szCs w:val="20"/>
              </w:rPr>
              <w:t>MA</w:t>
            </w:r>
            <w:r>
              <w:rPr>
                <w:rFonts w:ascii="Times New Roman" w:hAnsi="Times New Roman" w:eastAsia="Times New Roman" w:cs="Times New Roman"/>
                <w:spacing w:val="5"/>
                <w:sz w:val="20"/>
                <w:szCs w:val="20"/>
              </w:rPr>
              <w:t>4Q</w:t>
            </w:r>
            <w:r>
              <w:rPr>
                <w:rFonts w:ascii="Times New Roman" w:hAnsi="Times New Roman" w:eastAsia="Times New Roman" w:cs="Times New Roman"/>
                <w:sz w:val="20"/>
                <w:szCs w:val="20"/>
              </w:rPr>
              <w:t>LCMN</w:t>
            </w:r>
            <w:r>
              <w:rPr>
                <w:rFonts w:ascii="Times New Roman" w:hAnsi="Times New Roman" w:eastAsia="Times New Roman" w:cs="Times New Roman"/>
                <w:spacing w:val="9"/>
                <w:sz w:val="20"/>
                <w:szCs w:val="20"/>
              </w:rPr>
              <w:t>30001X</w:t>
            </w:r>
          </w:p>
        </w:tc>
        <w:tc>
          <w:tcPr>
            <w:tcW w:w="732" w:type="dxa"/>
            <w:tcBorders>
              <w:right w:val="single" w:color="000000" w:sz="10" w:space="0"/>
            </w:tcBorders>
            <w:vAlign w:val="top"/>
          </w:tcPr>
          <w:p w14:paraId="3D8A3A97">
            <w:pPr>
              <w:spacing w:line="263" w:lineRule="auto"/>
              <w:rPr>
                <w:rFonts w:ascii="Arial"/>
                <w:sz w:val="21"/>
              </w:rPr>
            </w:pPr>
          </w:p>
          <w:p w14:paraId="2A1A917E">
            <w:pPr>
              <w:spacing w:line="264" w:lineRule="auto"/>
              <w:rPr>
                <w:rFonts w:ascii="Arial"/>
                <w:sz w:val="21"/>
              </w:rPr>
            </w:pPr>
          </w:p>
          <w:p w14:paraId="6535DABE">
            <w:pPr>
              <w:pStyle w:val="6"/>
              <w:spacing w:before="65" w:line="228" w:lineRule="auto"/>
              <w:ind w:left="165"/>
            </w:pPr>
            <w:r>
              <w:rPr>
                <w:spacing w:val="4"/>
              </w:rPr>
              <w:t>运行</w:t>
            </w:r>
          </w:p>
        </w:tc>
      </w:tr>
      <w:tr w14:paraId="774A4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8" w:hRule="atLeast"/>
        </w:trPr>
        <w:tc>
          <w:tcPr>
            <w:tcW w:w="413" w:type="dxa"/>
            <w:tcBorders>
              <w:left w:val="single" w:color="000000" w:sz="10" w:space="0"/>
            </w:tcBorders>
            <w:vAlign w:val="top"/>
          </w:tcPr>
          <w:p w14:paraId="477F244C">
            <w:pPr>
              <w:spacing w:line="437" w:lineRule="auto"/>
              <w:rPr>
                <w:rFonts w:ascii="Arial"/>
                <w:sz w:val="21"/>
              </w:rPr>
            </w:pPr>
          </w:p>
          <w:p w14:paraId="64572B01">
            <w:pPr>
              <w:spacing w:before="57" w:line="195" w:lineRule="auto"/>
              <w:ind w:left="94"/>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c>
          <w:tcPr>
            <w:tcW w:w="1290" w:type="dxa"/>
            <w:vAlign w:val="top"/>
          </w:tcPr>
          <w:p w14:paraId="7B825963">
            <w:pPr>
              <w:pStyle w:val="6"/>
              <w:spacing w:before="190" w:line="228" w:lineRule="auto"/>
              <w:ind w:left="10"/>
            </w:pPr>
            <w:r>
              <w:rPr>
                <w:spacing w:val="8"/>
              </w:rPr>
              <w:t>湖南宏邦自动</w:t>
            </w:r>
          </w:p>
          <w:p w14:paraId="3D68CE51">
            <w:pPr>
              <w:pStyle w:val="6"/>
              <w:spacing w:before="24" w:line="228" w:lineRule="auto"/>
              <w:ind w:left="11"/>
            </w:pPr>
            <w:r>
              <w:rPr>
                <w:spacing w:val="8"/>
              </w:rPr>
              <w:t>化设备有限公</w:t>
            </w:r>
          </w:p>
          <w:p w14:paraId="2CB4986A">
            <w:pPr>
              <w:pStyle w:val="6"/>
              <w:spacing w:before="23" w:line="230" w:lineRule="auto"/>
              <w:ind w:left="544"/>
            </w:pPr>
            <w:r>
              <w:t>司</w:t>
            </w:r>
          </w:p>
        </w:tc>
        <w:tc>
          <w:tcPr>
            <w:tcW w:w="2918" w:type="dxa"/>
            <w:vAlign w:val="top"/>
          </w:tcPr>
          <w:p w14:paraId="2DCAEE2A">
            <w:pPr>
              <w:pStyle w:val="6"/>
              <w:spacing w:before="53" w:line="228" w:lineRule="auto"/>
              <w:ind w:left="96"/>
            </w:pPr>
            <w:r>
              <w:rPr>
                <w:spacing w:val="7"/>
              </w:rPr>
              <w:t>年产</w:t>
            </w:r>
            <w:r>
              <w:rPr>
                <w:rFonts w:ascii="Times New Roman" w:hAnsi="Times New Roman" w:eastAsia="Times New Roman" w:cs="Times New Roman"/>
                <w:spacing w:val="7"/>
              </w:rPr>
              <w:t>200</w:t>
            </w:r>
            <w:r>
              <w:rPr>
                <w:spacing w:val="7"/>
              </w:rPr>
              <w:t>套高速赋能焊接编排</w:t>
            </w:r>
          </w:p>
          <w:p w14:paraId="6E5A30EB">
            <w:pPr>
              <w:pStyle w:val="6"/>
              <w:spacing w:before="26" w:line="227" w:lineRule="auto"/>
              <w:ind w:left="13"/>
            </w:pPr>
            <w:r>
              <w:rPr>
                <w:spacing w:val="6"/>
              </w:rPr>
              <w:t>机、高速赋能焊接组装机、全自</w:t>
            </w:r>
          </w:p>
          <w:p w14:paraId="2BC1058D">
            <w:pPr>
              <w:pStyle w:val="6"/>
              <w:spacing w:before="25" w:line="227" w:lineRule="auto"/>
              <w:ind w:left="96"/>
            </w:pPr>
            <w:r>
              <w:rPr>
                <w:spacing w:val="9"/>
              </w:rPr>
              <w:t>动电容卷绕机、全自动混胶机</w:t>
            </w:r>
          </w:p>
          <w:p w14:paraId="12ABF08D">
            <w:pPr>
              <w:pStyle w:val="6"/>
              <w:spacing w:before="27" w:line="209" w:lineRule="auto"/>
              <w:ind w:left="631"/>
            </w:pPr>
            <w:r>
              <w:rPr>
                <w:spacing w:val="6"/>
              </w:rPr>
              <w:t>（无喷漆、电镀）</w:t>
            </w:r>
          </w:p>
        </w:tc>
        <w:tc>
          <w:tcPr>
            <w:tcW w:w="1630" w:type="dxa"/>
            <w:vAlign w:val="top"/>
          </w:tcPr>
          <w:p w14:paraId="0CAD1C46">
            <w:pPr>
              <w:spacing w:line="261" w:lineRule="auto"/>
              <w:rPr>
                <w:rFonts w:ascii="Arial"/>
                <w:sz w:val="21"/>
              </w:rPr>
            </w:pPr>
          </w:p>
          <w:p w14:paraId="368654B6">
            <w:pPr>
              <w:pStyle w:val="6"/>
              <w:spacing w:before="65" w:line="252" w:lineRule="auto"/>
              <w:ind w:left="126" w:right="74" w:hanging="37"/>
            </w:pPr>
            <w:r>
              <w:rPr>
                <w:spacing w:val="8"/>
              </w:rPr>
              <w:t>邵生环隆分环评</w:t>
            </w:r>
            <w:r>
              <w:rPr>
                <w:spacing w:val="3"/>
              </w:rPr>
              <w:t>函〔</w:t>
            </w:r>
            <w:r>
              <w:rPr>
                <w:rFonts w:ascii="Times New Roman" w:hAnsi="Times New Roman" w:eastAsia="Times New Roman" w:cs="Times New Roman"/>
                <w:spacing w:val="3"/>
              </w:rPr>
              <w:t>2020</w:t>
            </w:r>
            <w:r>
              <w:rPr>
                <w:spacing w:val="3"/>
              </w:rPr>
              <w:t>〕</w:t>
            </w:r>
            <w:r>
              <w:rPr>
                <w:rFonts w:ascii="Times New Roman" w:hAnsi="Times New Roman" w:eastAsia="Times New Roman" w:cs="Times New Roman"/>
                <w:spacing w:val="3"/>
              </w:rPr>
              <w:t>6</w:t>
            </w:r>
            <w:r>
              <w:rPr>
                <w:spacing w:val="3"/>
              </w:rPr>
              <w:t>号</w:t>
            </w:r>
          </w:p>
        </w:tc>
        <w:tc>
          <w:tcPr>
            <w:tcW w:w="1555" w:type="dxa"/>
            <w:vAlign w:val="top"/>
          </w:tcPr>
          <w:p w14:paraId="7AC4CA69">
            <w:pPr>
              <w:spacing w:line="318" w:lineRule="auto"/>
              <w:rPr>
                <w:rFonts w:ascii="Arial"/>
                <w:sz w:val="21"/>
              </w:rPr>
            </w:pPr>
          </w:p>
          <w:p w14:paraId="3327F5B9">
            <w:pPr>
              <w:spacing w:before="57" w:line="241" w:lineRule="auto"/>
              <w:ind w:left="172" w:right="51" w:hanging="9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91430524</w:t>
            </w:r>
            <w:r>
              <w:rPr>
                <w:rFonts w:ascii="Times New Roman" w:hAnsi="Times New Roman" w:eastAsia="Times New Roman" w:cs="Times New Roman"/>
                <w:sz w:val="20"/>
                <w:szCs w:val="20"/>
              </w:rPr>
              <w:t>MA</w:t>
            </w:r>
            <w:r>
              <w:rPr>
                <w:rFonts w:ascii="Times New Roman" w:hAnsi="Times New Roman" w:eastAsia="Times New Roman" w:cs="Times New Roman"/>
                <w:spacing w:val="5"/>
                <w:sz w:val="20"/>
                <w:szCs w:val="20"/>
              </w:rPr>
              <w:t>4Q</w:t>
            </w:r>
            <w:r>
              <w:rPr>
                <w:rFonts w:ascii="Times New Roman" w:hAnsi="Times New Roman" w:eastAsia="Times New Roman" w:cs="Times New Roman"/>
                <w:sz w:val="20"/>
                <w:szCs w:val="20"/>
              </w:rPr>
              <w:t>LCLX</w:t>
            </w:r>
            <w:r>
              <w:rPr>
                <w:rFonts w:ascii="Times New Roman" w:hAnsi="Times New Roman" w:eastAsia="Times New Roman" w:cs="Times New Roman"/>
                <w:spacing w:val="9"/>
                <w:sz w:val="20"/>
                <w:szCs w:val="20"/>
              </w:rPr>
              <w:t>94001Y</w:t>
            </w:r>
          </w:p>
        </w:tc>
        <w:tc>
          <w:tcPr>
            <w:tcW w:w="732" w:type="dxa"/>
            <w:tcBorders>
              <w:right w:val="single" w:color="000000" w:sz="10" w:space="0"/>
            </w:tcBorders>
            <w:vAlign w:val="top"/>
          </w:tcPr>
          <w:p w14:paraId="15D53A40">
            <w:pPr>
              <w:spacing w:line="394" w:lineRule="auto"/>
              <w:rPr>
                <w:rFonts w:ascii="Arial"/>
                <w:sz w:val="21"/>
              </w:rPr>
            </w:pPr>
          </w:p>
          <w:p w14:paraId="52A5FD39">
            <w:pPr>
              <w:pStyle w:val="6"/>
              <w:spacing w:before="65" w:line="228" w:lineRule="auto"/>
              <w:ind w:left="165"/>
            </w:pPr>
            <w:r>
              <w:rPr>
                <w:spacing w:val="4"/>
              </w:rPr>
              <w:t>运行</w:t>
            </w:r>
          </w:p>
        </w:tc>
      </w:tr>
      <w:tr w14:paraId="3F0092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7" w:hRule="atLeast"/>
        </w:trPr>
        <w:tc>
          <w:tcPr>
            <w:tcW w:w="413" w:type="dxa"/>
            <w:tcBorders>
              <w:left w:val="single" w:color="000000" w:sz="10" w:space="0"/>
            </w:tcBorders>
            <w:vAlign w:val="top"/>
          </w:tcPr>
          <w:p w14:paraId="39A7B350">
            <w:pPr>
              <w:spacing w:line="440" w:lineRule="auto"/>
              <w:rPr>
                <w:rFonts w:ascii="Arial"/>
                <w:sz w:val="21"/>
              </w:rPr>
            </w:pPr>
          </w:p>
          <w:p w14:paraId="4E8B5FAF">
            <w:pPr>
              <w:spacing w:before="57" w:line="195" w:lineRule="auto"/>
              <w:ind w:left="94"/>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290" w:type="dxa"/>
            <w:vAlign w:val="top"/>
          </w:tcPr>
          <w:p w14:paraId="1BCCE342">
            <w:pPr>
              <w:pStyle w:val="6"/>
              <w:spacing w:before="190" w:line="228" w:lineRule="auto"/>
              <w:ind w:left="10"/>
            </w:pPr>
            <w:r>
              <w:rPr>
                <w:spacing w:val="8"/>
              </w:rPr>
              <w:t>湖南京能新能</w:t>
            </w:r>
          </w:p>
          <w:p w14:paraId="75D2B860">
            <w:pPr>
              <w:pStyle w:val="6"/>
              <w:spacing w:before="24" w:line="227" w:lineRule="auto"/>
              <w:ind w:left="10"/>
            </w:pPr>
            <w:r>
              <w:rPr>
                <w:spacing w:val="8"/>
              </w:rPr>
              <w:t>源科技有限公</w:t>
            </w:r>
          </w:p>
          <w:p w14:paraId="0042DADA">
            <w:pPr>
              <w:pStyle w:val="6"/>
              <w:spacing w:before="25" w:line="230" w:lineRule="auto"/>
              <w:ind w:left="544"/>
            </w:pPr>
            <w:r>
              <w:t>司</w:t>
            </w:r>
          </w:p>
        </w:tc>
        <w:tc>
          <w:tcPr>
            <w:tcW w:w="2918" w:type="dxa"/>
            <w:vAlign w:val="top"/>
          </w:tcPr>
          <w:p w14:paraId="2CCD214C">
            <w:pPr>
              <w:spacing w:line="260" w:lineRule="auto"/>
              <w:rPr>
                <w:rFonts w:ascii="Arial"/>
                <w:sz w:val="21"/>
              </w:rPr>
            </w:pPr>
          </w:p>
          <w:p w14:paraId="3775031A">
            <w:pPr>
              <w:pStyle w:val="6"/>
              <w:spacing w:before="65" w:line="252" w:lineRule="auto"/>
              <w:ind w:left="24" w:right="24" w:firstLine="32"/>
            </w:pPr>
            <w:r>
              <w:rPr>
                <w:spacing w:val="8"/>
              </w:rPr>
              <w:t>年组装</w:t>
            </w:r>
            <w:r>
              <w:rPr>
                <w:rFonts w:ascii="Times New Roman" w:hAnsi="Times New Roman" w:eastAsia="Times New Roman" w:cs="Times New Roman"/>
              </w:rPr>
              <w:t>LED</w:t>
            </w:r>
            <w:r>
              <w:rPr>
                <w:spacing w:val="8"/>
              </w:rPr>
              <w:t>路灯</w:t>
            </w:r>
            <w:r>
              <w:rPr>
                <w:rFonts w:ascii="Times New Roman" w:hAnsi="Times New Roman" w:eastAsia="Times New Roman" w:cs="Times New Roman"/>
                <w:spacing w:val="8"/>
              </w:rPr>
              <w:t>2</w:t>
            </w:r>
            <w:r>
              <w:rPr>
                <w:spacing w:val="8"/>
              </w:rPr>
              <w:t>万个、</w:t>
            </w:r>
            <w:r>
              <w:rPr>
                <w:rFonts w:ascii="Times New Roman" w:hAnsi="Times New Roman" w:eastAsia="Times New Roman" w:cs="Times New Roman"/>
              </w:rPr>
              <w:t>LED</w:t>
            </w:r>
            <w:r>
              <w:rPr>
                <w:spacing w:val="3"/>
              </w:rPr>
              <w:t>球灯</w:t>
            </w:r>
            <w:r>
              <w:rPr>
                <w:rFonts w:ascii="Times New Roman" w:hAnsi="Times New Roman" w:eastAsia="Times New Roman" w:cs="Times New Roman"/>
                <w:spacing w:val="3"/>
              </w:rPr>
              <w:t>6</w:t>
            </w:r>
            <w:r>
              <w:rPr>
                <w:spacing w:val="3"/>
              </w:rPr>
              <w:t>万个、</w:t>
            </w:r>
            <w:r>
              <w:rPr>
                <w:rFonts w:ascii="Times New Roman" w:hAnsi="Times New Roman" w:eastAsia="Times New Roman" w:cs="Times New Roman"/>
              </w:rPr>
              <w:t>LED</w:t>
            </w:r>
            <w:r>
              <w:rPr>
                <w:spacing w:val="3"/>
              </w:rPr>
              <w:t>灯管</w:t>
            </w:r>
            <w:r>
              <w:rPr>
                <w:rFonts w:ascii="Times New Roman" w:hAnsi="Times New Roman" w:eastAsia="Times New Roman" w:cs="Times New Roman"/>
                <w:spacing w:val="3"/>
              </w:rPr>
              <w:t>10</w:t>
            </w:r>
            <w:r>
              <w:rPr>
                <w:spacing w:val="3"/>
              </w:rPr>
              <w:t>万条</w:t>
            </w:r>
          </w:p>
        </w:tc>
        <w:tc>
          <w:tcPr>
            <w:tcW w:w="1630" w:type="dxa"/>
            <w:vAlign w:val="top"/>
          </w:tcPr>
          <w:p w14:paraId="5C99FD71">
            <w:pPr>
              <w:pStyle w:val="6"/>
              <w:spacing w:before="57" w:line="250" w:lineRule="auto"/>
              <w:ind w:left="540" w:hanging="505"/>
            </w:pPr>
            <w:r>
              <w:rPr>
                <w:spacing w:val="-2"/>
              </w:rPr>
              <w:t>隆环评函〔</w:t>
            </w:r>
            <w:r>
              <w:rPr>
                <w:rFonts w:ascii="Times New Roman" w:hAnsi="Times New Roman" w:eastAsia="Times New Roman" w:cs="Times New Roman"/>
                <w:spacing w:val="-2"/>
              </w:rPr>
              <w:t>2014</w:t>
            </w:r>
            <w:r>
              <w:rPr>
                <w:spacing w:val="-2"/>
              </w:rPr>
              <w:t>〕</w:t>
            </w:r>
            <w:r>
              <w:rPr>
                <w:rFonts w:ascii="Times New Roman" w:hAnsi="Times New Roman" w:eastAsia="Times New Roman" w:cs="Times New Roman"/>
                <w:spacing w:val="-4"/>
              </w:rPr>
              <w:t>117</w:t>
            </w:r>
            <w:r>
              <w:rPr>
                <w:spacing w:val="-4"/>
              </w:rPr>
              <w:t>号</w:t>
            </w:r>
          </w:p>
          <w:p w14:paraId="15F73648">
            <w:pPr>
              <w:pStyle w:val="6"/>
              <w:spacing w:line="227" w:lineRule="auto"/>
              <w:ind w:left="89"/>
            </w:pPr>
            <w:r>
              <w:rPr>
                <w:spacing w:val="8"/>
              </w:rPr>
              <w:t>邵生环隆分环评</w:t>
            </w:r>
          </w:p>
          <w:p w14:paraId="41C84E41">
            <w:pPr>
              <w:pStyle w:val="6"/>
              <w:spacing w:before="27" w:line="207" w:lineRule="auto"/>
              <w:ind w:left="127"/>
            </w:pPr>
            <w:r>
              <w:rPr>
                <w:spacing w:val="3"/>
              </w:rPr>
              <w:t>函〔</w:t>
            </w:r>
            <w:r>
              <w:rPr>
                <w:rFonts w:ascii="Times New Roman" w:hAnsi="Times New Roman" w:eastAsia="Times New Roman" w:cs="Times New Roman"/>
                <w:spacing w:val="3"/>
              </w:rPr>
              <w:t>2020</w:t>
            </w:r>
            <w:r>
              <w:rPr>
                <w:spacing w:val="3"/>
              </w:rPr>
              <w:t>〕</w:t>
            </w:r>
            <w:r>
              <w:rPr>
                <w:rFonts w:ascii="Times New Roman" w:hAnsi="Times New Roman" w:eastAsia="Times New Roman" w:cs="Times New Roman"/>
                <w:spacing w:val="3"/>
              </w:rPr>
              <w:t>8</w:t>
            </w:r>
            <w:r>
              <w:rPr>
                <w:spacing w:val="3"/>
              </w:rPr>
              <w:t>号</w:t>
            </w:r>
          </w:p>
        </w:tc>
        <w:tc>
          <w:tcPr>
            <w:tcW w:w="1555" w:type="dxa"/>
            <w:vAlign w:val="top"/>
          </w:tcPr>
          <w:p w14:paraId="2290F916">
            <w:pPr>
              <w:spacing w:line="320" w:lineRule="auto"/>
              <w:rPr>
                <w:rFonts w:ascii="Arial"/>
                <w:sz w:val="21"/>
              </w:rPr>
            </w:pPr>
          </w:p>
          <w:p w14:paraId="18FC7226">
            <w:pPr>
              <w:spacing w:before="58" w:line="259" w:lineRule="auto"/>
              <w:ind w:left="346" w:right="32" w:hanging="2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914305243963250544001Y</w:t>
            </w:r>
          </w:p>
        </w:tc>
        <w:tc>
          <w:tcPr>
            <w:tcW w:w="732" w:type="dxa"/>
            <w:tcBorders>
              <w:right w:val="single" w:color="000000" w:sz="10" w:space="0"/>
            </w:tcBorders>
            <w:vAlign w:val="top"/>
          </w:tcPr>
          <w:p w14:paraId="138D35AE">
            <w:pPr>
              <w:spacing w:line="397" w:lineRule="auto"/>
              <w:rPr>
                <w:rFonts w:ascii="Arial"/>
                <w:sz w:val="21"/>
              </w:rPr>
            </w:pPr>
          </w:p>
          <w:p w14:paraId="080EF6B3">
            <w:pPr>
              <w:pStyle w:val="6"/>
              <w:spacing w:before="65" w:line="228" w:lineRule="auto"/>
              <w:ind w:left="165"/>
            </w:pPr>
            <w:r>
              <w:rPr>
                <w:spacing w:val="4"/>
              </w:rPr>
              <w:t>运行</w:t>
            </w:r>
          </w:p>
        </w:tc>
      </w:tr>
      <w:tr w14:paraId="6C7467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13" w:type="dxa"/>
            <w:tcBorders>
              <w:left w:val="single" w:color="000000" w:sz="10" w:space="0"/>
            </w:tcBorders>
            <w:vAlign w:val="top"/>
          </w:tcPr>
          <w:p w14:paraId="4471E3D2">
            <w:pPr>
              <w:spacing w:before="228" w:line="195" w:lineRule="auto"/>
              <w:ind w:left="94"/>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290" w:type="dxa"/>
            <w:vAlign w:val="top"/>
          </w:tcPr>
          <w:p w14:paraId="79CDA5D0">
            <w:pPr>
              <w:pStyle w:val="6"/>
              <w:spacing w:before="57" w:line="227" w:lineRule="auto"/>
              <w:ind w:left="10"/>
            </w:pPr>
            <w:r>
              <w:rPr>
                <w:spacing w:val="8"/>
              </w:rPr>
              <w:t>湖南惠电科技</w:t>
            </w:r>
          </w:p>
          <w:p w14:paraId="6855493D">
            <w:pPr>
              <w:pStyle w:val="6"/>
              <w:spacing w:before="25" w:line="207" w:lineRule="auto"/>
              <w:ind w:left="222"/>
            </w:pPr>
            <w:r>
              <w:rPr>
                <w:spacing w:val="7"/>
              </w:rPr>
              <w:t>有限公司</w:t>
            </w:r>
          </w:p>
        </w:tc>
        <w:tc>
          <w:tcPr>
            <w:tcW w:w="2918" w:type="dxa"/>
            <w:vAlign w:val="top"/>
          </w:tcPr>
          <w:p w14:paraId="14F27CE2">
            <w:pPr>
              <w:pStyle w:val="6"/>
              <w:spacing w:before="57" w:line="229" w:lineRule="auto"/>
              <w:ind w:left="97" w:right="94" w:hanging="53"/>
            </w:pPr>
            <w:r>
              <w:rPr>
                <w:spacing w:val="3"/>
              </w:rPr>
              <w:t>年产</w:t>
            </w:r>
            <w:r>
              <w:rPr>
                <w:rFonts w:ascii="Times New Roman" w:hAnsi="Times New Roman" w:eastAsia="Times New Roman" w:cs="Times New Roman"/>
                <w:spacing w:val="3"/>
              </w:rPr>
              <w:t>8000</w:t>
            </w:r>
            <w:r>
              <w:rPr>
                <w:spacing w:val="3"/>
              </w:rPr>
              <w:t>套高低压配电设备，</w:t>
            </w:r>
            <w:r>
              <w:rPr>
                <w:spacing w:val="9"/>
              </w:rPr>
              <w:t>主要生产高低配电柜、充电桩</w:t>
            </w:r>
          </w:p>
        </w:tc>
        <w:tc>
          <w:tcPr>
            <w:tcW w:w="1630" w:type="dxa"/>
            <w:vAlign w:val="top"/>
          </w:tcPr>
          <w:p w14:paraId="338A9BB1">
            <w:pPr>
              <w:pStyle w:val="6"/>
              <w:spacing w:before="57" w:line="229" w:lineRule="auto"/>
              <w:ind w:left="574" w:hanging="539"/>
            </w:pPr>
            <w:r>
              <w:rPr>
                <w:spacing w:val="-2"/>
              </w:rPr>
              <w:t>隆环评函〔</w:t>
            </w:r>
            <w:r>
              <w:rPr>
                <w:rFonts w:ascii="Times New Roman" w:hAnsi="Times New Roman" w:eastAsia="Times New Roman" w:cs="Times New Roman"/>
                <w:spacing w:val="-2"/>
              </w:rPr>
              <w:t>2018</w:t>
            </w:r>
            <w:r>
              <w:rPr>
                <w:spacing w:val="-2"/>
              </w:rPr>
              <w:t>〕</w:t>
            </w:r>
            <w:r>
              <w:rPr>
                <w:rFonts w:ascii="Times New Roman" w:hAnsi="Times New Roman" w:eastAsia="Times New Roman" w:cs="Times New Roman"/>
              </w:rPr>
              <w:t>22</w:t>
            </w:r>
            <w:r>
              <w:t>号</w:t>
            </w:r>
          </w:p>
        </w:tc>
        <w:tc>
          <w:tcPr>
            <w:tcW w:w="1555" w:type="dxa"/>
            <w:vAlign w:val="top"/>
          </w:tcPr>
          <w:p w14:paraId="5FFB126B">
            <w:pPr>
              <w:spacing w:before="109" w:line="232" w:lineRule="auto"/>
              <w:ind w:left="150" w:right="35" w:hanging="9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91430524</w:t>
            </w:r>
            <w:r>
              <w:rPr>
                <w:rFonts w:ascii="Times New Roman" w:hAnsi="Times New Roman" w:eastAsia="Times New Roman" w:cs="Times New Roman"/>
                <w:sz w:val="20"/>
                <w:szCs w:val="20"/>
              </w:rPr>
              <w:t>MA</w:t>
            </w:r>
            <w:r>
              <w:rPr>
                <w:rFonts w:ascii="Times New Roman" w:hAnsi="Times New Roman" w:eastAsia="Times New Roman" w:cs="Times New Roman"/>
                <w:spacing w:val="5"/>
                <w:sz w:val="20"/>
                <w:szCs w:val="20"/>
              </w:rPr>
              <w:t>4M</w:t>
            </w:r>
            <w:r>
              <w:rPr>
                <w:rFonts w:ascii="Times New Roman" w:hAnsi="Times New Roman" w:eastAsia="Times New Roman" w:cs="Times New Roman"/>
                <w:spacing w:val="4"/>
                <w:sz w:val="20"/>
                <w:szCs w:val="20"/>
              </w:rPr>
              <w:t>5K3N3G001W</w:t>
            </w:r>
          </w:p>
        </w:tc>
        <w:tc>
          <w:tcPr>
            <w:tcW w:w="732" w:type="dxa"/>
            <w:tcBorders>
              <w:right w:val="single" w:color="000000" w:sz="10" w:space="0"/>
            </w:tcBorders>
            <w:vAlign w:val="top"/>
          </w:tcPr>
          <w:p w14:paraId="1B18B6C1">
            <w:pPr>
              <w:pStyle w:val="6"/>
              <w:spacing w:before="192" w:line="228" w:lineRule="auto"/>
              <w:ind w:left="165"/>
            </w:pPr>
            <w:r>
              <w:rPr>
                <w:spacing w:val="4"/>
              </w:rPr>
              <w:t>运行</w:t>
            </w:r>
          </w:p>
        </w:tc>
      </w:tr>
      <w:tr w14:paraId="12A6EA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413" w:type="dxa"/>
            <w:tcBorders>
              <w:left w:val="single" w:color="000000" w:sz="10" w:space="0"/>
            </w:tcBorders>
            <w:vAlign w:val="top"/>
          </w:tcPr>
          <w:p w14:paraId="363D7334">
            <w:pPr>
              <w:spacing w:before="233" w:line="192" w:lineRule="auto"/>
              <w:ind w:left="94"/>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1290" w:type="dxa"/>
            <w:vAlign w:val="top"/>
          </w:tcPr>
          <w:p w14:paraId="6AB12CEE">
            <w:pPr>
              <w:pStyle w:val="6"/>
              <w:spacing w:before="57" w:line="228" w:lineRule="auto"/>
              <w:ind w:left="24"/>
            </w:pPr>
            <w:r>
              <w:rPr>
                <w:spacing w:val="6"/>
              </w:rPr>
              <w:t>隆回长春电子</w:t>
            </w:r>
          </w:p>
          <w:p w14:paraId="1051ABD8">
            <w:pPr>
              <w:pStyle w:val="6"/>
              <w:spacing w:before="27" w:line="204" w:lineRule="auto"/>
              <w:ind w:left="222"/>
            </w:pPr>
            <w:r>
              <w:rPr>
                <w:spacing w:val="7"/>
              </w:rPr>
              <w:t>有限公司</w:t>
            </w:r>
          </w:p>
        </w:tc>
        <w:tc>
          <w:tcPr>
            <w:tcW w:w="2918" w:type="dxa"/>
            <w:vAlign w:val="top"/>
          </w:tcPr>
          <w:p w14:paraId="0B5FD355">
            <w:pPr>
              <w:pStyle w:val="6"/>
              <w:spacing w:before="57" w:line="228" w:lineRule="auto"/>
              <w:ind w:left="44"/>
            </w:pPr>
            <w:r>
              <w:rPr>
                <w:spacing w:val="5"/>
              </w:rPr>
              <w:t>年产</w:t>
            </w:r>
            <w:r>
              <w:rPr>
                <w:rFonts w:ascii="Times New Roman" w:hAnsi="Times New Roman" w:eastAsia="Times New Roman" w:cs="Times New Roman"/>
                <w:spacing w:val="5"/>
              </w:rPr>
              <w:t>1000</w:t>
            </w:r>
            <w:r>
              <w:rPr>
                <w:spacing w:val="5"/>
              </w:rPr>
              <w:t>万只高低频变压器系</w:t>
            </w:r>
          </w:p>
          <w:p w14:paraId="3D806AA1">
            <w:pPr>
              <w:pStyle w:val="6"/>
              <w:spacing w:before="27" w:line="204" w:lineRule="auto"/>
              <w:ind w:left="1151"/>
            </w:pPr>
            <w:r>
              <w:rPr>
                <w:spacing w:val="5"/>
              </w:rPr>
              <w:t>列产品</w:t>
            </w:r>
          </w:p>
        </w:tc>
        <w:tc>
          <w:tcPr>
            <w:tcW w:w="1630" w:type="dxa"/>
            <w:vAlign w:val="top"/>
          </w:tcPr>
          <w:p w14:paraId="31A76AE5">
            <w:pPr>
              <w:pStyle w:val="6"/>
              <w:spacing w:before="56" w:line="229" w:lineRule="auto"/>
              <w:ind w:left="540" w:hanging="505"/>
            </w:pPr>
            <w:r>
              <w:rPr>
                <w:spacing w:val="-2"/>
              </w:rPr>
              <w:t>隆环评函〔</w:t>
            </w:r>
            <w:r>
              <w:rPr>
                <w:rFonts w:ascii="Times New Roman" w:hAnsi="Times New Roman" w:eastAsia="Times New Roman" w:cs="Times New Roman"/>
                <w:spacing w:val="-2"/>
              </w:rPr>
              <w:t>2014</w:t>
            </w:r>
            <w:r>
              <w:rPr>
                <w:spacing w:val="-2"/>
              </w:rPr>
              <w:t>〕</w:t>
            </w:r>
            <w:r>
              <w:rPr>
                <w:rFonts w:ascii="Times New Roman" w:hAnsi="Times New Roman" w:eastAsia="Times New Roman" w:cs="Times New Roman"/>
                <w:spacing w:val="-4"/>
              </w:rPr>
              <w:t>128</w:t>
            </w:r>
            <w:r>
              <w:rPr>
                <w:spacing w:val="-4"/>
              </w:rPr>
              <w:t>号</w:t>
            </w:r>
          </w:p>
        </w:tc>
        <w:tc>
          <w:tcPr>
            <w:tcW w:w="1555" w:type="dxa"/>
            <w:vAlign w:val="top"/>
          </w:tcPr>
          <w:p w14:paraId="1020BB01">
            <w:pPr>
              <w:spacing w:before="108" w:line="232" w:lineRule="auto"/>
              <w:ind w:left="318" w:right="32" w:hanging="26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91430524055825</w:t>
            </w:r>
            <w:r>
              <w:rPr>
                <w:rFonts w:ascii="Times New Roman" w:hAnsi="Times New Roman" w:eastAsia="Times New Roman" w:cs="Times New Roman"/>
                <w:spacing w:val="2"/>
                <w:sz w:val="20"/>
                <w:szCs w:val="20"/>
              </w:rPr>
              <w:t>165A001W</w:t>
            </w:r>
          </w:p>
        </w:tc>
        <w:tc>
          <w:tcPr>
            <w:tcW w:w="732" w:type="dxa"/>
            <w:tcBorders>
              <w:right w:val="single" w:color="000000" w:sz="10" w:space="0"/>
            </w:tcBorders>
            <w:vAlign w:val="top"/>
          </w:tcPr>
          <w:p w14:paraId="78A3E8FC">
            <w:pPr>
              <w:pStyle w:val="6"/>
              <w:spacing w:before="192" w:line="228" w:lineRule="auto"/>
              <w:ind w:left="165"/>
            </w:pPr>
            <w:r>
              <w:rPr>
                <w:spacing w:val="4"/>
              </w:rPr>
              <w:t>运行</w:t>
            </w:r>
          </w:p>
        </w:tc>
      </w:tr>
      <w:tr w14:paraId="35721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13" w:type="dxa"/>
            <w:tcBorders>
              <w:left w:val="single" w:color="000000" w:sz="10" w:space="0"/>
            </w:tcBorders>
            <w:vAlign w:val="top"/>
          </w:tcPr>
          <w:p w14:paraId="7B826C28">
            <w:pPr>
              <w:spacing w:before="231" w:line="195" w:lineRule="auto"/>
              <w:ind w:left="94"/>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1290" w:type="dxa"/>
            <w:vAlign w:val="top"/>
          </w:tcPr>
          <w:p w14:paraId="2F148775">
            <w:pPr>
              <w:pStyle w:val="6"/>
              <w:spacing w:before="60" w:line="228" w:lineRule="auto"/>
              <w:ind w:left="24"/>
            </w:pPr>
            <w:r>
              <w:rPr>
                <w:spacing w:val="6"/>
              </w:rPr>
              <w:t>隆回浩宏塑胶</w:t>
            </w:r>
          </w:p>
          <w:p w14:paraId="29EDD9A5">
            <w:pPr>
              <w:pStyle w:val="6"/>
              <w:spacing w:before="24" w:line="205" w:lineRule="auto"/>
              <w:ind w:left="11"/>
            </w:pPr>
            <w:r>
              <w:rPr>
                <w:spacing w:val="8"/>
              </w:rPr>
              <w:t>制品有限公司</w:t>
            </w:r>
          </w:p>
        </w:tc>
        <w:tc>
          <w:tcPr>
            <w:tcW w:w="2918" w:type="dxa"/>
            <w:vAlign w:val="top"/>
          </w:tcPr>
          <w:p w14:paraId="43F0A08E">
            <w:pPr>
              <w:pStyle w:val="6"/>
              <w:spacing w:before="195" w:line="228" w:lineRule="auto"/>
              <w:ind w:left="569"/>
            </w:pPr>
            <w:r>
              <w:rPr>
                <w:spacing w:val="4"/>
              </w:rPr>
              <w:t>年产</w:t>
            </w:r>
            <w:r>
              <w:rPr>
                <w:rFonts w:ascii="Times New Roman" w:hAnsi="Times New Roman" w:eastAsia="Times New Roman" w:cs="Times New Roman"/>
                <w:spacing w:val="4"/>
              </w:rPr>
              <w:t>50</w:t>
            </w:r>
            <w:r>
              <w:rPr>
                <w:spacing w:val="4"/>
              </w:rPr>
              <w:t>吨塑料外壳</w:t>
            </w:r>
          </w:p>
        </w:tc>
        <w:tc>
          <w:tcPr>
            <w:tcW w:w="1630" w:type="dxa"/>
            <w:vAlign w:val="top"/>
          </w:tcPr>
          <w:p w14:paraId="63B2A9C7">
            <w:pPr>
              <w:pStyle w:val="6"/>
              <w:spacing w:before="60" w:line="228" w:lineRule="auto"/>
              <w:ind w:left="142"/>
            </w:pPr>
            <w:r>
              <w:rPr>
                <w:spacing w:val="6"/>
              </w:rPr>
              <w:t>邵市环审（</w:t>
            </w:r>
            <w:r>
              <w:rPr>
                <w:rFonts w:ascii="Times New Roman" w:hAnsi="Times New Roman" w:eastAsia="Times New Roman" w:cs="Times New Roman"/>
                <w:spacing w:val="6"/>
              </w:rPr>
              <w:t>4</w:t>
            </w:r>
            <w:r>
              <w:rPr>
                <w:spacing w:val="6"/>
              </w:rPr>
              <w:t>）</w:t>
            </w:r>
          </w:p>
          <w:p w14:paraId="3E57E065">
            <w:pPr>
              <w:pStyle w:val="6"/>
              <w:spacing w:before="24" w:line="205" w:lineRule="auto"/>
              <w:ind w:left="247"/>
            </w:pPr>
            <w:r>
              <w:rPr>
                <w:spacing w:val="1"/>
              </w:rPr>
              <w:t>〔</w:t>
            </w:r>
            <w:r>
              <w:rPr>
                <w:rFonts w:ascii="Times New Roman" w:hAnsi="Times New Roman" w:eastAsia="Times New Roman" w:cs="Times New Roman"/>
                <w:spacing w:val="1"/>
              </w:rPr>
              <w:t>2021</w:t>
            </w:r>
            <w:r>
              <w:rPr>
                <w:spacing w:val="1"/>
              </w:rPr>
              <w:t>〕</w:t>
            </w:r>
            <w:r>
              <w:rPr>
                <w:rFonts w:ascii="Times New Roman" w:hAnsi="Times New Roman" w:eastAsia="Times New Roman" w:cs="Times New Roman"/>
                <w:spacing w:val="1"/>
              </w:rPr>
              <w:t>3</w:t>
            </w:r>
            <w:r>
              <w:rPr>
                <w:spacing w:val="1"/>
              </w:rPr>
              <w:t>号</w:t>
            </w:r>
          </w:p>
        </w:tc>
        <w:tc>
          <w:tcPr>
            <w:tcW w:w="1555" w:type="dxa"/>
            <w:vAlign w:val="top"/>
          </w:tcPr>
          <w:p w14:paraId="342EED8A">
            <w:pPr>
              <w:spacing w:before="227"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32" w:type="dxa"/>
            <w:tcBorders>
              <w:right w:val="single" w:color="000000" w:sz="10" w:space="0"/>
            </w:tcBorders>
            <w:vAlign w:val="top"/>
          </w:tcPr>
          <w:p w14:paraId="175A2FAE">
            <w:pPr>
              <w:pStyle w:val="6"/>
              <w:spacing w:before="195" w:line="228" w:lineRule="auto"/>
              <w:ind w:left="165"/>
            </w:pPr>
            <w:r>
              <w:rPr>
                <w:spacing w:val="4"/>
              </w:rPr>
              <w:t>运行</w:t>
            </w:r>
          </w:p>
        </w:tc>
      </w:tr>
      <w:tr w14:paraId="3C2A3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413" w:type="dxa"/>
            <w:tcBorders>
              <w:left w:val="single" w:color="000000" w:sz="10" w:space="0"/>
            </w:tcBorders>
            <w:vAlign w:val="top"/>
          </w:tcPr>
          <w:p w14:paraId="753B0602">
            <w:pPr>
              <w:spacing w:line="311" w:lineRule="auto"/>
              <w:rPr>
                <w:rFonts w:ascii="Arial"/>
                <w:sz w:val="21"/>
              </w:rPr>
            </w:pPr>
          </w:p>
          <w:p w14:paraId="5C03C339">
            <w:pPr>
              <w:spacing w:before="57" w:line="192" w:lineRule="auto"/>
              <w:ind w:left="94"/>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1290" w:type="dxa"/>
            <w:vAlign w:val="top"/>
          </w:tcPr>
          <w:p w14:paraId="128F77D4">
            <w:pPr>
              <w:pStyle w:val="6"/>
              <w:spacing w:before="60" w:line="228" w:lineRule="auto"/>
              <w:ind w:left="24"/>
            </w:pPr>
            <w:r>
              <w:rPr>
                <w:spacing w:val="6"/>
              </w:rPr>
              <w:t>隆回县凯迪绿</w:t>
            </w:r>
          </w:p>
          <w:p w14:paraId="01CBD63A">
            <w:pPr>
              <w:pStyle w:val="6"/>
              <w:spacing w:before="24" w:line="228" w:lineRule="auto"/>
              <w:ind w:left="13"/>
            </w:pPr>
            <w:r>
              <w:rPr>
                <w:spacing w:val="7"/>
              </w:rPr>
              <w:t>色能源开发有</w:t>
            </w:r>
          </w:p>
          <w:p w14:paraId="6E25FDAF">
            <w:pPr>
              <w:pStyle w:val="6"/>
              <w:spacing w:before="23" w:line="205" w:lineRule="auto"/>
              <w:ind w:left="339"/>
            </w:pPr>
            <w:r>
              <w:rPr>
                <w:spacing w:val="2"/>
              </w:rPr>
              <w:t>限公司</w:t>
            </w:r>
          </w:p>
        </w:tc>
        <w:tc>
          <w:tcPr>
            <w:tcW w:w="2918" w:type="dxa"/>
            <w:vAlign w:val="top"/>
          </w:tcPr>
          <w:p w14:paraId="5D1055D2">
            <w:pPr>
              <w:spacing w:line="265" w:lineRule="auto"/>
              <w:rPr>
                <w:rFonts w:ascii="Arial"/>
                <w:sz w:val="21"/>
              </w:rPr>
            </w:pPr>
          </w:p>
          <w:p w14:paraId="3107CB20">
            <w:pPr>
              <w:pStyle w:val="6"/>
              <w:spacing w:before="65" w:line="228" w:lineRule="auto"/>
              <w:ind w:left="412"/>
            </w:pPr>
            <w:r>
              <w:rPr>
                <w:spacing w:val="7"/>
              </w:rPr>
              <w:t>生物质电厂（已停产）</w:t>
            </w:r>
          </w:p>
        </w:tc>
        <w:tc>
          <w:tcPr>
            <w:tcW w:w="1630" w:type="dxa"/>
            <w:vAlign w:val="top"/>
          </w:tcPr>
          <w:p w14:paraId="6B01C240">
            <w:pPr>
              <w:pStyle w:val="6"/>
              <w:spacing w:before="195" w:line="228" w:lineRule="auto"/>
              <w:ind w:left="402"/>
            </w:pPr>
            <w:r>
              <w:rPr>
                <w:spacing w:val="7"/>
              </w:rPr>
              <w:t>湘环评表</w:t>
            </w:r>
          </w:p>
          <w:p w14:paraId="04507DE7">
            <w:pPr>
              <w:pStyle w:val="6"/>
              <w:spacing w:before="26" w:line="221" w:lineRule="auto"/>
              <w:ind w:left="316"/>
            </w:pPr>
            <w:r>
              <w:rPr>
                <w:rFonts w:ascii="Times New Roman" w:hAnsi="Times New Roman" w:eastAsia="Times New Roman" w:cs="Times New Roman"/>
                <w:spacing w:val="2"/>
              </w:rPr>
              <w:t>[2008]11</w:t>
            </w:r>
            <w:r>
              <w:rPr>
                <w:spacing w:val="2"/>
              </w:rPr>
              <w:t>号</w:t>
            </w:r>
          </w:p>
        </w:tc>
        <w:tc>
          <w:tcPr>
            <w:tcW w:w="1555" w:type="dxa"/>
            <w:vAlign w:val="top"/>
          </w:tcPr>
          <w:p w14:paraId="57507575">
            <w:pPr>
              <w:spacing w:line="304" w:lineRule="auto"/>
              <w:rPr>
                <w:rFonts w:ascii="Arial"/>
                <w:sz w:val="21"/>
              </w:rPr>
            </w:pPr>
          </w:p>
          <w:p w14:paraId="395DEC26">
            <w:pPr>
              <w:spacing w:before="58"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32" w:type="dxa"/>
            <w:tcBorders>
              <w:right w:val="single" w:color="000000" w:sz="10" w:space="0"/>
            </w:tcBorders>
            <w:vAlign w:val="top"/>
          </w:tcPr>
          <w:p w14:paraId="5EB3E7AA">
            <w:pPr>
              <w:spacing w:line="265" w:lineRule="auto"/>
              <w:rPr>
                <w:rFonts w:ascii="Arial"/>
                <w:sz w:val="21"/>
              </w:rPr>
            </w:pPr>
          </w:p>
          <w:p w14:paraId="4A38C7CC">
            <w:pPr>
              <w:pStyle w:val="6"/>
              <w:spacing w:before="65" w:line="228" w:lineRule="auto"/>
              <w:ind w:left="166"/>
            </w:pPr>
            <w:r>
              <w:rPr>
                <w:spacing w:val="4"/>
              </w:rPr>
              <w:t>停产</w:t>
            </w:r>
          </w:p>
        </w:tc>
      </w:tr>
      <w:tr w14:paraId="445C66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1" w:hRule="atLeast"/>
        </w:trPr>
        <w:tc>
          <w:tcPr>
            <w:tcW w:w="413" w:type="dxa"/>
            <w:tcBorders>
              <w:left w:val="single" w:color="000000" w:sz="10" w:space="0"/>
            </w:tcBorders>
            <w:vAlign w:val="top"/>
          </w:tcPr>
          <w:p w14:paraId="5841BD25">
            <w:pPr>
              <w:spacing w:line="359" w:lineRule="auto"/>
              <w:rPr>
                <w:rFonts w:ascii="Arial"/>
                <w:sz w:val="21"/>
              </w:rPr>
            </w:pPr>
          </w:p>
          <w:p w14:paraId="039EDDEE">
            <w:pPr>
              <w:spacing w:line="359" w:lineRule="auto"/>
              <w:rPr>
                <w:rFonts w:ascii="Arial"/>
                <w:sz w:val="21"/>
              </w:rPr>
            </w:pPr>
          </w:p>
          <w:p w14:paraId="1C01BA62">
            <w:pPr>
              <w:spacing w:before="58" w:line="195" w:lineRule="auto"/>
              <w:ind w:left="94"/>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1290" w:type="dxa"/>
            <w:vAlign w:val="top"/>
          </w:tcPr>
          <w:p w14:paraId="45F2ED2E">
            <w:pPr>
              <w:spacing w:line="403" w:lineRule="auto"/>
              <w:rPr>
                <w:rFonts w:ascii="Arial"/>
                <w:sz w:val="21"/>
              </w:rPr>
            </w:pPr>
          </w:p>
          <w:p w14:paraId="5D620271">
            <w:pPr>
              <w:pStyle w:val="6"/>
              <w:spacing w:before="65" w:line="228" w:lineRule="auto"/>
              <w:ind w:left="24"/>
            </w:pPr>
            <w:r>
              <w:rPr>
                <w:spacing w:val="6"/>
              </w:rPr>
              <w:t>隆回聚森清洁</w:t>
            </w:r>
          </w:p>
          <w:p w14:paraId="1ADF9E78">
            <w:pPr>
              <w:pStyle w:val="6"/>
              <w:spacing w:before="24" w:line="227" w:lineRule="auto"/>
              <w:ind w:left="19"/>
            </w:pPr>
            <w:r>
              <w:rPr>
                <w:spacing w:val="6"/>
              </w:rPr>
              <w:t>能源供热有限</w:t>
            </w:r>
          </w:p>
          <w:p w14:paraId="26B062A0">
            <w:pPr>
              <w:pStyle w:val="6"/>
              <w:spacing w:before="27" w:line="230" w:lineRule="auto"/>
              <w:ind w:left="437"/>
            </w:pPr>
            <w:r>
              <w:rPr>
                <w:spacing w:val="1"/>
              </w:rPr>
              <w:t>公司</w:t>
            </w:r>
          </w:p>
        </w:tc>
        <w:tc>
          <w:tcPr>
            <w:tcW w:w="2918" w:type="dxa"/>
            <w:vAlign w:val="top"/>
          </w:tcPr>
          <w:p w14:paraId="3FA3F97A">
            <w:pPr>
              <w:spacing w:line="404" w:lineRule="auto"/>
              <w:rPr>
                <w:rFonts w:ascii="Arial"/>
                <w:sz w:val="21"/>
              </w:rPr>
            </w:pPr>
          </w:p>
          <w:p w14:paraId="1AD265A8">
            <w:pPr>
              <w:pStyle w:val="6"/>
              <w:spacing w:before="65" w:line="225" w:lineRule="auto"/>
              <w:jc w:val="right"/>
            </w:pPr>
            <w:r>
              <w:rPr>
                <w:spacing w:val="-1"/>
              </w:rPr>
              <w:t>①年产</w:t>
            </w:r>
            <w:r>
              <w:rPr>
                <w:rFonts w:ascii="Times New Roman" w:hAnsi="Times New Roman" w:eastAsia="Times New Roman" w:cs="Times New Roman"/>
                <w:spacing w:val="-1"/>
              </w:rPr>
              <w:t>10</w:t>
            </w:r>
            <w:r>
              <w:rPr>
                <w:spacing w:val="-1"/>
              </w:rPr>
              <w:t>万吨生物质成型颗粒；</w:t>
            </w:r>
          </w:p>
          <w:p w14:paraId="092E4CD5">
            <w:pPr>
              <w:pStyle w:val="6"/>
              <w:spacing w:before="27" w:line="225" w:lineRule="auto"/>
              <w:ind w:left="68"/>
            </w:pPr>
            <w:r>
              <w:rPr>
                <w:spacing w:val="5"/>
              </w:rPr>
              <w:t>②年产</w:t>
            </w:r>
            <w:r>
              <w:rPr>
                <w:rFonts w:ascii="Times New Roman" w:hAnsi="Times New Roman" w:eastAsia="Times New Roman" w:cs="Times New Roman"/>
                <w:spacing w:val="5"/>
              </w:rPr>
              <w:t>14.4</w:t>
            </w:r>
            <w:r>
              <w:rPr>
                <w:spacing w:val="5"/>
              </w:rPr>
              <w:t>万吨蒸汽（设计产</w:t>
            </w:r>
          </w:p>
          <w:p w14:paraId="5DFAB01A">
            <w:pPr>
              <w:pStyle w:val="6"/>
              <w:spacing w:before="29" w:line="229" w:lineRule="auto"/>
              <w:ind w:left="1258"/>
            </w:pPr>
            <w:r>
              <w:rPr>
                <w:spacing w:val="-4"/>
              </w:rPr>
              <w:t>能）</w:t>
            </w:r>
          </w:p>
        </w:tc>
        <w:tc>
          <w:tcPr>
            <w:tcW w:w="1630" w:type="dxa"/>
            <w:vAlign w:val="top"/>
          </w:tcPr>
          <w:p w14:paraId="66B63FC5">
            <w:pPr>
              <w:pStyle w:val="6"/>
              <w:spacing w:before="64" w:line="251" w:lineRule="auto"/>
              <w:ind w:left="126" w:right="74" w:hanging="37"/>
            </w:pPr>
            <w:r>
              <w:rPr>
                <w:spacing w:val="8"/>
              </w:rPr>
              <w:t>邵生环隆分环评</w:t>
            </w:r>
            <w:r>
              <w:rPr>
                <w:spacing w:val="3"/>
              </w:rPr>
              <w:t>函〔</w:t>
            </w:r>
            <w:r>
              <w:rPr>
                <w:rFonts w:ascii="Times New Roman" w:hAnsi="Times New Roman" w:eastAsia="Times New Roman" w:cs="Times New Roman"/>
                <w:spacing w:val="3"/>
              </w:rPr>
              <w:t>2019</w:t>
            </w:r>
            <w:r>
              <w:rPr>
                <w:spacing w:val="3"/>
              </w:rPr>
              <w:t>〕</w:t>
            </w:r>
            <w:r>
              <w:rPr>
                <w:rFonts w:ascii="Times New Roman" w:hAnsi="Times New Roman" w:eastAsia="Times New Roman" w:cs="Times New Roman"/>
                <w:spacing w:val="3"/>
              </w:rPr>
              <w:t>5</w:t>
            </w:r>
            <w:r>
              <w:rPr>
                <w:spacing w:val="3"/>
              </w:rPr>
              <w:t>号</w:t>
            </w:r>
          </w:p>
          <w:p w14:paraId="7F66C7FC">
            <w:pPr>
              <w:pStyle w:val="6"/>
              <w:spacing w:line="227" w:lineRule="auto"/>
              <w:ind w:left="142"/>
            </w:pPr>
            <w:r>
              <w:rPr>
                <w:spacing w:val="6"/>
              </w:rPr>
              <w:t>邵市环评（</w:t>
            </w:r>
            <w:r>
              <w:rPr>
                <w:rFonts w:ascii="Times New Roman" w:hAnsi="Times New Roman" w:eastAsia="Times New Roman" w:cs="Times New Roman"/>
                <w:spacing w:val="6"/>
              </w:rPr>
              <w:t>4</w:t>
            </w:r>
            <w:r>
              <w:rPr>
                <w:spacing w:val="6"/>
              </w:rPr>
              <w:t>）</w:t>
            </w:r>
          </w:p>
          <w:p w14:paraId="3F44DB3D">
            <w:pPr>
              <w:pStyle w:val="6"/>
              <w:spacing w:before="24" w:line="229" w:lineRule="auto"/>
              <w:ind w:left="196"/>
            </w:pPr>
            <w:r>
              <w:rPr>
                <w:spacing w:val="1"/>
              </w:rPr>
              <w:t>〔</w:t>
            </w:r>
            <w:r>
              <w:rPr>
                <w:rFonts w:ascii="Times New Roman" w:hAnsi="Times New Roman" w:eastAsia="Times New Roman" w:cs="Times New Roman"/>
                <w:spacing w:val="1"/>
              </w:rPr>
              <w:t>2021</w:t>
            </w:r>
            <w:r>
              <w:rPr>
                <w:spacing w:val="1"/>
              </w:rPr>
              <w:t>〕</w:t>
            </w:r>
            <w:r>
              <w:rPr>
                <w:rFonts w:ascii="Times New Roman" w:hAnsi="Times New Roman" w:eastAsia="Times New Roman" w:cs="Times New Roman"/>
                <w:spacing w:val="1"/>
              </w:rPr>
              <w:t>16</w:t>
            </w:r>
            <w:r>
              <w:rPr>
                <w:spacing w:val="1"/>
              </w:rPr>
              <w:t>号</w:t>
            </w:r>
          </w:p>
          <w:p w14:paraId="0F6AAD9C">
            <w:pPr>
              <w:pStyle w:val="6"/>
              <w:spacing w:before="25" w:line="228" w:lineRule="auto"/>
              <w:ind w:left="142"/>
            </w:pPr>
            <w:r>
              <w:rPr>
                <w:spacing w:val="6"/>
              </w:rPr>
              <w:t>邵市环评（</w:t>
            </w:r>
            <w:r>
              <w:rPr>
                <w:rFonts w:ascii="Times New Roman" w:hAnsi="Times New Roman" w:eastAsia="Times New Roman" w:cs="Times New Roman"/>
                <w:spacing w:val="6"/>
              </w:rPr>
              <w:t>4</w:t>
            </w:r>
            <w:r>
              <w:rPr>
                <w:spacing w:val="6"/>
              </w:rPr>
              <w:t>）</w:t>
            </w:r>
          </w:p>
          <w:p w14:paraId="2F2ECC94">
            <w:pPr>
              <w:pStyle w:val="6"/>
              <w:spacing w:before="24" w:line="200" w:lineRule="auto"/>
              <w:ind w:left="196"/>
            </w:pPr>
            <w:r>
              <w:rPr>
                <w:spacing w:val="1"/>
              </w:rPr>
              <w:t>〔</w:t>
            </w:r>
            <w:r>
              <w:rPr>
                <w:rFonts w:ascii="Times New Roman" w:hAnsi="Times New Roman" w:eastAsia="Times New Roman" w:cs="Times New Roman"/>
                <w:spacing w:val="1"/>
              </w:rPr>
              <w:t>2023</w:t>
            </w:r>
            <w:r>
              <w:rPr>
                <w:spacing w:val="1"/>
              </w:rPr>
              <w:t>〕</w:t>
            </w:r>
            <w:r>
              <w:rPr>
                <w:rFonts w:ascii="Times New Roman" w:hAnsi="Times New Roman" w:eastAsia="Times New Roman" w:cs="Times New Roman"/>
                <w:spacing w:val="1"/>
              </w:rPr>
              <w:t>32</w:t>
            </w:r>
            <w:r>
              <w:rPr>
                <w:spacing w:val="1"/>
              </w:rPr>
              <w:t>号</w:t>
            </w:r>
          </w:p>
        </w:tc>
        <w:tc>
          <w:tcPr>
            <w:tcW w:w="1555" w:type="dxa"/>
            <w:vAlign w:val="top"/>
          </w:tcPr>
          <w:p w14:paraId="5A068CF4">
            <w:pPr>
              <w:spacing w:line="299" w:lineRule="auto"/>
              <w:rPr>
                <w:rFonts w:ascii="Arial"/>
                <w:sz w:val="21"/>
              </w:rPr>
            </w:pPr>
          </w:p>
          <w:p w14:paraId="55003453">
            <w:pPr>
              <w:spacing w:line="299" w:lineRule="auto"/>
              <w:rPr>
                <w:rFonts w:ascii="Arial"/>
                <w:sz w:val="21"/>
              </w:rPr>
            </w:pPr>
          </w:p>
          <w:p w14:paraId="7D32C8D2">
            <w:pPr>
              <w:spacing w:before="57" w:line="261" w:lineRule="auto"/>
              <w:ind w:left="197" w:right="35" w:hanging="14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91430524</w:t>
            </w:r>
            <w:r>
              <w:rPr>
                <w:rFonts w:ascii="Times New Roman" w:hAnsi="Times New Roman" w:eastAsia="Times New Roman" w:cs="Times New Roman"/>
                <w:sz w:val="20"/>
                <w:szCs w:val="20"/>
              </w:rPr>
              <w:t>MA</w:t>
            </w:r>
            <w:r>
              <w:rPr>
                <w:rFonts w:ascii="Times New Roman" w:hAnsi="Times New Roman" w:eastAsia="Times New Roman" w:cs="Times New Roman"/>
                <w:spacing w:val="5"/>
                <w:sz w:val="20"/>
                <w:szCs w:val="20"/>
              </w:rPr>
              <w:t>4M2M0724001V</w:t>
            </w:r>
          </w:p>
        </w:tc>
        <w:tc>
          <w:tcPr>
            <w:tcW w:w="732" w:type="dxa"/>
            <w:tcBorders>
              <w:right w:val="single" w:color="000000" w:sz="10" w:space="0"/>
            </w:tcBorders>
            <w:vAlign w:val="top"/>
          </w:tcPr>
          <w:p w14:paraId="4CFA33FD">
            <w:pPr>
              <w:spacing w:line="336" w:lineRule="auto"/>
              <w:rPr>
                <w:rFonts w:ascii="Arial"/>
                <w:sz w:val="21"/>
              </w:rPr>
            </w:pPr>
          </w:p>
          <w:p w14:paraId="02A48674">
            <w:pPr>
              <w:spacing w:line="337" w:lineRule="auto"/>
              <w:rPr>
                <w:rFonts w:ascii="Arial"/>
                <w:sz w:val="21"/>
              </w:rPr>
            </w:pPr>
          </w:p>
          <w:p w14:paraId="55D8161B">
            <w:pPr>
              <w:pStyle w:val="6"/>
              <w:spacing w:before="65" w:line="228" w:lineRule="auto"/>
              <w:ind w:left="165"/>
            </w:pPr>
            <w:r>
              <w:rPr>
                <w:spacing w:val="4"/>
              </w:rPr>
              <w:t>运行</w:t>
            </w:r>
          </w:p>
        </w:tc>
      </w:tr>
      <w:tr w14:paraId="53E9A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13" w:type="dxa"/>
            <w:tcBorders>
              <w:left w:val="single" w:color="000000" w:sz="10" w:space="0"/>
            </w:tcBorders>
            <w:vAlign w:val="top"/>
          </w:tcPr>
          <w:p w14:paraId="1E14716F">
            <w:pPr>
              <w:spacing w:before="238" w:line="195" w:lineRule="auto"/>
              <w:ind w:left="94"/>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c>
          <w:tcPr>
            <w:tcW w:w="1290" w:type="dxa"/>
            <w:vAlign w:val="top"/>
          </w:tcPr>
          <w:p w14:paraId="44AD88E3">
            <w:pPr>
              <w:pStyle w:val="6"/>
              <w:spacing w:before="65" w:line="228" w:lineRule="auto"/>
              <w:ind w:left="24"/>
            </w:pPr>
            <w:r>
              <w:rPr>
                <w:spacing w:val="6"/>
              </w:rPr>
              <w:t>隆回县华茂污</w:t>
            </w:r>
          </w:p>
          <w:p w14:paraId="463907E9">
            <w:pPr>
              <w:pStyle w:val="6"/>
              <w:spacing w:before="27" w:line="198" w:lineRule="auto"/>
              <w:ind w:left="224"/>
            </w:pPr>
            <w:r>
              <w:rPr>
                <w:spacing w:val="6"/>
              </w:rPr>
              <w:t>水处理厂</w:t>
            </w:r>
          </w:p>
        </w:tc>
        <w:tc>
          <w:tcPr>
            <w:tcW w:w="2918" w:type="dxa"/>
            <w:vAlign w:val="top"/>
          </w:tcPr>
          <w:p w14:paraId="24296C4C">
            <w:pPr>
              <w:pStyle w:val="6"/>
              <w:spacing w:before="65" w:line="228" w:lineRule="auto"/>
              <w:ind w:left="50"/>
            </w:pPr>
            <w:r>
              <w:rPr>
                <w:spacing w:val="6"/>
              </w:rPr>
              <w:t>日处理能力为</w:t>
            </w:r>
            <w:r>
              <w:rPr>
                <w:rFonts w:ascii="Times New Roman" w:hAnsi="Times New Roman" w:eastAsia="Times New Roman" w:cs="Times New Roman"/>
                <w:spacing w:val="6"/>
              </w:rPr>
              <w:t>3</w:t>
            </w:r>
            <w:r>
              <w:rPr>
                <w:spacing w:val="6"/>
              </w:rPr>
              <w:t>万吨的城市生活</w:t>
            </w:r>
          </w:p>
          <w:p w14:paraId="247C334A">
            <w:pPr>
              <w:pStyle w:val="6"/>
              <w:spacing w:before="27" w:line="198" w:lineRule="auto"/>
              <w:ind w:left="937"/>
            </w:pPr>
            <w:r>
              <w:rPr>
                <w:spacing w:val="7"/>
              </w:rPr>
              <w:t>污水处理厂</w:t>
            </w:r>
          </w:p>
        </w:tc>
        <w:tc>
          <w:tcPr>
            <w:tcW w:w="1630" w:type="dxa"/>
            <w:vAlign w:val="top"/>
          </w:tcPr>
          <w:p w14:paraId="3D1EDF1D">
            <w:pPr>
              <w:pStyle w:val="6"/>
              <w:spacing w:before="65" w:line="228" w:lineRule="auto"/>
              <w:ind w:left="403"/>
            </w:pPr>
            <w:r>
              <w:rPr>
                <w:spacing w:val="7"/>
              </w:rPr>
              <w:t>邵市环评</w:t>
            </w:r>
          </w:p>
          <w:p w14:paraId="2DC8AA03">
            <w:pPr>
              <w:pStyle w:val="6"/>
              <w:spacing w:before="27" w:line="198" w:lineRule="auto"/>
              <w:ind w:left="316"/>
            </w:pPr>
            <w:r>
              <w:rPr>
                <w:rFonts w:ascii="Times New Roman" w:hAnsi="Times New Roman" w:eastAsia="Times New Roman" w:cs="Times New Roman"/>
                <w:spacing w:val="2"/>
              </w:rPr>
              <w:t>[2008]23</w:t>
            </w:r>
            <w:r>
              <w:rPr>
                <w:spacing w:val="2"/>
              </w:rPr>
              <w:t>号</w:t>
            </w:r>
          </w:p>
        </w:tc>
        <w:tc>
          <w:tcPr>
            <w:tcW w:w="1555" w:type="dxa"/>
            <w:vAlign w:val="top"/>
          </w:tcPr>
          <w:p w14:paraId="3B51A0AD">
            <w:pPr>
              <w:spacing w:before="118" w:line="227" w:lineRule="auto"/>
              <w:ind w:left="323" w:right="32" w:hanging="26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91430524689514</w:t>
            </w:r>
            <w:r>
              <w:rPr>
                <w:rFonts w:ascii="Times New Roman" w:hAnsi="Times New Roman" w:eastAsia="Times New Roman" w:cs="Times New Roman"/>
                <w:spacing w:val="3"/>
                <w:sz w:val="20"/>
                <w:szCs w:val="20"/>
              </w:rPr>
              <w:t>14</w:t>
            </w:r>
            <w:r>
              <w:rPr>
                <w:rFonts w:ascii="Times New Roman" w:hAnsi="Times New Roman" w:eastAsia="Times New Roman" w:cs="Times New Roman"/>
                <w:sz w:val="20"/>
                <w:szCs w:val="20"/>
              </w:rPr>
              <w:t>XY</w:t>
            </w:r>
            <w:r>
              <w:rPr>
                <w:rFonts w:ascii="Times New Roman" w:hAnsi="Times New Roman" w:eastAsia="Times New Roman" w:cs="Times New Roman"/>
                <w:spacing w:val="3"/>
                <w:sz w:val="20"/>
                <w:szCs w:val="20"/>
              </w:rPr>
              <w:t>001C</w:t>
            </w:r>
          </w:p>
        </w:tc>
        <w:tc>
          <w:tcPr>
            <w:tcW w:w="732" w:type="dxa"/>
            <w:tcBorders>
              <w:right w:val="single" w:color="000000" w:sz="10" w:space="0"/>
            </w:tcBorders>
            <w:vAlign w:val="top"/>
          </w:tcPr>
          <w:p w14:paraId="2D158D42">
            <w:pPr>
              <w:pStyle w:val="6"/>
              <w:spacing w:before="202" w:line="228" w:lineRule="auto"/>
              <w:ind w:left="165"/>
            </w:pPr>
            <w:r>
              <w:rPr>
                <w:spacing w:val="4"/>
              </w:rPr>
              <w:t>运行</w:t>
            </w:r>
          </w:p>
        </w:tc>
      </w:tr>
      <w:tr w14:paraId="76F262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413" w:type="dxa"/>
            <w:tcBorders>
              <w:left w:val="single" w:color="000000" w:sz="10" w:space="0"/>
            </w:tcBorders>
            <w:vAlign w:val="top"/>
          </w:tcPr>
          <w:p w14:paraId="506E6210">
            <w:pPr>
              <w:spacing w:before="238" w:line="195" w:lineRule="auto"/>
              <w:ind w:left="93"/>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290" w:type="dxa"/>
            <w:vAlign w:val="top"/>
          </w:tcPr>
          <w:p w14:paraId="6C936099">
            <w:pPr>
              <w:pStyle w:val="6"/>
              <w:spacing w:before="65" w:line="228" w:lineRule="auto"/>
              <w:ind w:left="24"/>
            </w:pPr>
            <w:r>
              <w:rPr>
                <w:spacing w:val="6"/>
              </w:rPr>
              <w:t>隆回工业污水</w:t>
            </w:r>
          </w:p>
          <w:p w14:paraId="68B49575">
            <w:pPr>
              <w:pStyle w:val="6"/>
              <w:spacing w:before="27" w:line="197" w:lineRule="auto"/>
              <w:ind w:left="329"/>
            </w:pPr>
            <w:r>
              <w:rPr>
                <w:spacing w:val="5"/>
              </w:rPr>
              <w:t>处理厂</w:t>
            </w:r>
          </w:p>
        </w:tc>
        <w:tc>
          <w:tcPr>
            <w:tcW w:w="2918" w:type="dxa"/>
            <w:vAlign w:val="top"/>
          </w:tcPr>
          <w:p w14:paraId="3C380201">
            <w:pPr>
              <w:pStyle w:val="6"/>
              <w:spacing w:before="201" w:line="228" w:lineRule="auto"/>
              <w:ind w:left="472"/>
            </w:pPr>
            <w:r>
              <w:t>日处理能力为</w:t>
            </w:r>
            <w:r>
              <w:rPr>
                <w:rFonts w:ascii="Times New Roman" w:hAnsi="Times New Roman" w:eastAsia="Times New Roman" w:cs="Times New Roman"/>
              </w:rPr>
              <w:t>1.5</w:t>
            </w:r>
            <w:r>
              <w:t>万吨</w:t>
            </w:r>
          </w:p>
        </w:tc>
        <w:tc>
          <w:tcPr>
            <w:tcW w:w="1630" w:type="dxa"/>
            <w:vAlign w:val="top"/>
          </w:tcPr>
          <w:p w14:paraId="1362FC68">
            <w:pPr>
              <w:pStyle w:val="6"/>
              <w:spacing w:before="65" w:line="225" w:lineRule="auto"/>
              <w:ind w:left="573" w:hanging="551"/>
            </w:pPr>
            <w:r>
              <w:t>邵市环评〔</w:t>
            </w:r>
            <w:r>
              <w:rPr>
                <w:rFonts w:ascii="Times New Roman" w:hAnsi="Times New Roman" w:eastAsia="Times New Roman" w:cs="Times New Roman"/>
              </w:rPr>
              <w:t>2017</w:t>
            </w:r>
            <w:r>
              <w:t>〕</w:t>
            </w:r>
            <w:r>
              <w:rPr>
                <w:rFonts w:ascii="Times New Roman" w:hAnsi="Times New Roman" w:eastAsia="Times New Roman" w:cs="Times New Roman"/>
                <w:spacing w:val="1"/>
              </w:rPr>
              <w:t>45</w:t>
            </w:r>
            <w:r>
              <w:rPr>
                <w:spacing w:val="1"/>
              </w:rPr>
              <w:t>号</w:t>
            </w:r>
          </w:p>
        </w:tc>
        <w:tc>
          <w:tcPr>
            <w:tcW w:w="1555" w:type="dxa"/>
            <w:vAlign w:val="top"/>
          </w:tcPr>
          <w:p w14:paraId="148AC2BD">
            <w:pPr>
              <w:spacing w:before="117" w:line="227" w:lineRule="auto"/>
              <w:ind w:left="348" w:right="32" w:hanging="29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914305247853813751001V</w:t>
            </w:r>
          </w:p>
        </w:tc>
        <w:tc>
          <w:tcPr>
            <w:tcW w:w="732" w:type="dxa"/>
            <w:tcBorders>
              <w:right w:val="single" w:color="000000" w:sz="10" w:space="0"/>
            </w:tcBorders>
            <w:vAlign w:val="top"/>
          </w:tcPr>
          <w:p w14:paraId="00E8EB9C">
            <w:pPr>
              <w:pStyle w:val="6"/>
              <w:spacing w:before="202" w:line="228" w:lineRule="auto"/>
              <w:ind w:left="165"/>
            </w:pPr>
            <w:r>
              <w:rPr>
                <w:spacing w:val="4"/>
              </w:rPr>
              <w:t>运行</w:t>
            </w:r>
          </w:p>
        </w:tc>
      </w:tr>
      <w:tr w14:paraId="454B9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13" w:type="dxa"/>
            <w:tcBorders>
              <w:left w:val="single" w:color="000000" w:sz="10" w:space="0"/>
            </w:tcBorders>
            <w:vAlign w:val="top"/>
          </w:tcPr>
          <w:p w14:paraId="57C38A72">
            <w:pPr>
              <w:spacing w:before="241" w:line="195" w:lineRule="auto"/>
              <w:ind w:left="93"/>
              <w:rPr>
                <w:rFonts w:ascii="Times New Roman" w:hAnsi="Times New Roman" w:eastAsia="Times New Roman" w:cs="Times New Roman"/>
                <w:sz w:val="20"/>
                <w:szCs w:val="20"/>
              </w:rPr>
            </w:pPr>
            <w:r>
              <w:rPr>
                <w:rFonts w:ascii="Times New Roman" w:hAnsi="Times New Roman" w:eastAsia="Times New Roman" w:cs="Times New Roman"/>
                <w:sz w:val="20"/>
                <w:szCs w:val="20"/>
              </w:rPr>
              <w:t>61</w:t>
            </w:r>
          </w:p>
        </w:tc>
        <w:tc>
          <w:tcPr>
            <w:tcW w:w="1290" w:type="dxa"/>
            <w:vAlign w:val="top"/>
          </w:tcPr>
          <w:p w14:paraId="022E5E6A">
            <w:pPr>
              <w:pStyle w:val="6"/>
              <w:spacing w:before="68" w:line="224" w:lineRule="auto"/>
              <w:ind w:left="117" w:right="24" w:hanging="93"/>
            </w:pPr>
            <w:r>
              <w:rPr>
                <w:spacing w:val="6"/>
              </w:rPr>
              <w:t>隆回县绿隆环</w:t>
            </w:r>
            <w:r>
              <w:rPr>
                <w:spacing w:val="7"/>
              </w:rPr>
              <w:t>保有限公司</w:t>
            </w:r>
          </w:p>
        </w:tc>
        <w:tc>
          <w:tcPr>
            <w:tcW w:w="2918" w:type="dxa"/>
            <w:vAlign w:val="top"/>
          </w:tcPr>
          <w:p w14:paraId="5C5A778E">
            <w:pPr>
              <w:pStyle w:val="6"/>
              <w:spacing w:before="202" w:line="228" w:lineRule="auto"/>
              <w:ind w:left="515"/>
            </w:pPr>
            <w:r>
              <w:rPr>
                <w:spacing w:val="9"/>
              </w:rPr>
              <w:t>废矿物油收集和储存</w:t>
            </w:r>
          </w:p>
        </w:tc>
        <w:tc>
          <w:tcPr>
            <w:tcW w:w="1630" w:type="dxa"/>
            <w:vAlign w:val="top"/>
          </w:tcPr>
          <w:p w14:paraId="52847383">
            <w:pPr>
              <w:pStyle w:val="6"/>
              <w:spacing w:before="68" w:line="224" w:lineRule="auto"/>
              <w:ind w:left="196" w:right="154" w:firstLine="114"/>
            </w:pPr>
            <w:r>
              <w:rPr>
                <w:spacing w:val="5"/>
              </w:rPr>
              <w:t>隆环分评函</w:t>
            </w:r>
            <w:r>
              <w:rPr>
                <w:spacing w:val="1"/>
              </w:rPr>
              <w:t>〔</w:t>
            </w:r>
            <w:r>
              <w:rPr>
                <w:rFonts w:ascii="Times New Roman" w:hAnsi="Times New Roman" w:eastAsia="Times New Roman" w:cs="Times New Roman"/>
                <w:spacing w:val="1"/>
              </w:rPr>
              <w:t>2018</w:t>
            </w:r>
            <w:r>
              <w:rPr>
                <w:spacing w:val="1"/>
              </w:rPr>
              <w:t>〕</w:t>
            </w:r>
            <w:r>
              <w:rPr>
                <w:rFonts w:ascii="Times New Roman" w:hAnsi="Times New Roman" w:eastAsia="Times New Roman" w:cs="Times New Roman"/>
                <w:spacing w:val="1"/>
              </w:rPr>
              <w:t>11</w:t>
            </w:r>
            <w:r>
              <w:rPr>
                <w:spacing w:val="1"/>
              </w:rPr>
              <w:t>号</w:t>
            </w:r>
          </w:p>
        </w:tc>
        <w:tc>
          <w:tcPr>
            <w:tcW w:w="1555" w:type="dxa"/>
            <w:vAlign w:val="top"/>
          </w:tcPr>
          <w:p w14:paraId="1FC203D8">
            <w:pPr>
              <w:spacing w:before="118" w:line="195" w:lineRule="auto"/>
              <w:ind w:left="9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91430524</w:t>
            </w:r>
            <w:r>
              <w:rPr>
                <w:rFonts w:ascii="Times New Roman" w:hAnsi="Times New Roman" w:eastAsia="Times New Roman" w:cs="Times New Roman"/>
                <w:sz w:val="20"/>
                <w:szCs w:val="20"/>
              </w:rPr>
              <w:t>MA</w:t>
            </w:r>
            <w:r>
              <w:rPr>
                <w:rFonts w:ascii="Times New Roman" w:hAnsi="Times New Roman" w:eastAsia="Times New Roman" w:cs="Times New Roman"/>
                <w:spacing w:val="5"/>
                <w:sz w:val="20"/>
                <w:szCs w:val="20"/>
              </w:rPr>
              <w:t>4P</w:t>
            </w:r>
          </w:p>
          <w:p w14:paraId="6D0E2FE3">
            <w:pPr>
              <w:spacing w:before="55"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A2</w:t>
            </w:r>
            <w:r>
              <w:rPr>
                <w:rFonts w:ascii="Times New Roman" w:hAnsi="Times New Roman" w:eastAsia="Times New Roman" w:cs="Times New Roman"/>
                <w:sz w:val="20"/>
                <w:szCs w:val="20"/>
              </w:rPr>
              <w:t>WL</w:t>
            </w:r>
            <w:r>
              <w:rPr>
                <w:rFonts w:ascii="Times New Roman" w:hAnsi="Times New Roman" w:eastAsia="Times New Roman" w:cs="Times New Roman"/>
                <w:spacing w:val="7"/>
                <w:sz w:val="20"/>
                <w:szCs w:val="20"/>
              </w:rPr>
              <w:t>2A001V</w:t>
            </w:r>
          </w:p>
        </w:tc>
        <w:tc>
          <w:tcPr>
            <w:tcW w:w="732" w:type="dxa"/>
            <w:tcBorders>
              <w:right w:val="single" w:color="000000" w:sz="10" w:space="0"/>
            </w:tcBorders>
            <w:vAlign w:val="top"/>
          </w:tcPr>
          <w:p w14:paraId="7B6A91BA">
            <w:pPr>
              <w:pStyle w:val="6"/>
              <w:spacing w:before="203" w:line="228" w:lineRule="auto"/>
              <w:ind w:left="165"/>
            </w:pPr>
            <w:r>
              <w:rPr>
                <w:spacing w:val="4"/>
              </w:rPr>
              <w:t>运行</w:t>
            </w:r>
          </w:p>
        </w:tc>
      </w:tr>
      <w:tr w14:paraId="12A2CA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13" w:type="dxa"/>
            <w:tcBorders>
              <w:left w:val="single" w:color="000000" w:sz="10" w:space="0"/>
            </w:tcBorders>
            <w:vAlign w:val="top"/>
          </w:tcPr>
          <w:p w14:paraId="408D919B">
            <w:pPr>
              <w:spacing w:before="241" w:line="195" w:lineRule="auto"/>
              <w:ind w:left="93"/>
              <w:rPr>
                <w:rFonts w:ascii="Times New Roman" w:hAnsi="Times New Roman" w:eastAsia="Times New Roman" w:cs="Times New Roman"/>
                <w:sz w:val="20"/>
                <w:szCs w:val="20"/>
              </w:rPr>
            </w:pPr>
            <w:r>
              <w:rPr>
                <w:rFonts w:ascii="Times New Roman" w:hAnsi="Times New Roman" w:eastAsia="Times New Roman" w:cs="Times New Roman"/>
                <w:sz w:val="20"/>
                <w:szCs w:val="20"/>
              </w:rPr>
              <w:t>62</w:t>
            </w:r>
          </w:p>
        </w:tc>
        <w:tc>
          <w:tcPr>
            <w:tcW w:w="1290" w:type="dxa"/>
            <w:vAlign w:val="top"/>
          </w:tcPr>
          <w:p w14:paraId="20DF10A3">
            <w:pPr>
              <w:pStyle w:val="6"/>
              <w:spacing w:before="68" w:line="228" w:lineRule="auto"/>
              <w:ind w:left="24"/>
            </w:pPr>
            <w:r>
              <w:rPr>
                <w:spacing w:val="6"/>
              </w:rPr>
              <w:t>隆回县洁康日</w:t>
            </w:r>
          </w:p>
          <w:p w14:paraId="61963FAA">
            <w:pPr>
              <w:pStyle w:val="6"/>
              <w:spacing w:before="26" w:line="196" w:lineRule="auto"/>
              <w:ind w:left="12"/>
            </w:pPr>
            <w:r>
              <w:rPr>
                <w:spacing w:val="7"/>
              </w:rPr>
              <w:t>用品有限公司</w:t>
            </w:r>
          </w:p>
        </w:tc>
        <w:tc>
          <w:tcPr>
            <w:tcW w:w="2918" w:type="dxa"/>
            <w:vAlign w:val="top"/>
          </w:tcPr>
          <w:p w14:paraId="0661BE95">
            <w:pPr>
              <w:pStyle w:val="6"/>
              <w:spacing w:before="68" w:line="228" w:lineRule="auto"/>
              <w:ind w:left="50"/>
            </w:pPr>
            <w:r>
              <w:t>日消毒套餐碗</w:t>
            </w:r>
            <w:r>
              <w:rPr>
                <w:rFonts w:ascii="Times New Roman" w:hAnsi="Times New Roman" w:eastAsia="Times New Roman" w:cs="Times New Roman"/>
              </w:rPr>
              <w:t>1</w:t>
            </w:r>
            <w:r>
              <w:t>万套、不锈钢碗</w:t>
            </w:r>
          </w:p>
          <w:p w14:paraId="2FC383C8">
            <w:pPr>
              <w:pStyle w:val="6"/>
              <w:spacing w:before="26" w:line="196" w:lineRule="auto"/>
              <w:ind w:left="1171"/>
            </w:pPr>
            <w:r>
              <w:rPr>
                <w:rFonts w:ascii="Times New Roman" w:hAnsi="Times New Roman" w:eastAsia="Times New Roman" w:cs="Times New Roman"/>
              </w:rPr>
              <w:t>3</w:t>
            </w:r>
            <w:r>
              <w:t>万只</w:t>
            </w:r>
          </w:p>
        </w:tc>
        <w:tc>
          <w:tcPr>
            <w:tcW w:w="1630" w:type="dxa"/>
            <w:vAlign w:val="top"/>
          </w:tcPr>
          <w:p w14:paraId="2B547A70">
            <w:pPr>
              <w:pStyle w:val="6"/>
              <w:spacing w:before="68" w:line="228" w:lineRule="auto"/>
              <w:ind w:left="416"/>
            </w:pPr>
            <w:r>
              <w:rPr>
                <w:spacing w:val="4"/>
              </w:rPr>
              <w:t>隆环评函</w:t>
            </w:r>
          </w:p>
          <w:p w14:paraId="41DB8D5F">
            <w:pPr>
              <w:pStyle w:val="6"/>
              <w:spacing w:before="26" w:line="196" w:lineRule="auto"/>
              <w:ind w:left="316"/>
            </w:pPr>
            <w:r>
              <w:rPr>
                <w:rFonts w:ascii="Times New Roman" w:hAnsi="Times New Roman" w:eastAsia="Times New Roman" w:cs="Times New Roman"/>
                <w:spacing w:val="2"/>
              </w:rPr>
              <w:t>[2011]99</w:t>
            </w:r>
            <w:r>
              <w:rPr>
                <w:spacing w:val="2"/>
              </w:rPr>
              <w:t>号</w:t>
            </w:r>
          </w:p>
        </w:tc>
        <w:tc>
          <w:tcPr>
            <w:tcW w:w="1555" w:type="dxa"/>
            <w:vAlign w:val="top"/>
          </w:tcPr>
          <w:p w14:paraId="71330FD5">
            <w:pPr>
              <w:spacing w:before="120" w:line="226" w:lineRule="auto"/>
              <w:ind w:left="342" w:right="32" w:hanging="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91430524588966024P001Y</w:t>
            </w:r>
          </w:p>
        </w:tc>
        <w:tc>
          <w:tcPr>
            <w:tcW w:w="732" w:type="dxa"/>
            <w:tcBorders>
              <w:right w:val="single" w:color="000000" w:sz="10" w:space="0"/>
            </w:tcBorders>
            <w:vAlign w:val="top"/>
          </w:tcPr>
          <w:p w14:paraId="060B2584">
            <w:pPr>
              <w:pStyle w:val="6"/>
              <w:spacing w:before="205" w:line="228" w:lineRule="auto"/>
              <w:ind w:left="165"/>
            </w:pPr>
            <w:r>
              <w:rPr>
                <w:spacing w:val="4"/>
              </w:rPr>
              <w:t>运行</w:t>
            </w:r>
          </w:p>
        </w:tc>
      </w:tr>
      <w:tr w14:paraId="376E9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13" w:type="dxa"/>
            <w:tcBorders>
              <w:left w:val="single" w:color="000000" w:sz="10" w:space="0"/>
            </w:tcBorders>
            <w:vAlign w:val="top"/>
          </w:tcPr>
          <w:p w14:paraId="2393F013">
            <w:pPr>
              <w:spacing w:before="240" w:line="195" w:lineRule="auto"/>
              <w:ind w:left="93"/>
              <w:rPr>
                <w:rFonts w:ascii="Times New Roman" w:hAnsi="Times New Roman" w:eastAsia="Times New Roman" w:cs="Times New Roman"/>
                <w:sz w:val="20"/>
                <w:szCs w:val="20"/>
              </w:rPr>
            </w:pPr>
            <w:r>
              <w:rPr>
                <w:rFonts w:ascii="Times New Roman" w:hAnsi="Times New Roman" w:eastAsia="Times New Roman" w:cs="Times New Roman"/>
                <w:sz w:val="20"/>
                <w:szCs w:val="20"/>
              </w:rPr>
              <w:t>63</w:t>
            </w:r>
          </w:p>
        </w:tc>
        <w:tc>
          <w:tcPr>
            <w:tcW w:w="1290" w:type="dxa"/>
            <w:vAlign w:val="top"/>
          </w:tcPr>
          <w:p w14:paraId="229A5F62">
            <w:pPr>
              <w:pStyle w:val="6"/>
              <w:spacing w:before="67" w:line="228" w:lineRule="auto"/>
              <w:ind w:left="24"/>
            </w:pPr>
            <w:r>
              <w:rPr>
                <w:spacing w:val="6"/>
              </w:rPr>
              <w:t>隆回资江洗涤</w:t>
            </w:r>
          </w:p>
          <w:p w14:paraId="2F7A82FD">
            <w:pPr>
              <w:pStyle w:val="6"/>
              <w:spacing w:before="26" w:line="196" w:lineRule="auto"/>
              <w:ind w:left="11"/>
            </w:pPr>
            <w:r>
              <w:rPr>
                <w:spacing w:val="8"/>
              </w:rPr>
              <w:t>有限责任公司</w:t>
            </w:r>
          </w:p>
        </w:tc>
        <w:tc>
          <w:tcPr>
            <w:tcW w:w="2918" w:type="dxa"/>
            <w:vAlign w:val="top"/>
          </w:tcPr>
          <w:p w14:paraId="28E9A4F2">
            <w:pPr>
              <w:pStyle w:val="6"/>
              <w:spacing w:before="204" w:line="227" w:lineRule="auto"/>
              <w:ind w:left="411"/>
            </w:pPr>
            <w:r>
              <w:rPr>
                <w:spacing w:val="5"/>
              </w:rPr>
              <w:t>年洗涤</w:t>
            </w:r>
            <w:r>
              <w:rPr>
                <w:rFonts w:ascii="Times New Roman" w:hAnsi="Times New Roman" w:eastAsia="Times New Roman" w:cs="Times New Roman"/>
                <w:spacing w:val="5"/>
              </w:rPr>
              <w:t>300</w:t>
            </w:r>
            <w:r>
              <w:rPr>
                <w:spacing w:val="5"/>
              </w:rPr>
              <w:t>吨布草系列</w:t>
            </w:r>
          </w:p>
        </w:tc>
        <w:tc>
          <w:tcPr>
            <w:tcW w:w="1630" w:type="dxa"/>
            <w:vAlign w:val="top"/>
          </w:tcPr>
          <w:p w14:paraId="3E1FF6B2">
            <w:pPr>
              <w:pStyle w:val="6"/>
              <w:spacing w:before="68" w:line="224" w:lineRule="auto"/>
              <w:ind w:left="76" w:right="50" w:firstLine="12"/>
            </w:pPr>
            <w:r>
              <w:rPr>
                <w:spacing w:val="8"/>
              </w:rPr>
              <w:t>邵生环隆分环评</w:t>
            </w:r>
            <w:r>
              <w:rPr>
                <w:spacing w:val="3"/>
              </w:rPr>
              <w:t>函〔</w:t>
            </w:r>
            <w:r>
              <w:rPr>
                <w:rFonts w:ascii="Times New Roman" w:hAnsi="Times New Roman" w:eastAsia="Times New Roman" w:cs="Times New Roman"/>
                <w:spacing w:val="3"/>
              </w:rPr>
              <w:t>2020</w:t>
            </w:r>
            <w:r>
              <w:rPr>
                <w:spacing w:val="3"/>
              </w:rPr>
              <w:t>〕</w:t>
            </w:r>
            <w:r>
              <w:rPr>
                <w:rFonts w:ascii="Times New Roman" w:hAnsi="Times New Roman" w:eastAsia="Times New Roman" w:cs="Times New Roman"/>
                <w:spacing w:val="3"/>
              </w:rPr>
              <w:t>34</w:t>
            </w:r>
            <w:r>
              <w:rPr>
                <w:spacing w:val="3"/>
              </w:rPr>
              <w:t>号</w:t>
            </w:r>
          </w:p>
        </w:tc>
        <w:tc>
          <w:tcPr>
            <w:tcW w:w="1555" w:type="dxa"/>
            <w:vAlign w:val="top"/>
          </w:tcPr>
          <w:p w14:paraId="2AAF8D15">
            <w:pPr>
              <w:spacing w:before="120" w:line="226" w:lineRule="auto"/>
              <w:ind w:left="142" w:right="51" w:hanging="6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91430524</w:t>
            </w:r>
            <w:r>
              <w:rPr>
                <w:rFonts w:ascii="Times New Roman" w:hAnsi="Times New Roman" w:eastAsia="Times New Roman" w:cs="Times New Roman"/>
                <w:sz w:val="20"/>
                <w:szCs w:val="20"/>
              </w:rPr>
              <w:t>MA</w:t>
            </w:r>
            <w:r>
              <w:rPr>
                <w:rFonts w:ascii="Times New Roman" w:hAnsi="Times New Roman" w:eastAsia="Times New Roman" w:cs="Times New Roman"/>
                <w:spacing w:val="5"/>
                <w:sz w:val="20"/>
                <w:szCs w:val="20"/>
              </w:rPr>
              <w:t>4Q</w:t>
            </w:r>
            <w:r>
              <w:rPr>
                <w:rFonts w:ascii="Times New Roman" w:hAnsi="Times New Roman" w:eastAsia="Times New Roman" w:cs="Times New Roman"/>
                <w:sz w:val="20"/>
                <w:szCs w:val="20"/>
              </w:rPr>
              <w:t>GNQR</w:t>
            </w:r>
            <w:r>
              <w:rPr>
                <w:rFonts w:ascii="Times New Roman" w:hAnsi="Times New Roman" w:eastAsia="Times New Roman" w:cs="Times New Roman"/>
                <w:spacing w:val="8"/>
                <w:sz w:val="20"/>
                <w:szCs w:val="20"/>
              </w:rPr>
              <w:t>4G001Z</w:t>
            </w:r>
          </w:p>
        </w:tc>
        <w:tc>
          <w:tcPr>
            <w:tcW w:w="732" w:type="dxa"/>
            <w:tcBorders>
              <w:right w:val="single" w:color="000000" w:sz="10" w:space="0"/>
            </w:tcBorders>
            <w:vAlign w:val="top"/>
          </w:tcPr>
          <w:p w14:paraId="55F0248E">
            <w:pPr>
              <w:pStyle w:val="6"/>
              <w:spacing w:before="205" w:line="228" w:lineRule="auto"/>
              <w:ind w:left="165"/>
            </w:pPr>
            <w:r>
              <w:rPr>
                <w:spacing w:val="4"/>
              </w:rPr>
              <w:t>运行</w:t>
            </w:r>
          </w:p>
        </w:tc>
      </w:tr>
      <w:tr w14:paraId="13F1F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413" w:type="dxa"/>
            <w:tcBorders>
              <w:left w:val="single" w:color="000000" w:sz="10" w:space="0"/>
              <w:bottom w:val="single" w:color="000000" w:sz="10" w:space="0"/>
            </w:tcBorders>
            <w:vAlign w:val="top"/>
          </w:tcPr>
          <w:p w14:paraId="7BCBB3D7">
            <w:pPr>
              <w:spacing w:before="185" w:line="195" w:lineRule="auto"/>
              <w:ind w:left="93"/>
              <w:rPr>
                <w:rFonts w:ascii="Times New Roman" w:hAnsi="Times New Roman" w:eastAsia="Times New Roman" w:cs="Times New Roman"/>
                <w:sz w:val="20"/>
                <w:szCs w:val="20"/>
              </w:rPr>
            </w:pPr>
            <w:r>
              <w:rPr>
                <w:rFonts w:ascii="Times New Roman" w:hAnsi="Times New Roman" w:eastAsia="Times New Roman" w:cs="Times New Roman"/>
                <w:sz w:val="20"/>
                <w:szCs w:val="20"/>
              </w:rPr>
              <w:t>64</w:t>
            </w:r>
          </w:p>
        </w:tc>
        <w:tc>
          <w:tcPr>
            <w:tcW w:w="1290" w:type="dxa"/>
            <w:tcBorders>
              <w:bottom w:val="single" w:color="000000" w:sz="10" w:space="0"/>
            </w:tcBorders>
            <w:vAlign w:val="top"/>
          </w:tcPr>
          <w:p w14:paraId="046F35CA">
            <w:pPr>
              <w:spacing w:before="149" w:line="227" w:lineRule="auto"/>
              <w:ind w:left="24"/>
              <w:rPr>
                <w:rFonts w:ascii="新宋体" w:hAnsi="新宋体" w:eastAsia="新宋体" w:cs="新宋体"/>
                <w:sz w:val="20"/>
                <w:szCs w:val="20"/>
              </w:rPr>
            </w:pPr>
            <w:r>
              <w:rPr>
                <w:rFonts w:ascii="新宋体" w:hAnsi="新宋体" w:eastAsia="新宋体" w:cs="新宋体"/>
                <w:spacing w:val="6"/>
                <w:sz w:val="20"/>
                <w:szCs w:val="20"/>
              </w:rPr>
              <w:t>隆回九鼎牧业</w:t>
            </w:r>
          </w:p>
        </w:tc>
        <w:tc>
          <w:tcPr>
            <w:tcW w:w="2918" w:type="dxa"/>
            <w:tcBorders>
              <w:bottom w:val="single" w:color="000000" w:sz="10" w:space="0"/>
            </w:tcBorders>
            <w:vAlign w:val="top"/>
          </w:tcPr>
          <w:p w14:paraId="196606AC">
            <w:pPr>
              <w:pStyle w:val="6"/>
              <w:spacing w:before="149" w:line="228" w:lineRule="auto"/>
              <w:ind w:left="255"/>
            </w:pPr>
            <w:r>
              <w:rPr>
                <w:spacing w:val="6"/>
              </w:rPr>
              <w:t>年产</w:t>
            </w:r>
            <w:r>
              <w:rPr>
                <w:rFonts w:ascii="Times New Roman" w:hAnsi="Times New Roman" w:eastAsia="Times New Roman" w:cs="Times New Roman"/>
                <w:spacing w:val="6"/>
              </w:rPr>
              <w:t>24</w:t>
            </w:r>
            <w:r>
              <w:rPr>
                <w:spacing w:val="6"/>
              </w:rPr>
              <w:t>万吨猪用配合饲料</w:t>
            </w:r>
          </w:p>
        </w:tc>
        <w:tc>
          <w:tcPr>
            <w:tcW w:w="1630" w:type="dxa"/>
            <w:tcBorders>
              <w:bottom w:val="single" w:color="000000" w:sz="10" w:space="0"/>
            </w:tcBorders>
            <w:vAlign w:val="top"/>
          </w:tcPr>
          <w:p w14:paraId="6282E373">
            <w:pPr>
              <w:spacing w:before="149" w:line="221" w:lineRule="auto"/>
              <w:ind w:left="85"/>
              <w:rPr>
                <w:rFonts w:ascii="Times New Roman" w:hAnsi="Times New Roman" w:eastAsia="Times New Roman" w:cs="Times New Roman"/>
                <w:sz w:val="20"/>
                <w:szCs w:val="20"/>
              </w:rPr>
            </w:pPr>
            <w:r>
              <w:rPr>
                <w:rFonts w:ascii="新宋体" w:hAnsi="新宋体" w:eastAsia="新宋体" w:cs="新宋体"/>
                <w:spacing w:val="4"/>
                <w:sz w:val="20"/>
                <w:szCs w:val="20"/>
              </w:rPr>
              <w:t>隆环评函</w:t>
            </w:r>
            <w:r>
              <w:rPr>
                <w:rFonts w:ascii="Times New Roman" w:hAnsi="Times New Roman" w:eastAsia="Times New Roman" w:cs="Times New Roman"/>
                <w:spacing w:val="4"/>
                <w:sz w:val="20"/>
                <w:szCs w:val="20"/>
              </w:rPr>
              <w:t>[2015]5</w:t>
            </w:r>
          </w:p>
        </w:tc>
        <w:tc>
          <w:tcPr>
            <w:tcW w:w="1555" w:type="dxa"/>
            <w:tcBorders>
              <w:bottom w:val="single" w:color="000000" w:sz="10" w:space="0"/>
            </w:tcBorders>
            <w:vAlign w:val="top"/>
          </w:tcPr>
          <w:p w14:paraId="21D64F1E">
            <w:pPr>
              <w:spacing w:before="185" w:line="195" w:lineRule="auto"/>
              <w:ind w:left="5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91430524320632</w:t>
            </w:r>
          </w:p>
        </w:tc>
        <w:tc>
          <w:tcPr>
            <w:tcW w:w="732" w:type="dxa"/>
            <w:tcBorders>
              <w:bottom w:val="single" w:color="000000" w:sz="10" w:space="0"/>
              <w:right w:val="single" w:color="000000" w:sz="10" w:space="0"/>
            </w:tcBorders>
            <w:vAlign w:val="top"/>
          </w:tcPr>
          <w:p w14:paraId="2C1ACA41">
            <w:pPr>
              <w:pStyle w:val="6"/>
              <w:spacing w:before="150" w:line="228" w:lineRule="auto"/>
              <w:ind w:left="165"/>
            </w:pPr>
            <w:r>
              <w:rPr>
                <w:spacing w:val="4"/>
              </w:rPr>
              <w:t>运行</w:t>
            </w:r>
          </w:p>
        </w:tc>
      </w:tr>
    </w:tbl>
    <w:p w14:paraId="34A64AEC">
      <w:pPr>
        <w:pStyle w:val="2"/>
        <w:spacing w:line="177" w:lineRule="exact"/>
        <w:rPr>
          <w:sz w:val="15"/>
        </w:rPr>
      </w:pPr>
    </w:p>
    <w:p w14:paraId="122C27B5">
      <w:pPr>
        <w:spacing w:line="177" w:lineRule="exact"/>
        <w:rPr>
          <w:sz w:val="15"/>
          <w:szCs w:val="15"/>
        </w:rPr>
        <w:sectPr>
          <w:footerReference r:id="rId54" w:type="default"/>
          <w:pgSz w:w="11907" w:h="16840"/>
          <w:pgMar w:top="1132" w:right="1671" w:bottom="1259" w:left="1671" w:header="829" w:footer="1097" w:gutter="0"/>
          <w:cols w:space="720" w:num="1"/>
        </w:sectPr>
      </w:pPr>
    </w:p>
    <w:p w14:paraId="1E9FD19C">
      <w:pPr>
        <w:spacing w:before="42"/>
      </w:pPr>
    </w:p>
    <w:tbl>
      <w:tblPr>
        <w:tblStyle w:val="5"/>
        <w:tblW w:w="8538"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3"/>
        <w:gridCol w:w="1290"/>
        <w:gridCol w:w="2918"/>
        <w:gridCol w:w="1630"/>
        <w:gridCol w:w="1555"/>
        <w:gridCol w:w="732"/>
      </w:tblGrid>
      <w:tr w14:paraId="2B4801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413" w:type="dxa"/>
            <w:tcBorders>
              <w:top w:val="single" w:color="000000" w:sz="10" w:space="0"/>
              <w:left w:val="single" w:color="000000" w:sz="10" w:space="0"/>
            </w:tcBorders>
            <w:textDirection w:val="tbRlV"/>
            <w:vAlign w:val="top"/>
          </w:tcPr>
          <w:p w14:paraId="1740440F">
            <w:pPr>
              <w:pStyle w:val="6"/>
              <w:spacing w:before="104" w:line="218" w:lineRule="auto"/>
              <w:ind w:left="52"/>
            </w:pPr>
            <w:r>
              <w:rPr>
                <w:b/>
                <w:bCs/>
                <w:spacing w:val="6"/>
              </w:rPr>
              <w:t>序号</w:t>
            </w:r>
          </w:p>
        </w:tc>
        <w:tc>
          <w:tcPr>
            <w:tcW w:w="1290" w:type="dxa"/>
            <w:tcBorders>
              <w:top w:val="single" w:color="000000" w:sz="10" w:space="0"/>
            </w:tcBorders>
            <w:vAlign w:val="top"/>
          </w:tcPr>
          <w:p w14:paraId="0A78529A">
            <w:pPr>
              <w:pStyle w:val="6"/>
              <w:spacing w:before="186" w:line="230" w:lineRule="auto"/>
              <w:ind w:left="223"/>
            </w:pPr>
            <w:r>
              <w:rPr>
                <w:b/>
                <w:bCs/>
                <w:spacing w:val="5"/>
              </w:rPr>
              <w:t>企业名称</w:t>
            </w:r>
          </w:p>
        </w:tc>
        <w:tc>
          <w:tcPr>
            <w:tcW w:w="2918" w:type="dxa"/>
            <w:tcBorders>
              <w:top w:val="single" w:color="000000" w:sz="10" w:space="0"/>
            </w:tcBorders>
            <w:vAlign w:val="top"/>
          </w:tcPr>
          <w:p w14:paraId="6D588C05">
            <w:pPr>
              <w:pStyle w:val="6"/>
              <w:spacing w:before="186" w:line="228" w:lineRule="auto"/>
              <w:ind w:left="725"/>
            </w:pPr>
            <w:r>
              <w:rPr>
                <w:b/>
                <w:bCs/>
                <w:spacing w:val="6"/>
              </w:rPr>
              <w:t>建设内容及规模</w:t>
            </w:r>
          </w:p>
        </w:tc>
        <w:tc>
          <w:tcPr>
            <w:tcW w:w="1630" w:type="dxa"/>
            <w:tcBorders>
              <w:top w:val="single" w:color="000000" w:sz="10" w:space="0"/>
            </w:tcBorders>
            <w:vAlign w:val="top"/>
          </w:tcPr>
          <w:p w14:paraId="63DA3C70">
            <w:pPr>
              <w:pStyle w:val="6"/>
              <w:spacing w:before="187" w:line="228" w:lineRule="auto"/>
              <w:ind w:left="401"/>
            </w:pPr>
            <w:r>
              <w:rPr>
                <w:b/>
                <w:bCs/>
                <w:spacing w:val="6"/>
              </w:rPr>
              <w:t>环评批复</w:t>
            </w:r>
          </w:p>
        </w:tc>
        <w:tc>
          <w:tcPr>
            <w:tcW w:w="1555" w:type="dxa"/>
            <w:tcBorders>
              <w:top w:val="single" w:color="000000" w:sz="10" w:space="0"/>
            </w:tcBorders>
            <w:vAlign w:val="top"/>
          </w:tcPr>
          <w:p w14:paraId="7843B7CB">
            <w:pPr>
              <w:pStyle w:val="6"/>
              <w:spacing w:before="187" w:line="228" w:lineRule="auto"/>
              <w:ind w:left="369"/>
            </w:pPr>
            <w:r>
              <w:rPr>
                <w:b/>
                <w:bCs/>
                <w:spacing w:val="6"/>
              </w:rPr>
              <w:t>排污许可</w:t>
            </w:r>
          </w:p>
        </w:tc>
        <w:tc>
          <w:tcPr>
            <w:tcW w:w="732" w:type="dxa"/>
            <w:tcBorders>
              <w:top w:val="single" w:color="000000" w:sz="10" w:space="0"/>
              <w:right w:val="single" w:color="000000" w:sz="10" w:space="0"/>
            </w:tcBorders>
            <w:vAlign w:val="top"/>
          </w:tcPr>
          <w:p w14:paraId="6191CB26">
            <w:pPr>
              <w:pStyle w:val="6"/>
              <w:spacing w:before="52" w:line="228" w:lineRule="auto"/>
              <w:ind w:left="60"/>
            </w:pPr>
            <w:r>
              <w:rPr>
                <w:b/>
                <w:bCs/>
                <w:spacing w:val="5"/>
              </w:rPr>
              <w:t>运行情</w:t>
            </w:r>
          </w:p>
          <w:p w14:paraId="37654233">
            <w:pPr>
              <w:pStyle w:val="6"/>
              <w:spacing w:before="24" w:line="217" w:lineRule="auto"/>
              <w:ind w:left="273"/>
            </w:pPr>
            <w:r>
              <w:rPr>
                <w:b/>
                <w:bCs/>
                <w:spacing w:val="-3"/>
              </w:rPr>
              <w:t>况</w:t>
            </w:r>
          </w:p>
        </w:tc>
      </w:tr>
      <w:tr w14:paraId="415F5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413" w:type="dxa"/>
            <w:tcBorders>
              <w:left w:val="single" w:color="000000" w:sz="10" w:space="0"/>
            </w:tcBorders>
            <w:vAlign w:val="top"/>
          </w:tcPr>
          <w:p w14:paraId="41A25DF1">
            <w:pPr>
              <w:rPr>
                <w:rFonts w:ascii="Arial"/>
                <w:sz w:val="21"/>
              </w:rPr>
            </w:pPr>
          </w:p>
        </w:tc>
        <w:tc>
          <w:tcPr>
            <w:tcW w:w="1290" w:type="dxa"/>
            <w:vAlign w:val="top"/>
          </w:tcPr>
          <w:p w14:paraId="2A05DDD0">
            <w:pPr>
              <w:spacing w:before="47" w:line="228" w:lineRule="auto"/>
              <w:ind w:left="222"/>
              <w:rPr>
                <w:rFonts w:ascii="新宋体" w:hAnsi="新宋体" w:eastAsia="新宋体" w:cs="新宋体"/>
                <w:sz w:val="20"/>
                <w:szCs w:val="20"/>
              </w:rPr>
            </w:pPr>
            <w:r>
              <w:rPr>
                <w:rFonts w:ascii="新宋体" w:hAnsi="新宋体" w:eastAsia="新宋体" w:cs="新宋体"/>
                <w:spacing w:val="7"/>
                <w:sz w:val="20"/>
                <w:szCs w:val="20"/>
              </w:rPr>
              <w:t>有限公司</w:t>
            </w:r>
          </w:p>
        </w:tc>
        <w:tc>
          <w:tcPr>
            <w:tcW w:w="2918" w:type="dxa"/>
            <w:vAlign w:val="top"/>
          </w:tcPr>
          <w:p w14:paraId="5D86D5EA">
            <w:pPr>
              <w:rPr>
                <w:rFonts w:ascii="Arial"/>
                <w:sz w:val="21"/>
              </w:rPr>
            </w:pPr>
          </w:p>
        </w:tc>
        <w:tc>
          <w:tcPr>
            <w:tcW w:w="1630" w:type="dxa"/>
            <w:vAlign w:val="top"/>
          </w:tcPr>
          <w:p w14:paraId="4E4396D3">
            <w:pPr>
              <w:spacing w:before="47" w:line="229" w:lineRule="auto"/>
              <w:ind w:left="723"/>
              <w:rPr>
                <w:rFonts w:ascii="新宋体" w:hAnsi="新宋体" w:eastAsia="新宋体" w:cs="新宋体"/>
                <w:sz w:val="20"/>
                <w:szCs w:val="20"/>
              </w:rPr>
            </w:pPr>
            <w:r>
              <w:rPr>
                <w:rFonts w:ascii="新宋体" w:hAnsi="新宋体" w:eastAsia="新宋体" w:cs="新宋体"/>
                <w:sz w:val="20"/>
                <w:szCs w:val="20"/>
              </w:rPr>
              <w:t>号</w:t>
            </w:r>
          </w:p>
        </w:tc>
        <w:tc>
          <w:tcPr>
            <w:tcW w:w="1555" w:type="dxa"/>
            <w:vAlign w:val="top"/>
          </w:tcPr>
          <w:p w14:paraId="562E81AE">
            <w:pPr>
              <w:spacing w:before="66" w:line="195" w:lineRule="auto"/>
              <w:ind w:left="3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824L001X</w:t>
            </w:r>
          </w:p>
        </w:tc>
        <w:tc>
          <w:tcPr>
            <w:tcW w:w="732" w:type="dxa"/>
            <w:tcBorders>
              <w:right w:val="single" w:color="000000" w:sz="10" w:space="0"/>
            </w:tcBorders>
            <w:vAlign w:val="top"/>
          </w:tcPr>
          <w:p w14:paraId="63A136D2">
            <w:pPr>
              <w:rPr>
                <w:rFonts w:ascii="Arial"/>
                <w:sz w:val="21"/>
              </w:rPr>
            </w:pPr>
          </w:p>
        </w:tc>
      </w:tr>
      <w:tr w14:paraId="3CC04E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413" w:type="dxa"/>
            <w:tcBorders>
              <w:left w:val="single" w:color="000000" w:sz="10" w:space="0"/>
            </w:tcBorders>
            <w:vAlign w:val="top"/>
          </w:tcPr>
          <w:p w14:paraId="685268F2">
            <w:pPr>
              <w:spacing w:before="218" w:line="195" w:lineRule="auto"/>
              <w:ind w:left="93"/>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1290" w:type="dxa"/>
            <w:vAlign w:val="top"/>
          </w:tcPr>
          <w:p w14:paraId="58C0DE86">
            <w:pPr>
              <w:pStyle w:val="6"/>
              <w:spacing w:before="47" w:line="228" w:lineRule="auto"/>
              <w:ind w:left="24"/>
            </w:pPr>
            <w:r>
              <w:rPr>
                <w:spacing w:val="6"/>
              </w:rPr>
              <w:t>隆回县枫林工</w:t>
            </w:r>
          </w:p>
          <w:p w14:paraId="15FD7C60">
            <w:pPr>
              <w:pStyle w:val="6"/>
              <w:spacing w:before="24" w:line="216" w:lineRule="auto"/>
              <w:ind w:left="15"/>
            </w:pPr>
            <w:r>
              <w:rPr>
                <w:spacing w:val="7"/>
              </w:rPr>
              <w:t>艺品有限公司</w:t>
            </w:r>
          </w:p>
        </w:tc>
        <w:tc>
          <w:tcPr>
            <w:tcW w:w="2918" w:type="dxa"/>
            <w:vAlign w:val="top"/>
          </w:tcPr>
          <w:p w14:paraId="1F383C3B">
            <w:pPr>
              <w:pStyle w:val="6"/>
              <w:spacing w:before="182" w:line="227" w:lineRule="auto"/>
              <w:ind w:left="830"/>
            </w:pPr>
            <w:r>
              <w:rPr>
                <w:spacing w:val="8"/>
              </w:rPr>
              <w:t>布艺品的组装</w:t>
            </w:r>
          </w:p>
        </w:tc>
        <w:tc>
          <w:tcPr>
            <w:tcW w:w="1630" w:type="dxa"/>
            <w:vAlign w:val="top"/>
          </w:tcPr>
          <w:p w14:paraId="3648FCC0">
            <w:pPr>
              <w:pStyle w:val="6"/>
              <w:spacing w:before="182" w:line="228" w:lineRule="auto"/>
              <w:ind w:left="511"/>
            </w:pPr>
            <w:r>
              <w:rPr>
                <w:spacing w:val="6"/>
              </w:rPr>
              <w:t>名录外</w:t>
            </w:r>
          </w:p>
        </w:tc>
        <w:tc>
          <w:tcPr>
            <w:tcW w:w="1555" w:type="dxa"/>
            <w:vAlign w:val="top"/>
          </w:tcPr>
          <w:p w14:paraId="59E672D5">
            <w:pPr>
              <w:spacing w:before="98" w:line="237" w:lineRule="auto"/>
              <w:ind w:left="331" w:right="32" w:hanging="27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91430524344840281T001X</w:t>
            </w:r>
          </w:p>
        </w:tc>
        <w:tc>
          <w:tcPr>
            <w:tcW w:w="732" w:type="dxa"/>
            <w:tcBorders>
              <w:right w:val="single" w:color="000000" w:sz="10" w:space="0"/>
            </w:tcBorders>
            <w:vAlign w:val="top"/>
          </w:tcPr>
          <w:p w14:paraId="4487AFD0">
            <w:pPr>
              <w:pStyle w:val="6"/>
              <w:spacing w:before="182" w:line="228" w:lineRule="auto"/>
              <w:ind w:left="165"/>
            </w:pPr>
            <w:r>
              <w:rPr>
                <w:spacing w:val="4"/>
              </w:rPr>
              <w:t>运行</w:t>
            </w:r>
          </w:p>
        </w:tc>
      </w:tr>
      <w:tr w14:paraId="5A0676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13" w:type="dxa"/>
            <w:tcBorders>
              <w:left w:val="single" w:color="000000" w:sz="10" w:space="0"/>
            </w:tcBorders>
            <w:vAlign w:val="top"/>
          </w:tcPr>
          <w:p w14:paraId="38323C91">
            <w:pPr>
              <w:spacing w:before="221" w:line="195" w:lineRule="auto"/>
              <w:ind w:left="93"/>
              <w:rPr>
                <w:rFonts w:ascii="Times New Roman" w:hAnsi="Times New Roman" w:eastAsia="Times New Roman" w:cs="Times New Roman"/>
                <w:sz w:val="20"/>
                <w:szCs w:val="20"/>
              </w:rPr>
            </w:pPr>
            <w:r>
              <w:rPr>
                <w:rFonts w:ascii="Times New Roman" w:hAnsi="Times New Roman" w:eastAsia="Times New Roman" w:cs="Times New Roman"/>
                <w:sz w:val="20"/>
                <w:szCs w:val="20"/>
              </w:rPr>
              <w:t>66</w:t>
            </w:r>
          </w:p>
        </w:tc>
        <w:tc>
          <w:tcPr>
            <w:tcW w:w="1290" w:type="dxa"/>
            <w:vAlign w:val="top"/>
          </w:tcPr>
          <w:p w14:paraId="794CDCA4">
            <w:pPr>
              <w:pStyle w:val="6"/>
              <w:spacing w:before="49" w:line="233" w:lineRule="auto"/>
              <w:ind w:left="116" w:right="24" w:hanging="92"/>
            </w:pPr>
            <w:r>
              <w:rPr>
                <w:spacing w:val="6"/>
              </w:rPr>
              <w:t>隆回县明辉鞋</w:t>
            </w:r>
            <w:r>
              <w:rPr>
                <w:spacing w:val="8"/>
              </w:rPr>
              <w:t>材有限公司</w:t>
            </w:r>
          </w:p>
        </w:tc>
        <w:tc>
          <w:tcPr>
            <w:tcW w:w="2918" w:type="dxa"/>
            <w:vAlign w:val="top"/>
          </w:tcPr>
          <w:p w14:paraId="04583F6B">
            <w:pPr>
              <w:pStyle w:val="6"/>
              <w:spacing w:before="183" w:line="227" w:lineRule="auto"/>
              <w:ind w:left="858"/>
            </w:pPr>
            <w:r>
              <w:t>鞋材</w:t>
            </w:r>
            <w:r>
              <w:rPr>
                <w:rFonts w:ascii="Times New Roman" w:hAnsi="Times New Roman" w:eastAsia="Times New Roman" w:cs="Times New Roman"/>
              </w:rPr>
              <w:t>1.5</w:t>
            </w:r>
            <w:r>
              <w:t>万米</w:t>
            </w:r>
          </w:p>
        </w:tc>
        <w:tc>
          <w:tcPr>
            <w:tcW w:w="1630" w:type="dxa"/>
            <w:vAlign w:val="top"/>
          </w:tcPr>
          <w:p w14:paraId="7F605207">
            <w:pPr>
              <w:pStyle w:val="6"/>
              <w:spacing w:before="183" w:line="228" w:lineRule="auto"/>
              <w:ind w:left="511"/>
            </w:pPr>
            <w:r>
              <w:rPr>
                <w:spacing w:val="6"/>
              </w:rPr>
              <w:t>名录外</w:t>
            </w:r>
          </w:p>
        </w:tc>
        <w:tc>
          <w:tcPr>
            <w:tcW w:w="1555" w:type="dxa"/>
            <w:vAlign w:val="top"/>
          </w:tcPr>
          <w:p w14:paraId="23B15341">
            <w:pPr>
              <w:spacing w:before="217"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32" w:type="dxa"/>
            <w:tcBorders>
              <w:right w:val="single" w:color="000000" w:sz="10" w:space="0"/>
            </w:tcBorders>
            <w:vAlign w:val="top"/>
          </w:tcPr>
          <w:p w14:paraId="3947DEDB">
            <w:pPr>
              <w:pStyle w:val="6"/>
              <w:spacing w:before="183" w:line="228" w:lineRule="auto"/>
              <w:ind w:left="165"/>
            </w:pPr>
            <w:r>
              <w:rPr>
                <w:spacing w:val="4"/>
              </w:rPr>
              <w:t>运行</w:t>
            </w:r>
          </w:p>
        </w:tc>
      </w:tr>
      <w:tr w14:paraId="3D8F64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13" w:type="dxa"/>
            <w:tcBorders>
              <w:left w:val="single" w:color="000000" w:sz="10" w:space="0"/>
            </w:tcBorders>
            <w:vAlign w:val="top"/>
          </w:tcPr>
          <w:p w14:paraId="103297AA">
            <w:pPr>
              <w:spacing w:before="221" w:line="195" w:lineRule="auto"/>
              <w:ind w:left="93"/>
              <w:rPr>
                <w:rFonts w:ascii="Times New Roman" w:hAnsi="Times New Roman" w:eastAsia="Times New Roman" w:cs="Times New Roman"/>
                <w:sz w:val="20"/>
                <w:szCs w:val="20"/>
              </w:rPr>
            </w:pPr>
            <w:r>
              <w:rPr>
                <w:rFonts w:ascii="Times New Roman" w:hAnsi="Times New Roman" w:eastAsia="Times New Roman" w:cs="Times New Roman"/>
                <w:sz w:val="20"/>
                <w:szCs w:val="20"/>
              </w:rPr>
              <w:t>67</w:t>
            </w:r>
          </w:p>
        </w:tc>
        <w:tc>
          <w:tcPr>
            <w:tcW w:w="1290" w:type="dxa"/>
            <w:vAlign w:val="top"/>
          </w:tcPr>
          <w:p w14:paraId="385341DF">
            <w:pPr>
              <w:pStyle w:val="6"/>
              <w:spacing w:before="51" w:line="232" w:lineRule="auto"/>
              <w:ind w:left="115" w:right="24" w:hanging="105"/>
            </w:pPr>
            <w:r>
              <w:rPr>
                <w:spacing w:val="8"/>
              </w:rPr>
              <w:t>湖南省荣诚鞋业有限公司</w:t>
            </w:r>
          </w:p>
        </w:tc>
        <w:tc>
          <w:tcPr>
            <w:tcW w:w="2918" w:type="dxa"/>
            <w:vAlign w:val="top"/>
          </w:tcPr>
          <w:p w14:paraId="75074AD8">
            <w:pPr>
              <w:pStyle w:val="6"/>
              <w:spacing w:before="185" w:line="228" w:lineRule="auto"/>
              <w:ind w:left="569"/>
            </w:pPr>
            <w:r>
              <w:rPr>
                <w:spacing w:val="3"/>
              </w:rPr>
              <w:t>年产成品鞋</w:t>
            </w:r>
            <w:r>
              <w:rPr>
                <w:rFonts w:ascii="Times New Roman" w:hAnsi="Times New Roman" w:eastAsia="Times New Roman" w:cs="Times New Roman"/>
                <w:spacing w:val="3"/>
              </w:rPr>
              <w:t>10</w:t>
            </w:r>
            <w:r>
              <w:rPr>
                <w:spacing w:val="3"/>
              </w:rPr>
              <w:t>万双</w:t>
            </w:r>
          </w:p>
        </w:tc>
        <w:tc>
          <w:tcPr>
            <w:tcW w:w="1630" w:type="dxa"/>
            <w:vAlign w:val="top"/>
          </w:tcPr>
          <w:p w14:paraId="61D7B0AE">
            <w:pPr>
              <w:pStyle w:val="6"/>
              <w:spacing w:before="185" w:line="228" w:lineRule="auto"/>
              <w:ind w:left="511"/>
            </w:pPr>
            <w:r>
              <w:rPr>
                <w:spacing w:val="6"/>
              </w:rPr>
              <w:t>名录外</w:t>
            </w:r>
          </w:p>
        </w:tc>
        <w:tc>
          <w:tcPr>
            <w:tcW w:w="1555" w:type="dxa"/>
            <w:vAlign w:val="top"/>
          </w:tcPr>
          <w:p w14:paraId="23F3D4D0">
            <w:pPr>
              <w:spacing w:before="217"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32" w:type="dxa"/>
            <w:tcBorders>
              <w:right w:val="single" w:color="000000" w:sz="10" w:space="0"/>
            </w:tcBorders>
            <w:vAlign w:val="top"/>
          </w:tcPr>
          <w:p w14:paraId="43ABC586">
            <w:pPr>
              <w:pStyle w:val="6"/>
              <w:spacing w:before="185" w:line="228" w:lineRule="auto"/>
              <w:ind w:left="166"/>
            </w:pPr>
            <w:r>
              <w:rPr>
                <w:spacing w:val="4"/>
              </w:rPr>
              <w:t>停产</w:t>
            </w:r>
          </w:p>
        </w:tc>
      </w:tr>
      <w:tr w14:paraId="33A27F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413" w:type="dxa"/>
            <w:tcBorders>
              <w:left w:val="single" w:color="000000" w:sz="10" w:space="0"/>
            </w:tcBorders>
            <w:vAlign w:val="top"/>
          </w:tcPr>
          <w:p w14:paraId="6CE9D36B">
            <w:pPr>
              <w:spacing w:before="221" w:line="195" w:lineRule="auto"/>
              <w:ind w:left="93"/>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tc>
        <w:tc>
          <w:tcPr>
            <w:tcW w:w="1290" w:type="dxa"/>
            <w:vAlign w:val="top"/>
          </w:tcPr>
          <w:p w14:paraId="60281B05">
            <w:pPr>
              <w:pStyle w:val="6"/>
              <w:spacing w:before="50" w:line="232" w:lineRule="auto"/>
              <w:ind w:left="116" w:right="24" w:hanging="92"/>
            </w:pPr>
            <w:r>
              <w:rPr>
                <w:spacing w:val="6"/>
              </w:rPr>
              <w:t>隆回县旭瑞建</w:t>
            </w:r>
            <w:r>
              <w:rPr>
                <w:spacing w:val="8"/>
              </w:rPr>
              <w:t>材有限公司</w:t>
            </w:r>
          </w:p>
        </w:tc>
        <w:tc>
          <w:tcPr>
            <w:tcW w:w="2918" w:type="dxa"/>
            <w:vAlign w:val="top"/>
          </w:tcPr>
          <w:p w14:paraId="7DC78730">
            <w:pPr>
              <w:pStyle w:val="6"/>
              <w:spacing w:before="50" w:line="228" w:lineRule="auto"/>
              <w:ind w:left="15"/>
            </w:pPr>
            <w:r>
              <w:rPr>
                <w:spacing w:val="5"/>
              </w:rPr>
              <w:t>年产</w:t>
            </w:r>
            <w:r>
              <w:rPr>
                <w:rFonts w:ascii="Times New Roman" w:hAnsi="Times New Roman" w:eastAsia="Times New Roman" w:cs="Times New Roman"/>
                <w:spacing w:val="5"/>
              </w:rPr>
              <w:t>10</w:t>
            </w:r>
            <w:r>
              <w:rPr>
                <w:spacing w:val="5"/>
              </w:rPr>
              <w:t>万平方米</w:t>
            </w:r>
            <w:r>
              <w:rPr>
                <w:rFonts w:ascii="Times New Roman" w:hAnsi="Times New Roman" w:eastAsia="Times New Roman" w:cs="Times New Roman"/>
              </w:rPr>
              <w:t>ASA</w:t>
            </w:r>
            <w:r>
              <w:rPr>
                <w:spacing w:val="5"/>
              </w:rPr>
              <w:t>合成树脂</w:t>
            </w:r>
          </w:p>
          <w:p w14:paraId="31A38646">
            <w:pPr>
              <w:pStyle w:val="6"/>
              <w:spacing w:before="24" w:line="213" w:lineRule="auto"/>
              <w:ind w:left="1363"/>
            </w:pPr>
            <w:r>
              <w:t>瓦</w:t>
            </w:r>
          </w:p>
        </w:tc>
        <w:tc>
          <w:tcPr>
            <w:tcW w:w="1630" w:type="dxa"/>
            <w:vAlign w:val="top"/>
          </w:tcPr>
          <w:p w14:paraId="57C99114">
            <w:pPr>
              <w:pStyle w:val="6"/>
              <w:spacing w:before="50" w:line="228" w:lineRule="auto"/>
              <w:ind w:left="403"/>
            </w:pPr>
            <w:r>
              <w:rPr>
                <w:spacing w:val="7"/>
              </w:rPr>
              <w:t>邵市环评</w:t>
            </w:r>
          </w:p>
          <w:p w14:paraId="76B76A1D">
            <w:pPr>
              <w:pStyle w:val="6"/>
              <w:spacing w:before="24" w:line="213" w:lineRule="auto"/>
              <w:ind w:left="185"/>
            </w:pPr>
            <w:r>
              <w:rPr>
                <w:rFonts w:ascii="Times New Roman" w:hAnsi="Times New Roman" w:eastAsia="Times New Roman" w:cs="Times New Roman"/>
                <w:spacing w:val="3"/>
              </w:rPr>
              <w:t>(4)[2021]40</w:t>
            </w:r>
            <w:r>
              <w:rPr>
                <w:spacing w:val="3"/>
              </w:rPr>
              <w:t>号</w:t>
            </w:r>
          </w:p>
        </w:tc>
        <w:tc>
          <w:tcPr>
            <w:tcW w:w="1555" w:type="dxa"/>
            <w:vAlign w:val="top"/>
          </w:tcPr>
          <w:p w14:paraId="1E53259D">
            <w:pPr>
              <w:spacing w:before="100" w:line="236" w:lineRule="auto"/>
              <w:ind w:left="138" w:right="51" w:hanging="6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91430524</w:t>
            </w:r>
            <w:r>
              <w:rPr>
                <w:rFonts w:ascii="Times New Roman" w:hAnsi="Times New Roman" w:eastAsia="Times New Roman" w:cs="Times New Roman"/>
                <w:sz w:val="20"/>
                <w:szCs w:val="20"/>
              </w:rPr>
              <w:t>MA</w:t>
            </w:r>
            <w:r>
              <w:rPr>
                <w:rFonts w:ascii="Times New Roman" w:hAnsi="Times New Roman" w:eastAsia="Times New Roman" w:cs="Times New Roman"/>
                <w:spacing w:val="5"/>
                <w:sz w:val="20"/>
                <w:szCs w:val="20"/>
              </w:rPr>
              <w:t>7A</w:t>
            </w:r>
            <w:r>
              <w:rPr>
                <w:rFonts w:ascii="Times New Roman" w:hAnsi="Times New Roman" w:eastAsia="Times New Roman" w:cs="Times New Roman"/>
                <w:sz w:val="20"/>
                <w:szCs w:val="20"/>
              </w:rPr>
              <w:t>DKP</w:t>
            </w:r>
            <w:r>
              <w:rPr>
                <w:rFonts w:ascii="Times New Roman" w:hAnsi="Times New Roman" w:eastAsia="Times New Roman" w:cs="Times New Roman"/>
                <w:spacing w:val="8"/>
                <w:sz w:val="20"/>
                <w:szCs w:val="20"/>
              </w:rPr>
              <w:t>46W001X</w:t>
            </w:r>
          </w:p>
        </w:tc>
        <w:tc>
          <w:tcPr>
            <w:tcW w:w="732" w:type="dxa"/>
            <w:tcBorders>
              <w:right w:val="single" w:color="000000" w:sz="10" w:space="0"/>
            </w:tcBorders>
            <w:vAlign w:val="top"/>
          </w:tcPr>
          <w:p w14:paraId="6DA80E7A">
            <w:pPr>
              <w:pStyle w:val="6"/>
              <w:spacing w:before="185" w:line="228" w:lineRule="auto"/>
              <w:ind w:left="165"/>
            </w:pPr>
            <w:r>
              <w:rPr>
                <w:spacing w:val="4"/>
              </w:rPr>
              <w:t>运行</w:t>
            </w:r>
          </w:p>
        </w:tc>
      </w:tr>
      <w:tr w14:paraId="55B13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413" w:type="dxa"/>
            <w:tcBorders>
              <w:left w:val="single" w:color="000000" w:sz="10" w:space="0"/>
            </w:tcBorders>
            <w:vAlign w:val="top"/>
          </w:tcPr>
          <w:p w14:paraId="2D23EC5F">
            <w:pPr>
              <w:spacing w:line="301" w:lineRule="auto"/>
              <w:rPr>
                <w:rFonts w:ascii="Arial"/>
                <w:sz w:val="21"/>
              </w:rPr>
            </w:pPr>
          </w:p>
          <w:p w14:paraId="447C97C3">
            <w:pPr>
              <w:spacing w:before="58" w:line="195" w:lineRule="auto"/>
              <w:ind w:left="93"/>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c>
          <w:tcPr>
            <w:tcW w:w="1290" w:type="dxa"/>
            <w:vAlign w:val="top"/>
          </w:tcPr>
          <w:p w14:paraId="7F6961A4">
            <w:pPr>
              <w:pStyle w:val="6"/>
              <w:spacing w:before="51" w:line="227" w:lineRule="auto"/>
              <w:ind w:left="10"/>
            </w:pPr>
            <w:r>
              <w:rPr>
                <w:spacing w:val="8"/>
              </w:rPr>
              <w:t>邵阳市佳安运</w:t>
            </w:r>
          </w:p>
          <w:p w14:paraId="70DBC74A">
            <w:pPr>
              <w:pStyle w:val="6"/>
              <w:spacing w:before="28" w:line="228" w:lineRule="auto"/>
              <w:ind w:left="11"/>
            </w:pPr>
            <w:r>
              <w:rPr>
                <w:spacing w:val="8"/>
              </w:rPr>
              <w:t>动用品有限公</w:t>
            </w:r>
          </w:p>
          <w:p w14:paraId="31230684">
            <w:pPr>
              <w:pStyle w:val="6"/>
              <w:spacing w:before="23" w:line="211" w:lineRule="auto"/>
              <w:ind w:left="544"/>
            </w:pPr>
            <w:r>
              <w:t>司</w:t>
            </w:r>
          </w:p>
        </w:tc>
        <w:tc>
          <w:tcPr>
            <w:tcW w:w="2918" w:type="dxa"/>
            <w:vAlign w:val="top"/>
          </w:tcPr>
          <w:p w14:paraId="10C6DCA1">
            <w:pPr>
              <w:spacing w:line="258" w:lineRule="auto"/>
              <w:rPr>
                <w:rFonts w:ascii="Arial"/>
                <w:sz w:val="21"/>
              </w:rPr>
            </w:pPr>
          </w:p>
          <w:p w14:paraId="44866663">
            <w:pPr>
              <w:pStyle w:val="6"/>
              <w:spacing w:before="65" w:line="228" w:lineRule="auto"/>
              <w:ind w:left="15"/>
            </w:pPr>
            <w:r>
              <w:rPr>
                <w:spacing w:val="9"/>
              </w:rPr>
              <w:t>年产</w:t>
            </w:r>
            <w:r>
              <w:rPr>
                <w:rFonts w:ascii="Times New Roman" w:hAnsi="Times New Roman" w:eastAsia="Times New Roman" w:cs="Times New Roman"/>
                <w:spacing w:val="9"/>
              </w:rPr>
              <w:t>200</w:t>
            </w:r>
            <w:r>
              <w:rPr>
                <w:spacing w:val="9"/>
              </w:rPr>
              <w:t>万只各种运动防护用具</w:t>
            </w:r>
          </w:p>
        </w:tc>
        <w:tc>
          <w:tcPr>
            <w:tcW w:w="1630" w:type="dxa"/>
            <w:vAlign w:val="top"/>
          </w:tcPr>
          <w:p w14:paraId="65C099E5">
            <w:pPr>
              <w:spacing w:line="259" w:lineRule="auto"/>
              <w:rPr>
                <w:rFonts w:ascii="Arial"/>
                <w:sz w:val="21"/>
              </w:rPr>
            </w:pPr>
          </w:p>
          <w:p w14:paraId="43996258">
            <w:pPr>
              <w:pStyle w:val="6"/>
              <w:spacing w:before="65" w:line="228" w:lineRule="auto"/>
              <w:ind w:left="511"/>
            </w:pPr>
            <w:r>
              <w:rPr>
                <w:spacing w:val="6"/>
              </w:rPr>
              <w:t>名录外</w:t>
            </w:r>
          </w:p>
        </w:tc>
        <w:tc>
          <w:tcPr>
            <w:tcW w:w="1555" w:type="dxa"/>
            <w:vAlign w:val="top"/>
          </w:tcPr>
          <w:p w14:paraId="4FEBCFD9">
            <w:pPr>
              <w:spacing w:before="240" w:line="259" w:lineRule="auto"/>
              <w:ind w:left="173" w:right="62" w:hanging="8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91430524</w:t>
            </w:r>
            <w:r>
              <w:rPr>
                <w:rFonts w:ascii="Times New Roman" w:hAnsi="Times New Roman" w:eastAsia="Times New Roman" w:cs="Times New Roman"/>
                <w:sz w:val="20"/>
                <w:szCs w:val="20"/>
              </w:rPr>
              <w:t>MA</w:t>
            </w:r>
            <w:r>
              <w:rPr>
                <w:rFonts w:ascii="Times New Roman" w:hAnsi="Times New Roman" w:eastAsia="Times New Roman" w:cs="Times New Roman"/>
                <w:spacing w:val="5"/>
                <w:sz w:val="20"/>
                <w:szCs w:val="20"/>
              </w:rPr>
              <w:t>4T</w:t>
            </w:r>
            <w:r>
              <w:rPr>
                <w:rFonts w:ascii="Times New Roman" w:hAnsi="Times New Roman" w:eastAsia="Times New Roman" w:cs="Times New Roman"/>
                <w:sz w:val="20"/>
                <w:szCs w:val="20"/>
              </w:rPr>
              <w:t>EA</w:t>
            </w:r>
            <w:r>
              <w:rPr>
                <w:rFonts w:ascii="Times New Roman" w:hAnsi="Times New Roman" w:eastAsia="Times New Roman" w:cs="Times New Roman"/>
                <w:spacing w:val="6"/>
                <w:sz w:val="20"/>
                <w:szCs w:val="20"/>
              </w:rPr>
              <w:t>717F001W</w:t>
            </w:r>
          </w:p>
        </w:tc>
        <w:tc>
          <w:tcPr>
            <w:tcW w:w="732" w:type="dxa"/>
            <w:tcBorders>
              <w:right w:val="single" w:color="000000" w:sz="10" w:space="0"/>
            </w:tcBorders>
            <w:vAlign w:val="top"/>
          </w:tcPr>
          <w:p w14:paraId="5C19DEAB">
            <w:pPr>
              <w:spacing w:line="259" w:lineRule="auto"/>
              <w:rPr>
                <w:rFonts w:ascii="Arial"/>
                <w:sz w:val="21"/>
              </w:rPr>
            </w:pPr>
          </w:p>
          <w:p w14:paraId="31BE5D60">
            <w:pPr>
              <w:pStyle w:val="6"/>
              <w:spacing w:before="65" w:line="228" w:lineRule="auto"/>
              <w:ind w:left="165"/>
            </w:pPr>
            <w:r>
              <w:rPr>
                <w:spacing w:val="4"/>
              </w:rPr>
              <w:t>运行</w:t>
            </w:r>
          </w:p>
        </w:tc>
      </w:tr>
      <w:tr w14:paraId="47A0A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13" w:type="dxa"/>
            <w:tcBorders>
              <w:left w:val="single" w:color="000000" w:sz="10" w:space="0"/>
            </w:tcBorders>
            <w:vAlign w:val="top"/>
          </w:tcPr>
          <w:p w14:paraId="54E29A10">
            <w:pPr>
              <w:spacing w:before="226" w:line="195" w:lineRule="auto"/>
              <w:ind w:left="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290" w:type="dxa"/>
            <w:vAlign w:val="top"/>
          </w:tcPr>
          <w:p w14:paraId="506C51C9">
            <w:pPr>
              <w:pStyle w:val="6"/>
              <w:spacing w:before="53" w:line="228" w:lineRule="auto"/>
              <w:ind w:left="24"/>
            </w:pPr>
            <w:r>
              <w:rPr>
                <w:spacing w:val="6"/>
              </w:rPr>
              <w:t>隆回源林和润</w:t>
            </w:r>
          </w:p>
          <w:p w14:paraId="3500559A">
            <w:pPr>
              <w:pStyle w:val="6"/>
              <w:spacing w:before="24" w:line="211" w:lineRule="auto"/>
              <w:ind w:left="9"/>
            </w:pPr>
            <w:r>
              <w:rPr>
                <w:spacing w:val="8"/>
              </w:rPr>
              <w:t>槟榔有限公司</w:t>
            </w:r>
          </w:p>
        </w:tc>
        <w:tc>
          <w:tcPr>
            <w:tcW w:w="2918" w:type="dxa"/>
            <w:vAlign w:val="top"/>
          </w:tcPr>
          <w:p w14:paraId="75719CA4">
            <w:pPr>
              <w:pStyle w:val="6"/>
              <w:spacing w:before="188" w:line="228" w:lineRule="auto"/>
              <w:ind w:left="1040"/>
            </w:pPr>
            <w:r>
              <w:rPr>
                <w:spacing w:val="7"/>
              </w:rPr>
              <w:t>槟榔加工</w:t>
            </w:r>
          </w:p>
        </w:tc>
        <w:tc>
          <w:tcPr>
            <w:tcW w:w="1630" w:type="dxa"/>
            <w:vAlign w:val="top"/>
          </w:tcPr>
          <w:p w14:paraId="6044B09C">
            <w:pPr>
              <w:pStyle w:val="6"/>
              <w:spacing w:before="188" w:line="228" w:lineRule="auto"/>
              <w:ind w:left="511"/>
            </w:pPr>
            <w:r>
              <w:rPr>
                <w:spacing w:val="6"/>
              </w:rPr>
              <w:t>名录外</w:t>
            </w:r>
          </w:p>
        </w:tc>
        <w:tc>
          <w:tcPr>
            <w:tcW w:w="1555" w:type="dxa"/>
            <w:vAlign w:val="top"/>
          </w:tcPr>
          <w:p w14:paraId="723588CC">
            <w:pPr>
              <w:spacing w:before="103" w:line="235" w:lineRule="auto"/>
              <w:ind w:left="195" w:right="51" w:hanging="12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91430524</w:t>
            </w:r>
            <w:r>
              <w:rPr>
                <w:rFonts w:ascii="Times New Roman" w:hAnsi="Times New Roman" w:eastAsia="Times New Roman" w:cs="Times New Roman"/>
                <w:sz w:val="20"/>
                <w:szCs w:val="20"/>
              </w:rPr>
              <w:t>MA</w:t>
            </w:r>
            <w:r>
              <w:rPr>
                <w:rFonts w:ascii="Times New Roman" w:hAnsi="Times New Roman" w:eastAsia="Times New Roman" w:cs="Times New Roman"/>
                <w:spacing w:val="5"/>
                <w:sz w:val="20"/>
                <w:szCs w:val="20"/>
              </w:rPr>
              <w:t>4Q</w:t>
            </w:r>
            <w:r>
              <w:rPr>
                <w:rFonts w:ascii="Times New Roman" w:hAnsi="Times New Roman" w:eastAsia="Times New Roman" w:cs="Times New Roman"/>
                <w:spacing w:val="7"/>
                <w:sz w:val="20"/>
                <w:szCs w:val="20"/>
              </w:rPr>
              <w:t>0</w:t>
            </w:r>
            <w:r>
              <w:rPr>
                <w:rFonts w:ascii="Times New Roman" w:hAnsi="Times New Roman" w:eastAsia="Times New Roman" w:cs="Times New Roman"/>
                <w:sz w:val="20"/>
                <w:szCs w:val="20"/>
              </w:rPr>
              <w:t>NJR</w:t>
            </w:r>
            <w:r>
              <w:rPr>
                <w:rFonts w:ascii="Times New Roman" w:hAnsi="Times New Roman" w:eastAsia="Times New Roman" w:cs="Times New Roman"/>
                <w:spacing w:val="7"/>
                <w:sz w:val="20"/>
                <w:szCs w:val="20"/>
              </w:rPr>
              <w:t>2C001Y</w:t>
            </w:r>
          </w:p>
        </w:tc>
        <w:tc>
          <w:tcPr>
            <w:tcW w:w="732" w:type="dxa"/>
            <w:tcBorders>
              <w:right w:val="single" w:color="000000" w:sz="10" w:space="0"/>
            </w:tcBorders>
            <w:vAlign w:val="top"/>
          </w:tcPr>
          <w:p w14:paraId="381B15FB">
            <w:pPr>
              <w:pStyle w:val="6"/>
              <w:spacing w:before="188" w:line="228" w:lineRule="auto"/>
              <w:ind w:left="165"/>
            </w:pPr>
            <w:r>
              <w:rPr>
                <w:spacing w:val="4"/>
              </w:rPr>
              <w:t>运行</w:t>
            </w:r>
          </w:p>
        </w:tc>
      </w:tr>
      <w:tr w14:paraId="3C12DF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13" w:type="dxa"/>
            <w:tcBorders>
              <w:left w:val="single" w:color="000000" w:sz="10" w:space="0"/>
            </w:tcBorders>
            <w:vAlign w:val="top"/>
          </w:tcPr>
          <w:p w14:paraId="3521CC1F">
            <w:pPr>
              <w:spacing w:before="226" w:line="195" w:lineRule="auto"/>
              <w:ind w:left="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71</w:t>
            </w:r>
          </w:p>
        </w:tc>
        <w:tc>
          <w:tcPr>
            <w:tcW w:w="1290" w:type="dxa"/>
            <w:vAlign w:val="top"/>
          </w:tcPr>
          <w:p w14:paraId="3B7132EA">
            <w:pPr>
              <w:pStyle w:val="6"/>
              <w:spacing w:before="56" w:line="227" w:lineRule="auto"/>
              <w:ind w:left="10"/>
            </w:pPr>
            <w:r>
              <w:rPr>
                <w:spacing w:val="8"/>
              </w:rPr>
              <w:t>湖南和一鞋材</w:t>
            </w:r>
          </w:p>
          <w:p w14:paraId="1208EC06">
            <w:pPr>
              <w:pStyle w:val="6"/>
              <w:spacing w:before="25" w:line="209" w:lineRule="auto"/>
              <w:ind w:left="539"/>
            </w:pPr>
            <w:r>
              <w:t>厂</w:t>
            </w:r>
          </w:p>
        </w:tc>
        <w:tc>
          <w:tcPr>
            <w:tcW w:w="2918" w:type="dxa"/>
            <w:vAlign w:val="top"/>
          </w:tcPr>
          <w:p w14:paraId="77F9028C">
            <w:pPr>
              <w:pStyle w:val="6"/>
              <w:spacing w:before="190" w:line="227" w:lineRule="auto"/>
              <w:ind w:left="44"/>
            </w:pPr>
            <w:r>
              <w:rPr>
                <w:spacing w:val="5"/>
              </w:rPr>
              <w:t>年产纸箱</w:t>
            </w:r>
            <w:r>
              <w:rPr>
                <w:rFonts w:ascii="Times New Roman" w:hAnsi="Times New Roman" w:eastAsia="Times New Roman" w:cs="Times New Roman"/>
                <w:spacing w:val="5"/>
              </w:rPr>
              <w:t>5000</w:t>
            </w:r>
            <w:r>
              <w:rPr>
                <w:spacing w:val="5"/>
              </w:rPr>
              <w:t>个，鞋材</w:t>
            </w:r>
            <w:r>
              <w:rPr>
                <w:rFonts w:ascii="Times New Roman" w:hAnsi="Times New Roman" w:eastAsia="Times New Roman" w:cs="Times New Roman"/>
                <w:spacing w:val="5"/>
              </w:rPr>
              <w:t>2</w:t>
            </w:r>
            <w:r>
              <w:rPr>
                <w:spacing w:val="5"/>
              </w:rPr>
              <w:t>万米</w:t>
            </w:r>
          </w:p>
        </w:tc>
        <w:tc>
          <w:tcPr>
            <w:tcW w:w="1630" w:type="dxa"/>
            <w:vAlign w:val="top"/>
          </w:tcPr>
          <w:p w14:paraId="7166E5A7">
            <w:pPr>
              <w:pStyle w:val="6"/>
              <w:spacing w:before="191" w:line="228" w:lineRule="auto"/>
              <w:ind w:left="511"/>
            </w:pPr>
            <w:r>
              <w:rPr>
                <w:spacing w:val="6"/>
              </w:rPr>
              <w:t>名录外</w:t>
            </w:r>
          </w:p>
        </w:tc>
        <w:tc>
          <w:tcPr>
            <w:tcW w:w="1555" w:type="dxa"/>
            <w:vAlign w:val="top"/>
          </w:tcPr>
          <w:p w14:paraId="36E44982">
            <w:pPr>
              <w:spacing w:before="106" w:line="195" w:lineRule="auto"/>
              <w:ind w:left="9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91430524</w:t>
            </w:r>
            <w:r>
              <w:rPr>
                <w:rFonts w:ascii="Times New Roman" w:hAnsi="Times New Roman" w:eastAsia="Times New Roman" w:cs="Times New Roman"/>
                <w:sz w:val="20"/>
                <w:szCs w:val="20"/>
              </w:rPr>
              <w:t>MA</w:t>
            </w:r>
            <w:r>
              <w:rPr>
                <w:rFonts w:ascii="Times New Roman" w:hAnsi="Times New Roman" w:eastAsia="Times New Roman" w:cs="Times New Roman"/>
                <w:spacing w:val="5"/>
                <w:sz w:val="20"/>
                <w:szCs w:val="20"/>
              </w:rPr>
              <w:t>4P</w:t>
            </w:r>
          </w:p>
          <w:p w14:paraId="2D3C3CDB">
            <w:pPr>
              <w:spacing w:before="52" w:line="197" w:lineRule="auto"/>
              <w:ind w:left="163"/>
              <w:rPr>
                <w:rFonts w:ascii="Times New Roman" w:hAnsi="Times New Roman" w:eastAsia="Times New Roman" w:cs="Times New Roman"/>
                <w:sz w:val="20"/>
                <w:szCs w:val="20"/>
              </w:rPr>
            </w:pPr>
            <w:r>
              <w:rPr>
                <w:rFonts w:ascii="Times New Roman" w:hAnsi="Times New Roman" w:eastAsia="Times New Roman" w:cs="Times New Roman"/>
                <w:sz w:val="20"/>
                <w:szCs w:val="20"/>
              </w:rPr>
              <w:t>DQ</w:t>
            </w:r>
            <w:r>
              <w:rPr>
                <w:rFonts w:ascii="Times New Roman" w:hAnsi="Times New Roman" w:eastAsia="Times New Roman" w:cs="Times New Roman"/>
                <w:spacing w:val="6"/>
                <w:sz w:val="20"/>
                <w:szCs w:val="20"/>
              </w:rPr>
              <w:t>7K7P001Y</w:t>
            </w:r>
          </w:p>
        </w:tc>
        <w:tc>
          <w:tcPr>
            <w:tcW w:w="732" w:type="dxa"/>
            <w:tcBorders>
              <w:right w:val="single" w:color="000000" w:sz="10" w:space="0"/>
            </w:tcBorders>
            <w:vAlign w:val="top"/>
          </w:tcPr>
          <w:p w14:paraId="24D52FD8">
            <w:pPr>
              <w:pStyle w:val="6"/>
              <w:spacing w:before="191" w:line="228" w:lineRule="auto"/>
              <w:ind w:left="165"/>
            </w:pPr>
            <w:r>
              <w:rPr>
                <w:spacing w:val="4"/>
              </w:rPr>
              <w:t>运行</w:t>
            </w:r>
          </w:p>
        </w:tc>
      </w:tr>
      <w:tr w14:paraId="27E07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413" w:type="dxa"/>
            <w:tcBorders>
              <w:left w:val="single" w:color="000000" w:sz="10" w:space="0"/>
            </w:tcBorders>
            <w:vAlign w:val="top"/>
          </w:tcPr>
          <w:p w14:paraId="17F18C21">
            <w:pPr>
              <w:spacing w:line="303" w:lineRule="auto"/>
              <w:rPr>
                <w:rFonts w:ascii="Arial"/>
                <w:sz w:val="21"/>
              </w:rPr>
            </w:pPr>
          </w:p>
          <w:p w14:paraId="620972DA">
            <w:pPr>
              <w:spacing w:before="58" w:line="195" w:lineRule="auto"/>
              <w:ind w:left="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c>
          <w:tcPr>
            <w:tcW w:w="1290" w:type="dxa"/>
            <w:vAlign w:val="top"/>
          </w:tcPr>
          <w:p w14:paraId="7EC96401">
            <w:pPr>
              <w:pStyle w:val="6"/>
              <w:spacing w:before="56" w:line="228" w:lineRule="auto"/>
              <w:ind w:left="10"/>
            </w:pPr>
            <w:r>
              <w:rPr>
                <w:spacing w:val="8"/>
              </w:rPr>
              <w:t>湖南益多元金</w:t>
            </w:r>
          </w:p>
          <w:p w14:paraId="14C89530">
            <w:pPr>
              <w:pStyle w:val="6"/>
              <w:spacing w:before="24" w:line="228" w:lineRule="auto"/>
              <w:ind w:left="12"/>
            </w:pPr>
            <w:r>
              <w:rPr>
                <w:spacing w:val="7"/>
              </w:rPr>
              <w:t>属制品有限公</w:t>
            </w:r>
          </w:p>
          <w:p w14:paraId="4E93F3F3">
            <w:pPr>
              <w:pStyle w:val="6"/>
              <w:spacing w:before="23" w:line="209" w:lineRule="auto"/>
              <w:ind w:left="544"/>
            </w:pPr>
            <w:r>
              <w:t>司</w:t>
            </w:r>
          </w:p>
        </w:tc>
        <w:tc>
          <w:tcPr>
            <w:tcW w:w="2918" w:type="dxa"/>
            <w:vAlign w:val="top"/>
          </w:tcPr>
          <w:p w14:paraId="362E3161">
            <w:pPr>
              <w:spacing w:line="260" w:lineRule="auto"/>
              <w:rPr>
                <w:rFonts w:ascii="Arial"/>
                <w:sz w:val="21"/>
              </w:rPr>
            </w:pPr>
          </w:p>
          <w:p w14:paraId="546D2B4A">
            <w:pPr>
              <w:pStyle w:val="6"/>
              <w:spacing w:before="65" w:line="227" w:lineRule="auto"/>
              <w:ind w:left="309"/>
            </w:pPr>
            <w:r>
              <w:rPr>
                <w:spacing w:val="9"/>
              </w:rPr>
              <w:t>金属包装容器及材料制造</w:t>
            </w:r>
          </w:p>
        </w:tc>
        <w:tc>
          <w:tcPr>
            <w:tcW w:w="1630" w:type="dxa"/>
            <w:vAlign w:val="top"/>
          </w:tcPr>
          <w:p w14:paraId="01569E7E">
            <w:pPr>
              <w:spacing w:line="261" w:lineRule="auto"/>
              <w:rPr>
                <w:rFonts w:ascii="Arial"/>
                <w:sz w:val="21"/>
              </w:rPr>
            </w:pPr>
          </w:p>
          <w:p w14:paraId="16D659D1">
            <w:pPr>
              <w:pStyle w:val="6"/>
              <w:spacing w:before="65" w:line="228" w:lineRule="auto"/>
              <w:ind w:left="511"/>
            </w:pPr>
            <w:r>
              <w:rPr>
                <w:spacing w:val="6"/>
              </w:rPr>
              <w:t>名录外</w:t>
            </w:r>
          </w:p>
        </w:tc>
        <w:tc>
          <w:tcPr>
            <w:tcW w:w="1555" w:type="dxa"/>
            <w:vAlign w:val="top"/>
          </w:tcPr>
          <w:p w14:paraId="2CE0FFD7">
            <w:pPr>
              <w:spacing w:line="300" w:lineRule="auto"/>
              <w:rPr>
                <w:rFonts w:ascii="Arial"/>
                <w:sz w:val="21"/>
              </w:rPr>
            </w:pPr>
          </w:p>
          <w:p w14:paraId="4CC82D06">
            <w:pPr>
              <w:spacing w:before="57"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32" w:type="dxa"/>
            <w:tcBorders>
              <w:right w:val="single" w:color="000000" w:sz="10" w:space="0"/>
            </w:tcBorders>
            <w:vAlign w:val="top"/>
          </w:tcPr>
          <w:p w14:paraId="301DB250">
            <w:pPr>
              <w:spacing w:line="261" w:lineRule="auto"/>
              <w:rPr>
                <w:rFonts w:ascii="Arial"/>
                <w:sz w:val="21"/>
              </w:rPr>
            </w:pPr>
          </w:p>
          <w:p w14:paraId="70D5595E">
            <w:pPr>
              <w:pStyle w:val="6"/>
              <w:spacing w:before="65" w:line="228" w:lineRule="auto"/>
              <w:ind w:left="165"/>
            </w:pPr>
            <w:r>
              <w:rPr>
                <w:spacing w:val="4"/>
              </w:rPr>
              <w:t>运行</w:t>
            </w:r>
          </w:p>
        </w:tc>
      </w:tr>
      <w:tr w14:paraId="2E4414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13" w:type="dxa"/>
            <w:tcBorders>
              <w:left w:val="single" w:color="000000" w:sz="10" w:space="0"/>
            </w:tcBorders>
            <w:vAlign w:val="top"/>
          </w:tcPr>
          <w:p w14:paraId="19F12A43">
            <w:pPr>
              <w:spacing w:before="228" w:line="195" w:lineRule="auto"/>
              <w:ind w:left="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73</w:t>
            </w:r>
          </w:p>
        </w:tc>
        <w:tc>
          <w:tcPr>
            <w:tcW w:w="1290" w:type="dxa"/>
            <w:vAlign w:val="top"/>
          </w:tcPr>
          <w:p w14:paraId="1F9D174D">
            <w:pPr>
              <w:pStyle w:val="6"/>
              <w:spacing w:before="58" w:line="228" w:lineRule="auto"/>
              <w:ind w:left="10"/>
            </w:pPr>
            <w:r>
              <w:rPr>
                <w:spacing w:val="8"/>
              </w:rPr>
              <w:t>湖南双惠箱包</w:t>
            </w:r>
          </w:p>
          <w:p w14:paraId="61CF1067">
            <w:pPr>
              <w:pStyle w:val="6"/>
              <w:spacing w:before="23" w:line="207" w:lineRule="auto"/>
              <w:ind w:left="222"/>
            </w:pPr>
            <w:r>
              <w:rPr>
                <w:spacing w:val="7"/>
              </w:rPr>
              <w:t>有限公司</w:t>
            </w:r>
          </w:p>
        </w:tc>
        <w:tc>
          <w:tcPr>
            <w:tcW w:w="2918" w:type="dxa"/>
            <w:vAlign w:val="top"/>
          </w:tcPr>
          <w:p w14:paraId="39C8F7FD">
            <w:pPr>
              <w:pStyle w:val="6"/>
              <w:spacing w:before="192" w:line="228" w:lineRule="auto"/>
              <w:ind w:left="675"/>
            </w:pPr>
            <w:r>
              <w:rPr>
                <w:spacing w:val="5"/>
              </w:rPr>
              <w:t>年产背包</w:t>
            </w:r>
            <w:r>
              <w:rPr>
                <w:rFonts w:ascii="Times New Roman" w:hAnsi="Times New Roman" w:eastAsia="Times New Roman" w:cs="Times New Roman"/>
                <w:spacing w:val="5"/>
              </w:rPr>
              <w:t>3000</w:t>
            </w:r>
            <w:r>
              <w:rPr>
                <w:spacing w:val="5"/>
              </w:rPr>
              <w:t>个</w:t>
            </w:r>
          </w:p>
        </w:tc>
        <w:tc>
          <w:tcPr>
            <w:tcW w:w="1630" w:type="dxa"/>
            <w:vAlign w:val="top"/>
          </w:tcPr>
          <w:p w14:paraId="52DD942C">
            <w:pPr>
              <w:pStyle w:val="6"/>
              <w:spacing w:before="193" w:line="228" w:lineRule="auto"/>
              <w:ind w:left="511"/>
            </w:pPr>
            <w:r>
              <w:rPr>
                <w:spacing w:val="6"/>
              </w:rPr>
              <w:t>名录外</w:t>
            </w:r>
          </w:p>
        </w:tc>
        <w:tc>
          <w:tcPr>
            <w:tcW w:w="1555" w:type="dxa"/>
            <w:vAlign w:val="top"/>
          </w:tcPr>
          <w:p w14:paraId="5BB2F7B3">
            <w:pPr>
              <w:spacing w:before="108" w:line="195" w:lineRule="auto"/>
              <w:ind w:left="9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91430524</w:t>
            </w:r>
            <w:r>
              <w:rPr>
                <w:rFonts w:ascii="Times New Roman" w:hAnsi="Times New Roman" w:eastAsia="Times New Roman" w:cs="Times New Roman"/>
                <w:sz w:val="20"/>
                <w:szCs w:val="20"/>
              </w:rPr>
              <w:t>MA</w:t>
            </w:r>
            <w:r>
              <w:rPr>
                <w:rFonts w:ascii="Times New Roman" w:hAnsi="Times New Roman" w:eastAsia="Times New Roman" w:cs="Times New Roman"/>
                <w:spacing w:val="5"/>
                <w:sz w:val="20"/>
                <w:szCs w:val="20"/>
              </w:rPr>
              <w:t>4P</w:t>
            </w:r>
          </w:p>
          <w:p w14:paraId="59F930F6">
            <w:pPr>
              <w:spacing w:before="53" w:line="195" w:lineRule="auto"/>
              <w:ind w:left="209"/>
              <w:rPr>
                <w:rFonts w:ascii="Times New Roman" w:hAnsi="Times New Roman" w:eastAsia="Times New Roman" w:cs="Times New Roman"/>
                <w:sz w:val="20"/>
                <w:szCs w:val="20"/>
              </w:rPr>
            </w:pPr>
            <w:r>
              <w:rPr>
                <w:rFonts w:ascii="Times New Roman" w:hAnsi="Times New Roman" w:eastAsia="Times New Roman" w:cs="Times New Roman"/>
                <w:sz w:val="20"/>
                <w:szCs w:val="20"/>
              </w:rPr>
              <w:t>RFJR</w:t>
            </w:r>
            <w:r>
              <w:rPr>
                <w:rFonts w:ascii="Times New Roman" w:hAnsi="Times New Roman" w:eastAsia="Times New Roman" w:cs="Times New Roman"/>
                <w:spacing w:val="8"/>
                <w:sz w:val="20"/>
                <w:szCs w:val="20"/>
              </w:rPr>
              <w:t>90001X</w:t>
            </w:r>
          </w:p>
        </w:tc>
        <w:tc>
          <w:tcPr>
            <w:tcW w:w="732" w:type="dxa"/>
            <w:tcBorders>
              <w:right w:val="single" w:color="000000" w:sz="10" w:space="0"/>
            </w:tcBorders>
            <w:vAlign w:val="top"/>
          </w:tcPr>
          <w:p w14:paraId="19875869">
            <w:pPr>
              <w:pStyle w:val="6"/>
              <w:spacing w:before="193" w:line="228" w:lineRule="auto"/>
              <w:ind w:left="165"/>
            </w:pPr>
            <w:r>
              <w:rPr>
                <w:spacing w:val="4"/>
              </w:rPr>
              <w:t>运行</w:t>
            </w:r>
          </w:p>
        </w:tc>
      </w:tr>
      <w:tr w14:paraId="32F02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413" w:type="dxa"/>
            <w:tcBorders>
              <w:left w:val="single" w:color="000000" w:sz="10" w:space="0"/>
            </w:tcBorders>
            <w:vAlign w:val="top"/>
          </w:tcPr>
          <w:p w14:paraId="6BD0D57B">
            <w:pPr>
              <w:spacing w:line="306" w:lineRule="auto"/>
              <w:rPr>
                <w:rFonts w:ascii="Arial"/>
                <w:sz w:val="21"/>
              </w:rPr>
            </w:pPr>
          </w:p>
          <w:p w14:paraId="6F5DBAE4">
            <w:pPr>
              <w:spacing w:before="57" w:line="195" w:lineRule="auto"/>
              <w:ind w:left="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74</w:t>
            </w:r>
          </w:p>
        </w:tc>
        <w:tc>
          <w:tcPr>
            <w:tcW w:w="1290" w:type="dxa"/>
            <w:vAlign w:val="top"/>
          </w:tcPr>
          <w:p w14:paraId="6F57ED56">
            <w:pPr>
              <w:pStyle w:val="6"/>
              <w:spacing w:before="57" w:line="228" w:lineRule="auto"/>
              <w:ind w:left="10"/>
            </w:pPr>
            <w:r>
              <w:rPr>
                <w:spacing w:val="8"/>
              </w:rPr>
              <w:t>邵阳市明玉饰</w:t>
            </w:r>
          </w:p>
          <w:p w14:paraId="50FD5C7F">
            <w:pPr>
              <w:pStyle w:val="6"/>
              <w:spacing w:before="24" w:line="228" w:lineRule="auto"/>
              <w:ind w:left="28"/>
            </w:pPr>
            <w:r>
              <w:rPr>
                <w:spacing w:val="5"/>
              </w:rPr>
              <w:t>品有限责任公</w:t>
            </w:r>
          </w:p>
          <w:p w14:paraId="30DFF80F">
            <w:pPr>
              <w:pStyle w:val="6"/>
              <w:spacing w:before="26" w:line="205" w:lineRule="auto"/>
              <w:ind w:left="544"/>
            </w:pPr>
            <w:r>
              <w:t>司</w:t>
            </w:r>
          </w:p>
        </w:tc>
        <w:tc>
          <w:tcPr>
            <w:tcW w:w="2918" w:type="dxa"/>
            <w:vAlign w:val="top"/>
          </w:tcPr>
          <w:p w14:paraId="150F04FC">
            <w:pPr>
              <w:spacing w:line="262" w:lineRule="auto"/>
              <w:rPr>
                <w:rFonts w:ascii="Arial"/>
                <w:sz w:val="21"/>
              </w:rPr>
            </w:pPr>
          </w:p>
          <w:p w14:paraId="2590B708">
            <w:pPr>
              <w:pStyle w:val="6"/>
              <w:spacing w:before="65" w:line="227" w:lineRule="auto"/>
              <w:ind w:left="830"/>
            </w:pPr>
            <w:r>
              <w:rPr>
                <w:spacing w:val="8"/>
              </w:rPr>
              <w:t>布艺品的组装</w:t>
            </w:r>
          </w:p>
        </w:tc>
        <w:tc>
          <w:tcPr>
            <w:tcW w:w="1630" w:type="dxa"/>
            <w:vAlign w:val="top"/>
          </w:tcPr>
          <w:p w14:paraId="01AED82F">
            <w:pPr>
              <w:spacing w:line="263" w:lineRule="auto"/>
              <w:rPr>
                <w:rFonts w:ascii="Arial"/>
                <w:sz w:val="21"/>
              </w:rPr>
            </w:pPr>
          </w:p>
          <w:p w14:paraId="335FB325">
            <w:pPr>
              <w:pStyle w:val="6"/>
              <w:spacing w:before="65" w:line="228" w:lineRule="auto"/>
              <w:ind w:left="511"/>
            </w:pPr>
            <w:r>
              <w:rPr>
                <w:spacing w:val="6"/>
              </w:rPr>
              <w:t>名录外</w:t>
            </w:r>
          </w:p>
        </w:tc>
        <w:tc>
          <w:tcPr>
            <w:tcW w:w="1555" w:type="dxa"/>
            <w:vAlign w:val="top"/>
          </w:tcPr>
          <w:p w14:paraId="2D6B688C">
            <w:pPr>
              <w:spacing w:line="302" w:lineRule="auto"/>
              <w:rPr>
                <w:rFonts w:ascii="Arial"/>
                <w:sz w:val="21"/>
              </w:rPr>
            </w:pPr>
          </w:p>
          <w:p w14:paraId="26DBF4EC">
            <w:pPr>
              <w:spacing w:before="57"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32" w:type="dxa"/>
            <w:tcBorders>
              <w:right w:val="single" w:color="000000" w:sz="10" w:space="0"/>
            </w:tcBorders>
            <w:vAlign w:val="top"/>
          </w:tcPr>
          <w:p w14:paraId="7EC6D479">
            <w:pPr>
              <w:spacing w:line="262" w:lineRule="auto"/>
              <w:rPr>
                <w:rFonts w:ascii="Arial"/>
                <w:sz w:val="21"/>
              </w:rPr>
            </w:pPr>
          </w:p>
          <w:p w14:paraId="3E9D5EBF">
            <w:pPr>
              <w:pStyle w:val="6"/>
              <w:spacing w:before="65" w:line="228" w:lineRule="auto"/>
              <w:ind w:left="166"/>
            </w:pPr>
            <w:r>
              <w:rPr>
                <w:spacing w:val="4"/>
              </w:rPr>
              <w:t>停产</w:t>
            </w:r>
          </w:p>
        </w:tc>
      </w:tr>
      <w:tr w14:paraId="1D401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413" w:type="dxa"/>
            <w:tcBorders>
              <w:left w:val="single" w:color="000000" w:sz="10" w:space="0"/>
            </w:tcBorders>
            <w:vAlign w:val="top"/>
          </w:tcPr>
          <w:p w14:paraId="50C61D4B">
            <w:pPr>
              <w:spacing w:line="311" w:lineRule="auto"/>
              <w:rPr>
                <w:rFonts w:ascii="Arial"/>
                <w:sz w:val="21"/>
              </w:rPr>
            </w:pPr>
          </w:p>
          <w:p w14:paraId="39DF57D0">
            <w:pPr>
              <w:spacing w:before="57" w:line="192" w:lineRule="auto"/>
              <w:ind w:left="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290" w:type="dxa"/>
            <w:vAlign w:val="top"/>
          </w:tcPr>
          <w:p w14:paraId="057AB9A0">
            <w:pPr>
              <w:pStyle w:val="6"/>
              <w:spacing w:before="61" w:line="228" w:lineRule="auto"/>
              <w:ind w:left="10"/>
            </w:pPr>
            <w:r>
              <w:rPr>
                <w:spacing w:val="8"/>
              </w:rPr>
              <w:t>邵阳圆宇创新</w:t>
            </w:r>
          </w:p>
          <w:p w14:paraId="5AB147EF">
            <w:pPr>
              <w:pStyle w:val="6"/>
              <w:spacing w:before="23" w:line="227" w:lineRule="auto"/>
              <w:ind w:left="35"/>
            </w:pPr>
            <w:r>
              <w:rPr>
                <w:spacing w:val="4"/>
              </w:rPr>
              <w:t>电子科技有限</w:t>
            </w:r>
          </w:p>
          <w:p w14:paraId="6A4F9741">
            <w:pPr>
              <w:pStyle w:val="6"/>
              <w:spacing w:before="27" w:line="204" w:lineRule="auto"/>
              <w:ind w:left="437"/>
            </w:pPr>
            <w:r>
              <w:rPr>
                <w:spacing w:val="1"/>
              </w:rPr>
              <w:t>公司</w:t>
            </w:r>
          </w:p>
        </w:tc>
        <w:tc>
          <w:tcPr>
            <w:tcW w:w="2918" w:type="dxa"/>
            <w:vAlign w:val="top"/>
          </w:tcPr>
          <w:p w14:paraId="4F481778">
            <w:pPr>
              <w:spacing w:line="264" w:lineRule="auto"/>
              <w:rPr>
                <w:rFonts w:ascii="Arial"/>
                <w:sz w:val="21"/>
              </w:rPr>
            </w:pPr>
          </w:p>
          <w:p w14:paraId="53D49A62">
            <w:pPr>
              <w:pStyle w:val="6"/>
              <w:spacing w:before="65" w:line="228" w:lineRule="auto"/>
              <w:ind w:left="464"/>
            </w:pPr>
            <w:r>
              <w:rPr>
                <w:spacing w:val="4"/>
              </w:rPr>
              <w:t>年产航模产品</w:t>
            </w:r>
            <w:r>
              <w:rPr>
                <w:rFonts w:ascii="Times New Roman" w:hAnsi="Times New Roman" w:eastAsia="Times New Roman" w:cs="Times New Roman"/>
                <w:spacing w:val="4"/>
              </w:rPr>
              <w:t>1000</w:t>
            </w:r>
            <w:r>
              <w:rPr>
                <w:spacing w:val="4"/>
              </w:rPr>
              <w:t>件</w:t>
            </w:r>
          </w:p>
        </w:tc>
        <w:tc>
          <w:tcPr>
            <w:tcW w:w="1630" w:type="dxa"/>
            <w:vAlign w:val="top"/>
          </w:tcPr>
          <w:p w14:paraId="099D143C">
            <w:pPr>
              <w:spacing w:line="265" w:lineRule="auto"/>
              <w:rPr>
                <w:rFonts w:ascii="Arial"/>
                <w:sz w:val="21"/>
              </w:rPr>
            </w:pPr>
          </w:p>
          <w:p w14:paraId="338E6AB5">
            <w:pPr>
              <w:pStyle w:val="6"/>
              <w:spacing w:before="65" w:line="228" w:lineRule="auto"/>
              <w:ind w:left="511"/>
            </w:pPr>
            <w:r>
              <w:rPr>
                <w:spacing w:val="6"/>
              </w:rPr>
              <w:t>名录外</w:t>
            </w:r>
          </w:p>
        </w:tc>
        <w:tc>
          <w:tcPr>
            <w:tcW w:w="1555" w:type="dxa"/>
            <w:vAlign w:val="top"/>
          </w:tcPr>
          <w:p w14:paraId="20AB688A">
            <w:pPr>
              <w:spacing w:line="304" w:lineRule="auto"/>
              <w:rPr>
                <w:rFonts w:ascii="Arial"/>
                <w:sz w:val="21"/>
              </w:rPr>
            </w:pPr>
          </w:p>
          <w:p w14:paraId="09274BAA">
            <w:pPr>
              <w:spacing w:before="58"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32" w:type="dxa"/>
            <w:tcBorders>
              <w:right w:val="single" w:color="000000" w:sz="10" w:space="0"/>
            </w:tcBorders>
            <w:vAlign w:val="top"/>
          </w:tcPr>
          <w:p w14:paraId="760540E7">
            <w:pPr>
              <w:spacing w:line="265" w:lineRule="auto"/>
              <w:rPr>
                <w:rFonts w:ascii="Arial"/>
                <w:sz w:val="21"/>
              </w:rPr>
            </w:pPr>
          </w:p>
          <w:p w14:paraId="3228AAFA">
            <w:pPr>
              <w:pStyle w:val="6"/>
              <w:spacing w:before="65" w:line="228" w:lineRule="auto"/>
              <w:ind w:left="165"/>
            </w:pPr>
            <w:r>
              <w:rPr>
                <w:spacing w:val="4"/>
              </w:rPr>
              <w:t>运行</w:t>
            </w:r>
          </w:p>
        </w:tc>
      </w:tr>
      <w:tr w14:paraId="45D09A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413" w:type="dxa"/>
            <w:tcBorders>
              <w:left w:val="single" w:color="000000" w:sz="10" w:space="0"/>
            </w:tcBorders>
            <w:vAlign w:val="top"/>
          </w:tcPr>
          <w:p w14:paraId="20622411">
            <w:pPr>
              <w:spacing w:before="232" w:line="195" w:lineRule="auto"/>
              <w:ind w:left="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76</w:t>
            </w:r>
          </w:p>
        </w:tc>
        <w:tc>
          <w:tcPr>
            <w:tcW w:w="1290" w:type="dxa"/>
            <w:vAlign w:val="top"/>
          </w:tcPr>
          <w:p w14:paraId="09774D63">
            <w:pPr>
              <w:pStyle w:val="6"/>
              <w:spacing w:before="61" w:line="227" w:lineRule="auto"/>
              <w:ind w:left="124" w:right="24" w:hanging="100"/>
            </w:pPr>
            <w:r>
              <w:rPr>
                <w:spacing w:val="6"/>
              </w:rPr>
              <w:t>隆回县逸丰商贸有限公司</w:t>
            </w:r>
          </w:p>
        </w:tc>
        <w:tc>
          <w:tcPr>
            <w:tcW w:w="2918" w:type="dxa"/>
            <w:vAlign w:val="top"/>
          </w:tcPr>
          <w:p w14:paraId="11575B80">
            <w:pPr>
              <w:pStyle w:val="6"/>
              <w:spacing w:before="196" w:line="228" w:lineRule="auto"/>
              <w:ind w:left="728"/>
            </w:pPr>
            <w:r>
              <w:rPr>
                <w:spacing w:val="8"/>
              </w:rPr>
              <w:t>花画工艺品制造</w:t>
            </w:r>
          </w:p>
        </w:tc>
        <w:tc>
          <w:tcPr>
            <w:tcW w:w="1630" w:type="dxa"/>
            <w:vAlign w:val="top"/>
          </w:tcPr>
          <w:p w14:paraId="578DB649">
            <w:pPr>
              <w:pStyle w:val="6"/>
              <w:spacing w:before="196" w:line="228" w:lineRule="auto"/>
              <w:ind w:left="511"/>
            </w:pPr>
            <w:r>
              <w:rPr>
                <w:spacing w:val="6"/>
              </w:rPr>
              <w:t>名录外</w:t>
            </w:r>
          </w:p>
        </w:tc>
        <w:tc>
          <w:tcPr>
            <w:tcW w:w="1555" w:type="dxa"/>
            <w:vAlign w:val="top"/>
          </w:tcPr>
          <w:p w14:paraId="7E4FBF48">
            <w:pPr>
              <w:spacing w:before="112" w:line="230" w:lineRule="auto"/>
              <w:ind w:left="167" w:right="13" w:hanging="13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91430524</w:t>
            </w:r>
            <w:r>
              <w:rPr>
                <w:rFonts w:ascii="Times New Roman" w:hAnsi="Times New Roman" w:eastAsia="Times New Roman" w:cs="Times New Roman"/>
                <w:sz w:val="20"/>
                <w:szCs w:val="20"/>
              </w:rPr>
              <w:t>MA</w:t>
            </w:r>
            <w:r>
              <w:rPr>
                <w:rFonts w:ascii="Times New Roman" w:hAnsi="Times New Roman" w:eastAsia="Times New Roman" w:cs="Times New Roman"/>
                <w:spacing w:val="5"/>
                <w:sz w:val="20"/>
                <w:szCs w:val="20"/>
              </w:rPr>
              <w:t>4L2</w:t>
            </w:r>
            <w:r>
              <w:rPr>
                <w:rFonts w:ascii="Times New Roman" w:hAnsi="Times New Roman" w:eastAsia="Times New Roman" w:cs="Times New Roman"/>
                <w:sz w:val="20"/>
                <w:szCs w:val="20"/>
              </w:rPr>
              <w:t>RHM</w:t>
            </w:r>
            <w:r>
              <w:rPr>
                <w:rFonts w:ascii="Times New Roman" w:hAnsi="Times New Roman" w:eastAsia="Times New Roman" w:cs="Times New Roman"/>
                <w:spacing w:val="9"/>
                <w:sz w:val="20"/>
                <w:szCs w:val="20"/>
              </w:rPr>
              <w:t>6R001W</w:t>
            </w:r>
          </w:p>
        </w:tc>
        <w:tc>
          <w:tcPr>
            <w:tcW w:w="732" w:type="dxa"/>
            <w:tcBorders>
              <w:right w:val="single" w:color="000000" w:sz="10" w:space="0"/>
            </w:tcBorders>
            <w:vAlign w:val="top"/>
          </w:tcPr>
          <w:p w14:paraId="4AB6DF97">
            <w:pPr>
              <w:pStyle w:val="6"/>
              <w:spacing w:before="196" w:line="228" w:lineRule="auto"/>
              <w:ind w:left="165"/>
            </w:pPr>
            <w:r>
              <w:rPr>
                <w:spacing w:val="4"/>
              </w:rPr>
              <w:t>运行</w:t>
            </w:r>
          </w:p>
        </w:tc>
      </w:tr>
      <w:tr w14:paraId="50F080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13" w:type="dxa"/>
            <w:tcBorders>
              <w:left w:val="single" w:color="000000" w:sz="10" w:space="0"/>
            </w:tcBorders>
            <w:vAlign w:val="top"/>
          </w:tcPr>
          <w:p w14:paraId="2F78B41C">
            <w:pPr>
              <w:spacing w:before="238" w:line="192" w:lineRule="auto"/>
              <w:ind w:left="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77</w:t>
            </w:r>
          </w:p>
        </w:tc>
        <w:tc>
          <w:tcPr>
            <w:tcW w:w="1290" w:type="dxa"/>
            <w:vAlign w:val="top"/>
          </w:tcPr>
          <w:p w14:paraId="44C04A7C">
            <w:pPr>
              <w:pStyle w:val="6"/>
              <w:spacing w:before="62" w:line="227" w:lineRule="auto"/>
              <w:ind w:left="116" w:right="24" w:hanging="92"/>
            </w:pPr>
            <w:r>
              <w:rPr>
                <w:spacing w:val="6"/>
              </w:rPr>
              <w:t>隆回县楚鑫制</w:t>
            </w:r>
            <w:r>
              <w:rPr>
                <w:spacing w:val="8"/>
              </w:rPr>
              <w:t>衣有限公司</w:t>
            </w:r>
          </w:p>
        </w:tc>
        <w:tc>
          <w:tcPr>
            <w:tcW w:w="2918" w:type="dxa"/>
            <w:vAlign w:val="top"/>
          </w:tcPr>
          <w:p w14:paraId="525C4CD4">
            <w:pPr>
              <w:pStyle w:val="6"/>
              <w:spacing w:before="197" w:line="227" w:lineRule="auto"/>
              <w:ind w:left="726"/>
            </w:pPr>
            <w:r>
              <w:rPr>
                <w:spacing w:val="8"/>
              </w:rPr>
              <w:t>机织服装的生产</w:t>
            </w:r>
          </w:p>
        </w:tc>
        <w:tc>
          <w:tcPr>
            <w:tcW w:w="1630" w:type="dxa"/>
            <w:vAlign w:val="top"/>
          </w:tcPr>
          <w:p w14:paraId="328A2D27">
            <w:pPr>
              <w:pStyle w:val="6"/>
              <w:spacing w:before="197" w:line="228" w:lineRule="auto"/>
              <w:ind w:left="511"/>
            </w:pPr>
            <w:r>
              <w:rPr>
                <w:spacing w:val="6"/>
              </w:rPr>
              <w:t>名录外</w:t>
            </w:r>
          </w:p>
        </w:tc>
        <w:tc>
          <w:tcPr>
            <w:tcW w:w="1555" w:type="dxa"/>
            <w:vAlign w:val="top"/>
          </w:tcPr>
          <w:p w14:paraId="69337870">
            <w:pPr>
              <w:spacing w:before="231"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32" w:type="dxa"/>
            <w:tcBorders>
              <w:right w:val="single" w:color="000000" w:sz="10" w:space="0"/>
            </w:tcBorders>
            <w:vAlign w:val="top"/>
          </w:tcPr>
          <w:p w14:paraId="29D94C85">
            <w:pPr>
              <w:pStyle w:val="6"/>
              <w:spacing w:before="196" w:line="228" w:lineRule="auto"/>
              <w:ind w:left="166"/>
            </w:pPr>
            <w:r>
              <w:rPr>
                <w:spacing w:val="4"/>
              </w:rPr>
              <w:t>停产</w:t>
            </w:r>
          </w:p>
        </w:tc>
      </w:tr>
      <w:tr w14:paraId="7801B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13" w:type="dxa"/>
            <w:tcBorders>
              <w:left w:val="single" w:color="000000" w:sz="10" w:space="0"/>
            </w:tcBorders>
            <w:vAlign w:val="top"/>
          </w:tcPr>
          <w:p w14:paraId="3E190A2A">
            <w:pPr>
              <w:spacing w:before="235" w:line="195" w:lineRule="auto"/>
              <w:ind w:left="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tc>
        <w:tc>
          <w:tcPr>
            <w:tcW w:w="1290" w:type="dxa"/>
            <w:vAlign w:val="top"/>
          </w:tcPr>
          <w:p w14:paraId="6B838F3D">
            <w:pPr>
              <w:pStyle w:val="6"/>
              <w:spacing w:before="64" w:line="226" w:lineRule="auto"/>
              <w:ind w:left="116" w:right="24" w:hanging="92"/>
            </w:pPr>
            <w:r>
              <w:rPr>
                <w:spacing w:val="6"/>
              </w:rPr>
              <w:t>隆回千之都服</w:t>
            </w:r>
            <w:r>
              <w:rPr>
                <w:spacing w:val="8"/>
              </w:rPr>
              <w:t>饰有限公司</w:t>
            </w:r>
          </w:p>
        </w:tc>
        <w:tc>
          <w:tcPr>
            <w:tcW w:w="2918" w:type="dxa"/>
            <w:vAlign w:val="top"/>
          </w:tcPr>
          <w:p w14:paraId="03DDE0B2">
            <w:pPr>
              <w:pStyle w:val="6"/>
              <w:spacing w:before="199" w:line="227" w:lineRule="auto"/>
              <w:ind w:left="726"/>
            </w:pPr>
            <w:r>
              <w:rPr>
                <w:spacing w:val="8"/>
              </w:rPr>
              <w:t>机织服装的生产</w:t>
            </w:r>
          </w:p>
        </w:tc>
        <w:tc>
          <w:tcPr>
            <w:tcW w:w="1630" w:type="dxa"/>
            <w:vAlign w:val="top"/>
          </w:tcPr>
          <w:p w14:paraId="43014D7A">
            <w:pPr>
              <w:pStyle w:val="6"/>
              <w:spacing w:before="199" w:line="228" w:lineRule="auto"/>
              <w:ind w:left="511"/>
            </w:pPr>
            <w:r>
              <w:rPr>
                <w:spacing w:val="6"/>
              </w:rPr>
              <w:t>名录外</w:t>
            </w:r>
          </w:p>
        </w:tc>
        <w:tc>
          <w:tcPr>
            <w:tcW w:w="1555" w:type="dxa"/>
            <w:vAlign w:val="top"/>
          </w:tcPr>
          <w:p w14:paraId="79B6BE54">
            <w:pPr>
              <w:spacing w:before="231"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32" w:type="dxa"/>
            <w:tcBorders>
              <w:right w:val="single" w:color="000000" w:sz="10" w:space="0"/>
            </w:tcBorders>
            <w:vAlign w:val="top"/>
          </w:tcPr>
          <w:p w14:paraId="7C50FDD8">
            <w:pPr>
              <w:pStyle w:val="6"/>
              <w:spacing w:before="199" w:line="228" w:lineRule="auto"/>
              <w:ind w:left="166"/>
            </w:pPr>
            <w:r>
              <w:rPr>
                <w:spacing w:val="4"/>
              </w:rPr>
              <w:t>停产</w:t>
            </w:r>
          </w:p>
        </w:tc>
      </w:tr>
      <w:tr w14:paraId="35D23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413" w:type="dxa"/>
            <w:tcBorders>
              <w:left w:val="single" w:color="000000" w:sz="10" w:space="0"/>
            </w:tcBorders>
            <w:vAlign w:val="top"/>
          </w:tcPr>
          <w:p w14:paraId="68CBB50F">
            <w:pPr>
              <w:spacing w:before="235" w:line="195" w:lineRule="auto"/>
              <w:ind w:left="9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79</w:t>
            </w:r>
          </w:p>
        </w:tc>
        <w:tc>
          <w:tcPr>
            <w:tcW w:w="1290" w:type="dxa"/>
            <w:vAlign w:val="top"/>
          </w:tcPr>
          <w:p w14:paraId="35F85F6A">
            <w:pPr>
              <w:pStyle w:val="6"/>
              <w:spacing w:before="65" w:line="228" w:lineRule="auto"/>
              <w:ind w:left="10"/>
            </w:pPr>
            <w:r>
              <w:rPr>
                <w:spacing w:val="8"/>
              </w:rPr>
              <w:t>邵阳永旺工艺</w:t>
            </w:r>
          </w:p>
          <w:p w14:paraId="27EE3DD4">
            <w:pPr>
              <w:pStyle w:val="6"/>
              <w:spacing w:before="24" w:line="200" w:lineRule="auto"/>
              <w:ind w:left="11"/>
            </w:pPr>
            <w:r>
              <w:rPr>
                <w:spacing w:val="8"/>
              </w:rPr>
              <w:t>制品有限公司</w:t>
            </w:r>
          </w:p>
        </w:tc>
        <w:tc>
          <w:tcPr>
            <w:tcW w:w="2918" w:type="dxa"/>
            <w:vAlign w:val="top"/>
          </w:tcPr>
          <w:p w14:paraId="1F8E55FA">
            <w:pPr>
              <w:pStyle w:val="6"/>
              <w:spacing w:before="198" w:line="228" w:lineRule="auto"/>
              <w:ind w:left="729"/>
            </w:pPr>
            <w:r>
              <w:rPr>
                <w:spacing w:val="8"/>
              </w:rPr>
              <w:t>美发饰品的生产</w:t>
            </w:r>
          </w:p>
        </w:tc>
        <w:tc>
          <w:tcPr>
            <w:tcW w:w="1630" w:type="dxa"/>
            <w:vAlign w:val="top"/>
          </w:tcPr>
          <w:p w14:paraId="0744FDE7">
            <w:pPr>
              <w:pStyle w:val="6"/>
              <w:spacing w:before="199" w:line="228" w:lineRule="auto"/>
              <w:ind w:left="511"/>
            </w:pPr>
            <w:r>
              <w:rPr>
                <w:spacing w:val="6"/>
              </w:rPr>
              <w:t>名录外</w:t>
            </w:r>
          </w:p>
        </w:tc>
        <w:tc>
          <w:tcPr>
            <w:tcW w:w="1555" w:type="dxa"/>
            <w:vAlign w:val="top"/>
          </w:tcPr>
          <w:p w14:paraId="164BE06D">
            <w:pPr>
              <w:spacing w:before="116" w:line="228" w:lineRule="auto"/>
              <w:ind w:left="172" w:right="55" w:hanging="9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91430524</w:t>
            </w:r>
            <w:r>
              <w:rPr>
                <w:rFonts w:ascii="Times New Roman" w:hAnsi="Times New Roman" w:eastAsia="Times New Roman" w:cs="Times New Roman"/>
                <w:sz w:val="20"/>
                <w:szCs w:val="20"/>
              </w:rPr>
              <w:t>MA</w:t>
            </w:r>
            <w:r>
              <w:rPr>
                <w:rFonts w:ascii="Times New Roman" w:hAnsi="Times New Roman" w:eastAsia="Times New Roman" w:cs="Times New Roman"/>
                <w:spacing w:val="5"/>
                <w:sz w:val="20"/>
                <w:szCs w:val="20"/>
              </w:rPr>
              <w:t>4R</w:t>
            </w:r>
            <w:r>
              <w:rPr>
                <w:rFonts w:ascii="Times New Roman" w:hAnsi="Times New Roman" w:eastAsia="Times New Roman" w:cs="Times New Roman"/>
                <w:sz w:val="20"/>
                <w:szCs w:val="20"/>
              </w:rPr>
              <w:t>RDG</w:t>
            </w:r>
            <w:r>
              <w:rPr>
                <w:rFonts w:ascii="Times New Roman" w:hAnsi="Times New Roman" w:eastAsia="Times New Roman" w:cs="Times New Roman"/>
                <w:spacing w:val="7"/>
                <w:sz w:val="20"/>
                <w:szCs w:val="20"/>
              </w:rPr>
              <w:t>46T001Z</w:t>
            </w:r>
          </w:p>
        </w:tc>
        <w:tc>
          <w:tcPr>
            <w:tcW w:w="732" w:type="dxa"/>
            <w:tcBorders>
              <w:right w:val="single" w:color="000000" w:sz="10" w:space="0"/>
            </w:tcBorders>
            <w:vAlign w:val="top"/>
          </w:tcPr>
          <w:p w14:paraId="7B0795B6">
            <w:pPr>
              <w:pStyle w:val="6"/>
              <w:spacing w:before="199" w:line="228" w:lineRule="auto"/>
              <w:ind w:left="165"/>
            </w:pPr>
            <w:r>
              <w:rPr>
                <w:spacing w:val="4"/>
              </w:rPr>
              <w:t>运行</w:t>
            </w:r>
          </w:p>
        </w:tc>
      </w:tr>
      <w:tr w14:paraId="31F38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13" w:type="dxa"/>
            <w:tcBorders>
              <w:left w:val="single" w:color="000000" w:sz="10" w:space="0"/>
            </w:tcBorders>
            <w:vAlign w:val="top"/>
          </w:tcPr>
          <w:p w14:paraId="4D2527BD">
            <w:pPr>
              <w:spacing w:before="238" w:line="195" w:lineRule="auto"/>
              <w:ind w:left="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1290" w:type="dxa"/>
            <w:vAlign w:val="top"/>
          </w:tcPr>
          <w:p w14:paraId="7F545CDF">
            <w:pPr>
              <w:pStyle w:val="6"/>
              <w:spacing w:before="66" w:line="225" w:lineRule="auto"/>
              <w:ind w:left="116" w:right="24" w:hanging="92"/>
            </w:pPr>
            <w:r>
              <w:rPr>
                <w:spacing w:val="6"/>
              </w:rPr>
              <w:t>隆回衣秀尔服</w:t>
            </w:r>
            <w:r>
              <w:rPr>
                <w:spacing w:val="8"/>
              </w:rPr>
              <w:t>饰有限公司</w:t>
            </w:r>
          </w:p>
        </w:tc>
        <w:tc>
          <w:tcPr>
            <w:tcW w:w="2918" w:type="dxa"/>
            <w:vAlign w:val="top"/>
          </w:tcPr>
          <w:p w14:paraId="08881068">
            <w:pPr>
              <w:pStyle w:val="6"/>
              <w:spacing w:before="202" w:line="227" w:lineRule="auto"/>
              <w:ind w:left="726"/>
            </w:pPr>
            <w:r>
              <w:rPr>
                <w:spacing w:val="8"/>
              </w:rPr>
              <w:t>机织服装的生产</w:t>
            </w:r>
          </w:p>
        </w:tc>
        <w:tc>
          <w:tcPr>
            <w:tcW w:w="1630" w:type="dxa"/>
            <w:vAlign w:val="top"/>
          </w:tcPr>
          <w:p w14:paraId="3882C415">
            <w:pPr>
              <w:pStyle w:val="6"/>
              <w:spacing w:before="202" w:line="228" w:lineRule="auto"/>
              <w:ind w:left="511"/>
            </w:pPr>
            <w:r>
              <w:rPr>
                <w:spacing w:val="6"/>
              </w:rPr>
              <w:t>名录外</w:t>
            </w:r>
          </w:p>
        </w:tc>
        <w:tc>
          <w:tcPr>
            <w:tcW w:w="1555" w:type="dxa"/>
            <w:vAlign w:val="top"/>
          </w:tcPr>
          <w:p w14:paraId="54C6CD12">
            <w:pPr>
              <w:spacing w:before="234"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32" w:type="dxa"/>
            <w:tcBorders>
              <w:right w:val="single" w:color="000000" w:sz="10" w:space="0"/>
            </w:tcBorders>
            <w:vAlign w:val="top"/>
          </w:tcPr>
          <w:p w14:paraId="00A32855">
            <w:pPr>
              <w:pStyle w:val="6"/>
              <w:spacing w:before="202" w:line="228" w:lineRule="auto"/>
              <w:ind w:left="166"/>
            </w:pPr>
            <w:r>
              <w:rPr>
                <w:spacing w:val="4"/>
              </w:rPr>
              <w:t>停产</w:t>
            </w:r>
          </w:p>
        </w:tc>
      </w:tr>
      <w:tr w14:paraId="529BC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413" w:type="dxa"/>
            <w:tcBorders>
              <w:left w:val="single" w:color="000000" w:sz="10" w:space="0"/>
            </w:tcBorders>
            <w:vAlign w:val="top"/>
          </w:tcPr>
          <w:p w14:paraId="5D8BB260">
            <w:pPr>
              <w:spacing w:line="315" w:lineRule="auto"/>
              <w:rPr>
                <w:rFonts w:ascii="Arial"/>
                <w:sz w:val="21"/>
              </w:rPr>
            </w:pPr>
          </w:p>
          <w:p w14:paraId="6C40F186">
            <w:pPr>
              <w:spacing w:before="58" w:line="195" w:lineRule="auto"/>
              <w:ind w:left="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81</w:t>
            </w:r>
          </w:p>
        </w:tc>
        <w:tc>
          <w:tcPr>
            <w:tcW w:w="1290" w:type="dxa"/>
            <w:vAlign w:val="top"/>
          </w:tcPr>
          <w:p w14:paraId="57860767">
            <w:pPr>
              <w:pStyle w:val="6"/>
              <w:spacing w:before="67" w:line="228" w:lineRule="auto"/>
              <w:ind w:left="10"/>
            </w:pPr>
            <w:r>
              <w:rPr>
                <w:spacing w:val="8"/>
              </w:rPr>
              <w:t>邵阳市铭高盛</w:t>
            </w:r>
          </w:p>
          <w:p w14:paraId="7166D2DD">
            <w:pPr>
              <w:pStyle w:val="6"/>
              <w:spacing w:before="24" w:line="227" w:lineRule="auto"/>
              <w:ind w:left="10"/>
            </w:pPr>
            <w:r>
              <w:rPr>
                <w:spacing w:val="8"/>
              </w:rPr>
              <w:t>精密科技有限</w:t>
            </w:r>
          </w:p>
          <w:p w14:paraId="09455E92">
            <w:pPr>
              <w:pStyle w:val="6"/>
              <w:spacing w:before="25" w:line="198" w:lineRule="auto"/>
              <w:ind w:left="437"/>
            </w:pPr>
            <w:r>
              <w:rPr>
                <w:spacing w:val="1"/>
              </w:rPr>
              <w:t>公司</w:t>
            </w:r>
          </w:p>
        </w:tc>
        <w:tc>
          <w:tcPr>
            <w:tcW w:w="2918" w:type="dxa"/>
            <w:vAlign w:val="top"/>
          </w:tcPr>
          <w:p w14:paraId="400E5FA0">
            <w:pPr>
              <w:spacing w:line="271" w:lineRule="auto"/>
              <w:rPr>
                <w:rFonts w:ascii="Arial"/>
                <w:sz w:val="21"/>
              </w:rPr>
            </w:pPr>
          </w:p>
          <w:p w14:paraId="2C516466">
            <w:pPr>
              <w:pStyle w:val="6"/>
              <w:spacing w:before="66" w:line="228" w:lineRule="auto"/>
              <w:ind w:left="855"/>
            </w:pPr>
            <w:r>
              <w:rPr>
                <w:spacing w:val="4"/>
              </w:rPr>
              <w:t>电子原件制造</w:t>
            </w:r>
          </w:p>
        </w:tc>
        <w:tc>
          <w:tcPr>
            <w:tcW w:w="1630" w:type="dxa"/>
            <w:vAlign w:val="top"/>
          </w:tcPr>
          <w:p w14:paraId="0E062A4F">
            <w:pPr>
              <w:spacing w:line="272" w:lineRule="auto"/>
              <w:rPr>
                <w:rFonts w:ascii="Arial"/>
                <w:sz w:val="21"/>
              </w:rPr>
            </w:pPr>
          </w:p>
          <w:p w14:paraId="6D1FA22B">
            <w:pPr>
              <w:pStyle w:val="6"/>
              <w:spacing w:before="65" w:line="228" w:lineRule="auto"/>
              <w:ind w:left="511"/>
            </w:pPr>
            <w:r>
              <w:rPr>
                <w:spacing w:val="6"/>
              </w:rPr>
              <w:t>名录外</w:t>
            </w:r>
          </w:p>
        </w:tc>
        <w:tc>
          <w:tcPr>
            <w:tcW w:w="1555" w:type="dxa"/>
            <w:vAlign w:val="top"/>
          </w:tcPr>
          <w:p w14:paraId="672794E1">
            <w:pPr>
              <w:spacing w:line="311" w:lineRule="auto"/>
              <w:rPr>
                <w:rFonts w:ascii="Arial"/>
                <w:sz w:val="21"/>
              </w:rPr>
            </w:pPr>
          </w:p>
          <w:p w14:paraId="5B7B5AB7">
            <w:pPr>
              <w:spacing w:before="58"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32" w:type="dxa"/>
            <w:tcBorders>
              <w:right w:val="single" w:color="000000" w:sz="10" w:space="0"/>
            </w:tcBorders>
            <w:vAlign w:val="top"/>
          </w:tcPr>
          <w:p w14:paraId="4868ABF9">
            <w:pPr>
              <w:spacing w:line="271" w:lineRule="auto"/>
              <w:rPr>
                <w:rFonts w:ascii="Arial"/>
                <w:sz w:val="21"/>
              </w:rPr>
            </w:pPr>
          </w:p>
          <w:p w14:paraId="4355D1E6">
            <w:pPr>
              <w:pStyle w:val="6"/>
              <w:spacing w:before="66" w:line="228" w:lineRule="auto"/>
              <w:ind w:left="166"/>
            </w:pPr>
            <w:r>
              <w:rPr>
                <w:spacing w:val="4"/>
              </w:rPr>
              <w:t>停产</w:t>
            </w:r>
          </w:p>
        </w:tc>
      </w:tr>
      <w:tr w14:paraId="2993A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13" w:type="dxa"/>
            <w:tcBorders>
              <w:left w:val="single" w:color="000000" w:sz="10" w:space="0"/>
            </w:tcBorders>
            <w:vAlign w:val="top"/>
          </w:tcPr>
          <w:p w14:paraId="2E822ADB">
            <w:pPr>
              <w:spacing w:before="240" w:line="195" w:lineRule="auto"/>
              <w:ind w:left="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82</w:t>
            </w:r>
          </w:p>
        </w:tc>
        <w:tc>
          <w:tcPr>
            <w:tcW w:w="1290" w:type="dxa"/>
            <w:vAlign w:val="top"/>
          </w:tcPr>
          <w:p w14:paraId="697410B7">
            <w:pPr>
              <w:pStyle w:val="6"/>
              <w:spacing w:before="69" w:line="228" w:lineRule="auto"/>
              <w:ind w:left="10"/>
            </w:pPr>
            <w:r>
              <w:rPr>
                <w:spacing w:val="8"/>
              </w:rPr>
              <w:t>湖南鑫祥运动</w:t>
            </w:r>
          </w:p>
          <w:p w14:paraId="28F59D70">
            <w:pPr>
              <w:pStyle w:val="6"/>
              <w:spacing w:before="24" w:line="196" w:lineRule="auto"/>
              <w:ind w:left="12"/>
            </w:pPr>
            <w:r>
              <w:rPr>
                <w:spacing w:val="7"/>
              </w:rPr>
              <w:t>用品有限公司</w:t>
            </w:r>
          </w:p>
        </w:tc>
        <w:tc>
          <w:tcPr>
            <w:tcW w:w="2918" w:type="dxa"/>
            <w:vAlign w:val="top"/>
          </w:tcPr>
          <w:p w14:paraId="22C74096">
            <w:pPr>
              <w:pStyle w:val="6"/>
              <w:spacing w:before="204" w:line="227" w:lineRule="auto"/>
              <w:ind w:left="516"/>
            </w:pPr>
            <w:r>
              <w:rPr>
                <w:spacing w:val="8"/>
              </w:rPr>
              <w:t>运动机织服装的生产</w:t>
            </w:r>
          </w:p>
        </w:tc>
        <w:tc>
          <w:tcPr>
            <w:tcW w:w="1630" w:type="dxa"/>
            <w:vAlign w:val="top"/>
          </w:tcPr>
          <w:p w14:paraId="14B278F3">
            <w:pPr>
              <w:pStyle w:val="6"/>
              <w:spacing w:before="205" w:line="228" w:lineRule="auto"/>
              <w:ind w:left="511"/>
            </w:pPr>
            <w:r>
              <w:rPr>
                <w:spacing w:val="6"/>
              </w:rPr>
              <w:t>名录外</w:t>
            </w:r>
          </w:p>
        </w:tc>
        <w:tc>
          <w:tcPr>
            <w:tcW w:w="1555" w:type="dxa"/>
            <w:vAlign w:val="top"/>
          </w:tcPr>
          <w:p w14:paraId="20A00BFD">
            <w:pPr>
              <w:spacing w:before="236"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32" w:type="dxa"/>
            <w:tcBorders>
              <w:right w:val="single" w:color="000000" w:sz="10" w:space="0"/>
            </w:tcBorders>
            <w:vAlign w:val="top"/>
          </w:tcPr>
          <w:p w14:paraId="3046ACD8">
            <w:pPr>
              <w:pStyle w:val="6"/>
              <w:spacing w:before="205" w:line="228" w:lineRule="auto"/>
              <w:ind w:left="165"/>
            </w:pPr>
            <w:r>
              <w:rPr>
                <w:spacing w:val="4"/>
              </w:rPr>
              <w:t>运行</w:t>
            </w:r>
          </w:p>
        </w:tc>
      </w:tr>
      <w:tr w14:paraId="323DD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413" w:type="dxa"/>
            <w:tcBorders>
              <w:left w:val="single" w:color="000000" w:sz="10" w:space="0"/>
            </w:tcBorders>
            <w:vAlign w:val="top"/>
          </w:tcPr>
          <w:p w14:paraId="7F7DC0ED">
            <w:pPr>
              <w:spacing w:line="317" w:lineRule="auto"/>
              <w:rPr>
                <w:rFonts w:ascii="Arial"/>
                <w:sz w:val="21"/>
              </w:rPr>
            </w:pPr>
          </w:p>
          <w:p w14:paraId="17AFD909">
            <w:pPr>
              <w:spacing w:before="58" w:line="195" w:lineRule="auto"/>
              <w:ind w:left="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83</w:t>
            </w:r>
          </w:p>
        </w:tc>
        <w:tc>
          <w:tcPr>
            <w:tcW w:w="1290" w:type="dxa"/>
            <w:vAlign w:val="top"/>
          </w:tcPr>
          <w:p w14:paraId="34815A7A">
            <w:pPr>
              <w:pStyle w:val="6"/>
              <w:spacing w:before="69" w:line="227" w:lineRule="auto"/>
              <w:ind w:left="10"/>
            </w:pPr>
            <w:r>
              <w:rPr>
                <w:spacing w:val="8"/>
              </w:rPr>
              <w:t>邵阳市中科精</w:t>
            </w:r>
          </w:p>
          <w:p w14:paraId="1F4D8322">
            <w:pPr>
              <w:pStyle w:val="6"/>
              <w:spacing w:before="25" w:line="227" w:lineRule="auto"/>
              <w:ind w:left="11"/>
            </w:pPr>
            <w:r>
              <w:rPr>
                <w:spacing w:val="8"/>
              </w:rPr>
              <w:t>密机械有限公</w:t>
            </w:r>
          </w:p>
          <w:p w14:paraId="06153B4D">
            <w:pPr>
              <w:pStyle w:val="6"/>
              <w:spacing w:before="25" w:line="197" w:lineRule="auto"/>
              <w:ind w:left="544"/>
            </w:pPr>
            <w:r>
              <w:t>司</w:t>
            </w:r>
          </w:p>
        </w:tc>
        <w:tc>
          <w:tcPr>
            <w:tcW w:w="2918" w:type="dxa"/>
            <w:vAlign w:val="top"/>
          </w:tcPr>
          <w:p w14:paraId="07574E5E">
            <w:pPr>
              <w:spacing w:line="274" w:lineRule="auto"/>
              <w:rPr>
                <w:rFonts w:ascii="Arial"/>
                <w:sz w:val="21"/>
              </w:rPr>
            </w:pPr>
          </w:p>
          <w:p w14:paraId="5D93AE3E">
            <w:pPr>
              <w:pStyle w:val="6"/>
              <w:spacing w:before="65" w:line="227" w:lineRule="auto"/>
              <w:ind w:left="726"/>
            </w:pPr>
            <w:r>
              <w:rPr>
                <w:spacing w:val="8"/>
              </w:rPr>
              <w:t>机械零部件加工</w:t>
            </w:r>
          </w:p>
        </w:tc>
        <w:tc>
          <w:tcPr>
            <w:tcW w:w="1630" w:type="dxa"/>
            <w:vAlign w:val="top"/>
          </w:tcPr>
          <w:p w14:paraId="0A5BD5B1">
            <w:pPr>
              <w:spacing w:line="274" w:lineRule="auto"/>
              <w:rPr>
                <w:rFonts w:ascii="Arial"/>
                <w:sz w:val="21"/>
              </w:rPr>
            </w:pPr>
          </w:p>
          <w:p w14:paraId="421B5CDA">
            <w:pPr>
              <w:pStyle w:val="6"/>
              <w:spacing w:before="65" w:line="228" w:lineRule="auto"/>
              <w:ind w:left="511"/>
            </w:pPr>
            <w:r>
              <w:rPr>
                <w:spacing w:val="6"/>
              </w:rPr>
              <w:t>名录外</w:t>
            </w:r>
          </w:p>
        </w:tc>
        <w:tc>
          <w:tcPr>
            <w:tcW w:w="1555" w:type="dxa"/>
            <w:vAlign w:val="top"/>
          </w:tcPr>
          <w:p w14:paraId="2F579048">
            <w:pPr>
              <w:spacing w:line="313" w:lineRule="auto"/>
              <w:rPr>
                <w:rFonts w:ascii="Arial"/>
                <w:sz w:val="21"/>
              </w:rPr>
            </w:pPr>
          </w:p>
          <w:p w14:paraId="637DDA33">
            <w:pPr>
              <w:spacing w:before="58"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32" w:type="dxa"/>
            <w:tcBorders>
              <w:right w:val="single" w:color="000000" w:sz="10" w:space="0"/>
            </w:tcBorders>
            <w:vAlign w:val="top"/>
          </w:tcPr>
          <w:p w14:paraId="6BEF8CEE">
            <w:pPr>
              <w:spacing w:line="274" w:lineRule="auto"/>
              <w:rPr>
                <w:rFonts w:ascii="Arial"/>
                <w:sz w:val="21"/>
              </w:rPr>
            </w:pPr>
          </w:p>
          <w:p w14:paraId="4772006F">
            <w:pPr>
              <w:pStyle w:val="6"/>
              <w:spacing w:before="65" w:line="228" w:lineRule="auto"/>
              <w:ind w:left="165"/>
            </w:pPr>
            <w:r>
              <w:rPr>
                <w:spacing w:val="4"/>
              </w:rPr>
              <w:t>运行</w:t>
            </w:r>
          </w:p>
        </w:tc>
      </w:tr>
      <w:tr w14:paraId="3C1768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413" w:type="dxa"/>
            <w:tcBorders>
              <w:left w:val="single" w:color="000000" w:sz="10" w:space="0"/>
              <w:bottom w:val="single" w:color="000000" w:sz="10" w:space="0"/>
            </w:tcBorders>
            <w:vAlign w:val="top"/>
          </w:tcPr>
          <w:p w14:paraId="31D5E9AF">
            <w:pPr>
              <w:spacing w:before="184" w:line="195" w:lineRule="auto"/>
              <w:ind w:left="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84</w:t>
            </w:r>
          </w:p>
        </w:tc>
        <w:tc>
          <w:tcPr>
            <w:tcW w:w="1290" w:type="dxa"/>
            <w:tcBorders>
              <w:bottom w:val="single" w:color="000000" w:sz="10" w:space="0"/>
            </w:tcBorders>
            <w:vAlign w:val="top"/>
          </w:tcPr>
          <w:p w14:paraId="34C37A1F">
            <w:pPr>
              <w:pStyle w:val="6"/>
              <w:spacing w:before="147" w:line="228" w:lineRule="auto"/>
              <w:ind w:left="10"/>
            </w:pPr>
            <w:r>
              <w:rPr>
                <w:spacing w:val="8"/>
              </w:rPr>
              <w:t>邵阳市赐祥鞋</w:t>
            </w:r>
          </w:p>
        </w:tc>
        <w:tc>
          <w:tcPr>
            <w:tcW w:w="2918" w:type="dxa"/>
            <w:tcBorders>
              <w:bottom w:val="single" w:color="000000" w:sz="10" w:space="0"/>
            </w:tcBorders>
            <w:vAlign w:val="top"/>
          </w:tcPr>
          <w:p w14:paraId="41AFAB41">
            <w:pPr>
              <w:pStyle w:val="6"/>
              <w:spacing w:before="147" w:line="228" w:lineRule="auto"/>
              <w:ind w:left="625"/>
            </w:pPr>
            <w:r>
              <w:rPr>
                <w:spacing w:val="8"/>
              </w:rPr>
              <w:t>纺织面料鞋的生产</w:t>
            </w:r>
          </w:p>
        </w:tc>
        <w:tc>
          <w:tcPr>
            <w:tcW w:w="1630" w:type="dxa"/>
            <w:tcBorders>
              <w:bottom w:val="single" w:color="000000" w:sz="10" w:space="0"/>
            </w:tcBorders>
            <w:vAlign w:val="top"/>
          </w:tcPr>
          <w:p w14:paraId="317C4869">
            <w:pPr>
              <w:pStyle w:val="6"/>
              <w:spacing w:before="148" w:line="228" w:lineRule="auto"/>
              <w:ind w:left="511"/>
            </w:pPr>
            <w:r>
              <w:rPr>
                <w:spacing w:val="6"/>
              </w:rPr>
              <w:t>名录外</w:t>
            </w:r>
          </w:p>
        </w:tc>
        <w:tc>
          <w:tcPr>
            <w:tcW w:w="1555" w:type="dxa"/>
            <w:tcBorders>
              <w:bottom w:val="single" w:color="000000" w:sz="10" w:space="0"/>
            </w:tcBorders>
            <w:vAlign w:val="top"/>
          </w:tcPr>
          <w:p w14:paraId="43299389">
            <w:pPr>
              <w:spacing w:before="180"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32" w:type="dxa"/>
            <w:tcBorders>
              <w:bottom w:val="single" w:color="000000" w:sz="10" w:space="0"/>
              <w:right w:val="single" w:color="000000" w:sz="10" w:space="0"/>
            </w:tcBorders>
            <w:vAlign w:val="top"/>
          </w:tcPr>
          <w:p w14:paraId="10AD3E48">
            <w:pPr>
              <w:pStyle w:val="6"/>
              <w:spacing w:before="148" w:line="228" w:lineRule="auto"/>
              <w:ind w:left="165"/>
            </w:pPr>
            <w:r>
              <w:rPr>
                <w:spacing w:val="4"/>
              </w:rPr>
              <w:t>运行</w:t>
            </w:r>
          </w:p>
        </w:tc>
      </w:tr>
    </w:tbl>
    <w:p w14:paraId="3469EEEE">
      <w:pPr>
        <w:pStyle w:val="2"/>
        <w:spacing w:line="166" w:lineRule="exact"/>
        <w:rPr>
          <w:sz w:val="14"/>
        </w:rPr>
      </w:pPr>
    </w:p>
    <w:p w14:paraId="7AFEFAAE">
      <w:pPr>
        <w:spacing w:line="166" w:lineRule="exact"/>
        <w:rPr>
          <w:sz w:val="14"/>
          <w:szCs w:val="14"/>
        </w:rPr>
        <w:sectPr>
          <w:footerReference r:id="rId55" w:type="default"/>
          <w:pgSz w:w="11907" w:h="16840"/>
          <w:pgMar w:top="1132" w:right="1671" w:bottom="1259" w:left="1671" w:header="829" w:footer="1097" w:gutter="0"/>
          <w:cols w:space="720" w:num="1"/>
        </w:sectPr>
      </w:pPr>
    </w:p>
    <w:p w14:paraId="1DA3919C">
      <w:pPr>
        <w:spacing w:before="42"/>
      </w:pPr>
    </w:p>
    <w:tbl>
      <w:tblPr>
        <w:tblStyle w:val="5"/>
        <w:tblW w:w="8538"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3"/>
        <w:gridCol w:w="1290"/>
        <w:gridCol w:w="2918"/>
        <w:gridCol w:w="1630"/>
        <w:gridCol w:w="1555"/>
        <w:gridCol w:w="732"/>
      </w:tblGrid>
      <w:tr w14:paraId="6A470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413" w:type="dxa"/>
            <w:tcBorders>
              <w:top w:val="single" w:color="000000" w:sz="10" w:space="0"/>
              <w:left w:val="single" w:color="000000" w:sz="10" w:space="0"/>
            </w:tcBorders>
            <w:textDirection w:val="tbRlV"/>
            <w:vAlign w:val="top"/>
          </w:tcPr>
          <w:p w14:paraId="7161A91E">
            <w:pPr>
              <w:pStyle w:val="6"/>
              <w:spacing w:before="104" w:line="218" w:lineRule="auto"/>
              <w:ind w:left="52"/>
            </w:pPr>
            <w:r>
              <w:rPr>
                <w:b/>
                <w:bCs/>
                <w:spacing w:val="6"/>
              </w:rPr>
              <w:t>序号</w:t>
            </w:r>
          </w:p>
        </w:tc>
        <w:tc>
          <w:tcPr>
            <w:tcW w:w="1290" w:type="dxa"/>
            <w:tcBorders>
              <w:top w:val="single" w:color="000000" w:sz="10" w:space="0"/>
            </w:tcBorders>
            <w:vAlign w:val="top"/>
          </w:tcPr>
          <w:p w14:paraId="0941FA5B">
            <w:pPr>
              <w:pStyle w:val="6"/>
              <w:spacing w:before="186" w:line="230" w:lineRule="auto"/>
              <w:ind w:left="223"/>
            </w:pPr>
            <w:r>
              <w:rPr>
                <w:b/>
                <w:bCs/>
                <w:spacing w:val="5"/>
              </w:rPr>
              <w:t>企业名称</w:t>
            </w:r>
          </w:p>
        </w:tc>
        <w:tc>
          <w:tcPr>
            <w:tcW w:w="2918" w:type="dxa"/>
            <w:tcBorders>
              <w:top w:val="single" w:color="000000" w:sz="10" w:space="0"/>
            </w:tcBorders>
            <w:vAlign w:val="top"/>
          </w:tcPr>
          <w:p w14:paraId="7F0F22CC">
            <w:pPr>
              <w:pStyle w:val="6"/>
              <w:spacing w:before="186" w:line="228" w:lineRule="auto"/>
              <w:ind w:left="725"/>
            </w:pPr>
            <w:r>
              <w:rPr>
                <w:b/>
                <w:bCs/>
                <w:spacing w:val="6"/>
              </w:rPr>
              <w:t>建设内容及规模</w:t>
            </w:r>
          </w:p>
        </w:tc>
        <w:tc>
          <w:tcPr>
            <w:tcW w:w="1630" w:type="dxa"/>
            <w:tcBorders>
              <w:top w:val="single" w:color="000000" w:sz="10" w:space="0"/>
            </w:tcBorders>
            <w:vAlign w:val="top"/>
          </w:tcPr>
          <w:p w14:paraId="4228326B">
            <w:pPr>
              <w:pStyle w:val="6"/>
              <w:spacing w:before="187" w:line="228" w:lineRule="auto"/>
              <w:ind w:left="401"/>
            </w:pPr>
            <w:r>
              <w:rPr>
                <w:b/>
                <w:bCs/>
                <w:spacing w:val="6"/>
              </w:rPr>
              <w:t>环评批复</w:t>
            </w:r>
          </w:p>
        </w:tc>
        <w:tc>
          <w:tcPr>
            <w:tcW w:w="1555" w:type="dxa"/>
            <w:tcBorders>
              <w:top w:val="single" w:color="000000" w:sz="10" w:space="0"/>
            </w:tcBorders>
            <w:vAlign w:val="top"/>
          </w:tcPr>
          <w:p w14:paraId="65441015">
            <w:pPr>
              <w:pStyle w:val="6"/>
              <w:spacing w:before="187" w:line="228" w:lineRule="auto"/>
              <w:ind w:left="369"/>
            </w:pPr>
            <w:r>
              <w:rPr>
                <w:b/>
                <w:bCs/>
                <w:spacing w:val="6"/>
              </w:rPr>
              <w:t>排污许可</w:t>
            </w:r>
          </w:p>
        </w:tc>
        <w:tc>
          <w:tcPr>
            <w:tcW w:w="732" w:type="dxa"/>
            <w:tcBorders>
              <w:top w:val="single" w:color="000000" w:sz="10" w:space="0"/>
              <w:right w:val="single" w:color="000000" w:sz="10" w:space="0"/>
            </w:tcBorders>
            <w:vAlign w:val="top"/>
          </w:tcPr>
          <w:p w14:paraId="50574DB6">
            <w:pPr>
              <w:pStyle w:val="6"/>
              <w:spacing w:before="52" w:line="228" w:lineRule="auto"/>
              <w:ind w:left="60"/>
            </w:pPr>
            <w:r>
              <w:rPr>
                <w:b/>
                <w:bCs/>
                <w:spacing w:val="5"/>
              </w:rPr>
              <w:t>运行情</w:t>
            </w:r>
          </w:p>
          <w:p w14:paraId="4F19B157">
            <w:pPr>
              <w:pStyle w:val="6"/>
              <w:spacing w:before="23" w:line="216" w:lineRule="auto"/>
              <w:ind w:left="273"/>
            </w:pPr>
            <w:r>
              <w:rPr>
                <w:b/>
                <w:bCs/>
                <w:spacing w:val="-3"/>
              </w:rPr>
              <w:t>况</w:t>
            </w:r>
          </w:p>
        </w:tc>
      </w:tr>
      <w:tr w14:paraId="25FCB5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413" w:type="dxa"/>
            <w:tcBorders>
              <w:left w:val="single" w:color="000000" w:sz="10" w:space="0"/>
            </w:tcBorders>
            <w:vAlign w:val="top"/>
          </w:tcPr>
          <w:p w14:paraId="511F9188">
            <w:pPr>
              <w:rPr>
                <w:rFonts w:ascii="Arial"/>
                <w:sz w:val="21"/>
              </w:rPr>
            </w:pPr>
          </w:p>
        </w:tc>
        <w:tc>
          <w:tcPr>
            <w:tcW w:w="1290" w:type="dxa"/>
            <w:vAlign w:val="top"/>
          </w:tcPr>
          <w:p w14:paraId="779A3652">
            <w:pPr>
              <w:pStyle w:val="6"/>
              <w:spacing w:before="49" w:line="228" w:lineRule="auto"/>
              <w:ind w:left="115"/>
            </w:pPr>
            <w:r>
              <w:rPr>
                <w:spacing w:val="8"/>
              </w:rPr>
              <w:t>业有限公司</w:t>
            </w:r>
          </w:p>
        </w:tc>
        <w:tc>
          <w:tcPr>
            <w:tcW w:w="2918" w:type="dxa"/>
            <w:vAlign w:val="top"/>
          </w:tcPr>
          <w:p w14:paraId="38D90A62">
            <w:pPr>
              <w:rPr>
                <w:rFonts w:ascii="Arial"/>
                <w:sz w:val="21"/>
              </w:rPr>
            </w:pPr>
          </w:p>
        </w:tc>
        <w:tc>
          <w:tcPr>
            <w:tcW w:w="1630" w:type="dxa"/>
            <w:vAlign w:val="top"/>
          </w:tcPr>
          <w:p w14:paraId="0276DD83">
            <w:pPr>
              <w:rPr>
                <w:rFonts w:ascii="Arial"/>
                <w:sz w:val="21"/>
              </w:rPr>
            </w:pPr>
          </w:p>
        </w:tc>
        <w:tc>
          <w:tcPr>
            <w:tcW w:w="1555" w:type="dxa"/>
            <w:vAlign w:val="top"/>
          </w:tcPr>
          <w:p w14:paraId="6B0CB718">
            <w:pPr>
              <w:rPr>
                <w:rFonts w:ascii="Arial"/>
                <w:sz w:val="21"/>
              </w:rPr>
            </w:pPr>
          </w:p>
        </w:tc>
        <w:tc>
          <w:tcPr>
            <w:tcW w:w="732" w:type="dxa"/>
            <w:tcBorders>
              <w:right w:val="single" w:color="000000" w:sz="10" w:space="0"/>
            </w:tcBorders>
            <w:vAlign w:val="top"/>
          </w:tcPr>
          <w:p w14:paraId="6D7EA143">
            <w:pPr>
              <w:rPr>
                <w:rFonts w:ascii="Arial"/>
                <w:sz w:val="21"/>
              </w:rPr>
            </w:pPr>
          </w:p>
        </w:tc>
      </w:tr>
      <w:tr w14:paraId="0BC6D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413" w:type="dxa"/>
            <w:tcBorders>
              <w:left w:val="single" w:color="000000" w:sz="10" w:space="0"/>
            </w:tcBorders>
            <w:vAlign w:val="top"/>
          </w:tcPr>
          <w:p w14:paraId="3E283C8B">
            <w:pPr>
              <w:spacing w:before="221" w:line="195" w:lineRule="auto"/>
              <w:ind w:left="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1290" w:type="dxa"/>
            <w:vAlign w:val="top"/>
          </w:tcPr>
          <w:p w14:paraId="68C890C2">
            <w:pPr>
              <w:pStyle w:val="6"/>
              <w:spacing w:before="51" w:line="231" w:lineRule="auto"/>
              <w:ind w:left="226" w:right="24" w:hanging="202"/>
            </w:pPr>
            <w:r>
              <w:rPr>
                <w:spacing w:val="6"/>
              </w:rPr>
              <w:t>隆回县昱恒玩具制造厂</w:t>
            </w:r>
          </w:p>
        </w:tc>
        <w:tc>
          <w:tcPr>
            <w:tcW w:w="2918" w:type="dxa"/>
            <w:vAlign w:val="top"/>
          </w:tcPr>
          <w:p w14:paraId="4C1037E1">
            <w:pPr>
              <w:pStyle w:val="6"/>
              <w:spacing w:before="185" w:line="228" w:lineRule="auto"/>
              <w:ind w:left="831"/>
            </w:pPr>
            <w:r>
              <w:rPr>
                <w:spacing w:val="8"/>
              </w:rPr>
              <w:t>毛绒玩具制造</w:t>
            </w:r>
          </w:p>
        </w:tc>
        <w:tc>
          <w:tcPr>
            <w:tcW w:w="1630" w:type="dxa"/>
            <w:vAlign w:val="top"/>
          </w:tcPr>
          <w:p w14:paraId="231061C3">
            <w:pPr>
              <w:pStyle w:val="6"/>
              <w:spacing w:before="185" w:line="228" w:lineRule="auto"/>
              <w:ind w:left="511"/>
            </w:pPr>
            <w:r>
              <w:rPr>
                <w:spacing w:val="6"/>
              </w:rPr>
              <w:t>名录外</w:t>
            </w:r>
          </w:p>
        </w:tc>
        <w:tc>
          <w:tcPr>
            <w:tcW w:w="1555" w:type="dxa"/>
            <w:vAlign w:val="top"/>
          </w:tcPr>
          <w:p w14:paraId="10AD1AFC">
            <w:pPr>
              <w:spacing w:before="217"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32" w:type="dxa"/>
            <w:tcBorders>
              <w:right w:val="single" w:color="000000" w:sz="10" w:space="0"/>
            </w:tcBorders>
            <w:vAlign w:val="top"/>
          </w:tcPr>
          <w:p w14:paraId="2CAAD54B">
            <w:pPr>
              <w:pStyle w:val="6"/>
              <w:spacing w:before="185" w:line="228" w:lineRule="auto"/>
              <w:ind w:left="165"/>
            </w:pPr>
            <w:r>
              <w:rPr>
                <w:spacing w:val="4"/>
              </w:rPr>
              <w:t>运行</w:t>
            </w:r>
          </w:p>
        </w:tc>
      </w:tr>
      <w:tr w14:paraId="295E42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413" w:type="dxa"/>
            <w:tcBorders>
              <w:left w:val="single" w:color="000000" w:sz="10" w:space="0"/>
            </w:tcBorders>
            <w:vAlign w:val="top"/>
          </w:tcPr>
          <w:p w14:paraId="4B14AEFE">
            <w:pPr>
              <w:spacing w:before="225" w:line="195" w:lineRule="auto"/>
              <w:ind w:left="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86</w:t>
            </w:r>
          </w:p>
        </w:tc>
        <w:tc>
          <w:tcPr>
            <w:tcW w:w="1290" w:type="dxa"/>
            <w:vAlign w:val="top"/>
          </w:tcPr>
          <w:p w14:paraId="7EA602DA">
            <w:pPr>
              <w:pStyle w:val="6"/>
              <w:spacing w:before="52" w:line="231" w:lineRule="auto"/>
              <w:ind w:left="117" w:right="24" w:hanging="107"/>
            </w:pPr>
            <w:r>
              <w:rPr>
                <w:spacing w:val="8"/>
              </w:rPr>
              <w:t>湖南泰福能科</w:t>
            </w:r>
            <w:r>
              <w:rPr>
                <w:spacing w:val="7"/>
              </w:rPr>
              <w:t>技有限公司</w:t>
            </w:r>
          </w:p>
        </w:tc>
        <w:tc>
          <w:tcPr>
            <w:tcW w:w="2918" w:type="dxa"/>
            <w:vAlign w:val="top"/>
          </w:tcPr>
          <w:p w14:paraId="40E6B60A">
            <w:pPr>
              <w:pStyle w:val="6"/>
              <w:spacing w:before="186" w:line="228" w:lineRule="auto"/>
              <w:ind w:left="464"/>
            </w:pPr>
            <w:r>
              <w:rPr>
                <w:spacing w:val="3"/>
              </w:rPr>
              <w:t>年产</w:t>
            </w:r>
            <w:r>
              <w:rPr>
                <w:rFonts w:ascii="Times New Roman" w:hAnsi="Times New Roman" w:eastAsia="Times New Roman" w:cs="Times New Roman"/>
                <w:spacing w:val="3"/>
              </w:rPr>
              <w:t>1500</w:t>
            </w:r>
            <w:r>
              <w:rPr>
                <w:spacing w:val="3"/>
              </w:rPr>
              <w:t>万只锂电池</w:t>
            </w:r>
          </w:p>
        </w:tc>
        <w:tc>
          <w:tcPr>
            <w:tcW w:w="1630" w:type="dxa"/>
            <w:vAlign w:val="top"/>
          </w:tcPr>
          <w:p w14:paraId="7BB28C50">
            <w:pPr>
              <w:pStyle w:val="6"/>
              <w:spacing w:before="52" w:line="228" w:lineRule="auto"/>
              <w:ind w:left="403"/>
            </w:pPr>
            <w:r>
              <w:rPr>
                <w:spacing w:val="7"/>
              </w:rPr>
              <w:t>邵市环评</w:t>
            </w:r>
          </w:p>
          <w:p w14:paraId="045C07CE">
            <w:pPr>
              <w:pStyle w:val="6"/>
              <w:spacing w:before="27" w:line="209" w:lineRule="auto"/>
              <w:ind w:left="238"/>
            </w:pPr>
            <w:r>
              <w:rPr>
                <w:rFonts w:ascii="Times New Roman" w:hAnsi="Times New Roman" w:eastAsia="Times New Roman" w:cs="Times New Roman"/>
                <w:spacing w:val="3"/>
              </w:rPr>
              <w:t>(4)[2022]2</w:t>
            </w:r>
            <w:r>
              <w:rPr>
                <w:spacing w:val="3"/>
              </w:rPr>
              <w:t>号</w:t>
            </w:r>
          </w:p>
        </w:tc>
        <w:tc>
          <w:tcPr>
            <w:tcW w:w="1555" w:type="dxa"/>
            <w:vAlign w:val="top"/>
          </w:tcPr>
          <w:p w14:paraId="7BB12D8E">
            <w:pPr>
              <w:spacing w:before="102" w:line="235" w:lineRule="auto"/>
              <w:ind w:left="81" w:right="58" w:hanging="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91430524</w:t>
            </w:r>
            <w:r>
              <w:rPr>
                <w:rFonts w:ascii="Times New Roman" w:hAnsi="Times New Roman" w:eastAsia="Times New Roman" w:cs="Times New Roman"/>
                <w:sz w:val="20"/>
                <w:szCs w:val="20"/>
              </w:rPr>
              <w:t>MA</w:t>
            </w:r>
            <w:r>
              <w:rPr>
                <w:rFonts w:ascii="Times New Roman" w:hAnsi="Times New Roman" w:eastAsia="Times New Roman" w:cs="Times New Roman"/>
                <w:spacing w:val="5"/>
                <w:sz w:val="20"/>
                <w:szCs w:val="20"/>
              </w:rPr>
              <w:t>7C</w:t>
            </w:r>
            <w:r>
              <w:rPr>
                <w:rFonts w:ascii="Times New Roman" w:hAnsi="Times New Roman" w:eastAsia="Times New Roman" w:cs="Times New Roman"/>
                <w:sz w:val="20"/>
                <w:szCs w:val="20"/>
              </w:rPr>
              <w:t>KYWM</w:t>
            </w:r>
            <w:r>
              <w:rPr>
                <w:rFonts w:ascii="Times New Roman" w:hAnsi="Times New Roman" w:eastAsia="Times New Roman" w:cs="Times New Roman"/>
                <w:spacing w:val="10"/>
                <w:sz w:val="20"/>
                <w:szCs w:val="20"/>
              </w:rPr>
              <w:t>6X001Q</w:t>
            </w:r>
          </w:p>
        </w:tc>
        <w:tc>
          <w:tcPr>
            <w:tcW w:w="732" w:type="dxa"/>
            <w:tcBorders>
              <w:right w:val="single" w:color="000000" w:sz="10" w:space="0"/>
            </w:tcBorders>
            <w:vAlign w:val="top"/>
          </w:tcPr>
          <w:p w14:paraId="11BDFFD7">
            <w:pPr>
              <w:pStyle w:val="6"/>
              <w:spacing w:before="187" w:line="228" w:lineRule="auto"/>
              <w:ind w:left="165"/>
            </w:pPr>
            <w:r>
              <w:rPr>
                <w:spacing w:val="4"/>
              </w:rPr>
              <w:t>运行</w:t>
            </w:r>
          </w:p>
        </w:tc>
      </w:tr>
      <w:tr w14:paraId="375E04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8" w:hRule="atLeast"/>
        </w:trPr>
        <w:tc>
          <w:tcPr>
            <w:tcW w:w="413" w:type="dxa"/>
            <w:tcBorders>
              <w:left w:val="single" w:color="000000" w:sz="10" w:space="0"/>
            </w:tcBorders>
            <w:vAlign w:val="top"/>
          </w:tcPr>
          <w:p w14:paraId="030194FE">
            <w:pPr>
              <w:spacing w:line="281" w:lineRule="auto"/>
              <w:rPr>
                <w:rFonts w:ascii="Arial"/>
                <w:sz w:val="21"/>
              </w:rPr>
            </w:pPr>
          </w:p>
          <w:p w14:paraId="254716F0">
            <w:pPr>
              <w:spacing w:line="282" w:lineRule="auto"/>
              <w:rPr>
                <w:rFonts w:ascii="Arial"/>
                <w:sz w:val="21"/>
              </w:rPr>
            </w:pPr>
          </w:p>
          <w:p w14:paraId="14A54CCC">
            <w:pPr>
              <w:spacing w:line="282" w:lineRule="auto"/>
              <w:rPr>
                <w:rFonts w:ascii="Arial"/>
                <w:sz w:val="21"/>
              </w:rPr>
            </w:pPr>
          </w:p>
          <w:p w14:paraId="03910058">
            <w:pPr>
              <w:spacing w:before="57" w:line="195" w:lineRule="auto"/>
              <w:ind w:left="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87</w:t>
            </w:r>
          </w:p>
        </w:tc>
        <w:tc>
          <w:tcPr>
            <w:tcW w:w="1290" w:type="dxa"/>
            <w:vAlign w:val="top"/>
          </w:tcPr>
          <w:p w14:paraId="6567384B">
            <w:pPr>
              <w:spacing w:line="332" w:lineRule="auto"/>
              <w:rPr>
                <w:rFonts w:ascii="Arial"/>
                <w:sz w:val="21"/>
              </w:rPr>
            </w:pPr>
          </w:p>
          <w:p w14:paraId="0ACF45E3">
            <w:pPr>
              <w:spacing w:line="333" w:lineRule="auto"/>
              <w:rPr>
                <w:rFonts w:ascii="Arial"/>
                <w:sz w:val="21"/>
              </w:rPr>
            </w:pPr>
          </w:p>
          <w:p w14:paraId="45A2916C">
            <w:pPr>
              <w:pStyle w:val="6"/>
              <w:spacing w:before="65" w:line="228" w:lineRule="auto"/>
              <w:ind w:left="10"/>
            </w:pPr>
            <w:r>
              <w:rPr>
                <w:spacing w:val="8"/>
              </w:rPr>
              <w:t>湖南玖亮节能</w:t>
            </w:r>
          </w:p>
          <w:p w14:paraId="2384D863">
            <w:pPr>
              <w:pStyle w:val="6"/>
              <w:spacing w:before="24" w:line="228" w:lineRule="auto"/>
              <w:ind w:left="34"/>
            </w:pPr>
            <w:r>
              <w:rPr>
                <w:spacing w:val="4"/>
              </w:rPr>
              <w:t>门窗有限公司</w:t>
            </w:r>
          </w:p>
        </w:tc>
        <w:tc>
          <w:tcPr>
            <w:tcW w:w="2918" w:type="dxa"/>
            <w:vAlign w:val="top"/>
          </w:tcPr>
          <w:p w14:paraId="04D13274">
            <w:pPr>
              <w:pStyle w:val="6"/>
              <w:spacing w:before="55" w:line="228" w:lineRule="auto"/>
              <w:ind w:left="38"/>
            </w:pPr>
            <w:r>
              <w:rPr>
                <w:spacing w:val="4"/>
              </w:rPr>
              <w:t>以玻璃原片为原料，年生产普通</w:t>
            </w:r>
          </w:p>
          <w:p w14:paraId="2C918AC7">
            <w:pPr>
              <w:pStyle w:val="6"/>
              <w:spacing w:before="24" w:line="228" w:lineRule="auto"/>
              <w:ind w:left="63"/>
            </w:pPr>
            <w:r>
              <w:rPr>
                <w:spacing w:val="1"/>
              </w:rPr>
              <w:t>玻璃</w:t>
            </w:r>
            <w:r>
              <w:rPr>
                <w:rFonts w:ascii="Times New Roman" w:hAnsi="Times New Roman" w:eastAsia="Times New Roman" w:cs="Times New Roman"/>
                <w:spacing w:val="1"/>
              </w:rPr>
              <w:t>10</w:t>
            </w:r>
            <w:r>
              <w:rPr>
                <w:spacing w:val="1"/>
              </w:rPr>
              <w:t>万</w:t>
            </w:r>
            <w:r>
              <w:rPr>
                <w:rFonts w:ascii="Times New Roman" w:hAnsi="Times New Roman" w:eastAsia="Times New Roman" w:cs="Times New Roman"/>
                <w:spacing w:val="1"/>
              </w:rPr>
              <w:t>m</w:t>
            </w:r>
            <w:r>
              <w:rPr>
                <w:rFonts w:ascii="Times New Roman" w:hAnsi="Times New Roman" w:eastAsia="Times New Roman" w:cs="Times New Roman"/>
                <w:spacing w:val="1"/>
                <w:position w:val="6"/>
                <w:sz w:val="13"/>
                <w:szCs w:val="13"/>
              </w:rPr>
              <w:t>2</w:t>
            </w:r>
            <w:r>
              <w:rPr>
                <w:spacing w:val="1"/>
              </w:rPr>
              <w:t>、钢化玻璃</w:t>
            </w:r>
            <w:r>
              <w:rPr>
                <w:rFonts w:ascii="Times New Roman" w:hAnsi="Times New Roman" w:eastAsia="Times New Roman" w:cs="Times New Roman"/>
                <w:spacing w:val="1"/>
              </w:rPr>
              <w:t>70</w:t>
            </w:r>
            <w:r>
              <w:rPr>
                <w:spacing w:val="1"/>
              </w:rPr>
              <w:t>万</w:t>
            </w:r>
          </w:p>
          <w:p w14:paraId="693A61B3">
            <w:pPr>
              <w:pStyle w:val="6"/>
              <w:spacing w:before="23" w:line="228" w:lineRule="auto"/>
              <w:ind w:left="8"/>
            </w:pPr>
            <w:r>
              <w:rPr>
                <w:rFonts w:ascii="Times New Roman" w:hAnsi="Times New Roman" w:eastAsia="Times New Roman" w:cs="Times New Roman"/>
                <w:spacing w:val="1"/>
              </w:rPr>
              <w:t>m</w:t>
            </w:r>
            <w:r>
              <w:rPr>
                <w:rFonts w:ascii="Times New Roman" w:hAnsi="Times New Roman" w:eastAsia="Times New Roman" w:cs="Times New Roman"/>
                <w:spacing w:val="1"/>
                <w:position w:val="6"/>
                <w:sz w:val="13"/>
                <w:szCs w:val="13"/>
              </w:rPr>
              <w:t>2</w:t>
            </w:r>
            <w:r>
              <w:rPr>
                <w:spacing w:val="1"/>
              </w:rPr>
              <w:t>、中空玻璃</w:t>
            </w:r>
            <w:r>
              <w:rPr>
                <w:rFonts w:ascii="Times New Roman" w:hAnsi="Times New Roman" w:eastAsia="Times New Roman" w:cs="Times New Roman"/>
                <w:spacing w:val="1"/>
              </w:rPr>
              <w:t>50</w:t>
            </w:r>
            <w:r>
              <w:rPr>
                <w:spacing w:val="1"/>
              </w:rPr>
              <w:t>万</w:t>
            </w:r>
            <w:r>
              <w:rPr>
                <w:rFonts w:ascii="Times New Roman" w:hAnsi="Times New Roman" w:eastAsia="Times New Roman" w:cs="Times New Roman"/>
                <w:spacing w:val="1"/>
              </w:rPr>
              <w:t>m</w:t>
            </w:r>
            <w:r>
              <w:rPr>
                <w:rFonts w:ascii="Times New Roman" w:hAnsi="Times New Roman" w:eastAsia="Times New Roman" w:cs="Times New Roman"/>
                <w:spacing w:val="1"/>
                <w:position w:val="6"/>
                <w:sz w:val="13"/>
                <w:szCs w:val="13"/>
              </w:rPr>
              <w:t>2</w:t>
            </w:r>
            <w:r>
              <w:rPr>
                <w:spacing w:val="1"/>
              </w:rPr>
              <w:t>，部分外</w:t>
            </w:r>
          </w:p>
          <w:p w14:paraId="35F77BBA">
            <w:pPr>
              <w:pStyle w:val="6"/>
              <w:spacing w:before="26" w:line="228" w:lineRule="auto"/>
              <w:jc w:val="right"/>
            </w:pPr>
            <w:r>
              <w:rPr>
                <w:spacing w:val="6"/>
              </w:rPr>
              <w:t>售，部分作为门窗生产原料；以</w:t>
            </w:r>
          </w:p>
          <w:p w14:paraId="266FFBAC">
            <w:pPr>
              <w:pStyle w:val="6"/>
              <w:spacing w:before="25" w:line="227" w:lineRule="auto"/>
              <w:ind w:left="130"/>
            </w:pPr>
            <w:r>
              <w:rPr>
                <w:spacing w:val="6"/>
              </w:rPr>
              <w:t>自生产的玻璃及外购铝材为原</w:t>
            </w:r>
          </w:p>
          <w:p w14:paraId="09C2DEAF">
            <w:pPr>
              <w:pStyle w:val="6"/>
              <w:spacing w:before="27" w:line="228" w:lineRule="auto"/>
              <w:ind w:left="43"/>
            </w:pPr>
            <w:r>
              <w:rPr>
                <w:spacing w:val="6"/>
              </w:rPr>
              <w:t>料，年生产铝合金玻璃门</w:t>
            </w:r>
            <w:r>
              <w:rPr>
                <w:rFonts w:ascii="Times New Roman" w:hAnsi="Times New Roman" w:eastAsia="Times New Roman" w:cs="Times New Roman"/>
                <w:spacing w:val="6"/>
              </w:rPr>
              <w:t>10</w:t>
            </w:r>
            <w:r>
              <w:rPr>
                <w:spacing w:val="6"/>
              </w:rPr>
              <w:t>万</w:t>
            </w:r>
          </w:p>
          <w:p w14:paraId="37331CB6">
            <w:pPr>
              <w:pStyle w:val="6"/>
              <w:spacing w:before="27" w:line="201" w:lineRule="auto"/>
              <w:ind w:left="111"/>
            </w:pPr>
            <w:r>
              <w:rPr>
                <w:spacing w:val="5"/>
              </w:rPr>
              <w:t>套、铝合金玻璃窗</w:t>
            </w:r>
            <w:r>
              <w:rPr>
                <w:rFonts w:ascii="Times New Roman" w:hAnsi="Times New Roman" w:eastAsia="Times New Roman" w:cs="Times New Roman"/>
                <w:spacing w:val="5"/>
              </w:rPr>
              <w:t>20</w:t>
            </w:r>
            <w:r>
              <w:rPr>
                <w:spacing w:val="5"/>
              </w:rPr>
              <w:t>万</w:t>
            </w:r>
            <w:r>
              <w:rPr>
                <w:rFonts w:ascii="Times New Roman" w:hAnsi="Times New Roman" w:eastAsia="Times New Roman" w:cs="Times New Roman"/>
                <w:spacing w:val="5"/>
              </w:rPr>
              <w:t>m</w:t>
            </w:r>
            <w:r>
              <w:rPr>
                <w:rFonts w:ascii="Times New Roman" w:hAnsi="Times New Roman" w:eastAsia="Times New Roman" w:cs="Times New Roman"/>
                <w:spacing w:val="5"/>
                <w:position w:val="6"/>
                <w:sz w:val="13"/>
                <w:szCs w:val="13"/>
              </w:rPr>
              <w:t>2</w:t>
            </w:r>
            <w:r>
              <w:rPr>
                <w:spacing w:val="5"/>
              </w:rPr>
              <w:t>。</w:t>
            </w:r>
          </w:p>
        </w:tc>
        <w:tc>
          <w:tcPr>
            <w:tcW w:w="1630" w:type="dxa"/>
            <w:vAlign w:val="top"/>
          </w:tcPr>
          <w:p w14:paraId="4D4CE8C5">
            <w:pPr>
              <w:spacing w:line="332" w:lineRule="auto"/>
              <w:rPr>
                <w:rFonts w:ascii="Arial"/>
                <w:sz w:val="21"/>
              </w:rPr>
            </w:pPr>
          </w:p>
          <w:p w14:paraId="2F83A365">
            <w:pPr>
              <w:spacing w:line="333" w:lineRule="auto"/>
              <w:rPr>
                <w:rFonts w:ascii="Arial"/>
                <w:sz w:val="21"/>
              </w:rPr>
            </w:pPr>
          </w:p>
          <w:p w14:paraId="033D556D">
            <w:pPr>
              <w:pStyle w:val="6"/>
              <w:spacing w:before="65" w:line="228" w:lineRule="auto"/>
              <w:ind w:left="142"/>
            </w:pPr>
            <w:r>
              <w:rPr>
                <w:spacing w:val="6"/>
              </w:rPr>
              <w:t>邵市环评（</w:t>
            </w:r>
            <w:r>
              <w:rPr>
                <w:rFonts w:ascii="Times New Roman" w:hAnsi="Times New Roman" w:eastAsia="Times New Roman" w:cs="Times New Roman"/>
                <w:spacing w:val="6"/>
              </w:rPr>
              <w:t>4</w:t>
            </w:r>
            <w:r>
              <w:rPr>
                <w:spacing w:val="6"/>
              </w:rPr>
              <w:t>）</w:t>
            </w:r>
          </w:p>
          <w:p w14:paraId="0F9F6CAA">
            <w:pPr>
              <w:pStyle w:val="6"/>
              <w:spacing w:before="24" w:line="229" w:lineRule="auto"/>
              <w:ind w:left="247"/>
            </w:pPr>
            <w:r>
              <w:rPr>
                <w:spacing w:val="1"/>
              </w:rPr>
              <w:t>〔</w:t>
            </w:r>
            <w:r>
              <w:rPr>
                <w:rFonts w:ascii="Times New Roman" w:hAnsi="Times New Roman" w:eastAsia="Times New Roman" w:cs="Times New Roman"/>
                <w:spacing w:val="1"/>
              </w:rPr>
              <w:t>2022</w:t>
            </w:r>
            <w:r>
              <w:rPr>
                <w:spacing w:val="1"/>
              </w:rPr>
              <w:t>〕</w:t>
            </w:r>
            <w:r>
              <w:rPr>
                <w:rFonts w:ascii="Times New Roman" w:hAnsi="Times New Roman" w:eastAsia="Times New Roman" w:cs="Times New Roman"/>
                <w:spacing w:val="1"/>
              </w:rPr>
              <w:t>4</w:t>
            </w:r>
            <w:r>
              <w:rPr>
                <w:spacing w:val="1"/>
              </w:rPr>
              <w:t>号</w:t>
            </w:r>
          </w:p>
        </w:tc>
        <w:tc>
          <w:tcPr>
            <w:tcW w:w="1555" w:type="dxa"/>
            <w:vAlign w:val="top"/>
          </w:tcPr>
          <w:p w14:paraId="379C04B4">
            <w:pPr>
              <w:spacing w:line="241" w:lineRule="auto"/>
              <w:rPr>
                <w:rFonts w:ascii="Arial"/>
                <w:sz w:val="21"/>
              </w:rPr>
            </w:pPr>
          </w:p>
          <w:p w14:paraId="10C21AF8">
            <w:pPr>
              <w:spacing w:line="242" w:lineRule="auto"/>
              <w:rPr>
                <w:rFonts w:ascii="Arial"/>
                <w:sz w:val="21"/>
              </w:rPr>
            </w:pPr>
          </w:p>
          <w:p w14:paraId="7ACFFB48">
            <w:pPr>
              <w:spacing w:line="242" w:lineRule="auto"/>
              <w:rPr>
                <w:rFonts w:ascii="Arial"/>
                <w:sz w:val="21"/>
              </w:rPr>
            </w:pPr>
          </w:p>
          <w:p w14:paraId="0C8F8EE4">
            <w:pPr>
              <w:spacing w:before="58" w:line="259" w:lineRule="auto"/>
              <w:ind w:left="258" w:right="11" w:hanging="227"/>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91430524</w:t>
            </w:r>
            <w:r>
              <w:rPr>
                <w:rFonts w:ascii="Times New Roman" w:hAnsi="Times New Roman" w:eastAsia="Times New Roman" w:cs="Times New Roman"/>
                <w:sz w:val="20"/>
                <w:szCs w:val="20"/>
              </w:rPr>
              <w:t>MA</w:t>
            </w:r>
            <w:r>
              <w:rPr>
                <w:rFonts w:ascii="Times New Roman" w:hAnsi="Times New Roman" w:eastAsia="Times New Roman" w:cs="Times New Roman"/>
                <w:spacing w:val="6"/>
                <w:sz w:val="20"/>
                <w:szCs w:val="20"/>
              </w:rPr>
              <w:t>4</w:t>
            </w:r>
            <w:r>
              <w:rPr>
                <w:rFonts w:ascii="Times New Roman" w:hAnsi="Times New Roman" w:eastAsia="Times New Roman" w:cs="Times New Roman"/>
                <w:sz w:val="20"/>
                <w:szCs w:val="20"/>
              </w:rPr>
              <w:t>PP</w:t>
            </w:r>
            <w:r>
              <w:rPr>
                <w:rFonts w:ascii="Times New Roman" w:hAnsi="Times New Roman" w:eastAsia="Times New Roman" w:cs="Times New Roman"/>
                <w:spacing w:val="4"/>
                <w:sz w:val="20"/>
                <w:szCs w:val="20"/>
              </w:rPr>
              <w:t>1</w:t>
            </w:r>
            <w:r>
              <w:rPr>
                <w:rFonts w:ascii="Times New Roman" w:hAnsi="Times New Roman" w:eastAsia="Times New Roman" w:cs="Times New Roman"/>
                <w:sz w:val="20"/>
                <w:szCs w:val="20"/>
              </w:rPr>
              <w:t>FX</w:t>
            </w:r>
            <w:r>
              <w:rPr>
                <w:rFonts w:ascii="Times New Roman" w:hAnsi="Times New Roman" w:eastAsia="Times New Roman" w:cs="Times New Roman"/>
                <w:spacing w:val="4"/>
                <w:sz w:val="20"/>
                <w:szCs w:val="20"/>
              </w:rPr>
              <w:t>14001W</w:t>
            </w:r>
          </w:p>
        </w:tc>
        <w:tc>
          <w:tcPr>
            <w:tcW w:w="732" w:type="dxa"/>
            <w:tcBorders>
              <w:right w:val="single" w:color="000000" w:sz="10" w:space="0"/>
            </w:tcBorders>
            <w:vAlign w:val="top"/>
          </w:tcPr>
          <w:p w14:paraId="0FD30F5E">
            <w:pPr>
              <w:spacing w:line="267" w:lineRule="auto"/>
              <w:rPr>
                <w:rFonts w:ascii="Arial"/>
                <w:sz w:val="21"/>
              </w:rPr>
            </w:pPr>
          </w:p>
          <w:p w14:paraId="4F8E68DE">
            <w:pPr>
              <w:spacing w:line="267" w:lineRule="auto"/>
              <w:rPr>
                <w:rFonts w:ascii="Arial"/>
                <w:sz w:val="21"/>
              </w:rPr>
            </w:pPr>
          </w:p>
          <w:p w14:paraId="56BE3A99">
            <w:pPr>
              <w:spacing w:line="268" w:lineRule="auto"/>
              <w:rPr>
                <w:rFonts w:ascii="Arial"/>
                <w:sz w:val="21"/>
              </w:rPr>
            </w:pPr>
          </w:p>
          <w:p w14:paraId="3C3E5238">
            <w:pPr>
              <w:pStyle w:val="6"/>
              <w:spacing w:before="65" w:line="228" w:lineRule="auto"/>
              <w:ind w:left="165"/>
            </w:pPr>
            <w:r>
              <w:rPr>
                <w:spacing w:val="4"/>
              </w:rPr>
              <w:t>运行</w:t>
            </w:r>
          </w:p>
        </w:tc>
      </w:tr>
      <w:tr w14:paraId="254F9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413" w:type="dxa"/>
            <w:tcBorders>
              <w:left w:val="single" w:color="000000" w:sz="10" w:space="0"/>
            </w:tcBorders>
            <w:vAlign w:val="top"/>
          </w:tcPr>
          <w:p w14:paraId="2738F163">
            <w:pPr>
              <w:spacing w:before="235" w:line="195" w:lineRule="auto"/>
              <w:ind w:left="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88</w:t>
            </w:r>
          </w:p>
        </w:tc>
        <w:tc>
          <w:tcPr>
            <w:tcW w:w="1290" w:type="dxa"/>
            <w:vAlign w:val="top"/>
          </w:tcPr>
          <w:p w14:paraId="4CAA4D91">
            <w:pPr>
              <w:pStyle w:val="6"/>
              <w:spacing w:before="62" w:line="227" w:lineRule="auto"/>
              <w:ind w:left="10"/>
            </w:pPr>
            <w:r>
              <w:rPr>
                <w:spacing w:val="8"/>
              </w:rPr>
              <w:t>湖南上野科技</w:t>
            </w:r>
          </w:p>
          <w:p w14:paraId="251932CE">
            <w:pPr>
              <w:pStyle w:val="6"/>
              <w:spacing w:before="27" w:line="200" w:lineRule="auto"/>
              <w:ind w:left="222"/>
            </w:pPr>
            <w:r>
              <w:rPr>
                <w:spacing w:val="7"/>
              </w:rPr>
              <w:t>有限公司</w:t>
            </w:r>
          </w:p>
        </w:tc>
        <w:tc>
          <w:tcPr>
            <w:tcW w:w="2918" w:type="dxa"/>
            <w:vAlign w:val="top"/>
          </w:tcPr>
          <w:p w14:paraId="21914227">
            <w:pPr>
              <w:pStyle w:val="6"/>
              <w:spacing w:before="199" w:line="228" w:lineRule="auto"/>
              <w:ind w:left="833"/>
            </w:pPr>
            <w:r>
              <w:rPr>
                <w:spacing w:val="7"/>
              </w:rPr>
              <w:t>玻璃制品制造</w:t>
            </w:r>
          </w:p>
        </w:tc>
        <w:tc>
          <w:tcPr>
            <w:tcW w:w="1630" w:type="dxa"/>
            <w:vAlign w:val="top"/>
          </w:tcPr>
          <w:p w14:paraId="6AB5F430">
            <w:pPr>
              <w:pStyle w:val="6"/>
              <w:spacing w:before="199" w:line="228" w:lineRule="auto"/>
              <w:ind w:left="511"/>
            </w:pPr>
            <w:r>
              <w:rPr>
                <w:spacing w:val="6"/>
              </w:rPr>
              <w:t>名录外</w:t>
            </w:r>
          </w:p>
        </w:tc>
        <w:tc>
          <w:tcPr>
            <w:tcW w:w="1555" w:type="dxa"/>
            <w:vAlign w:val="top"/>
          </w:tcPr>
          <w:p w14:paraId="0D6CC282">
            <w:pPr>
              <w:spacing w:before="231"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32" w:type="dxa"/>
            <w:tcBorders>
              <w:right w:val="single" w:color="000000" w:sz="10" w:space="0"/>
            </w:tcBorders>
            <w:vAlign w:val="top"/>
          </w:tcPr>
          <w:p w14:paraId="4119ADFB">
            <w:pPr>
              <w:pStyle w:val="6"/>
              <w:spacing w:before="199" w:line="228" w:lineRule="auto"/>
              <w:ind w:left="165"/>
            </w:pPr>
            <w:r>
              <w:rPr>
                <w:spacing w:val="4"/>
              </w:rPr>
              <w:t>运行</w:t>
            </w:r>
          </w:p>
        </w:tc>
      </w:tr>
      <w:tr w14:paraId="0717C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413" w:type="dxa"/>
            <w:tcBorders>
              <w:left w:val="single" w:color="000000" w:sz="10" w:space="0"/>
            </w:tcBorders>
            <w:vAlign w:val="top"/>
          </w:tcPr>
          <w:p w14:paraId="560C3952">
            <w:pPr>
              <w:spacing w:before="236" w:line="195" w:lineRule="auto"/>
              <w:ind w:left="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89</w:t>
            </w:r>
          </w:p>
        </w:tc>
        <w:tc>
          <w:tcPr>
            <w:tcW w:w="1290" w:type="dxa"/>
            <w:vAlign w:val="top"/>
          </w:tcPr>
          <w:p w14:paraId="6239E030">
            <w:pPr>
              <w:pStyle w:val="6"/>
              <w:spacing w:before="65" w:line="227" w:lineRule="auto"/>
              <w:ind w:left="10"/>
            </w:pPr>
            <w:r>
              <w:rPr>
                <w:spacing w:val="8"/>
              </w:rPr>
              <w:t>湖南立弘科技</w:t>
            </w:r>
          </w:p>
          <w:p w14:paraId="09D5AFC9">
            <w:pPr>
              <w:pStyle w:val="6"/>
              <w:spacing w:before="25" w:line="198" w:lineRule="auto"/>
              <w:ind w:left="222"/>
            </w:pPr>
            <w:r>
              <w:rPr>
                <w:spacing w:val="7"/>
              </w:rPr>
              <w:t>有限公司</w:t>
            </w:r>
          </w:p>
        </w:tc>
        <w:tc>
          <w:tcPr>
            <w:tcW w:w="2918" w:type="dxa"/>
            <w:vAlign w:val="top"/>
          </w:tcPr>
          <w:p w14:paraId="45A3BF22">
            <w:pPr>
              <w:pStyle w:val="6"/>
              <w:spacing w:before="65" w:line="228" w:lineRule="auto"/>
              <w:ind w:left="87"/>
              <w:rPr>
                <w:rFonts w:ascii="Times New Roman" w:hAnsi="Times New Roman" w:eastAsia="Times New Roman" w:cs="Times New Roman"/>
              </w:rPr>
            </w:pPr>
            <w:r>
              <w:rPr>
                <w:spacing w:val="5"/>
              </w:rPr>
              <w:t>年产鞋面</w:t>
            </w:r>
            <w:r>
              <w:rPr>
                <w:rFonts w:ascii="Times New Roman" w:hAnsi="Times New Roman" w:eastAsia="Times New Roman" w:cs="Times New Roman"/>
                <w:spacing w:val="5"/>
              </w:rPr>
              <w:t>350</w:t>
            </w:r>
            <w:r>
              <w:rPr>
                <w:spacing w:val="5"/>
              </w:rPr>
              <w:t>万双（国标</w:t>
            </w:r>
            <w:r>
              <w:rPr>
                <w:rFonts w:ascii="Times New Roman" w:hAnsi="Times New Roman" w:eastAsia="Times New Roman" w:cs="Times New Roman"/>
                <w:spacing w:val="5"/>
              </w:rPr>
              <w:t>5-12</w:t>
            </w:r>
          </w:p>
          <w:p w14:paraId="4E5DF261">
            <w:pPr>
              <w:pStyle w:val="6"/>
              <w:spacing w:before="25" w:line="198" w:lineRule="auto"/>
              <w:ind w:left="1249"/>
            </w:pPr>
            <w:r>
              <w:t>码）</w:t>
            </w:r>
          </w:p>
        </w:tc>
        <w:tc>
          <w:tcPr>
            <w:tcW w:w="1630" w:type="dxa"/>
            <w:vAlign w:val="top"/>
          </w:tcPr>
          <w:p w14:paraId="05EC2E5C">
            <w:pPr>
              <w:pStyle w:val="6"/>
              <w:spacing w:before="65" w:line="228" w:lineRule="auto"/>
              <w:ind w:left="142"/>
            </w:pPr>
            <w:r>
              <w:rPr>
                <w:spacing w:val="6"/>
              </w:rPr>
              <w:t>邵市环评（</w:t>
            </w:r>
            <w:r>
              <w:rPr>
                <w:rFonts w:ascii="Times New Roman" w:hAnsi="Times New Roman" w:eastAsia="Times New Roman" w:cs="Times New Roman"/>
                <w:spacing w:val="6"/>
              </w:rPr>
              <w:t>4</w:t>
            </w:r>
            <w:r>
              <w:rPr>
                <w:spacing w:val="6"/>
              </w:rPr>
              <w:t>）</w:t>
            </w:r>
          </w:p>
          <w:p w14:paraId="788E4F0B">
            <w:pPr>
              <w:pStyle w:val="6"/>
              <w:spacing w:before="25" w:line="198" w:lineRule="auto"/>
              <w:ind w:left="316"/>
            </w:pPr>
            <w:r>
              <w:rPr>
                <w:rFonts w:ascii="Times New Roman" w:hAnsi="Times New Roman" w:eastAsia="Times New Roman" w:cs="Times New Roman"/>
                <w:spacing w:val="2"/>
              </w:rPr>
              <w:t>[2023]22</w:t>
            </w:r>
            <w:r>
              <w:rPr>
                <w:spacing w:val="2"/>
              </w:rPr>
              <w:t>号</w:t>
            </w:r>
          </w:p>
        </w:tc>
        <w:tc>
          <w:tcPr>
            <w:tcW w:w="1555" w:type="dxa"/>
            <w:vAlign w:val="top"/>
          </w:tcPr>
          <w:p w14:paraId="70B840C9">
            <w:pPr>
              <w:spacing w:before="232" w:line="199"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32" w:type="dxa"/>
            <w:tcBorders>
              <w:right w:val="single" w:color="000000" w:sz="10" w:space="0"/>
            </w:tcBorders>
            <w:vAlign w:val="top"/>
          </w:tcPr>
          <w:p w14:paraId="564752EE">
            <w:pPr>
              <w:pStyle w:val="6"/>
              <w:spacing w:before="200" w:line="228" w:lineRule="auto"/>
              <w:ind w:left="165"/>
            </w:pPr>
            <w:r>
              <w:rPr>
                <w:spacing w:val="4"/>
              </w:rPr>
              <w:t>运行</w:t>
            </w:r>
          </w:p>
        </w:tc>
      </w:tr>
      <w:tr w14:paraId="052765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7" w:hRule="atLeast"/>
        </w:trPr>
        <w:tc>
          <w:tcPr>
            <w:tcW w:w="413" w:type="dxa"/>
            <w:tcBorders>
              <w:left w:val="single" w:color="000000" w:sz="10" w:space="0"/>
              <w:bottom w:val="single" w:color="000000" w:sz="10" w:space="0"/>
            </w:tcBorders>
            <w:vAlign w:val="top"/>
          </w:tcPr>
          <w:p w14:paraId="28B29181">
            <w:pPr>
              <w:spacing w:line="315" w:lineRule="auto"/>
              <w:rPr>
                <w:rFonts w:ascii="Arial"/>
                <w:sz w:val="21"/>
              </w:rPr>
            </w:pPr>
          </w:p>
          <w:p w14:paraId="5253B03E">
            <w:pPr>
              <w:spacing w:before="57" w:line="195" w:lineRule="auto"/>
              <w:ind w:left="92"/>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1290" w:type="dxa"/>
            <w:tcBorders>
              <w:bottom w:val="single" w:color="000000" w:sz="10" w:space="0"/>
            </w:tcBorders>
            <w:vAlign w:val="top"/>
          </w:tcPr>
          <w:p w14:paraId="2F978456">
            <w:pPr>
              <w:pStyle w:val="6"/>
              <w:spacing w:before="67" w:line="228" w:lineRule="auto"/>
              <w:ind w:left="10"/>
            </w:pPr>
            <w:r>
              <w:rPr>
                <w:spacing w:val="8"/>
              </w:rPr>
              <w:t>湖南康和霖生</w:t>
            </w:r>
          </w:p>
          <w:p w14:paraId="495D046E">
            <w:pPr>
              <w:pStyle w:val="6"/>
              <w:spacing w:before="24" w:line="228" w:lineRule="auto"/>
              <w:ind w:left="10"/>
            </w:pPr>
            <w:r>
              <w:rPr>
                <w:spacing w:val="8"/>
              </w:rPr>
              <w:t>物技术有限公</w:t>
            </w:r>
          </w:p>
          <w:p w14:paraId="20CADB62">
            <w:pPr>
              <w:pStyle w:val="6"/>
              <w:spacing w:before="27" w:line="216" w:lineRule="auto"/>
              <w:ind w:left="544"/>
            </w:pPr>
            <w:r>
              <w:t>司</w:t>
            </w:r>
          </w:p>
        </w:tc>
        <w:tc>
          <w:tcPr>
            <w:tcW w:w="2918" w:type="dxa"/>
            <w:tcBorders>
              <w:bottom w:val="single" w:color="000000" w:sz="10" w:space="0"/>
            </w:tcBorders>
            <w:vAlign w:val="top"/>
          </w:tcPr>
          <w:p w14:paraId="1F7B7EBE">
            <w:pPr>
              <w:spacing w:line="272" w:lineRule="auto"/>
              <w:rPr>
                <w:rFonts w:ascii="Arial"/>
                <w:sz w:val="21"/>
              </w:rPr>
            </w:pPr>
          </w:p>
          <w:p w14:paraId="5293A3E3">
            <w:pPr>
              <w:pStyle w:val="6"/>
              <w:spacing w:before="65" w:line="223" w:lineRule="auto"/>
              <w:jc w:val="right"/>
            </w:pPr>
            <w:r>
              <w:rPr>
                <w:spacing w:val="-1"/>
              </w:rPr>
              <w:t>年产</w:t>
            </w:r>
            <w:r>
              <w:rPr>
                <w:rFonts w:ascii="Times New Roman" w:hAnsi="Times New Roman" w:eastAsia="Times New Roman" w:cs="Times New Roman"/>
                <w:spacing w:val="-1"/>
              </w:rPr>
              <w:t>40kg</w:t>
            </w:r>
            <w:r>
              <w:rPr>
                <w:spacing w:val="-1"/>
              </w:rPr>
              <w:t>左旋石杉碱甲（中试）</w:t>
            </w:r>
          </w:p>
        </w:tc>
        <w:tc>
          <w:tcPr>
            <w:tcW w:w="1630" w:type="dxa"/>
            <w:tcBorders>
              <w:bottom w:val="single" w:color="000000" w:sz="10" w:space="0"/>
            </w:tcBorders>
            <w:vAlign w:val="top"/>
          </w:tcPr>
          <w:p w14:paraId="5FD9EEF3">
            <w:pPr>
              <w:pStyle w:val="6"/>
              <w:spacing w:before="205" w:line="252" w:lineRule="auto"/>
              <w:ind w:left="594" w:hanging="572"/>
            </w:pPr>
            <w:r>
              <w:t>邵市环评〔</w:t>
            </w:r>
            <w:r>
              <w:rPr>
                <w:rFonts w:ascii="Times New Roman" w:hAnsi="Times New Roman" w:eastAsia="Times New Roman" w:cs="Times New Roman"/>
              </w:rPr>
              <w:t>2022</w:t>
            </w:r>
            <w:r>
              <w:t>〕</w:t>
            </w:r>
            <w:r>
              <w:rPr>
                <w:rFonts w:ascii="Times New Roman" w:hAnsi="Times New Roman" w:eastAsia="Times New Roman" w:cs="Times New Roman"/>
                <w:spacing w:val="-6"/>
              </w:rPr>
              <w:t>18</w:t>
            </w:r>
            <w:r>
              <w:rPr>
                <w:spacing w:val="-6"/>
              </w:rPr>
              <w:t>号</w:t>
            </w:r>
          </w:p>
        </w:tc>
        <w:tc>
          <w:tcPr>
            <w:tcW w:w="1555" w:type="dxa"/>
            <w:tcBorders>
              <w:bottom w:val="single" w:color="000000" w:sz="10" w:space="0"/>
            </w:tcBorders>
            <w:vAlign w:val="top"/>
          </w:tcPr>
          <w:p w14:paraId="2546479B">
            <w:pPr>
              <w:spacing w:before="255" w:line="261" w:lineRule="auto"/>
              <w:ind w:left="122" w:right="55" w:hanging="4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91430524</w:t>
            </w:r>
            <w:r>
              <w:rPr>
                <w:rFonts w:ascii="Times New Roman" w:hAnsi="Times New Roman" w:eastAsia="Times New Roman" w:cs="Times New Roman"/>
                <w:sz w:val="20"/>
                <w:szCs w:val="20"/>
              </w:rPr>
              <w:t>MA</w:t>
            </w:r>
            <w:r>
              <w:rPr>
                <w:rFonts w:ascii="Times New Roman" w:hAnsi="Times New Roman" w:eastAsia="Times New Roman" w:cs="Times New Roman"/>
                <w:spacing w:val="5"/>
                <w:sz w:val="20"/>
                <w:szCs w:val="20"/>
              </w:rPr>
              <w:t>4R</w:t>
            </w:r>
            <w:r>
              <w:rPr>
                <w:rFonts w:ascii="Times New Roman" w:hAnsi="Times New Roman" w:eastAsia="Times New Roman" w:cs="Times New Roman"/>
                <w:sz w:val="20"/>
                <w:szCs w:val="20"/>
              </w:rPr>
              <w:t>LWPW</w:t>
            </w:r>
            <w:r>
              <w:rPr>
                <w:rFonts w:ascii="Times New Roman" w:hAnsi="Times New Roman" w:eastAsia="Times New Roman" w:cs="Times New Roman"/>
                <w:spacing w:val="9"/>
                <w:sz w:val="20"/>
                <w:szCs w:val="20"/>
              </w:rPr>
              <w:t>1H001P</w:t>
            </w:r>
          </w:p>
        </w:tc>
        <w:tc>
          <w:tcPr>
            <w:tcW w:w="732" w:type="dxa"/>
            <w:tcBorders>
              <w:bottom w:val="single" w:color="000000" w:sz="10" w:space="0"/>
              <w:right w:val="single" w:color="000000" w:sz="10" w:space="0"/>
            </w:tcBorders>
            <w:vAlign w:val="top"/>
          </w:tcPr>
          <w:p w14:paraId="56511D2D">
            <w:pPr>
              <w:spacing w:line="272" w:lineRule="auto"/>
              <w:rPr>
                <w:rFonts w:ascii="Arial"/>
                <w:sz w:val="21"/>
              </w:rPr>
            </w:pPr>
          </w:p>
          <w:p w14:paraId="4399DC64">
            <w:pPr>
              <w:pStyle w:val="6"/>
              <w:spacing w:before="65" w:line="228" w:lineRule="auto"/>
              <w:ind w:left="165"/>
            </w:pPr>
            <w:r>
              <w:rPr>
                <w:spacing w:val="4"/>
              </w:rPr>
              <w:t>运行</w:t>
            </w:r>
          </w:p>
        </w:tc>
      </w:tr>
    </w:tbl>
    <w:p w14:paraId="2FF975A5">
      <w:pPr>
        <w:spacing w:before="181" w:line="220" w:lineRule="auto"/>
        <w:ind w:left="127"/>
        <w:outlineLvl w:val="1"/>
        <w:rPr>
          <w:rFonts w:ascii="宋体" w:hAnsi="宋体" w:eastAsia="宋体" w:cs="宋体"/>
          <w:sz w:val="28"/>
          <w:szCs w:val="28"/>
        </w:rPr>
      </w:pPr>
      <w:r>
        <w:rPr>
          <w:rFonts w:ascii="Times New Roman" w:hAnsi="Times New Roman" w:eastAsia="Times New Roman" w:cs="Times New Roman"/>
          <w:b/>
          <w:bCs/>
          <w:spacing w:val="-2"/>
          <w:sz w:val="28"/>
          <w:szCs w:val="28"/>
        </w:rPr>
        <w:t>3.5</w:t>
      </w:r>
      <w:r>
        <w:rPr>
          <w:rFonts w:ascii="宋体" w:hAnsi="宋体" w:eastAsia="宋体" w:cs="宋体"/>
          <w:b/>
          <w:bCs/>
          <w:spacing w:val="-2"/>
          <w:sz w:val="28"/>
          <w:szCs w:val="28"/>
        </w:rPr>
        <w:t>建设项目水平衡及废污水排放分析</w:t>
      </w:r>
    </w:p>
    <w:p w14:paraId="783D03C5">
      <w:pPr>
        <w:spacing w:before="205" w:line="219" w:lineRule="auto"/>
        <w:ind w:left="126"/>
        <w:outlineLvl w:val="2"/>
        <w:rPr>
          <w:rFonts w:ascii="宋体" w:hAnsi="宋体" w:eastAsia="宋体" w:cs="宋体"/>
          <w:sz w:val="24"/>
          <w:szCs w:val="24"/>
        </w:rPr>
      </w:pPr>
      <w:r>
        <w:rPr>
          <w:rFonts w:ascii="Times New Roman" w:hAnsi="Times New Roman" w:eastAsia="Times New Roman" w:cs="Times New Roman"/>
          <w:b/>
          <w:bCs/>
          <w:spacing w:val="-2"/>
          <w:sz w:val="24"/>
          <w:szCs w:val="24"/>
        </w:rPr>
        <w:t>3.5.1</w:t>
      </w:r>
      <w:r>
        <w:rPr>
          <w:rFonts w:ascii="宋体" w:hAnsi="宋体" w:eastAsia="宋体" w:cs="宋体"/>
          <w:b/>
          <w:bCs/>
          <w:spacing w:val="-2"/>
          <w:sz w:val="24"/>
          <w:szCs w:val="24"/>
        </w:rPr>
        <w:t>服务人口与纳污范围</w:t>
      </w:r>
    </w:p>
    <w:p w14:paraId="3E7D0058">
      <w:pPr>
        <w:spacing w:before="183" w:line="359" w:lineRule="auto"/>
        <w:ind w:left="132" w:right="40" w:firstLine="495"/>
        <w:jc w:val="both"/>
        <w:rPr>
          <w:rFonts w:ascii="宋体" w:hAnsi="宋体" w:eastAsia="宋体" w:cs="宋体"/>
          <w:sz w:val="24"/>
          <w:szCs w:val="24"/>
        </w:rPr>
      </w:pPr>
      <w:r>
        <w:rPr>
          <w:rFonts w:ascii="宋体" w:hAnsi="宋体" w:eastAsia="宋体" w:cs="宋体"/>
          <w:spacing w:val="-2"/>
          <w:sz w:val="24"/>
          <w:szCs w:val="24"/>
        </w:rPr>
        <w:t>隆回县工业污水处理厂纳污范围为隆回工业</w:t>
      </w:r>
      <w:r>
        <w:rPr>
          <w:rFonts w:ascii="宋体" w:hAnsi="宋体" w:eastAsia="宋体" w:cs="宋体"/>
          <w:spacing w:val="-3"/>
          <w:sz w:val="24"/>
          <w:szCs w:val="24"/>
        </w:rPr>
        <w:t>集中区城东南主园区（集南片区、</w:t>
      </w:r>
      <w:r>
        <w:rPr>
          <w:rFonts w:ascii="宋体" w:hAnsi="宋体" w:eastAsia="宋体" w:cs="宋体"/>
          <w:spacing w:val="1"/>
          <w:sz w:val="24"/>
          <w:szCs w:val="24"/>
        </w:rPr>
        <w:t>寺山片区、北山片区）与隆回县城城东生活片区。目前工业园区集南片区、寺山</w:t>
      </w:r>
      <w:r>
        <w:rPr>
          <w:rFonts w:ascii="宋体" w:hAnsi="宋体" w:eastAsia="宋体" w:cs="宋体"/>
          <w:spacing w:val="3"/>
          <w:sz w:val="24"/>
          <w:szCs w:val="24"/>
        </w:rPr>
        <w:t>片区已按规划发展，北山片区已不再列为重点发展区域</w:t>
      </w:r>
      <w:r>
        <w:rPr>
          <w:rFonts w:ascii="宋体" w:hAnsi="宋体" w:eastAsia="宋体" w:cs="宋体"/>
          <w:spacing w:val="2"/>
          <w:sz w:val="24"/>
          <w:szCs w:val="24"/>
        </w:rPr>
        <w:t>，因此本项目汇水范围调</w:t>
      </w:r>
      <w:r>
        <w:rPr>
          <w:rFonts w:ascii="宋体" w:hAnsi="宋体" w:eastAsia="宋体" w:cs="宋体"/>
          <w:spacing w:val="3"/>
          <w:sz w:val="24"/>
          <w:szCs w:val="24"/>
        </w:rPr>
        <w:t>整为隆回工业集中区城东南主园区（集南片区、寺山片</w:t>
      </w:r>
      <w:r>
        <w:rPr>
          <w:rFonts w:ascii="宋体" w:hAnsi="宋体" w:eastAsia="宋体" w:cs="宋体"/>
          <w:spacing w:val="2"/>
          <w:sz w:val="24"/>
          <w:szCs w:val="24"/>
        </w:rPr>
        <w:t>区）与隆回县城城东生活</w:t>
      </w:r>
      <w:r>
        <w:rPr>
          <w:rFonts w:ascii="宋体" w:hAnsi="宋体" w:eastAsia="宋体" w:cs="宋体"/>
          <w:spacing w:val="3"/>
          <w:sz w:val="24"/>
          <w:szCs w:val="24"/>
        </w:rPr>
        <w:t>片区。其中伏龙江以东（集南片区、寺山片区）为新建</w:t>
      </w:r>
      <w:r>
        <w:rPr>
          <w:rFonts w:ascii="宋体" w:hAnsi="宋体" w:eastAsia="宋体" w:cs="宋体"/>
          <w:spacing w:val="2"/>
          <w:sz w:val="24"/>
          <w:szCs w:val="24"/>
        </w:rPr>
        <w:t>城区，排水体体质为分流</w:t>
      </w:r>
      <w:r>
        <w:rPr>
          <w:rFonts w:ascii="宋体" w:hAnsi="宋体" w:eastAsia="宋体" w:cs="宋体"/>
          <w:spacing w:val="-1"/>
          <w:sz w:val="24"/>
          <w:szCs w:val="24"/>
        </w:rPr>
        <w:t>制，隆回县城城东生活片区为合流制片区。</w:t>
      </w:r>
    </w:p>
    <w:p w14:paraId="14541A95">
      <w:pPr>
        <w:spacing w:before="1" w:line="219" w:lineRule="auto"/>
        <w:ind w:left="126"/>
        <w:outlineLvl w:val="2"/>
        <w:rPr>
          <w:rFonts w:ascii="宋体" w:hAnsi="宋体" w:eastAsia="宋体" w:cs="宋体"/>
          <w:sz w:val="24"/>
          <w:szCs w:val="24"/>
        </w:rPr>
      </w:pPr>
      <w:r>
        <w:rPr>
          <w:rFonts w:ascii="Times New Roman" w:hAnsi="Times New Roman" w:eastAsia="Times New Roman" w:cs="Times New Roman"/>
          <w:b/>
          <w:bCs/>
          <w:spacing w:val="-2"/>
          <w:sz w:val="24"/>
          <w:szCs w:val="24"/>
        </w:rPr>
        <w:t>3.5.2</w:t>
      </w:r>
      <w:r>
        <w:rPr>
          <w:rFonts w:ascii="宋体" w:hAnsi="宋体" w:eastAsia="宋体" w:cs="宋体"/>
          <w:b/>
          <w:bCs/>
          <w:spacing w:val="-2"/>
          <w:sz w:val="24"/>
          <w:szCs w:val="24"/>
        </w:rPr>
        <w:t>现状污水量统计</w:t>
      </w:r>
    </w:p>
    <w:p w14:paraId="7596A7FC">
      <w:pPr>
        <w:spacing w:before="181" w:line="359" w:lineRule="auto"/>
        <w:ind w:left="132" w:right="120" w:firstLine="479"/>
        <w:jc w:val="both"/>
        <w:rPr>
          <w:rFonts w:ascii="宋体" w:hAnsi="宋体" w:eastAsia="宋体" w:cs="宋体"/>
          <w:sz w:val="24"/>
          <w:szCs w:val="24"/>
        </w:rPr>
      </w:pPr>
      <w:r>
        <w:rPr>
          <w:rFonts w:ascii="宋体" w:hAnsi="宋体" w:eastAsia="宋体" w:cs="宋体"/>
          <w:spacing w:val="-1"/>
          <w:sz w:val="24"/>
          <w:szCs w:val="24"/>
        </w:rPr>
        <w:t>对隆回县工业园污水处理厂</w:t>
      </w:r>
      <w:r>
        <w:rPr>
          <w:rFonts w:ascii="Times New Roman" w:hAnsi="Times New Roman" w:eastAsia="Times New Roman" w:cs="Times New Roman"/>
          <w:spacing w:val="-1"/>
          <w:sz w:val="24"/>
          <w:szCs w:val="24"/>
        </w:rPr>
        <w:t>2024</w:t>
      </w:r>
      <w:r>
        <w:rPr>
          <w:rFonts w:ascii="宋体" w:hAnsi="宋体" w:eastAsia="宋体" w:cs="宋体"/>
          <w:spacing w:val="-1"/>
          <w:sz w:val="24"/>
          <w:szCs w:val="24"/>
        </w:rPr>
        <w:t>年全年的进水量进行统计，发现目前隆回县</w:t>
      </w:r>
      <w:r>
        <w:rPr>
          <w:rFonts w:ascii="宋体" w:hAnsi="宋体" w:eastAsia="宋体" w:cs="宋体"/>
          <w:spacing w:val="3"/>
          <w:sz w:val="24"/>
          <w:szCs w:val="24"/>
        </w:rPr>
        <w:t>工业园污水处理厂部分时段已超负荷运行。后期随</w:t>
      </w:r>
      <w:r>
        <w:rPr>
          <w:rFonts w:ascii="宋体" w:hAnsi="宋体" w:eastAsia="宋体" w:cs="宋体"/>
          <w:spacing w:val="2"/>
          <w:sz w:val="24"/>
          <w:szCs w:val="24"/>
        </w:rPr>
        <w:t>着隆回县工业园区的发展，生</w:t>
      </w:r>
      <w:r>
        <w:rPr>
          <w:rFonts w:ascii="宋体" w:hAnsi="宋体" w:eastAsia="宋体" w:cs="宋体"/>
          <w:sz w:val="24"/>
          <w:szCs w:val="24"/>
        </w:rPr>
        <w:t>产生活污水量势必会不断增多，工业园污水处理</w:t>
      </w:r>
      <w:r>
        <w:rPr>
          <w:rFonts w:ascii="宋体" w:hAnsi="宋体" w:eastAsia="宋体" w:cs="宋体"/>
          <w:spacing w:val="-1"/>
          <w:sz w:val="24"/>
          <w:szCs w:val="24"/>
        </w:rPr>
        <w:t>厂已无法满足处理需求。</w:t>
      </w:r>
    </w:p>
    <w:p w14:paraId="7CFE7771">
      <w:pPr>
        <w:spacing w:before="1" w:line="219" w:lineRule="auto"/>
        <w:ind w:left="1813"/>
        <w:rPr>
          <w:rFonts w:ascii="宋体" w:hAnsi="宋体" w:eastAsia="宋体" w:cs="宋体"/>
          <w:sz w:val="24"/>
          <w:szCs w:val="24"/>
        </w:rPr>
      </w:pPr>
      <w:r>
        <w:rPr>
          <w:rFonts w:ascii="宋体" w:hAnsi="宋体" w:eastAsia="宋体" w:cs="宋体"/>
          <w:b/>
          <w:bCs/>
          <w:spacing w:val="-2"/>
          <w:sz w:val="24"/>
          <w:szCs w:val="24"/>
        </w:rPr>
        <w:t>表</w:t>
      </w:r>
      <w:r>
        <w:rPr>
          <w:rFonts w:ascii="Times New Roman" w:hAnsi="Times New Roman" w:eastAsia="Times New Roman" w:cs="Times New Roman"/>
          <w:b/>
          <w:bCs/>
          <w:spacing w:val="-2"/>
          <w:sz w:val="24"/>
          <w:szCs w:val="24"/>
        </w:rPr>
        <w:t>3.5-1</w:t>
      </w:r>
      <w:r>
        <w:rPr>
          <w:rFonts w:ascii="宋体" w:hAnsi="宋体" w:eastAsia="宋体" w:cs="宋体"/>
          <w:b/>
          <w:bCs/>
          <w:spacing w:val="-2"/>
          <w:sz w:val="24"/>
          <w:szCs w:val="24"/>
        </w:rPr>
        <w:t>隆回县工业园污水处理厂处理水量情况</w:t>
      </w:r>
    </w:p>
    <w:p w14:paraId="44BB9E09">
      <w:pPr>
        <w:spacing w:line="146" w:lineRule="exact"/>
      </w:pPr>
    </w:p>
    <w:tbl>
      <w:tblPr>
        <w:tblStyle w:val="5"/>
        <w:tblW w:w="872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38"/>
        <w:gridCol w:w="4983"/>
      </w:tblGrid>
      <w:tr w14:paraId="727F3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3738" w:type="dxa"/>
            <w:tcBorders>
              <w:top w:val="single" w:color="000000" w:sz="10" w:space="0"/>
              <w:left w:val="single" w:color="000000" w:sz="10" w:space="0"/>
            </w:tcBorders>
            <w:vAlign w:val="top"/>
          </w:tcPr>
          <w:p w14:paraId="248F2AC3">
            <w:pPr>
              <w:pStyle w:val="6"/>
              <w:spacing w:before="97" w:line="230" w:lineRule="auto"/>
              <w:ind w:left="1663"/>
            </w:pPr>
            <w:r>
              <w:rPr>
                <w:b/>
                <w:bCs/>
                <w:spacing w:val="-1"/>
              </w:rPr>
              <w:t>时间</w:t>
            </w:r>
          </w:p>
        </w:tc>
        <w:tc>
          <w:tcPr>
            <w:tcW w:w="4983" w:type="dxa"/>
            <w:tcBorders>
              <w:top w:val="single" w:color="000000" w:sz="10" w:space="0"/>
              <w:right w:val="single" w:color="000000" w:sz="10" w:space="0"/>
            </w:tcBorders>
            <w:vAlign w:val="top"/>
          </w:tcPr>
          <w:p w14:paraId="752072F6">
            <w:pPr>
              <w:pStyle w:val="6"/>
              <w:spacing w:before="97" w:line="228" w:lineRule="auto"/>
              <w:ind w:left="1657"/>
            </w:pPr>
            <w:r>
              <w:rPr>
                <w:b/>
                <w:bCs/>
              </w:rPr>
              <w:t>处理水量（</w:t>
            </w:r>
            <w:r>
              <w:rPr>
                <w:rFonts w:ascii="Times New Roman" w:hAnsi="Times New Roman" w:eastAsia="Times New Roman" w:cs="Times New Roman"/>
                <w:b/>
                <w:bCs/>
              </w:rPr>
              <w:t>m</w:t>
            </w:r>
            <w:r>
              <w:rPr>
                <w:rFonts w:ascii="Times New Roman" w:hAnsi="Times New Roman" w:eastAsia="Times New Roman" w:cs="Times New Roman"/>
                <w:b/>
                <w:bCs/>
                <w:position w:val="6"/>
                <w:sz w:val="13"/>
                <w:szCs w:val="13"/>
              </w:rPr>
              <w:t>3</w:t>
            </w:r>
            <w:r>
              <w:rPr>
                <w:rFonts w:ascii="Times New Roman" w:hAnsi="Times New Roman" w:eastAsia="Times New Roman" w:cs="Times New Roman"/>
                <w:b/>
                <w:bCs/>
              </w:rPr>
              <w:t>/d</w:t>
            </w:r>
            <w:r>
              <w:rPr>
                <w:b/>
                <w:bCs/>
              </w:rPr>
              <w:t>）</w:t>
            </w:r>
          </w:p>
        </w:tc>
      </w:tr>
      <w:tr w14:paraId="3D1FC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3738" w:type="dxa"/>
            <w:tcBorders>
              <w:left w:val="single" w:color="000000" w:sz="10" w:space="0"/>
            </w:tcBorders>
            <w:vAlign w:val="top"/>
          </w:tcPr>
          <w:p w14:paraId="2C5993F8">
            <w:pPr>
              <w:pStyle w:val="6"/>
              <w:spacing w:before="100" w:line="228" w:lineRule="auto"/>
              <w:ind w:left="1309"/>
            </w:pPr>
            <w:r>
              <w:rPr>
                <w:rFonts w:ascii="Times New Roman" w:hAnsi="Times New Roman" w:eastAsia="Times New Roman" w:cs="Times New Roman"/>
                <w:spacing w:val="-1"/>
              </w:rPr>
              <w:t>2024</w:t>
            </w:r>
            <w:r>
              <w:rPr>
                <w:spacing w:val="-1"/>
              </w:rPr>
              <w:t>年</w:t>
            </w:r>
            <w:r>
              <w:rPr>
                <w:rFonts w:ascii="Times New Roman" w:hAnsi="Times New Roman" w:eastAsia="Times New Roman" w:cs="Times New Roman"/>
                <w:spacing w:val="-1"/>
              </w:rPr>
              <w:t>1</w:t>
            </w:r>
            <w:r>
              <w:rPr>
                <w:spacing w:val="-1"/>
              </w:rPr>
              <w:t>月</w:t>
            </w:r>
          </w:p>
        </w:tc>
        <w:tc>
          <w:tcPr>
            <w:tcW w:w="4983" w:type="dxa"/>
            <w:tcBorders>
              <w:right w:val="single" w:color="000000" w:sz="10" w:space="0"/>
            </w:tcBorders>
            <w:vAlign w:val="top"/>
          </w:tcPr>
          <w:p w14:paraId="6B76189B">
            <w:pPr>
              <w:spacing w:before="137" w:line="195" w:lineRule="auto"/>
              <w:ind w:left="22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11008</w:t>
            </w:r>
          </w:p>
        </w:tc>
      </w:tr>
      <w:tr w14:paraId="27FDE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3738" w:type="dxa"/>
            <w:tcBorders>
              <w:left w:val="single" w:color="000000" w:sz="10" w:space="0"/>
              <w:bottom w:val="single" w:color="000000" w:sz="10" w:space="0"/>
            </w:tcBorders>
            <w:vAlign w:val="top"/>
          </w:tcPr>
          <w:p w14:paraId="50A9C061">
            <w:pPr>
              <w:pStyle w:val="6"/>
              <w:spacing w:before="107" w:line="228" w:lineRule="auto"/>
              <w:ind w:left="1309"/>
            </w:pPr>
            <w:r>
              <w:rPr>
                <w:rFonts w:ascii="Times New Roman" w:hAnsi="Times New Roman" w:eastAsia="Times New Roman" w:cs="Times New Roman"/>
                <w:spacing w:val="2"/>
              </w:rPr>
              <w:t>2024</w:t>
            </w:r>
            <w:r>
              <w:rPr>
                <w:spacing w:val="2"/>
              </w:rPr>
              <w:t>年</w:t>
            </w:r>
            <w:r>
              <w:rPr>
                <w:rFonts w:ascii="Times New Roman" w:hAnsi="Times New Roman" w:eastAsia="Times New Roman" w:cs="Times New Roman"/>
                <w:spacing w:val="2"/>
              </w:rPr>
              <w:t>2</w:t>
            </w:r>
            <w:r>
              <w:rPr>
                <w:spacing w:val="2"/>
              </w:rPr>
              <w:t>月</w:t>
            </w:r>
          </w:p>
        </w:tc>
        <w:tc>
          <w:tcPr>
            <w:tcW w:w="4983" w:type="dxa"/>
            <w:tcBorders>
              <w:bottom w:val="single" w:color="000000" w:sz="10" w:space="0"/>
              <w:right w:val="single" w:color="000000" w:sz="10" w:space="0"/>
            </w:tcBorders>
            <w:vAlign w:val="top"/>
          </w:tcPr>
          <w:p w14:paraId="374E99A3">
            <w:pPr>
              <w:spacing w:before="143" w:line="195" w:lineRule="auto"/>
              <w:ind w:left="22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7377</w:t>
            </w:r>
          </w:p>
        </w:tc>
      </w:tr>
    </w:tbl>
    <w:p w14:paraId="7E04070D">
      <w:pPr>
        <w:pStyle w:val="2"/>
      </w:pPr>
    </w:p>
    <w:p w14:paraId="77DC4203">
      <w:pPr>
        <w:sectPr>
          <w:headerReference r:id="rId56" w:type="default"/>
          <w:footerReference r:id="rId57" w:type="default"/>
          <w:pgSz w:w="11907" w:h="16840"/>
          <w:pgMar w:top="1132" w:right="1581" w:bottom="1259" w:left="1578" w:header="829" w:footer="1097" w:gutter="0"/>
          <w:cols w:space="720" w:num="1"/>
        </w:sectPr>
      </w:pPr>
    </w:p>
    <w:p w14:paraId="693EA020">
      <w:pPr>
        <w:spacing w:before="42"/>
      </w:pPr>
    </w:p>
    <w:tbl>
      <w:tblPr>
        <w:tblStyle w:val="5"/>
        <w:tblW w:w="872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38"/>
        <w:gridCol w:w="4983"/>
      </w:tblGrid>
      <w:tr w14:paraId="3C107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738" w:type="dxa"/>
            <w:tcBorders>
              <w:top w:val="single" w:color="000000" w:sz="10" w:space="0"/>
              <w:left w:val="single" w:color="000000" w:sz="10" w:space="0"/>
            </w:tcBorders>
            <w:vAlign w:val="top"/>
          </w:tcPr>
          <w:p w14:paraId="20B4B796">
            <w:pPr>
              <w:pStyle w:val="6"/>
              <w:spacing w:before="97" w:line="230" w:lineRule="auto"/>
              <w:ind w:left="1663"/>
            </w:pPr>
            <w:r>
              <w:rPr>
                <w:b/>
                <w:bCs/>
                <w:spacing w:val="-1"/>
              </w:rPr>
              <w:t>时间</w:t>
            </w:r>
          </w:p>
        </w:tc>
        <w:tc>
          <w:tcPr>
            <w:tcW w:w="4983" w:type="dxa"/>
            <w:tcBorders>
              <w:top w:val="single" w:color="000000" w:sz="10" w:space="0"/>
              <w:right w:val="single" w:color="000000" w:sz="10" w:space="0"/>
            </w:tcBorders>
            <w:vAlign w:val="top"/>
          </w:tcPr>
          <w:p w14:paraId="77EB6786">
            <w:pPr>
              <w:pStyle w:val="6"/>
              <w:spacing w:before="97" w:line="228" w:lineRule="auto"/>
              <w:ind w:left="1657"/>
            </w:pPr>
            <w:r>
              <w:rPr>
                <w:b/>
                <w:bCs/>
              </w:rPr>
              <w:t>处理水量（</w:t>
            </w:r>
            <w:r>
              <w:rPr>
                <w:rFonts w:ascii="Times New Roman" w:hAnsi="Times New Roman" w:eastAsia="Times New Roman" w:cs="Times New Roman"/>
                <w:b/>
                <w:bCs/>
              </w:rPr>
              <w:t>m</w:t>
            </w:r>
            <w:r>
              <w:rPr>
                <w:rFonts w:ascii="Times New Roman" w:hAnsi="Times New Roman" w:eastAsia="Times New Roman" w:cs="Times New Roman"/>
                <w:b/>
                <w:bCs/>
                <w:position w:val="6"/>
                <w:sz w:val="13"/>
                <w:szCs w:val="13"/>
              </w:rPr>
              <w:t>3</w:t>
            </w:r>
            <w:r>
              <w:rPr>
                <w:rFonts w:ascii="Times New Roman" w:hAnsi="Times New Roman" w:eastAsia="Times New Roman" w:cs="Times New Roman"/>
                <w:b/>
                <w:bCs/>
              </w:rPr>
              <w:t>/d</w:t>
            </w:r>
            <w:r>
              <w:rPr>
                <w:b/>
                <w:bCs/>
              </w:rPr>
              <w:t>）</w:t>
            </w:r>
          </w:p>
        </w:tc>
      </w:tr>
      <w:tr w14:paraId="6B47E2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3738" w:type="dxa"/>
            <w:tcBorders>
              <w:left w:val="single" w:color="000000" w:sz="10" w:space="0"/>
            </w:tcBorders>
            <w:vAlign w:val="top"/>
          </w:tcPr>
          <w:p w14:paraId="6A0FA4B6">
            <w:pPr>
              <w:pStyle w:val="6"/>
              <w:spacing w:before="93" w:line="228" w:lineRule="auto"/>
              <w:ind w:left="1309"/>
            </w:pPr>
            <w:r>
              <w:rPr>
                <w:rFonts w:ascii="Times New Roman" w:hAnsi="Times New Roman" w:eastAsia="Times New Roman" w:cs="Times New Roman"/>
                <w:spacing w:val="1"/>
              </w:rPr>
              <w:t>2024</w:t>
            </w:r>
            <w:r>
              <w:rPr>
                <w:spacing w:val="1"/>
              </w:rPr>
              <w:t>年</w:t>
            </w:r>
            <w:r>
              <w:rPr>
                <w:rFonts w:ascii="Times New Roman" w:hAnsi="Times New Roman" w:eastAsia="Times New Roman" w:cs="Times New Roman"/>
                <w:spacing w:val="1"/>
              </w:rPr>
              <w:t>3</w:t>
            </w:r>
            <w:r>
              <w:rPr>
                <w:spacing w:val="1"/>
              </w:rPr>
              <w:t>月</w:t>
            </w:r>
          </w:p>
        </w:tc>
        <w:tc>
          <w:tcPr>
            <w:tcW w:w="4983" w:type="dxa"/>
            <w:tcBorders>
              <w:right w:val="single" w:color="000000" w:sz="10" w:space="0"/>
            </w:tcBorders>
            <w:vAlign w:val="top"/>
          </w:tcPr>
          <w:p w14:paraId="064247DF">
            <w:pPr>
              <w:spacing w:before="129" w:line="195" w:lineRule="auto"/>
              <w:ind w:left="22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11664</w:t>
            </w:r>
          </w:p>
        </w:tc>
      </w:tr>
      <w:tr w14:paraId="35CF29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3738" w:type="dxa"/>
            <w:tcBorders>
              <w:left w:val="single" w:color="000000" w:sz="10" w:space="0"/>
            </w:tcBorders>
            <w:vAlign w:val="top"/>
          </w:tcPr>
          <w:p w14:paraId="44ACC442">
            <w:pPr>
              <w:pStyle w:val="6"/>
              <w:spacing w:before="95" w:line="228" w:lineRule="auto"/>
              <w:ind w:left="1309"/>
            </w:pPr>
            <w:r>
              <w:rPr>
                <w:rFonts w:ascii="Times New Roman" w:hAnsi="Times New Roman" w:eastAsia="Times New Roman" w:cs="Times New Roman"/>
                <w:spacing w:val="2"/>
              </w:rPr>
              <w:t>2024</w:t>
            </w:r>
            <w:r>
              <w:rPr>
                <w:spacing w:val="2"/>
              </w:rPr>
              <w:t>年</w:t>
            </w:r>
            <w:r>
              <w:rPr>
                <w:rFonts w:ascii="Times New Roman" w:hAnsi="Times New Roman" w:eastAsia="Times New Roman" w:cs="Times New Roman"/>
                <w:spacing w:val="2"/>
              </w:rPr>
              <w:t>4</w:t>
            </w:r>
            <w:r>
              <w:rPr>
                <w:spacing w:val="2"/>
              </w:rPr>
              <w:t>月</w:t>
            </w:r>
          </w:p>
        </w:tc>
        <w:tc>
          <w:tcPr>
            <w:tcW w:w="4983" w:type="dxa"/>
            <w:tcBorders>
              <w:right w:val="single" w:color="000000" w:sz="10" w:space="0"/>
            </w:tcBorders>
            <w:vAlign w:val="top"/>
          </w:tcPr>
          <w:p w14:paraId="42C59AB6">
            <w:pPr>
              <w:spacing w:before="131" w:line="195" w:lineRule="auto"/>
              <w:ind w:left="2250"/>
              <w:rPr>
                <w:rFonts w:ascii="Times New Roman" w:hAnsi="Times New Roman" w:eastAsia="Times New Roman" w:cs="Times New Roman"/>
                <w:sz w:val="20"/>
                <w:szCs w:val="20"/>
              </w:rPr>
            </w:pPr>
            <w:r>
              <w:rPr>
                <w:rFonts w:ascii="Times New Roman" w:hAnsi="Times New Roman" w:eastAsia="Times New Roman" w:cs="Times New Roman"/>
                <w:sz w:val="20"/>
                <w:szCs w:val="20"/>
              </w:rPr>
              <w:t>16020</w:t>
            </w:r>
          </w:p>
        </w:tc>
      </w:tr>
      <w:tr w14:paraId="07602F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3738" w:type="dxa"/>
            <w:tcBorders>
              <w:left w:val="single" w:color="000000" w:sz="10" w:space="0"/>
            </w:tcBorders>
            <w:vAlign w:val="top"/>
          </w:tcPr>
          <w:p w14:paraId="2EA3AFEA">
            <w:pPr>
              <w:pStyle w:val="6"/>
              <w:spacing w:before="98" w:line="228" w:lineRule="auto"/>
              <w:ind w:left="1309"/>
            </w:pPr>
            <w:r>
              <w:rPr>
                <w:rFonts w:ascii="Times New Roman" w:hAnsi="Times New Roman" w:eastAsia="Times New Roman" w:cs="Times New Roman"/>
                <w:spacing w:val="1"/>
              </w:rPr>
              <w:t>2024</w:t>
            </w:r>
            <w:r>
              <w:rPr>
                <w:spacing w:val="1"/>
              </w:rPr>
              <w:t>年</w:t>
            </w:r>
            <w:r>
              <w:rPr>
                <w:rFonts w:ascii="Times New Roman" w:hAnsi="Times New Roman" w:eastAsia="Times New Roman" w:cs="Times New Roman"/>
                <w:spacing w:val="1"/>
              </w:rPr>
              <w:t>5</w:t>
            </w:r>
            <w:r>
              <w:rPr>
                <w:spacing w:val="1"/>
              </w:rPr>
              <w:t>月</w:t>
            </w:r>
          </w:p>
        </w:tc>
        <w:tc>
          <w:tcPr>
            <w:tcW w:w="4983" w:type="dxa"/>
            <w:tcBorders>
              <w:right w:val="single" w:color="000000" w:sz="10" w:space="0"/>
            </w:tcBorders>
            <w:vAlign w:val="top"/>
          </w:tcPr>
          <w:p w14:paraId="509D55DB">
            <w:pPr>
              <w:spacing w:before="134" w:line="195" w:lineRule="auto"/>
              <w:ind w:left="2250"/>
              <w:rPr>
                <w:rFonts w:ascii="Times New Roman" w:hAnsi="Times New Roman" w:eastAsia="Times New Roman" w:cs="Times New Roman"/>
                <w:sz w:val="20"/>
                <w:szCs w:val="20"/>
              </w:rPr>
            </w:pPr>
            <w:r>
              <w:rPr>
                <w:rFonts w:ascii="Times New Roman" w:hAnsi="Times New Roman" w:eastAsia="Times New Roman" w:cs="Times New Roman"/>
                <w:sz w:val="20"/>
                <w:szCs w:val="20"/>
              </w:rPr>
              <w:t>15574</w:t>
            </w:r>
          </w:p>
        </w:tc>
      </w:tr>
      <w:tr w14:paraId="0C72A7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3738" w:type="dxa"/>
            <w:tcBorders>
              <w:left w:val="single" w:color="000000" w:sz="10" w:space="0"/>
            </w:tcBorders>
            <w:vAlign w:val="top"/>
          </w:tcPr>
          <w:p w14:paraId="2E2CE21D">
            <w:pPr>
              <w:pStyle w:val="6"/>
              <w:spacing w:before="100" w:line="228" w:lineRule="auto"/>
              <w:ind w:left="1309"/>
            </w:pPr>
            <w:r>
              <w:rPr>
                <w:rFonts w:ascii="Times New Roman" w:hAnsi="Times New Roman" w:eastAsia="Times New Roman" w:cs="Times New Roman"/>
                <w:spacing w:val="1"/>
              </w:rPr>
              <w:t>2024</w:t>
            </w:r>
            <w:r>
              <w:rPr>
                <w:spacing w:val="1"/>
              </w:rPr>
              <w:t>年</w:t>
            </w:r>
            <w:r>
              <w:rPr>
                <w:rFonts w:ascii="Times New Roman" w:hAnsi="Times New Roman" w:eastAsia="Times New Roman" w:cs="Times New Roman"/>
                <w:spacing w:val="1"/>
              </w:rPr>
              <w:t>6</w:t>
            </w:r>
            <w:r>
              <w:rPr>
                <w:spacing w:val="1"/>
              </w:rPr>
              <w:t>月</w:t>
            </w:r>
          </w:p>
        </w:tc>
        <w:tc>
          <w:tcPr>
            <w:tcW w:w="4983" w:type="dxa"/>
            <w:tcBorders>
              <w:right w:val="single" w:color="000000" w:sz="10" w:space="0"/>
            </w:tcBorders>
            <w:vAlign w:val="top"/>
          </w:tcPr>
          <w:p w14:paraId="7B439B9E">
            <w:pPr>
              <w:spacing w:before="136" w:line="195" w:lineRule="auto"/>
              <w:ind w:left="2250"/>
              <w:rPr>
                <w:rFonts w:ascii="Times New Roman" w:hAnsi="Times New Roman" w:eastAsia="Times New Roman" w:cs="Times New Roman"/>
                <w:sz w:val="20"/>
                <w:szCs w:val="20"/>
              </w:rPr>
            </w:pPr>
            <w:r>
              <w:rPr>
                <w:rFonts w:ascii="Times New Roman" w:hAnsi="Times New Roman" w:eastAsia="Times New Roman" w:cs="Times New Roman"/>
                <w:sz w:val="20"/>
                <w:szCs w:val="20"/>
              </w:rPr>
              <w:t>15333</w:t>
            </w:r>
          </w:p>
        </w:tc>
      </w:tr>
      <w:tr w14:paraId="71D016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3738" w:type="dxa"/>
            <w:tcBorders>
              <w:left w:val="single" w:color="000000" w:sz="10" w:space="0"/>
            </w:tcBorders>
            <w:vAlign w:val="top"/>
          </w:tcPr>
          <w:p w14:paraId="41823B6B">
            <w:pPr>
              <w:pStyle w:val="6"/>
              <w:spacing w:before="104" w:line="228" w:lineRule="auto"/>
              <w:ind w:left="1309"/>
            </w:pPr>
            <w:r>
              <w:rPr>
                <w:rFonts w:ascii="Times New Roman" w:hAnsi="Times New Roman" w:eastAsia="Times New Roman" w:cs="Times New Roman"/>
                <w:spacing w:val="1"/>
              </w:rPr>
              <w:t>2024</w:t>
            </w:r>
            <w:r>
              <w:rPr>
                <w:spacing w:val="1"/>
              </w:rPr>
              <w:t>年</w:t>
            </w:r>
            <w:r>
              <w:rPr>
                <w:rFonts w:ascii="Times New Roman" w:hAnsi="Times New Roman" w:eastAsia="Times New Roman" w:cs="Times New Roman"/>
                <w:spacing w:val="1"/>
              </w:rPr>
              <w:t>7</w:t>
            </w:r>
            <w:r>
              <w:rPr>
                <w:spacing w:val="1"/>
              </w:rPr>
              <w:t>月</w:t>
            </w:r>
          </w:p>
        </w:tc>
        <w:tc>
          <w:tcPr>
            <w:tcW w:w="4983" w:type="dxa"/>
            <w:tcBorders>
              <w:right w:val="single" w:color="000000" w:sz="10" w:space="0"/>
            </w:tcBorders>
            <w:vAlign w:val="top"/>
          </w:tcPr>
          <w:p w14:paraId="2227E1C0">
            <w:pPr>
              <w:spacing w:before="140" w:line="195" w:lineRule="auto"/>
              <w:ind w:left="2250"/>
              <w:rPr>
                <w:rFonts w:ascii="Times New Roman" w:hAnsi="Times New Roman" w:eastAsia="Times New Roman" w:cs="Times New Roman"/>
                <w:sz w:val="20"/>
                <w:szCs w:val="20"/>
              </w:rPr>
            </w:pPr>
            <w:r>
              <w:rPr>
                <w:rFonts w:ascii="Times New Roman" w:hAnsi="Times New Roman" w:eastAsia="Times New Roman" w:cs="Times New Roman"/>
                <w:sz w:val="20"/>
                <w:szCs w:val="20"/>
              </w:rPr>
              <w:t>13325</w:t>
            </w:r>
          </w:p>
        </w:tc>
      </w:tr>
      <w:tr w14:paraId="0916C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3738" w:type="dxa"/>
            <w:tcBorders>
              <w:left w:val="single" w:color="000000" w:sz="10" w:space="0"/>
            </w:tcBorders>
            <w:vAlign w:val="top"/>
          </w:tcPr>
          <w:p w14:paraId="1C043413">
            <w:pPr>
              <w:pStyle w:val="6"/>
              <w:spacing w:before="105" w:line="228" w:lineRule="auto"/>
              <w:ind w:left="1309"/>
            </w:pPr>
            <w:r>
              <w:rPr>
                <w:rFonts w:ascii="Times New Roman" w:hAnsi="Times New Roman" w:eastAsia="Times New Roman" w:cs="Times New Roman"/>
                <w:spacing w:val="1"/>
              </w:rPr>
              <w:t>2024</w:t>
            </w:r>
            <w:r>
              <w:rPr>
                <w:spacing w:val="1"/>
              </w:rPr>
              <w:t>年</w:t>
            </w:r>
            <w:r>
              <w:rPr>
                <w:rFonts w:ascii="Times New Roman" w:hAnsi="Times New Roman" w:eastAsia="Times New Roman" w:cs="Times New Roman"/>
                <w:spacing w:val="1"/>
              </w:rPr>
              <w:t>8</w:t>
            </w:r>
            <w:r>
              <w:rPr>
                <w:spacing w:val="1"/>
              </w:rPr>
              <w:t>月</w:t>
            </w:r>
          </w:p>
        </w:tc>
        <w:tc>
          <w:tcPr>
            <w:tcW w:w="4983" w:type="dxa"/>
            <w:tcBorders>
              <w:right w:val="single" w:color="000000" w:sz="10" w:space="0"/>
            </w:tcBorders>
            <w:vAlign w:val="top"/>
          </w:tcPr>
          <w:p w14:paraId="3E6AEFF8">
            <w:pPr>
              <w:spacing w:before="141" w:line="195" w:lineRule="auto"/>
              <w:ind w:left="2250"/>
              <w:rPr>
                <w:rFonts w:ascii="Times New Roman" w:hAnsi="Times New Roman" w:eastAsia="Times New Roman" w:cs="Times New Roman"/>
                <w:sz w:val="20"/>
                <w:szCs w:val="20"/>
              </w:rPr>
            </w:pPr>
            <w:r>
              <w:rPr>
                <w:rFonts w:ascii="Times New Roman" w:hAnsi="Times New Roman" w:eastAsia="Times New Roman" w:cs="Times New Roman"/>
                <w:sz w:val="20"/>
                <w:szCs w:val="20"/>
              </w:rPr>
              <w:t>13107</w:t>
            </w:r>
          </w:p>
        </w:tc>
      </w:tr>
      <w:tr w14:paraId="251482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3738" w:type="dxa"/>
            <w:tcBorders>
              <w:left w:val="single" w:color="000000" w:sz="10" w:space="0"/>
            </w:tcBorders>
            <w:vAlign w:val="top"/>
          </w:tcPr>
          <w:p w14:paraId="2E401AC6">
            <w:pPr>
              <w:pStyle w:val="6"/>
              <w:spacing w:before="108" w:line="228" w:lineRule="auto"/>
              <w:ind w:left="1309"/>
            </w:pPr>
            <w:r>
              <w:rPr>
                <w:rFonts w:ascii="Times New Roman" w:hAnsi="Times New Roman" w:eastAsia="Times New Roman" w:cs="Times New Roman"/>
                <w:spacing w:val="1"/>
              </w:rPr>
              <w:t>2024</w:t>
            </w:r>
            <w:r>
              <w:rPr>
                <w:spacing w:val="1"/>
              </w:rPr>
              <w:t>年</w:t>
            </w:r>
            <w:r>
              <w:rPr>
                <w:rFonts w:ascii="Times New Roman" w:hAnsi="Times New Roman" w:eastAsia="Times New Roman" w:cs="Times New Roman"/>
                <w:spacing w:val="1"/>
              </w:rPr>
              <w:t>9</w:t>
            </w:r>
            <w:r>
              <w:rPr>
                <w:spacing w:val="1"/>
              </w:rPr>
              <w:t>月</w:t>
            </w:r>
          </w:p>
        </w:tc>
        <w:tc>
          <w:tcPr>
            <w:tcW w:w="4983" w:type="dxa"/>
            <w:tcBorders>
              <w:right w:val="single" w:color="000000" w:sz="10" w:space="0"/>
            </w:tcBorders>
            <w:vAlign w:val="top"/>
          </w:tcPr>
          <w:p w14:paraId="0C89B2C3">
            <w:pPr>
              <w:spacing w:before="144" w:line="195" w:lineRule="auto"/>
              <w:ind w:left="2250"/>
              <w:rPr>
                <w:rFonts w:ascii="Times New Roman" w:hAnsi="Times New Roman" w:eastAsia="Times New Roman" w:cs="Times New Roman"/>
                <w:sz w:val="20"/>
                <w:szCs w:val="20"/>
              </w:rPr>
            </w:pPr>
            <w:r>
              <w:rPr>
                <w:rFonts w:ascii="Times New Roman" w:hAnsi="Times New Roman" w:eastAsia="Times New Roman" w:cs="Times New Roman"/>
                <w:sz w:val="20"/>
                <w:szCs w:val="20"/>
              </w:rPr>
              <w:t>14612</w:t>
            </w:r>
          </w:p>
        </w:tc>
      </w:tr>
      <w:tr w14:paraId="29DCD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3738" w:type="dxa"/>
            <w:tcBorders>
              <w:left w:val="single" w:color="000000" w:sz="10" w:space="0"/>
            </w:tcBorders>
            <w:vAlign w:val="top"/>
          </w:tcPr>
          <w:p w14:paraId="7A4FA420">
            <w:pPr>
              <w:pStyle w:val="6"/>
              <w:spacing w:before="109" w:line="228" w:lineRule="auto"/>
              <w:ind w:left="1256"/>
            </w:pPr>
            <w:r>
              <w:rPr>
                <w:rFonts w:ascii="Times New Roman" w:hAnsi="Times New Roman" w:eastAsia="Times New Roman" w:cs="Times New Roman"/>
              </w:rPr>
              <w:t>2024</w:t>
            </w:r>
            <w:r>
              <w:t>年</w:t>
            </w:r>
            <w:r>
              <w:rPr>
                <w:rFonts w:ascii="Times New Roman" w:hAnsi="Times New Roman" w:eastAsia="Times New Roman" w:cs="Times New Roman"/>
              </w:rPr>
              <w:t>10</w:t>
            </w:r>
            <w:r>
              <w:t>月</w:t>
            </w:r>
          </w:p>
        </w:tc>
        <w:tc>
          <w:tcPr>
            <w:tcW w:w="4983" w:type="dxa"/>
            <w:tcBorders>
              <w:right w:val="single" w:color="000000" w:sz="10" w:space="0"/>
            </w:tcBorders>
            <w:vAlign w:val="top"/>
          </w:tcPr>
          <w:p w14:paraId="138F2F4F">
            <w:pPr>
              <w:spacing w:before="145" w:line="195" w:lineRule="auto"/>
              <w:ind w:left="22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11312</w:t>
            </w:r>
          </w:p>
        </w:tc>
      </w:tr>
      <w:tr w14:paraId="13EAF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3738" w:type="dxa"/>
            <w:tcBorders>
              <w:left w:val="single" w:color="000000" w:sz="10" w:space="0"/>
            </w:tcBorders>
            <w:vAlign w:val="top"/>
          </w:tcPr>
          <w:p w14:paraId="743775EB">
            <w:pPr>
              <w:pStyle w:val="6"/>
              <w:spacing w:before="112" w:line="228" w:lineRule="auto"/>
              <w:ind w:left="1256"/>
            </w:pPr>
            <w:r>
              <w:rPr>
                <w:rFonts w:ascii="Times New Roman" w:hAnsi="Times New Roman" w:eastAsia="Times New Roman" w:cs="Times New Roman"/>
              </w:rPr>
              <w:t>2024</w:t>
            </w:r>
            <w:r>
              <w:t>年</w:t>
            </w:r>
            <w:r>
              <w:rPr>
                <w:rFonts w:ascii="Times New Roman" w:hAnsi="Times New Roman" w:eastAsia="Times New Roman" w:cs="Times New Roman"/>
              </w:rPr>
              <w:t>11</w:t>
            </w:r>
            <w:r>
              <w:t>月</w:t>
            </w:r>
          </w:p>
        </w:tc>
        <w:tc>
          <w:tcPr>
            <w:tcW w:w="4983" w:type="dxa"/>
            <w:tcBorders>
              <w:right w:val="single" w:color="000000" w:sz="10" w:space="0"/>
            </w:tcBorders>
            <w:vAlign w:val="top"/>
          </w:tcPr>
          <w:p w14:paraId="798FF5CB">
            <w:pPr>
              <w:spacing w:before="148" w:line="195" w:lineRule="auto"/>
              <w:ind w:left="22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8571</w:t>
            </w:r>
          </w:p>
        </w:tc>
      </w:tr>
      <w:tr w14:paraId="7850A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3738" w:type="dxa"/>
            <w:tcBorders>
              <w:left w:val="single" w:color="000000" w:sz="10" w:space="0"/>
              <w:bottom w:val="single" w:color="000000" w:sz="10" w:space="0"/>
            </w:tcBorders>
            <w:vAlign w:val="top"/>
          </w:tcPr>
          <w:p w14:paraId="389A8330">
            <w:pPr>
              <w:pStyle w:val="6"/>
              <w:spacing w:before="113" w:line="228" w:lineRule="auto"/>
              <w:ind w:left="1256"/>
            </w:pPr>
            <w:r>
              <w:rPr>
                <w:rFonts w:ascii="Times New Roman" w:hAnsi="Times New Roman" w:eastAsia="Times New Roman" w:cs="Times New Roman"/>
              </w:rPr>
              <w:t>2024</w:t>
            </w:r>
            <w:r>
              <w:t>年</w:t>
            </w:r>
            <w:r>
              <w:rPr>
                <w:rFonts w:ascii="Times New Roman" w:hAnsi="Times New Roman" w:eastAsia="Times New Roman" w:cs="Times New Roman"/>
              </w:rPr>
              <w:t>12</w:t>
            </w:r>
            <w:r>
              <w:t>月</w:t>
            </w:r>
          </w:p>
        </w:tc>
        <w:tc>
          <w:tcPr>
            <w:tcW w:w="4983" w:type="dxa"/>
            <w:tcBorders>
              <w:bottom w:val="single" w:color="000000" w:sz="10" w:space="0"/>
              <w:right w:val="single" w:color="000000" w:sz="10" w:space="0"/>
            </w:tcBorders>
            <w:vAlign w:val="top"/>
          </w:tcPr>
          <w:p w14:paraId="1D6033D4">
            <w:pPr>
              <w:spacing w:before="149" w:line="195" w:lineRule="auto"/>
              <w:ind w:left="22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7682</w:t>
            </w:r>
          </w:p>
        </w:tc>
      </w:tr>
    </w:tbl>
    <w:p w14:paraId="34C781AE">
      <w:pPr>
        <w:spacing w:before="35" w:line="219" w:lineRule="auto"/>
        <w:ind w:left="126"/>
        <w:outlineLvl w:val="2"/>
        <w:rPr>
          <w:rFonts w:ascii="宋体" w:hAnsi="宋体" w:eastAsia="宋体" w:cs="宋体"/>
          <w:sz w:val="24"/>
          <w:szCs w:val="24"/>
        </w:rPr>
      </w:pPr>
      <w:r>
        <w:rPr>
          <w:rFonts w:ascii="Times New Roman" w:hAnsi="Times New Roman" w:eastAsia="Times New Roman" w:cs="Times New Roman"/>
          <w:b/>
          <w:bCs/>
          <w:spacing w:val="-2"/>
          <w:sz w:val="24"/>
          <w:szCs w:val="24"/>
        </w:rPr>
        <w:t>3.5.3</w:t>
      </w:r>
      <w:r>
        <w:rPr>
          <w:rFonts w:ascii="宋体" w:hAnsi="宋体" w:eastAsia="宋体" w:cs="宋体"/>
          <w:b/>
          <w:bCs/>
          <w:spacing w:val="-2"/>
          <w:sz w:val="24"/>
          <w:szCs w:val="24"/>
        </w:rPr>
        <w:t>服务范围内供水量预测</w:t>
      </w:r>
    </w:p>
    <w:p w14:paraId="1431B9B0">
      <w:pPr>
        <w:spacing w:before="184" w:line="359" w:lineRule="auto"/>
        <w:ind w:left="133" w:right="118" w:firstLine="494"/>
        <w:jc w:val="both"/>
        <w:rPr>
          <w:rFonts w:ascii="宋体" w:hAnsi="宋体" w:eastAsia="宋体" w:cs="宋体"/>
          <w:sz w:val="24"/>
          <w:szCs w:val="24"/>
        </w:rPr>
      </w:pPr>
      <w:r>
        <w:rPr>
          <w:rFonts w:ascii="宋体" w:hAnsi="宋体" w:eastAsia="宋体" w:cs="宋体"/>
          <w:spacing w:val="2"/>
          <w:sz w:val="24"/>
          <w:szCs w:val="24"/>
        </w:rPr>
        <w:t>隆回县工业园区及县城东部片区供水规模预测应力求符合城市用水的实际情</w:t>
      </w:r>
      <w:r>
        <w:rPr>
          <w:rFonts w:ascii="宋体" w:hAnsi="宋体" w:eastAsia="宋体" w:cs="宋体"/>
          <w:spacing w:val="3"/>
          <w:sz w:val="24"/>
          <w:szCs w:val="24"/>
        </w:rPr>
        <w:t>况，建立在城镇建设和工业发展规划的基础上，合理地</w:t>
      </w:r>
      <w:r>
        <w:rPr>
          <w:rFonts w:ascii="宋体" w:hAnsi="宋体" w:eastAsia="宋体" w:cs="宋体"/>
          <w:spacing w:val="2"/>
          <w:sz w:val="24"/>
          <w:szCs w:val="24"/>
        </w:rPr>
        <w:t>分析当地水资源、水环境</w:t>
      </w:r>
      <w:r>
        <w:rPr>
          <w:rFonts w:ascii="宋体" w:hAnsi="宋体" w:eastAsia="宋体" w:cs="宋体"/>
          <w:spacing w:val="3"/>
          <w:sz w:val="24"/>
          <w:szCs w:val="24"/>
        </w:rPr>
        <w:t>质量、用水习惯及工业结构，采用适当的方法，确定合</w:t>
      </w:r>
      <w:r>
        <w:rPr>
          <w:rFonts w:ascii="宋体" w:hAnsi="宋体" w:eastAsia="宋体" w:cs="宋体"/>
          <w:spacing w:val="2"/>
          <w:sz w:val="24"/>
          <w:szCs w:val="24"/>
        </w:rPr>
        <w:t>适的用水指标。常用的用</w:t>
      </w:r>
      <w:r>
        <w:rPr>
          <w:rFonts w:ascii="宋体" w:hAnsi="宋体" w:eastAsia="宋体" w:cs="宋体"/>
          <w:spacing w:val="3"/>
          <w:sz w:val="24"/>
          <w:szCs w:val="24"/>
        </w:rPr>
        <w:t>水量计算的主要分析方法有：人均综合用水量指标法、</w:t>
      </w:r>
      <w:r>
        <w:rPr>
          <w:rFonts w:ascii="宋体" w:hAnsi="宋体" w:eastAsia="宋体" w:cs="宋体"/>
          <w:spacing w:val="2"/>
          <w:sz w:val="24"/>
          <w:szCs w:val="24"/>
        </w:rPr>
        <w:t>不同性质用地用水量指标</w:t>
      </w:r>
      <w:r>
        <w:rPr>
          <w:rFonts w:ascii="宋体" w:hAnsi="宋体" w:eastAsia="宋体" w:cs="宋体"/>
          <w:spacing w:val="3"/>
          <w:sz w:val="24"/>
          <w:szCs w:val="24"/>
        </w:rPr>
        <w:t>法、分项指标法、控规分片用水量叠加法等。本初步设</w:t>
      </w:r>
      <w:r>
        <w:rPr>
          <w:rFonts w:ascii="宋体" w:hAnsi="宋体" w:eastAsia="宋体" w:cs="宋体"/>
          <w:spacing w:val="2"/>
          <w:sz w:val="24"/>
          <w:szCs w:val="24"/>
        </w:rPr>
        <w:t>计采用人均综合用水量指</w:t>
      </w:r>
      <w:r>
        <w:rPr>
          <w:rFonts w:ascii="宋体" w:hAnsi="宋体" w:eastAsia="宋体" w:cs="宋体"/>
          <w:spacing w:val="-1"/>
          <w:sz w:val="24"/>
          <w:szCs w:val="24"/>
        </w:rPr>
        <w:t>标法、不同性质用地用水量指标法服务范围内供水量进行预测。</w:t>
      </w:r>
    </w:p>
    <w:p w14:paraId="672635EA">
      <w:pPr>
        <w:spacing w:line="219" w:lineRule="auto"/>
        <w:ind w:left="62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）不同性质用地用水量指标法</w:t>
      </w:r>
    </w:p>
    <w:p w14:paraId="3FB14683">
      <w:pPr>
        <w:spacing w:before="182" w:line="356" w:lineRule="auto"/>
        <w:ind w:left="132" w:right="118" w:firstLine="479"/>
        <w:rPr>
          <w:rFonts w:ascii="宋体" w:hAnsi="宋体" w:eastAsia="宋体" w:cs="宋体"/>
          <w:sz w:val="24"/>
          <w:szCs w:val="24"/>
        </w:rPr>
      </w:pPr>
      <w:r>
        <w:rPr>
          <w:rFonts w:ascii="宋体" w:hAnsi="宋体" w:eastAsia="宋体" w:cs="宋体"/>
          <w:spacing w:val="-2"/>
          <w:sz w:val="24"/>
          <w:szCs w:val="24"/>
        </w:rPr>
        <w:t>根据《隆回县工业园二期</w:t>
      </w:r>
      <w:r>
        <w:rPr>
          <w:rFonts w:ascii="Times New Roman" w:hAnsi="Times New Roman" w:eastAsia="Times New Roman" w:cs="Times New Roman"/>
          <w:spacing w:val="-2"/>
          <w:sz w:val="24"/>
          <w:szCs w:val="24"/>
        </w:rPr>
        <w:t>(</w:t>
      </w:r>
      <w:r>
        <w:rPr>
          <w:rFonts w:ascii="宋体" w:hAnsi="宋体" w:eastAsia="宋体" w:cs="宋体"/>
          <w:spacing w:val="-2"/>
          <w:sz w:val="24"/>
          <w:szCs w:val="24"/>
        </w:rPr>
        <w:t>集南片区</w:t>
      </w:r>
      <w:r>
        <w:rPr>
          <w:rFonts w:ascii="Times New Roman" w:hAnsi="Times New Roman" w:eastAsia="Times New Roman" w:cs="Times New Roman"/>
          <w:spacing w:val="-2"/>
          <w:sz w:val="24"/>
          <w:szCs w:val="24"/>
        </w:rPr>
        <w:t>)</w:t>
      </w:r>
      <w:r>
        <w:rPr>
          <w:rFonts w:ascii="宋体" w:hAnsi="宋体" w:eastAsia="宋体" w:cs="宋体"/>
          <w:spacing w:val="-2"/>
          <w:sz w:val="24"/>
          <w:szCs w:val="24"/>
        </w:rPr>
        <w:t>控制性详细规划》和《隆回县工业园一期</w:t>
      </w:r>
      <w:r>
        <w:rPr>
          <w:rFonts w:ascii="Times New Roman" w:hAnsi="Times New Roman" w:eastAsia="Times New Roman" w:cs="Times New Roman"/>
          <w:spacing w:val="-2"/>
          <w:sz w:val="24"/>
          <w:szCs w:val="24"/>
        </w:rPr>
        <w:t>(</w:t>
      </w:r>
      <w:r>
        <w:rPr>
          <w:rFonts w:ascii="宋体" w:hAnsi="宋体" w:eastAsia="宋体" w:cs="宋体"/>
          <w:spacing w:val="-2"/>
          <w:sz w:val="24"/>
          <w:szCs w:val="24"/>
        </w:rPr>
        <w:t>寺山片区</w:t>
      </w:r>
      <w:r>
        <w:rPr>
          <w:rFonts w:ascii="Times New Roman" w:hAnsi="Times New Roman" w:eastAsia="Times New Roman" w:cs="Times New Roman"/>
          <w:spacing w:val="-2"/>
          <w:sz w:val="24"/>
          <w:szCs w:val="24"/>
        </w:rPr>
        <w:t>)</w:t>
      </w:r>
      <w:r>
        <w:rPr>
          <w:rFonts w:ascii="宋体" w:hAnsi="宋体" w:eastAsia="宋体" w:cs="宋体"/>
          <w:spacing w:val="-2"/>
          <w:sz w:val="24"/>
          <w:szCs w:val="24"/>
        </w:rPr>
        <w:t>控制性详细规划》，得到集南片区和寺山片区的不同类别用地规模，分</w:t>
      </w:r>
      <w:r>
        <w:rPr>
          <w:rFonts w:ascii="宋体" w:hAnsi="宋体" w:eastAsia="宋体" w:cs="宋体"/>
          <w:spacing w:val="-3"/>
          <w:sz w:val="24"/>
          <w:szCs w:val="24"/>
        </w:rPr>
        <w:t>别列出用地性质和面积，根据《城市给水工程规划规范》</w:t>
      </w:r>
      <w:r>
        <w:rPr>
          <w:rFonts w:ascii="Times New Roman" w:hAnsi="Times New Roman" w:eastAsia="Times New Roman" w:cs="Times New Roman"/>
          <w:spacing w:val="-3"/>
          <w:sz w:val="24"/>
          <w:szCs w:val="24"/>
        </w:rPr>
        <w:t>(GB50282-2016)</w:t>
      </w:r>
      <w:r>
        <w:rPr>
          <w:rFonts w:ascii="宋体" w:hAnsi="宋体" w:eastAsia="宋体" w:cs="宋体"/>
          <w:spacing w:val="-3"/>
          <w:sz w:val="24"/>
          <w:szCs w:val="24"/>
        </w:rPr>
        <w:t>给定的不</w:t>
      </w:r>
      <w:r>
        <w:rPr>
          <w:rFonts w:ascii="宋体" w:hAnsi="宋体" w:eastAsia="宋体" w:cs="宋体"/>
          <w:spacing w:val="3"/>
          <w:sz w:val="24"/>
          <w:szCs w:val="24"/>
        </w:rPr>
        <w:t>同类别用地用水量指标，计算得到每种类别用地的最高</w:t>
      </w:r>
      <w:r>
        <w:rPr>
          <w:rFonts w:ascii="宋体" w:hAnsi="宋体" w:eastAsia="宋体" w:cs="宋体"/>
          <w:spacing w:val="2"/>
          <w:sz w:val="24"/>
          <w:szCs w:val="24"/>
        </w:rPr>
        <w:t>日用水量。根据《室外给</w:t>
      </w:r>
      <w:r>
        <w:rPr>
          <w:rFonts w:ascii="宋体" w:hAnsi="宋体" w:eastAsia="宋体" w:cs="宋体"/>
          <w:spacing w:val="-5"/>
          <w:sz w:val="24"/>
          <w:szCs w:val="24"/>
        </w:rPr>
        <w:t>水设计标准》（</w:t>
      </w:r>
      <w:r>
        <w:rPr>
          <w:rFonts w:ascii="Times New Roman" w:hAnsi="Times New Roman" w:eastAsia="Times New Roman" w:cs="Times New Roman"/>
          <w:spacing w:val="-5"/>
          <w:sz w:val="24"/>
          <w:szCs w:val="24"/>
        </w:rPr>
        <w:t>GB50013-2018</w:t>
      </w:r>
      <w:r>
        <w:rPr>
          <w:rFonts w:ascii="宋体" w:hAnsi="宋体" w:eastAsia="宋体" w:cs="宋体"/>
          <w:spacing w:val="19"/>
          <w:sz w:val="24"/>
          <w:szCs w:val="24"/>
        </w:rPr>
        <w:t>），</w:t>
      </w:r>
      <w:r>
        <w:rPr>
          <w:rFonts w:ascii="宋体" w:hAnsi="宋体" w:eastAsia="宋体" w:cs="宋体"/>
          <w:spacing w:val="-5"/>
          <w:sz w:val="24"/>
          <w:szCs w:val="24"/>
        </w:rPr>
        <w:t>日变化系数取</w:t>
      </w:r>
      <w:r>
        <w:rPr>
          <w:rFonts w:ascii="Times New Roman" w:hAnsi="Times New Roman" w:eastAsia="Times New Roman" w:cs="Times New Roman"/>
          <w:spacing w:val="-5"/>
          <w:sz w:val="24"/>
          <w:szCs w:val="24"/>
        </w:rPr>
        <w:t>1.1~1.5</w:t>
      </w:r>
      <w:r>
        <w:rPr>
          <w:rFonts w:ascii="宋体" w:hAnsi="宋体" w:eastAsia="宋体" w:cs="宋体"/>
          <w:spacing w:val="-5"/>
          <w:sz w:val="24"/>
          <w:szCs w:val="24"/>
        </w:rPr>
        <w:t>，本区域为工业用水与生</w:t>
      </w:r>
      <w:r>
        <w:rPr>
          <w:rFonts w:ascii="宋体" w:hAnsi="宋体" w:eastAsia="宋体" w:cs="宋体"/>
          <w:spacing w:val="-3"/>
          <w:sz w:val="24"/>
          <w:szCs w:val="24"/>
        </w:rPr>
        <w:t>活用水合用，拟定日变化系数</w:t>
      </w:r>
      <w:r>
        <w:rPr>
          <w:rFonts w:ascii="Times New Roman" w:hAnsi="Times New Roman" w:eastAsia="Times New Roman" w:cs="Times New Roman"/>
          <w:spacing w:val="-3"/>
          <w:sz w:val="24"/>
          <w:szCs w:val="24"/>
        </w:rPr>
        <w:t>k=1.2</w:t>
      </w:r>
      <w:r>
        <w:rPr>
          <w:rFonts w:ascii="宋体" w:hAnsi="宋体" w:eastAsia="宋体" w:cs="宋体"/>
          <w:spacing w:val="-3"/>
          <w:sz w:val="24"/>
          <w:szCs w:val="24"/>
        </w:rPr>
        <w:t>。则寺山片区</w:t>
      </w:r>
      <w:r>
        <w:rPr>
          <w:rFonts w:ascii="宋体" w:hAnsi="宋体" w:eastAsia="宋体" w:cs="宋体"/>
          <w:spacing w:val="-4"/>
          <w:sz w:val="24"/>
          <w:szCs w:val="24"/>
        </w:rPr>
        <w:t>、集南片区与城东片区平均日生</w:t>
      </w:r>
      <w:r>
        <w:rPr>
          <w:rFonts w:ascii="宋体" w:hAnsi="宋体" w:eastAsia="宋体" w:cs="宋体"/>
          <w:spacing w:val="-2"/>
          <w:sz w:val="24"/>
          <w:szCs w:val="24"/>
        </w:rPr>
        <w:t>活用水量如表所示。</w:t>
      </w:r>
    </w:p>
    <w:p w14:paraId="71541846">
      <w:pPr>
        <w:spacing w:line="356" w:lineRule="auto"/>
        <w:rPr>
          <w:rFonts w:ascii="宋体" w:hAnsi="宋体" w:eastAsia="宋体" w:cs="宋体"/>
          <w:sz w:val="24"/>
          <w:szCs w:val="24"/>
        </w:rPr>
        <w:sectPr>
          <w:footerReference r:id="rId58" w:type="default"/>
          <w:pgSz w:w="11907" w:h="16840"/>
          <w:pgMar w:top="1132" w:right="1581" w:bottom="1259" w:left="1578" w:header="829" w:footer="1097" w:gutter="0"/>
          <w:cols w:space="720" w:num="1"/>
        </w:sectPr>
      </w:pPr>
    </w:p>
    <w:p w14:paraId="3504E3C5">
      <w:pPr>
        <w:pStyle w:val="2"/>
        <w:spacing w:line="241" w:lineRule="auto"/>
      </w:pPr>
    </w:p>
    <w:p w14:paraId="1D144C5A">
      <w:pPr>
        <w:spacing w:before="78" w:line="219" w:lineRule="auto"/>
        <w:ind w:left="2356"/>
        <w:rPr>
          <w:rFonts w:ascii="宋体" w:hAnsi="宋体" w:eastAsia="宋体" w:cs="宋体"/>
          <w:sz w:val="24"/>
          <w:szCs w:val="24"/>
        </w:rPr>
      </w:pPr>
      <w:r>
        <w:rPr>
          <w:rFonts w:ascii="宋体" w:hAnsi="宋体" w:eastAsia="宋体" w:cs="宋体"/>
          <w:b/>
          <w:bCs/>
          <w:spacing w:val="-2"/>
          <w:sz w:val="24"/>
          <w:szCs w:val="24"/>
        </w:rPr>
        <w:t>表</w:t>
      </w:r>
      <w:r>
        <w:rPr>
          <w:rFonts w:ascii="Times New Roman" w:hAnsi="Times New Roman" w:eastAsia="Times New Roman" w:cs="Times New Roman"/>
          <w:b/>
          <w:bCs/>
          <w:spacing w:val="-2"/>
          <w:sz w:val="24"/>
          <w:szCs w:val="24"/>
        </w:rPr>
        <w:t>3.5-2</w:t>
      </w:r>
      <w:r>
        <w:rPr>
          <w:rFonts w:ascii="宋体" w:hAnsi="宋体" w:eastAsia="宋体" w:cs="宋体"/>
          <w:b/>
          <w:bCs/>
          <w:spacing w:val="-2"/>
          <w:sz w:val="24"/>
          <w:szCs w:val="24"/>
        </w:rPr>
        <w:t>不同类别用地用水量指标表</w:t>
      </w:r>
    </w:p>
    <w:p w14:paraId="23EFCFF0">
      <w:pPr>
        <w:spacing w:before="145" w:line="7908" w:lineRule="exact"/>
        <w:ind w:firstLine="123"/>
      </w:pPr>
      <w:r>
        <w:rPr>
          <w:position w:val="-158"/>
        </w:rPr>
        <w:drawing>
          <wp:inline distT="0" distB="0" distL="0" distR="0">
            <wp:extent cx="5458460" cy="502094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01"/>
                    <a:stretch>
                      <a:fillRect/>
                    </a:stretch>
                  </pic:blipFill>
                  <pic:spPr>
                    <a:xfrm>
                      <a:off x="0" y="0"/>
                      <a:ext cx="5458967" cy="5021579"/>
                    </a:xfrm>
                    <a:prstGeom prst="rect">
                      <a:avLst/>
                    </a:prstGeom>
                  </pic:spPr>
                </pic:pic>
              </a:graphicData>
            </a:graphic>
          </wp:inline>
        </w:drawing>
      </w:r>
    </w:p>
    <w:p w14:paraId="5EC64ABD">
      <w:pPr>
        <w:spacing w:before="196" w:line="213" w:lineRule="auto"/>
        <w:ind w:left="2056"/>
        <w:rPr>
          <w:rFonts w:ascii="宋体" w:hAnsi="宋体" w:eastAsia="宋体" w:cs="宋体"/>
          <w:sz w:val="24"/>
          <w:szCs w:val="24"/>
        </w:rPr>
      </w:pPr>
      <w:r>
        <w:rPr>
          <w:rFonts w:ascii="宋体" w:hAnsi="宋体" w:eastAsia="宋体" w:cs="宋体"/>
          <w:b/>
          <w:bCs/>
          <w:spacing w:val="-2"/>
          <w:sz w:val="24"/>
          <w:szCs w:val="24"/>
        </w:rPr>
        <w:t>表</w:t>
      </w:r>
      <w:r>
        <w:rPr>
          <w:rFonts w:ascii="Times New Roman" w:hAnsi="Times New Roman" w:eastAsia="Times New Roman" w:cs="Times New Roman"/>
          <w:b/>
          <w:bCs/>
          <w:spacing w:val="-2"/>
          <w:sz w:val="24"/>
          <w:szCs w:val="24"/>
        </w:rPr>
        <w:t>3.5-3</w:t>
      </w:r>
      <w:r>
        <w:rPr>
          <w:rFonts w:ascii="宋体" w:hAnsi="宋体" w:eastAsia="宋体" w:cs="宋体"/>
          <w:b/>
          <w:bCs/>
          <w:spacing w:val="-2"/>
          <w:sz w:val="24"/>
          <w:szCs w:val="24"/>
        </w:rPr>
        <w:t>寺山片区、集南片区供水量预测表</w:t>
      </w:r>
    </w:p>
    <w:tbl>
      <w:tblPr>
        <w:tblStyle w:val="5"/>
        <w:tblW w:w="872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6"/>
        <w:gridCol w:w="1927"/>
        <w:gridCol w:w="1241"/>
        <w:gridCol w:w="1253"/>
        <w:gridCol w:w="1241"/>
        <w:gridCol w:w="1240"/>
        <w:gridCol w:w="1256"/>
      </w:tblGrid>
      <w:tr w14:paraId="630B7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566" w:type="dxa"/>
            <w:tcBorders>
              <w:top w:val="single" w:color="000000" w:sz="10" w:space="0"/>
              <w:left w:val="single" w:color="000000" w:sz="10" w:space="0"/>
            </w:tcBorders>
            <w:textDirection w:val="tbRlV"/>
            <w:vAlign w:val="top"/>
          </w:tcPr>
          <w:p w14:paraId="26F1F174">
            <w:pPr>
              <w:pStyle w:val="6"/>
              <w:spacing w:before="181" w:line="218" w:lineRule="auto"/>
              <w:ind w:left="173"/>
            </w:pPr>
            <w:r>
              <w:rPr>
                <w:b/>
                <w:bCs/>
                <w:spacing w:val="6"/>
              </w:rPr>
              <w:t>序号</w:t>
            </w:r>
          </w:p>
        </w:tc>
        <w:tc>
          <w:tcPr>
            <w:tcW w:w="1927" w:type="dxa"/>
            <w:tcBorders>
              <w:top w:val="single" w:color="000000" w:sz="10" w:space="0"/>
            </w:tcBorders>
            <w:vAlign w:val="top"/>
          </w:tcPr>
          <w:p w14:paraId="56273AFD">
            <w:pPr>
              <w:spacing w:line="241" w:lineRule="auto"/>
              <w:rPr>
                <w:rFonts w:ascii="Arial"/>
                <w:sz w:val="21"/>
              </w:rPr>
            </w:pPr>
          </w:p>
          <w:p w14:paraId="57DAA6E8">
            <w:pPr>
              <w:pStyle w:val="6"/>
              <w:spacing w:before="65" w:line="228" w:lineRule="auto"/>
              <w:ind w:left="540"/>
            </w:pPr>
            <w:r>
              <w:rPr>
                <w:b/>
                <w:bCs/>
                <w:spacing w:val="6"/>
              </w:rPr>
              <w:t>用地性质</w:t>
            </w:r>
          </w:p>
        </w:tc>
        <w:tc>
          <w:tcPr>
            <w:tcW w:w="1241" w:type="dxa"/>
            <w:tcBorders>
              <w:top w:val="single" w:color="000000" w:sz="10" w:space="0"/>
            </w:tcBorders>
            <w:vAlign w:val="top"/>
          </w:tcPr>
          <w:p w14:paraId="51505728">
            <w:pPr>
              <w:pStyle w:val="6"/>
              <w:spacing w:before="173" w:line="228" w:lineRule="auto"/>
              <w:ind w:left="202"/>
            </w:pPr>
            <w:r>
              <w:rPr>
                <w:b/>
                <w:bCs/>
                <w:spacing w:val="6"/>
              </w:rPr>
              <w:t>用地面积</w:t>
            </w:r>
          </w:p>
          <w:p w14:paraId="073DF861">
            <w:pPr>
              <w:pStyle w:val="6"/>
              <w:spacing w:before="23"/>
              <w:ind w:left="311"/>
            </w:pPr>
            <w:r>
              <w:rPr>
                <w:b/>
                <w:bCs/>
                <w:spacing w:val="-2"/>
              </w:rPr>
              <w:t>（</w:t>
            </w:r>
            <w:r>
              <w:rPr>
                <w:rFonts w:ascii="Times New Roman" w:hAnsi="Times New Roman" w:eastAsia="Times New Roman" w:cs="Times New Roman"/>
                <w:b/>
                <w:bCs/>
                <w:spacing w:val="-2"/>
              </w:rPr>
              <w:t>ha</w:t>
            </w:r>
            <w:r>
              <w:rPr>
                <w:b/>
                <w:bCs/>
                <w:spacing w:val="-2"/>
              </w:rPr>
              <w:t>）</w:t>
            </w:r>
          </w:p>
        </w:tc>
        <w:tc>
          <w:tcPr>
            <w:tcW w:w="1253" w:type="dxa"/>
            <w:tcBorders>
              <w:top w:val="single" w:color="000000" w:sz="10" w:space="0"/>
            </w:tcBorders>
            <w:vAlign w:val="top"/>
          </w:tcPr>
          <w:p w14:paraId="7200C422">
            <w:pPr>
              <w:pStyle w:val="6"/>
              <w:spacing w:before="35" w:line="239" w:lineRule="auto"/>
              <w:ind w:left="103" w:right="105" w:firstLine="108"/>
              <w:jc w:val="both"/>
              <w:rPr>
                <w:rFonts w:ascii="Times New Roman" w:hAnsi="Times New Roman" w:eastAsia="Times New Roman" w:cs="Times New Roman"/>
              </w:rPr>
            </w:pPr>
            <w:r>
              <w:rPr>
                <w:b/>
                <w:bCs/>
                <w:spacing w:val="6"/>
              </w:rPr>
              <w:t>用水量指</w:t>
            </w:r>
            <w:r>
              <w:rPr>
                <w:b/>
                <w:bCs/>
                <w:spacing w:val="11"/>
              </w:rPr>
              <w:t>标取值</w:t>
            </w:r>
            <w:r>
              <w:rPr>
                <w:rFonts w:ascii="Times New Roman" w:hAnsi="Times New Roman" w:eastAsia="Times New Roman" w:cs="Times New Roman"/>
                <w:b/>
                <w:bCs/>
                <w:spacing w:val="11"/>
              </w:rPr>
              <w:t>[m</w:t>
            </w:r>
            <w:r>
              <w:rPr>
                <w:b/>
                <w:bCs/>
                <w:spacing w:val="11"/>
              </w:rPr>
              <w:t>³</w:t>
            </w:r>
            <w:r>
              <w:rPr>
                <w:rFonts w:ascii="Times New Roman" w:hAnsi="Times New Roman" w:eastAsia="Times New Roman" w:cs="Times New Roman"/>
                <w:b/>
                <w:bCs/>
                <w:spacing w:val="-12"/>
              </w:rPr>
              <w:t>/</w:t>
            </w:r>
            <w:r>
              <w:rPr>
                <w:b/>
                <w:bCs/>
                <w:spacing w:val="-12"/>
              </w:rPr>
              <w:t>（</w:t>
            </w:r>
            <w:r>
              <w:rPr>
                <w:rFonts w:ascii="Times New Roman" w:hAnsi="Times New Roman" w:eastAsia="Times New Roman" w:cs="Times New Roman"/>
                <w:b/>
                <w:bCs/>
                <w:spacing w:val="-12"/>
              </w:rPr>
              <w:t>ha</w:t>
            </w:r>
            <w:r>
              <w:rPr>
                <w:b/>
                <w:bCs/>
                <w:spacing w:val="-12"/>
              </w:rPr>
              <w:t>·</w:t>
            </w:r>
            <w:r>
              <w:rPr>
                <w:rFonts w:ascii="Times New Roman" w:hAnsi="Times New Roman" w:eastAsia="Times New Roman" w:cs="Times New Roman"/>
                <w:b/>
                <w:bCs/>
                <w:spacing w:val="-12"/>
              </w:rPr>
              <w:t>d</w:t>
            </w:r>
            <w:r>
              <w:rPr>
                <w:b/>
                <w:bCs/>
                <w:spacing w:val="-12"/>
              </w:rPr>
              <w:t>）</w:t>
            </w:r>
            <w:r>
              <w:rPr>
                <w:rFonts w:ascii="Times New Roman" w:hAnsi="Times New Roman" w:eastAsia="Times New Roman" w:cs="Times New Roman"/>
                <w:b/>
                <w:bCs/>
                <w:spacing w:val="-12"/>
              </w:rPr>
              <w:t>]</w:t>
            </w:r>
          </w:p>
        </w:tc>
        <w:tc>
          <w:tcPr>
            <w:tcW w:w="1241" w:type="dxa"/>
            <w:tcBorders>
              <w:top w:val="single" w:color="000000" w:sz="10" w:space="0"/>
            </w:tcBorders>
            <w:vAlign w:val="top"/>
          </w:tcPr>
          <w:p w14:paraId="7AC1B475">
            <w:pPr>
              <w:pStyle w:val="6"/>
              <w:spacing w:before="37" w:line="251" w:lineRule="auto"/>
              <w:ind w:left="118" w:right="101" w:firstLine="91"/>
              <w:rPr>
                <w:rFonts w:ascii="Times New Roman" w:hAnsi="Times New Roman" w:eastAsia="Times New Roman" w:cs="Times New Roman"/>
              </w:rPr>
            </w:pPr>
            <w:r>
              <w:rPr>
                <w:b/>
                <w:bCs/>
                <w:spacing w:val="5"/>
              </w:rPr>
              <w:t>最高日用</w:t>
            </w:r>
            <w:r>
              <w:rPr>
                <w:b/>
                <w:bCs/>
                <w:spacing w:val="-15"/>
              </w:rPr>
              <w:t>水量（万</w:t>
            </w:r>
            <w:r>
              <w:rPr>
                <w:rFonts w:ascii="Times New Roman" w:hAnsi="Times New Roman" w:eastAsia="Times New Roman" w:cs="Times New Roman"/>
                <w:b/>
                <w:bCs/>
                <w:spacing w:val="-15"/>
              </w:rPr>
              <w:t>m</w:t>
            </w:r>
          </w:p>
          <w:p w14:paraId="08D861CC">
            <w:pPr>
              <w:pStyle w:val="6"/>
              <w:spacing w:line="213" w:lineRule="auto"/>
              <w:ind w:left="379"/>
            </w:pPr>
            <w:r>
              <w:rPr>
                <w:b/>
                <w:bCs/>
              </w:rPr>
              <w:t>³</w:t>
            </w:r>
            <w:r>
              <w:rPr>
                <w:rFonts w:ascii="Times New Roman" w:hAnsi="Times New Roman" w:eastAsia="Times New Roman" w:cs="Times New Roman"/>
                <w:b/>
                <w:bCs/>
              </w:rPr>
              <w:t>/d</w:t>
            </w:r>
            <w:r>
              <w:rPr>
                <w:b/>
                <w:bCs/>
              </w:rPr>
              <w:t>）</w:t>
            </w:r>
          </w:p>
        </w:tc>
        <w:tc>
          <w:tcPr>
            <w:tcW w:w="1240" w:type="dxa"/>
            <w:tcBorders>
              <w:top w:val="single" w:color="000000" w:sz="10" w:space="0"/>
            </w:tcBorders>
            <w:vAlign w:val="top"/>
          </w:tcPr>
          <w:p w14:paraId="4E0EB050">
            <w:pPr>
              <w:pStyle w:val="6"/>
              <w:spacing w:before="173" w:line="229" w:lineRule="auto"/>
              <w:ind w:left="248"/>
            </w:pPr>
            <w:r>
              <w:rPr>
                <w:b/>
                <w:bCs/>
                <w:spacing w:val="-3"/>
              </w:rPr>
              <w:t>日变化系</w:t>
            </w:r>
          </w:p>
          <w:p w14:paraId="2FE6E16A">
            <w:pPr>
              <w:pStyle w:val="6"/>
              <w:spacing w:before="22" w:line="228" w:lineRule="auto"/>
              <w:ind w:left="528"/>
            </w:pPr>
            <w:r>
              <w:rPr>
                <w:b/>
                <w:bCs/>
                <w:spacing w:val="-3"/>
              </w:rPr>
              <w:t>数</w:t>
            </w:r>
          </w:p>
        </w:tc>
        <w:tc>
          <w:tcPr>
            <w:tcW w:w="1256" w:type="dxa"/>
            <w:tcBorders>
              <w:top w:val="single" w:color="000000" w:sz="10" w:space="0"/>
              <w:right w:val="single" w:color="000000" w:sz="10" w:space="0"/>
            </w:tcBorders>
            <w:vAlign w:val="top"/>
          </w:tcPr>
          <w:p w14:paraId="01B61EF7">
            <w:pPr>
              <w:pStyle w:val="6"/>
              <w:spacing w:before="36" w:line="228" w:lineRule="auto"/>
              <w:ind w:left="214"/>
            </w:pPr>
            <w:r>
              <w:rPr>
                <w:b/>
                <w:bCs/>
                <w:spacing w:val="6"/>
              </w:rPr>
              <w:t>平均日用</w:t>
            </w:r>
          </w:p>
          <w:p w14:paraId="0BE03EDB">
            <w:pPr>
              <w:pStyle w:val="6"/>
              <w:spacing w:before="23" w:line="228" w:lineRule="auto"/>
              <w:ind w:left="126"/>
              <w:rPr>
                <w:rFonts w:ascii="Times New Roman" w:hAnsi="Times New Roman" w:eastAsia="Times New Roman" w:cs="Times New Roman"/>
              </w:rPr>
            </w:pPr>
            <w:r>
              <w:rPr>
                <w:b/>
                <w:bCs/>
                <w:spacing w:val="-15"/>
              </w:rPr>
              <w:t>水量（万</w:t>
            </w:r>
            <w:r>
              <w:rPr>
                <w:rFonts w:ascii="Times New Roman" w:hAnsi="Times New Roman" w:eastAsia="Times New Roman" w:cs="Times New Roman"/>
                <w:b/>
                <w:bCs/>
                <w:spacing w:val="-15"/>
              </w:rPr>
              <w:t>m</w:t>
            </w:r>
          </w:p>
          <w:p w14:paraId="02FFEE21">
            <w:pPr>
              <w:pStyle w:val="6"/>
              <w:spacing w:before="27" w:line="213" w:lineRule="auto"/>
              <w:ind w:left="387"/>
            </w:pPr>
            <w:r>
              <w:rPr>
                <w:b/>
                <w:bCs/>
              </w:rPr>
              <w:t>³</w:t>
            </w:r>
            <w:r>
              <w:rPr>
                <w:rFonts w:ascii="Times New Roman" w:hAnsi="Times New Roman" w:eastAsia="Times New Roman" w:cs="Times New Roman"/>
                <w:b/>
                <w:bCs/>
              </w:rPr>
              <w:t>/d</w:t>
            </w:r>
            <w:r>
              <w:rPr>
                <w:b/>
                <w:bCs/>
              </w:rPr>
              <w:t>）</w:t>
            </w:r>
          </w:p>
        </w:tc>
      </w:tr>
      <w:tr w14:paraId="3AC682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566" w:type="dxa"/>
            <w:tcBorders>
              <w:left w:val="single" w:color="000000" w:sz="10" w:space="0"/>
            </w:tcBorders>
            <w:vAlign w:val="top"/>
          </w:tcPr>
          <w:p w14:paraId="6909ACA8">
            <w:pPr>
              <w:spacing w:before="133" w:line="195" w:lineRule="auto"/>
              <w:ind w:left="23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27" w:type="dxa"/>
            <w:vAlign w:val="top"/>
          </w:tcPr>
          <w:p w14:paraId="4CE9DCE4">
            <w:pPr>
              <w:pStyle w:val="6"/>
              <w:spacing w:before="97" w:line="228" w:lineRule="auto"/>
              <w:ind w:left="543"/>
            </w:pPr>
            <w:r>
              <w:rPr>
                <w:spacing w:val="6"/>
              </w:rPr>
              <w:t>居住用地</w:t>
            </w:r>
          </w:p>
        </w:tc>
        <w:tc>
          <w:tcPr>
            <w:tcW w:w="1241" w:type="dxa"/>
            <w:vAlign w:val="top"/>
          </w:tcPr>
          <w:p w14:paraId="1D8551CF">
            <w:pPr>
              <w:spacing w:before="133"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121.7</w:t>
            </w:r>
          </w:p>
        </w:tc>
        <w:tc>
          <w:tcPr>
            <w:tcW w:w="1253" w:type="dxa"/>
            <w:vAlign w:val="top"/>
          </w:tcPr>
          <w:p w14:paraId="359AB978">
            <w:pPr>
              <w:spacing w:before="133" w:line="195" w:lineRule="auto"/>
              <w:ind w:left="5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1241" w:type="dxa"/>
            <w:vAlign w:val="top"/>
          </w:tcPr>
          <w:p w14:paraId="746DE2E3">
            <w:pPr>
              <w:spacing w:before="133" w:line="195"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1.03</w:t>
            </w:r>
          </w:p>
        </w:tc>
        <w:tc>
          <w:tcPr>
            <w:tcW w:w="1240" w:type="dxa"/>
            <w:vAlign w:val="top"/>
          </w:tcPr>
          <w:p w14:paraId="1298326F">
            <w:pPr>
              <w:spacing w:before="133" w:line="195" w:lineRule="auto"/>
              <w:ind w:left="5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256" w:type="dxa"/>
            <w:tcBorders>
              <w:right w:val="single" w:color="000000" w:sz="10" w:space="0"/>
            </w:tcBorders>
            <w:vAlign w:val="top"/>
          </w:tcPr>
          <w:p w14:paraId="06EB43B7">
            <w:pPr>
              <w:spacing w:before="133"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0.86</w:t>
            </w:r>
          </w:p>
        </w:tc>
      </w:tr>
      <w:tr w14:paraId="421B8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566" w:type="dxa"/>
            <w:tcBorders>
              <w:left w:val="single" w:color="000000" w:sz="10" w:space="0"/>
            </w:tcBorders>
            <w:vAlign w:val="top"/>
          </w:tcPr>
          <w:p w14:paraId="210AFFFC">
            <w:pPr>
              <w:spacing w:before="210" w:line="195" w:lineRule="auto"/>
              <w:ind w:left="21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927" w:type="dxa"/>
            <w:vAlign w:val="top"/>
          </w:tcPr>
          <w:p w14:paraId="4E31FF5C">
            <w:pPr>
              <w:pStyle w:val="6"/>
              <w:spacing w:before="38" w:line="230" w:lineRule="auto"/>
              <w:ind w:left="436" w:right="131" w:hanging="309"/>
            </w:pPr>
            <w:r>
              <w:rPr>
                <w:spacing w:val="7"/>
              </w:rPr>
              <w:t>公共管理与公共服务设施用地</w:t>
            </w:r>
          </w:p>
        </w:tc>
        <w:tc>
          <w:tcPr>
            <w:tcW w:w="1241" w:type="dxa"/>
            <w:vAlign w:val="top"/>
          </w:tcPr>
          <w:p w14:paraId="305DE8E3">
            <w:pPr>
              <w:spacing w:before="210" w:line="195" w:lineRule="auto"/>
              <w:ind w:left="3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22.89</w:t>
            </w:r>
          </w:p>
        </w:tc>
        <w:tc>
          <w:tcPr>
            <w:tcW w:w="1253" w:type="dxa"/>
            <w:vAlign w:val="top"/>
          </w:tcPr>
          <w:p w14:paraId="54E44991">
            <w:pPr>
              <w:spacing w:before="210" w:line="195" w:lineRule="auto"/>
              <w:ind w:left="5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241" w:type="dxa"/>
            <w:vAlign w:val="top"/>
          </w:tcPr>
          <w:p w14:paraId="77138A78">
            <w:pPr>
              <w:spacing w:before="210" w:line="195" w:lineRule="auto"/>
              <w:ind w:left="4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0.16</w:t>
            </w:r>
          </w:p>
        </w:tc>
        <w:tc>
          <w:tcPr>
            <w:tcW w:w="1240" w:type="dxa"/>
            <w:vAlign w:val="top"/>
          </w:tcPr>
          <w:p w14:paraId="11559260">
            <w:pPr>
              <w:spacing w:before="210" w:line="195" w:lineRule="auto"/>
              <w:ind w:left="5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256" w:type="dxa"/>
            <w:tcBorders>
              <w:right w:val="single" w:color="000000" w:sz="10" w:space="0"/>
            </w:tcBorders>
            <w:vAlign w:val="top"/>
          </w:tcPr>
          <w:p w14:paraId="0FA4295D">
            <w:pPr>
              <w:spacing w:before="210"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0.13</w:t>
            </w:r>
          </w:p>
        </w:tc>
      </w:tr>
      <w:tr w14:paraId="4D4F86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566" w:type="dxa"/>
            <w:tcBorders>
              <w:left w:val="single" w:color="000000" w:sz="10" w:space="0"/>
            </w:tcBorders>
            <w:vAlign w:val="top"/>
          </w:tcPr>
          <w:p w14:paraId="0FDC16AB">
            <w:pPr>
              <w:spacing w:before="212"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927" w:type="dxa"/>
            <w:vAlign w:val="top"/>
          </w:tcPr>
          <w:p w14:paraId="6B261AC8">
            <w:pPr>
              <w:pStyle w:val="6"/>
              <w:spacing w:before="40" w:line="229" w:lineRule="auto"/>
              <w:ind w:left="855" w:right="131" w:hanging="730"/>
            </w:pPr>
            <w:r>
              <w:rPr>
                <w:spacing w:val="8"/>
              </w:rPr>
              <w:t>商业服务业设施用</w:t>
            </w:r>
            <w:r>
              <w:t>地</w:t>
            </w:r>
          </w:p>
        </w:tc>
        <w:tc>
          <w:tcPr>
            <w:tcW w:w="1241" w:type="dxa"/>
            <w:vAlign w:val="top"/>
          </w:tcPr>
          <w:p w14:paraId="3DC60579">
            <w:pPr>
              <w:spacing w:before="212"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16.73</w:t>
            </w:r>
          </w:p>
        </w:tc>
        <w:tc>
          <w:tcPr>
            <w:tcW w:w="1253" w:type="dxa"/>
            <w:vAlign w:val="top"/>
          </w:tcPr>
          <w:p w14:paraId="56D884F6">
            <w:pPr>
              <w:spacing w:before="212" w:line="195" w:lineRule="auto"/>
              <w:ind w:left="5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1241" w:type="dxa"/>
            <w:vAlign w:val="top"/>
          </w:tcPr>
          <w:p w14:paraId="1191974C">
            <w:pPr>
              <w:spacing w:before="212" w:line="195" w:lineRule="auto"/>
              <w:ind w:left="4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0.13</w:t>
            </w:r>
          </w:p>
        </w:tc>
        <w:tc>
          <w:tcPr>
            <w:tcW w:w="1240" w:type="dxa"/>
            <w:vAlign w:val="top"/>
          </w:tcPr>
          <w:p w14:paraId="2B195FE3">
            <w:pPr>
              <w:spacing w:before="212" w:line="195" w:lineRule="auto"/>
              <w:ind w:left="5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256" w:type="dxa"/>
            <w:tcBorders>
              <w:right w:val="single" w:color="000000" w:sz="10" w:space="0"/>
            </w:tcBorders>
            <w:vAlign w:val="top"/>
          </w:tcPr>
          <w:p w14:paraId="288DFE0F">
            <w:pPr>
              <w:spacing w:before="212" w:line="195"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0.11</w:t>
            </w:r>
          </w:p>
        </w:tc>
      </w:tr>
      <w:tr w14:paraId="7D588E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566" w:type="dxa"/>
            <w:tcBorders>
              <w:left w:val="single" w:color="000000" w:sz="10" w:space="0"/>
            </w:tcBorders>
            <w:vAlign w:val="top"/>
          </w:tcPr>
          <w:p w14:paraId="5192AE9F">
            <w:pPr>
              <w:spacing w:before="141"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927" w:type="dxa"/>
            <w:vAlign w:val="top"/>
          </w:tcPr>
          <w:p w14:paraId="2F6AA605">
            <w:pPr>
              <w:pStyle w:val="6"/>
              <w:spacing w:before="105" w:line="229" w:lineRule="auto"/>
              <w:ind w:left="543"/>
            </w:pPr>
            <w:r>
              <w:rPr>
                <w:spacing w:val="6"/>
              </w:rPr>
              <w:t>工业用地</w:t>
            </w:r>
          </w:p>
        </w:tc>
        <w:tc>
          <w:tcPr>
            <w:tcW w:w="1241" w:type="dxa"/>
            <w:vAlign w:val="top"/>
          </w:tcPr>
          <w:p w14:paraId="1C5AC013">
            <w:pPr>
              <w:spacing w:before="140" w:line="195" w:lineRule="auto"/>
              <w:ind w:left="4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166</w:t>
            </w:r>
          </w:p>
        </w:tc>
        <w:tc>
          <w:tcPr>
            <w:tcW w:w="1253" w:type="dxa"/>
            <w:vAlign w:val="top"/>
          </w:tcPr>
          <w:p w14:paraId="42CAA1BE">
            <w:pPr>
              <w:spacing w:before="140" w:line="195" w:lineRule="auto"/>
              <w:ind w:left="5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241" w:type="dxa"/>
            <w:vAlign w:val="top"/>
          </w:tcPr>
          <w:p w14:paraId="62DD454B">
            <w:pPr>
              <w:spacing w:before="140" w:line="195" w:lineRule="auto"/>
              <w:ind w:left="4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0.75</w:t>
            </w:r>
          </w:p>
        </w:tc>
        <w:tc>
          <w:tcPr>
            <w:tcW w:w="1240" w:type="dxa"/>
            <w:vAlign w:val="top"/>
          </w:tcPr>
          <w:p w14:paraId="697AD72D">
            <w:pPr>
              <w:spacing w:before="140" w:line="195" w:lineRule="auto"/>
              <w:ind w:left="5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256" w:type="dxa"/>
            <w:tcBorders>
              <w:right w:val="single" w:color="000000" w:sz="10" w:space="0"/>
            </w:tcBorders>
            <w:vAlign w:val="top"/>
          </w:tcPr>
          <w:p w14:paraId="11B33974">
            <w:pPr>
              <w:spacing w:before="140"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0.62</w:t>
            </w:r>
          </w:p>
        </w:tc>
      </w:tr>
      <w:tr w14:paraId="3EFC6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566" w:type="dxa"/>
            <w:tcBorders>
              <w:left w:val="single" w:color="000000" w:sz="10" w:space="0"/>
            </w:tcBorders>
            <w:vAlign w:val="top"/>
          </w:tcPr>
          <w:p w14:paraId="727B2CA7">
            <w:pPr>
              <w:spacing w:before="146" w:line="192" w:lineRule="auto"/>
              <w:ind w:left="22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927" w:type="dxa"/>
            <w:vAlign w:val="top"/>
          </w:tcPr>
          <w:p w14:paraId="1CD9F043">
            <w:pPr>
              <w:pStyle w:val="6"/>
              <w:spacing w:before="108" w:line="228" w:lineRule="auto"/>
              <w:ind w:left="540"/>
            </w:pPr>
            <w:r>
              <w:rPr>
                <w:spacing w:val="7"/>
              </w:rPr>
              <w:t>仓储用地</w:t>
            </w:r>
          </w:p>
        </w:tc>
        <w:tc>
          <w:tcPr>
            <w:tcW w:w="1241" w:type="dxa"/>
            <w:vAlign w:val="top"/>
          </w:tcPr>
          <w:p w14:paraId="1168950F">
            <w:pPr>
              <w:spacing w:before="143" w:line="195" w:lineRule="auto"/>
              <w:ind w:left="4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8.48</w:t>
            </w:r>
          </w:p>
        </w:tc>
        <w:tc>
          <w:tcPr>
            <w:tcW w:w="1253" w:type="dxa"/>
            <w:vAlign w:val="top"/>
          </w:tcPr>
          <w:p w14:paraId="650CCC25">
            <w:pPr>
              <w:spacing w:before="143" w:line="195" w:lineRule="auto"/>
              <w:ind w:left="527"/>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1241" w:type="dxa"/>
            <w:vAlign w:val="top"/>
          </w:tcPr>
          <w:p w14:paraId="7BAA3834">
            <w:pPr>
              <w:spacing w:before="143" w:line="195" w:lineRule="auto"/>
              <w:ind w:left="4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1240" w:type="dxa"/>
            <w:vAlign w:val="top"/>
          </w:tcPr>
          <w:p w14:paraId="585F83EC">
            <w:pPr>
              <w:spacing w:before="143" w:line="195" w:lineRule="auto"/>
              <w:ind w:left="5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256" w:type="dxa"/>
            <w:tcBorders>
              <w:right w:val="single" w:color="000000" w:sz="10" w:space="0"/>
            </w:tcBorders>
            <w:vAlign w:val="top"/>
          </w:tcPr>
          <w:p w14:paraId="6A5768C1">
            <w:pPr>
              <w:spacing w:before="143"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r>
      <w:tr w14:paraId="359CF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566" w:type="dxa"/>
            <w:tcBorders>
              <w:left w:val="single" w:color="000000" w:sz="10" w:space="0"/>
            </w:tcBorders>
            <w:vAlign w:val="top"/>
          </w:tcPr>
          <w:p w14:paraId="74707F8D">
            <w:pPr>
              <w:spacing w:before="144"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927" w:type="dxa"/>
            <w:vAlign w:val="top"/>
          </w:tcPr>
          <w:p w14:paraId="05507996">
            <w:pPr>
              <w:pStyle w:val="6"/>
              <w:spacing w:before="108" w:line="228" w:lineRule="auto"/>
              <w:ind w:left="126"/>
            </w:pPr>
            <w:r>
              <w:rPr>
                <w:spacing w:val="7"/>
              </w:rPr>
              <w:t>市政公用设施用地</w:t>
            </w:r>
          </w:p>
        </w:tc>
        <w:tc>
          <w:tcPr>
            <w:tcW w:w="1241" w:type="dxa"/>
            <w:vAlign w:val="top"/>
          </w:tcPr>
          <w:p w14:paraId="2020868B">
            <w:pPr>
              <w:spacing w:before="144"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17.64</w:t>
            </w:r>
          </w:p>
        </w:tc>
        <w:tc>
          <w:tcPr>
            <w:tcW w:w="1253" w:type="dxa"/>
            <w:vAlign w:val="top"/>
          </w:tcPr>
          <w:p w14:paraId="303E8A9D">
            <w:pPr>
              <w:spacing w:before="144" w:line="195" w:lineRule="auto"/>
              <w:ind w:left="5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241" w:type="dxa"/>
            <w:vAlign w:val="top"/>
          </w:tcPr>
          <w:p w14:paraId="647E236A">
            <w:pPr>
              <w:spacing w:before="144" w:line="195" w:lineRule="auto"/>
              <w:ind w:left="4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c>
          <w:tcPr>
            <w:tcW w:w="1240" w:type="dxa"/>
            <w:vAlign w:val="top"/>
          </w:tcPr>
          <w:p w14:paraId="0A5DEFB4">
            <w:pPr>
              <w:spacing w:before="144" w:line="195" w:lineRule="auto"/>
              <w:ind w:left="5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256" w:type="dxa"/>
            <w:tcBorders>
              <w:right w:val="single" w:color="000000" w:sz="10" w:space="0"/>
            </w:tcBorders>
            <w:vAlign w:val="top"/>
          </w:tcPr>
          <w:p w14:paraId="2C3A7295">
            <w:pPr>
              <w:spacing w:before="144"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r>
      <w:tr w14:paraId="46738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566" w:type="dxa"/>
            <w:tcBorders>
              <w:left w:val="single" w:color="000000" w:sz="10" w:space="0"/>
            </w:tcBorders>
            <w:vAlign w:val="top"/>
          </w:tcPr>
          <w:p w14:paraId="63A9B205">
            <w:pPr>
              <w:spacing w:before="150" w:line="192" w:lineRule="auto"/>
              <w:ind w:left="22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927" w:type="dxa"/>
            <w:vAlign w:val="top"/>
          </w:tcPr>
          <w:p w14:paraId="27C815C6">
            <w:pPr>
              <w:pStyle w:val="6"/>
              <w:spacing w:before="111" w:line="228" w:lineRule="auto"/>
              <w:ind w:left="329"/>
            </w:pPr>
            <w:r>
              <w:rPr>
                <w:spacing w:val="8"/>
              </w:rPr>
              <w:t>道路广场用地</w:t>
            </w:r>
          </w:p>
        </w:tc>
        <w:tc>
          <w:tcPr>
            <w:tcW w:w="1241" w:type="dxa"/>
            <w:vAlign w:val="top"/>
          </w:tcPr>
          <w:p w14:paraId="4B140DA9">
            <w:pPr>
              <w:spacing w:before="147"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111.16</w:t>
            </w:r>
          </w:p>
        </w:tc>
        <w:tc>
          <w:tcPr>
            <w:tcW w:w="1253" w:type="dxa"/>
            <w:vAlign w:val="top"/>
          </w:tcPr>
          <w:p w14:paraId="7C88E1E0">
            <w:pPr>
              <w:spacing w:before="147" w:line="195" w:lineRule="auto"/>
              <w:ind w:left="5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241" w:type="dxa"/>
            <w:vAlign w:val="top"/>
          </w:tcPr>
          <w:p w14:paraId="5158BCEE">
            <w:pPr>
              <w:spacing w:before="147" w:line="195" w:lineRule="auto"/>
              <w:ind w:left="4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0.28</w:t>
            </w:r>
          </w:p>
        </w:tc>
        <w:tc>
          <w:tcPr>
            <w:tcW w:w="1240" w:type="dxa"/>
            <w:vAlign w:val="top"/>
          </w:tcPr>
          <w:p w14:paraId="1ED392B8">
            <w:pPr>
              <w:spacing w:before="147" w:line="195" w:lineRule="auto"/>
              <w:ind w:left="5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256" w:type="dxa"/>
            <w:tcBorders>
              <w:right w:val="single" w:color="000000" w:sz="10" w:space="0"/>
            </w:tcBorders>
            <w:vAlign w:val="top"/>
          </w:tcPr>
          <w:p w14:paraId="2C976B84">
            <w:pPr>
              <w:spacing w:before="147"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0.23</w:t>
            </w:r>
          </w:p>
        </w:tc>
      </w:tr>
      <w:tr w14:paraId="621F6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566" w:type="dxa"/>
            <w:tcBorders>
              <w:left w:val="single" w:color="000000" w:sz="10" w:space="0"/>
            </w:tcBorders>
            <w:vAlign w:val="top"/>
          </w:tcPr>
          <w:p w14:paraId="20C0DC74">
            <w:pPr>
              <w:spacing w:before="148" w:line="195" w:lineRule="auto"/>
              <w:ind w:left="22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927" w:type="dxa"/>
            <w:vAlign w:val="top"/>
          </w:tcPr>
          <w:p w14:paraId="041808E7">
            <w:pPr>
              <w:pStyle w:val="6"/>
              <w:spacing w:before="112" w:line="229" w:lineRule="auto"/>
              <w:ind w:left="751"/>
            </w:pPr>
            <w:r>
              <w:rPr>
                <w:spacing w:val="3"/>
              </w:rPr>
              <w:t>绿地</w:t>
            </w:r>
          </w:p>
        </w:tc>
        <w:tc>
          <w:tcPr>
            <w:tcW w:w="1241" w:type="dxa"/>
            <w:vAlign w:val="top"/>
          </w:tcPr>
          <w:p w14:paraId="0E545D83">
            <w:pPr>
              <w:spacing w:before="148" w:line="195"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113.31</w:t>
            </w:r>
          </w:p>
        </w:tc>
        <w:tc>
          <w:tcPr>
            <w:tcW w:w="1253" w:type="dxa"/>
            <w:vAlign w:val="top"/>
          </w:tcPr>
          <w:p w14:paraId="080FB128">
            <w:pPr>
              <w:spacing w:before="148" w:line="195" w:lineRule="auto"/>
              <w:ind w:left="5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241" w:type="dxa"/>
            <w:vAlign w:val="top"/>
          </w:tcPr>
          <w:p w14:paraId="5D6774CA">
            <w:pPr>
              <w:spacing w:before="148" w:line="195" w:lineRule="auto"/>
              <w:ind w:left="4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0.23</w:t>
            </w:r>
          </w:p>
        </w:tc>
        <w:tc>
          <w:tcPr>
            <w:tcW w:w="1240" w:type="dxa"/>
            <w:vAlign w:val="top"/>
          </w:tcPr>
          <w:p w14:paraId="0AB0E0AC">
            <w:pPr>
              <w:spacing w:before="148" w:line="195" w:lineRule="auto"/>
              <w:ind w:left="5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256" w:type="dxa"/>
            <w:tcBorders>
              <w:right w:val="single" w:color="000000" w:sz="10" w:space="0"/>
            </w:tcBorders>
            <w:vAlign w:val="top"/>
          </w:tcPr>
          <w:p w14:paraId="6903CAC0">
            <w:pPr>
              <w:spacing w:before="148"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0.19</w:t>
            </w:r>
          </w:p>
        </w:tc>
      </w:tr>
      <w:tr w14:paraId="0159B0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2493" w:type="dxa"/>
            <w:gridSpan w:val="2"/>
            <w:tcBorders>
              <w:left w:val="single" w:color="000000" w:sz="10" w:space="0"/>
              <w:bottom w:val="single" w:color="000000" w:sz="10" w:space="0"/>
            </w:tcBorders>
            <w:vAlign w:val="top"/>
          </w:tcPr>
          <w:p w14:paraId="522B2280">
            <w:pPr>
              <w:pStyle w:val="6"/>
              <w:spacing w:before="115" w:line="229" w:lineRule="auto"/>
              <w:ind w:left="1030"/>
            </w:pPr>
            <w:r>
              <w:rPr>
                <w:spacing w:val="4"/>
              </w:rPr>
              <w:t>合计</w:t>
            </w:r>
          </w:p>
        </w:tc>
        <w:tc>
          <w:tcPr>
            <w:tcW w:w="1241" w:type="dxa"/>
            <w:tcBorders>
              <w:bottom w:val="single" w:color="000000" w:sz="10" w:space="0"/>
            </w:tcBorders>
            <w:vAlign w:val="top"/>
          </w:tcPr>
          <w:p w14:paraId="78B14AB6">
            <w:pPr>
              <w:spacing w:before="151" w:line="195" w:lineRule="auto"/>
              <w:ind w:left="3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577.91</w:t>
            </w:r>
          </w:p>
        </w:tc>
        <w:tc>
          <w:tcPr>
            <w:tcW w:w="1253" w:type="dxa"/>
            <w:tcBorders>
              <w:bottom w:val="single" w:color="000000" w:sz="10" w:space="0"/>
            </w:tcBorders>
            <w:vAlign w:val="top"/>
          </w:tcPr>
          <w:p w14:paraId="6EECE8E2">
            <w:pPr>
              <w:rPr>
                <w:rFonts w:ascii="Arial"/>
                <w:sz w:val="21"/>
              </w:rPr>
            </w:pPr>
          </w:p>
        </w:tc>
        <w:tc>
          <w:tcPr>
            <w:tcW w:w="1241" w:type="dxa"/>
            <w:tcBorders>
              <w:bottom w:val="single" w:color="000000" w:sz="10" w:space="0"/>
            </w:tcBorders>
            <w:vAlign w:val="top"/>
          </w:tcPr>
          <w:p w14:paraId="2B2E235D">
            <w:pPr>
              <w:rPr>
                <w:rFonts w:ascii="Arial"/>
                <w:sz w:val="21"/>
              </w:rPr>
            </w:pPr>
          </w:p>
        </w:tc>
        <w:tc>
          <w:tcPr>
            <w:tcW w:w="1240" w:type="dxa"/>
            <w:tcBorders>
              <w:bottom w:val="single" w:color="000000" w:sz="10" w:space="0"/>
            </w:tcBorders>
            <w:vAlign w:val="top"/>
          </w:tcPr>
          <w:p w14:paraId="78B75E71">
            <w:pPr>
              <w:rPr>
                <w:rFonts w:ascii="Arial"/>
                <w:sz w:val="21"/>
              </w:rPr>
            </w:pPr>
          </w:p>
        </w:tc>
        <w:tc>
          <w:tcPr>
            <w:tcW w:w="1256" w:type="dxa"/>
            <w:tcBorders>
              <w:bottom w:val="single" w:color="000000" w:sz="10" w:space="0"/>
              <w:right w:val="single" w:color="000000" w:sz="10" w:space="0"/>
            </w:tcBorders>
            <w:vAlign w:val="top"/>
          </w:tcPr>
          <w:p w14:paraId="3B16864F">
            <w:pPr>
              <w:spacing w:before="151"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2.21</w:t>
            </w:r>
          </w:p>
        </w:tc>
      </w:tr>
    </w:tbl>
    <w:p w14:paraId="032C91C9">
      <w:pPr>
        <w:pStyle w:val="2"/>
      </w:pPr>
    </w:p>
    <w:p w14:paraId="08327ABA">
      <w:pPr>
        <w:sectPr>
          <w:headerReference r:id="rId59" w:type="default"/>
          <w:footerReference r:id="rId60" w:type="default"/>
          <w:pgSz w:w="11907" w:h="16840"/>
          <w:pgMar w:top="1132" w:right="1578" w:bottom="1259" w:left="1578" w:header="829" w:footer="1097" w:gutter="0"/>
          <w:cols w:space="720" w:num="1"/>
        </w:sectPr>
      </w:pPr>
    </w:p>
    <w:p w14:paraId="50494FAD">
      <w:pPr>
        <w:pStyle w:val="2"/>
        <w:spacing w:line="241" w:lineRule="auto"/>
      </w:pPr>
    </w:p>
    <w:p w14:paraId="315BADA4">
      <w:pPr>
        <w:spacing w:before="78" w:line="211" w:lineRule="auto"/>
        <w:ind w:left="2658"/>
        <w:rPr>
          <w:rFonts w:ascii="宋体" w:hAnsi="宋体" w:eastAsia="宋体" w:cs="宋体"/>
          <w:sz w:val="24"/>
          <w:szCs w:val="24"/>
        </w:rPr>
      </w:pPr>
      <w:r>
        <w:rPr>
          <w:rFonts w:ascii="宋体" w:hAnsi="宋体" w:eastAsia="宋体" w:cs="宋体"/>
          <w:b/>
          <w:bCs/>
          <w:spacing w:val="-2"/>
          <w:sz w:val="24"/>
          <w:szCs w:val="24"/>
        </w:rPr>
        <w:t>表</w:t>
      </w:r>
      <w:r>
        <w:rPr>
          <w:rFonts w:ascii="Times New Roman" w:hAnsi="Times New Roman" w:eastAsia="Times New Roman" w:cs="Times New Roman"/>
          <w:b/>
          <w:bCs/>
          <w:spacing w:val="-2"/>
          <w:sz w:val="24"/>
          <w:szCs w:val="24"/>
        </w:rPr>
        <w:t>3.5-4</w:t>
      </w:r>
      <w:r>
        <w:rPr>
          <w:rFonts w:ascii="宋体" w:hAnsi="宋体" w:eastAsia="宋体" w:cs="宋体"/>
          <w:b/>
          <w:bCs/>
          <w:spacing w:val="-2"/>
          <w:sz w:val="24"/>
          <w:szCs w:val="24"/>
        </w:rPr>
        <w:t>城东片区供水量预测表</w:t>
      </w:r>
    </w:p>
    <w:tbl>
      <w:tblPr>
        <w:tblStyle w:val="5"/>
        <w:tblW w:w="872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6"/>
        <w:gridCol w:w="1927"/>
        <w:gridCol w:w="1241"/>
        <w:gridCol w:w="1253"/>
        <w:gridCol w:w="1241"/>
        <w:gridCol w:w="1240"/>
        <w:gridCol w:w="1256"/>
      </w:tblGrid>
      <w:tr w14:paraId="6A451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566" w:type="dxa"/>
            <w:tcBorders>
              <w:top w:val="single" w:color="000000" w:sz="10" w:space="0"/>
              <w:left w:val="single" w:color="000000" w:sz="10" w:space="0"/>
            </w:tcBorders>
            <w:textDirection w:val="tbRlV"/>
            <w:vAlign w:val="top"/>
          </w:tcPr>
          <w:p w14:paraId="0161E983">
            <w:pPr>
              <w:pStyle w:val="6"/>
              <w:spacing w:before="181" w:line="218" w:lineRule="auto"/>
              <w:ind w:left="173"/>
            </w:pPr>
            <w:r>
              <w:rPr>
                <w:b/>
                <w:bCs/>
                <w:spacing w:val="6"/>
              </w:rPr>
              <w:t>序号</w:t>
            </w:r>
          </w:p>
        </w:tc>
        <w:tc>
          <w:tcPr>
            <w:tcW w:w="1927" w:type="dxa"/>
            <w:tcBorders>
              <w:top w:val="single" w:color="000000" w:sz="10" w:space="0"/>
            </w:tcBorders>
            <w:vAlign w:val="top"/>
          </w:tcPr>
          <w:p w14:paraId="30D4DAB5">
            <w:pPr>
              <w:spacing w:line="241" w:lineRule="auto"/>
              <w:rPr>
                <w:rFonts w:ascii="Arial"/>
                <w:sz w:val="21"/>
              </w:rPr>
            </w:pPr>
          </w:p>
          <w:p w14:paraId="25EC3A77">
            <w:pPr>
              <w:pStyle w:val="6"/>
              <w:spacing w:before="65" w:line="228" w:lineRule="auto"/>
              <w:ind w:left="540"/>
            </w:pPr>
            <w:r>
              <w:rPr>
                <w:b/>
                <w:bCs/>
                <w:spacing w:val="6"/>
              </w:rPr>
              <w:t>用地性质</w:t>
            </w:r>
          </w:p>
        </w:tc>
        <w:tc>
          <w:tcPr>
            <w:tcW w:w="1241" w:type="dxa"/>
            <w:tcBorders>
              <w:top w:val="single" w:color="000000" w:sz="10" w:space="0"/>
            </w:tcBorders>
            <w:vAlign w:val="top"/>
          </w:tcPr>
          <w:p w14:paraId="6A2E7498">
            <w:pPr>
              <w:pStyle w:val="6"/>
              <w:spacing w:before="173" w:line="228" w:lineRule="auto"/>
              <w:ind w:left="202"/>
            </w:pPr>
            <w:r>
              <w:rPr>
                <w:b/>
                <w:bCs/>
                <w:spacing w:val="6"/>
              </w:rPr>
              <w:t>用地面积</w:t>
            </w:r>
          </w:p>
          <w:p w14:paraId="0864F8B7">
            <w:pPr>
              <w:pStyle w:val="6"/>
              <w:spacing w:before="23"/>
              <w:ind w:left="311"/>
            </w:pPr>
            <w:r>
              <w:rPr>
                <w:b/>
                <w:bCs/>
                <w:spacing w:val="-2"/>
              </w:rPr>
              <w:t>（</w:t>
            </w:r>
            <w:r>
              <w:rPr>
                <w:rFonts w:ascii="Times New Roman" w:hAnsi="Times New Roman" w:eastAsia="Times New Roman" w:cs="Times New Roman"/>
                <w:b/>
                <w:bCs/>
                <w:spacing w:val="-2"/>
              </w:rPr>
              <w:t>ha</w:t>
            </w:r>
            <w:r>
              <w:rPr>
                <w:b/>
                <w:bCs/>
                <w:spacing w:val="-2"/>
              </w:rPr>
              <w:t>）</w:t>
            </w:r>
          </w:p>
        </w:tc>
        <w:tc>
          <w:tcPr>
            <w:tcW w:w="1253" w:type="dxa"/>
            <w:tcBorders>
              <w:top w:val="single" w:color="000000" w:sz="10" w:space="0"/>
            </w:tcBorders>
            <w:vAlign w:val="top"/>
          </w:tcPr>
          <w:p w14:paraId="24875CF7">
            <w:pPr>
              <w:pStyle w:val="6"/>
              <w:spacing w:before="37" w:line="247" w:lineRule="auto"/>
              <w:ind w:left="129" w:right="123" w:firstLine="82"/>
              <w:rPr>
                <w:rFonts w:ascii="Times New Roman" w:hAnsi="Times New Roman" w:eastAsia="Times New Roman" w:cs="Times New Roman"/>
              </w:rPr>
            </w:pPr>
            <w:r>
              <w:rPr>
                <w:b/>
                <w:bCs/>
                <w:spacing w:val="6"/>
              </w:rPr>
              <w:t>用水量指</w:t>
            </w:r>
            <w:r>
              <w:rPr>
                <w:b/>
                <w:bCs/>
                <w:spacing w:val="5"/>
              </w:rPr>
              <w:t>标取值</w:t>
            </w:r>
            <w:r>
              <w:rPr>
                <w:rFonts w:ascii="Times New Roman" w:hAnsi="Times New Roman" w:eastAsia="Times New Roman" w:cs="Times New Roman"/>
                <w:b/>
                <w:bCs/>
                <w:spacing w:val="5"/>
              </w:rPr>
              <w:t>[m</w:t>
            </w:r>
            <w:r>
              <w:rPr>
                <w:rFonts w:ascii="Times New Roman" w:hAnsi="Times New Roman" w:eastAsia="Times New Roman" w:cs="Times New Roman"/>
                <w:b/>
                <w:bCs/>
                <w:spacing w:val="5"/>
                <w:position w:val="6"/>
                <w:sz w:val="13"/>
                <w:szCs w:val="13"/>
              </w:rPr>
              <w:t>3</w:t>
            </w:r>
            <w:r>
              <w:rPr>
                <w:rFonts w:ascii="Times New Roman" w:hAnsi="Times New Roman" w:eastAsia="Times New Roman" w:cs="Times New Roman"/>
                <w:b/>
                <w:bCs/>
                <w:spacing w:val="5"/>
              </w:rPr>
              <w:t>/</w:t>
            </w:r>
          </w:p>
          <w:p w14:paraId="68203016">
            <w:pPr>
              <w:pStyle w:val="6"/>
              <w:spacing w:before="8" w:line="213" w:lineRule="auto"/>
              <w:ind w:left="121"/>
              <w:rPr>
                <w:rFonts w:ascii="Times New Roman" w:hAnsi="Times New Roman" w:eastAsia="Times New Roman" w:cs="Times New Roman"/>
              </w:rPr>
            </w:pPr>
            <w:r>
              <w:rPr>
                <w:b/>
                <w:bCs/>
                <w:spacing w:val="-8"/>
              </w:rPr>
              <w:t>（</w:t>
            </w:r>
            <w:r>
              <w:rPr>
                <w:rFonts w:ascii="Times New Roman" w:hAnsi="Times New Roman" w:eastAsia="Times New Roman" w:cs="Times New Roman"/>
                <w:b/>
                <w:bCs/>
                <w:spacing w:val="-8"/>
              </w:rPr>
              <w:t>ha</w:t>
            </w:r>
            <w:r>
              <w:rPr>
                <w:b/>
                <w:bCs/>
                <w:spacing w:val="-8"/>
              </w:rPr>
              <w:t>·</w:t>
            </w:r>
            <w:r>
              <w:rPr>
                <w:rFonts w:ascii="Times New Roman" w:hAnsi="Times New Roman" w:eastAsia="Times New Roman" w:cs="Times New Roman"/>
                <w:b/>
                <w:bCs/>
                <w:spacing w:val="-8"/>
              </w:rPr>
              <w:t>d</w:t>
            </w:r>
            <w:r>
              <w:rPr>
                <w:b/>
                <w:bCs/>
                <w:spacing w:val="-8"/>
              </w:rPr>
              <w:t>）</w:t>
            </w:r>
            <w:r>
              <w:rPr>
                <w:rFonts w:ascii="Times New Roman" w:hAnsi="Times New Roman" w:eastAsia="Times New Roman" w:cs="Times New Roman"/>
                <w:b/>
                <w:bCs/>
                <w:spacing w:val="-8"/>
              </w:rPr>
              <w:t>]</w:t>
            </w:r>
          </w:p>
        </w:tc>
        <w:tc>
          <w:tcPr>
            <w:tcW w:w="1241" w:type="dxa"/>
            <w:tcBorders>
              <w:top w:val="single" w:color="000000" w:sz="10" w:space="0"/>
            </w:tcBorders>
            <w:vAlign w:val="top"/>
          </w:tcPr>
          <w:p w14:paraId="31679A8B">
            <w:pPr>
              <w:pStyle w:val="6"/>
              <w:spacing w:before="36" w:line="228" w:lineRule="auto"/>
              <w:ind w:left="210"/>
            </w:pPr>
            <w:r>
              <w:rPr>
                <w:b/>
                <w:bCs/>
                <w:spacing w:val="5"/>
              </w:rPr>
              <w:t>最高日用</w:t>
            </w:r>
          </w:p>
          <w:p w14:paraId="0F9019C6">
            <w:pPr>
              <w:pStyle w:val="6"/>
              <w:spacing w:before="24" w:line="233" w:lineRule="auto"/>
              <w:ind w:left="315" w:right="194" w:hanging="105"/>
            </w:pPr>
            <w:r>
              <w:rPr>
                <w:b/>
                <w:bCs/>
                <w:spacing w:val="5"/>
              </w:rPr>
              <w:t>水量（万</w:t>
            </w:r>
            <w:r>
              <w:rPr>
                <w:rFonts w:ascii="Times New Roman" w:hAnsi="Times New Roman" w:eastAsia="Times New Roman" w:cs="Times New Roman"/>
                <w:b/>
                <w:bCs/>
                <w:spacing w:val="1"/>
              </w:rPr>
              <w:t>m</w:t>
            </w:r>
            <w:r>
              <w:rPr>
                <w:rFonts w:ascii="Times New Roman" w:hAnsi="Times New Roman" w:eastAsia="Times New Roman" w:cs="Times New Roman"/>
                <w:b/>
                <w:bCs/>
                <w:spacing w:val="1"/>
                <w:position w:val="6"/>
                <w:sz w:val="13"/>
                <w:szCs w:val="13"/>
              </w:rPr>
              <w:t>3</w:t>
            </w:r>
            <w:r>
              <w:rPr>
                <w:rFonts w:ascii="Times New Roman" w:hAnsi="Times New Roman" w:eastAsia="Times New Roman" w:cs="Times New Roman"/>
                <w:b/>
                <w:bCs/>
                <w:spacing w:val="1"/>
              </w:rPr>
              <w:t>/d</w:t>
            </w:r>
            <w:r>
              <w:rPr>
                <w:b/>
                <w:bCs/>
                <w:spacing w:val="1"/>
              </w:rPr>
              <w:t>）</w:t>
            </w:r>
          </w:p>
        </w:tc>
        <w:tc>
          <w:tcPr>
            <w:tcW w:w="1240" w:type="dxa"/>
            <w:tcBorders>
              <w:top w:val="single" w:color="000000" w:sz="10" w:space="0"/>
            </w:tcBorders>
            <w:vAlign w:val="top"/>
          </w:tcPr>
          <w:p w14:paraId="24248091">
            <w:pPr>
              <w:pStyle w:val="6"/>
              <w:spacing w:before="173" w:line="229" w:lineRule="auto"/>
              <w:ind w:left="248"/>
            </w:pPr>
            <w:r>
              <w:rPr>
                <w:b/>
                <w:bCs/>
                <w:spacing w:val="-3"/>
              </w:rPr>
              <w:t>日变化系</w:t>
            </w:r>
          </w:p>
          <w:p w14:paraId="34D7E0A8">
            <w:pPr>
              <w:pStyle w:val="6"/>
              <w:spacing w:before="22" w:line="228" w:lineRule="auto"/>
              <w:ind w:left="528"/>
            </w:pPr>
            <w:r>
              <w:rPr>
                <w:b/>
                <w:bCs/>
                <w:spacing w:val="-3"/>
              </w:rPr>
              <w:t>数</w:t>
            </w:r>
          </w:p>
        </w:tc>
        <w:tc>
          <w:tcPr>
            <w:tcW w:w="1256" w:type="dxa"/>
            <w:tcBorders>
              <w:top w:val="single" w:color="000000" w:sz="10" w:space="0"/>
              <w:right w:val="single" w:color="000000" w:sz="10" w:space="0"/>
            </w:tcBorders>
            <w:vAlign w:val="top"/>
          </w:tcPr>
          <w:p w14:paraId="52807892">
            <w:pPr>
              <w:pStyle w:val="6"/>
              <w:spacing w:before="36" w:line="228" w:lineRule="auto"/>
              <w:ind w:left="214"/>
            </w:pPr>
            <w:r>
              <w:rPr>
                <w:b/>
                <w:bCs/>
                <w:spacing w:val="6"/>
              </w:rPr>
              <w:t>平均日用</w:t>
            </w:r>
          </w:p>
          <w:p w14:paraId="033B6538">
            <w:pPr>
              <w:pStyle w:val="6"/>
              <w:spacing w:before="23" w:line="233" w:lineRule="auto"/>
              <w:ind w:left="322" w:right="191" w:hanging="105"/>
            </w:pPr>
            <w:r>
              <w:rPr>
                <w:b/>
                <w:bCs/>
                <w:spacing w:val="5"/>
              </w:rPr>
              <w:t>水量（万</w:t>
            </w:r>
            <w:r>
              <w:rPr>
                <w:rFonts w:ascii="Times New Roman" w:hAnsi="Times New Roman" w:eastAsia="Times New Roman" w:cs="Times New Roman"/>
                <w:b/>
                <w:bCs/>
                <w:spacing w:val="1"/>
              </w:rPr>
              <w:t>m</w:t>
            </w:r>
            <w:r>
              <w:rPr>
                <w:rFonts w:ascii="Times New Roman" w:hAnsi="Times New Roman" w:eastAsia="Times New Roman" w:cs="Times New Roman"/>
                <w:b/>
                <w:bCs/>
                <w:spacing w:val="1"/>
                <w:position w:val="6"/>
                <w:sz w:val="13"/>
                <w:szCs w:val="13"/>
              </w:rPr>
              <w:t>3</w:t>
            </w:r>
            <w:r>
              <w:rPr>
                <w:rFonts w:ascii="Times New Roman" w:hAnsi="Times New Roman" w:eastAsia="Times New Roman" w:cs="Times New Roman"/>
                <w:b/>
                <w:bCs/>
                <w:spacing w:val="1"/>
              </w:rPr>
              <w:t>/d</w:t>
            </w:r>
            <w:r>
              <w:rPr>
                <w:b/>
                <w:bCs/>
                <w:spacing w:val="1"/>
              </w:rPr>
              <w:t>）</w:t>
            </w:r>
          </w:p>
        </w:tc>
      </w:tr>
      <w:tr w14:paraId="7A03F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566" w:type="dxa"/>
            <w:tcBorders>
              <w:left w:val="single" w:color="000000" w:sz="10" w:space="0"/>
            </w:tcBorders>
            <w:vAlign w:val="top"/>
          </w:tcPr>
          <w:p w14:paraId="3DF3D7AF">
            <w:pPr>
              <w:spacing w:before="121" w:line="195" w:lineRule="auto"/>
              <w:ind w:left="23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27" w:type="dxa"/>
            <w:vAlign w:val="top"/>
          </w:tcPr>
          <w:p w14:paraId="77CF1989">
            <w:pPr>
              <w:pStyle w:val="6"/>
              <w:spacing w:before="85" w:line="228" w:lineRule="auto"/>
              <w:ind w:left="543"/>
            </w:pPr>
            <w:r>
              <w:rPr>
                <w:spacing w:val="6"/>
              </w:rPr>
              <w:t>居住用地</w:t>
            </w:r>
          </w:p>
        </w:tc>
        <w:tc>
          <w:tcPr>
            <w:tcW w:w="1241" w:type="dxa"/>
            <w:vAlign w:val="top"/>
          </w:tcPr>
          <w:p w14:paraId="0F6010A0">
            <w:pPr>
              <w:spacing w:before="121" w:line="195" w:lineRule="auto"/>
              <w:ind w:left="349"/>
              <w:rPr>
                <w:rFonts w:ascii="Times New Roman" w:hAnsi="Times New Roman" w:eastAsia="Times New Roman" w:cs="Times New Roman"/>
                <w:sz w:val="20"/>
                <w:szCs w:val="20"/>
              </w:rPr>
            </w:pPr>
            <w:r>
              <w:rPr>
                <w:rFonts w:ascii="Times New Roman" w:hAnsi="Times New Roman" w:eastAsia="Times New Roman" w:cs="Times New Roman"/>
                <w:sz w:val="20"/>
                <w:szCs w:val="20"/>
              </w:rPr>
              <w:t>120.56</w:t>
            </w:r>
          </w:p>
        </w:tc>
        <w:tc>
          <w:tcPr>
            <w:tcW w:w="1253" w:type="dxa"/>
            <w:vAlign w:val="top"/>
          </w:tcPr>
          <w:p w14:paraId="4DADC657">
            <w:pPr>
              <w:spacing w:before="121" w:line="195" w:lineRule="auto"/>
              <w:ind w:left="5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1241" w:type="dxa"/>
            <w:vAlign w:val="top"/>
          </w:tcPr>
          <w:p w14:paraId="0E02F51E">
            <w:pPr>
              <w:spacing w:before="121" w:line="195" w:lineRule="auto"/>
              <w:ind w:left="4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1.02</w:t>
            </w:r>
          </w:p>
        </w:tc>
        <w:tc>
          <w:tcPr>
            <w:tcW w:w="1240" w:type="dxa"/>
            <w:vAlign w:val="top"/>
          </w:tcPr>
          <w:p w14:paraId="0BE00599">
            <w:pPr>
              <w:spacing w:before="121" w:line="195" w:lineRule="auto"/>
              <w:ind w:left="5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256" w:type="dxa"/>
            <w:tcBorders>
              <w:right w:val="single" w:color="000000" w:sz="10" w:space="0"/>
            </w:tcBorders>
            <w:vAlign w:val="top"/>
          </w:tcPr>
          <w:p w14:paraId="42EA7914">
            <w:pPr>
              <w:spacing w:before="121"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0.85</w:t>
            </w:r>
          </w:p>
        </w:tc>
      </w:tr>
      <w:tr w14:paraId="2C877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566" w:type="dxa"/>
            <w:tcBorders>
              <w:left w:val="single" w:color="000000" w:sz="10" w:space="0"/>
            </w:tcBorders>
            <w:vAlign w:val="top"/>
          </w:tcPr>
          <w:p w14:paraId="07A55603">
            <w:pPr>
              <w:spacing w:before="210" w:line="195" w:lineRule="auto"/>
              <w:ind w:left="21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927" w:type="dxa"/>
            <w:vAlign w:val="top"/>
          </w:tcPr>
          <w:p w14:paraId="2F91A5B1">
            <w:pPr>
              <w:pStyle w:val="6"/>
              <w:spacing w:before="36" w:line="231" w:lineRule="auto"/>
              <w:ind w:left="436" w:right="131" w:hanging="309"/>
            </w:pPr>
            <w:r>
              <w:rPr>
                <w:spacing w:val="7"/>
              </w:rPr>
              <w:t>公共管理与公共服务设施用地</w:t>
            </w:r>
          </w:p>
        </w:tc>
        <w:tc>
          <w:tcPr>
            <w:tcW w:w="1241" w:type="dxa"/>
            <w:vAlign w:val="top"/>
          </w:tcPr>
          <w:p w14:paraId="358858CE">
            <w:pPr>
              <w:spacing w:before="209" w:line="195" w:lineRule="auto"/>
              <w:ind w:left="3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63.17</w:t>
            </w:r>
          </w:p>
        </w:tc>
        <w:tc>
          <w:tcPr>
            <w:tcW w:w="1253" w:type="dxa"/>
            <w:vAlign w:val="top"/>
          </w:tcPr>
          <w:p w14:paraId="57E10539">
            <w:pPr>
              <w:spacing w:before="209" w:line="195" w:lineRule="auto"/>
              <w:ind w:left="5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241" w:type="dxa"/>
            <w:vAlign w:val="top"/>
          </w:tcPr>
          <w:p w14:paraId="22194BC1">
            <w:pPr>
              <w:spacing w:before="209" w:line="195" w:lineRule="auto"/>
              <w:ind w:left="4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0.44</w:t>
            </w:r>
          </w:p>
        </w:tc>
        <w:tc>
          <w:tcPr>
            <w:tcW w:w="1240" w:type="dxa"/>
            <w:vAlign w:val="top"/>
          </w:tcPr>
          <w:p w14:paraId="7DB8E040">
            <w:pPr>
              <w:spacing w:before="209" w:line="195" w:lineRule="auto"/>
              <w:ind w:left="5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256" w:type="dxa"/>
            <w:tcBorders>
              <w:right w:val="single" w:color="000000" w:sz="10" w:space="0"/>
            </w:tcBorders>
            <w:vAlign w:val="top"/>
          </w:tcPr>
          <w:p w14:paraId="234A8A83">
            <w:pPr>
              <w:spacing w:before="209"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0.37</w:t>
            </w:r>
          </w:p>
        </w:tc>
      </w:tr>
      <w:tr w14:paraId="61342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566" w:type="dxa"/>
            <w:tcBorders>
              <w:left w:val="single" w:color="000000" w:sz="10" w:space="0"/>
            </w:tcBorders>
            <w:vAlign w:val="top"/>
          </w:tcPr>
          <w:p w14:paraId="2D8CF96E">
            <w:pPr>
              <w:spacing w:before="212" w:line="195" w:lineRule="auto"/>
              <w:ind w:left="22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927" w:type="dxa"/>
            <w:vAlign w:val="top"/>
          </w:tcPr>
          <w:p w14:paraId="0877FFBD">
            <w:pPr>
              <w:pStyle w:val="6"/>
              <w:spacing w:before="38" w:line="230" w:lineRule="auto"/>
              <w:ind w:left="855" w:right="131" w:hanging="730"/>
            </w:pPr>
            <w:r>
              <w:rPr>
                <w:spacing w:val="8"/>
              </w:rPr>
              <w:t>商业服务业设施用</w:t>
            </w:r>
            <w:r>
              <w:t>地</w:t>
            </w:r>
          </w:p>
        </w:tc>
        <w:tc>
          <w:tcPr>
            <w:tcW w:w="1241" w:type="dxa"/>
            <w:vAlign w:val="top"/>
          </w:tcPr>
          <w:p w14:paraId="447B4B4E">
            <w:pPr>
              <w:spacing w:before="212" w:line="195" w:lineRule="auto"/>
              <w:ind w:left="3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41.98</w:t>
            </w:r>
          </w:p>
        </w:tc>
        <w:tc>
          <w:tcPr>
            <w:tcW w:w="1253" w:type="dxa"/>
            <w:vAlign w:val="top"/>
          </w:tcPr>
          <w:p w14:paraId="54BAFFBE">
            <w:pPr>
              <w:spacing w:before="212" w:line="195" w:lineRule="auto"/>
              <w:ind w:left="5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1241" w:type="dxa"/>
            <w:vAlign w:val="top"/>
          </w:tcPr>
          <w:p w14:paraId="37F1539E">
            <w:pPr>
              <w:spacing w:before="212" w:line="195" w:lineRule="auto"/>
              <w:ind w:left="4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0.34</w:t>
            </w:r>
          </w:p>
        </w:tc>
        <w:tc>
          <w:tcPr>
            <w:tcW w:w="1240" w:type="dxa"/>
            <w:vAlign w:val="top"/>
          </w:tcPr>
          <w:p w14:paraId="685A43A9">
            <w:pPr>
              <w:spacing w:before="212" w:line="195" w:lineRule="auto"/>
              <w:ind w:left="5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256" w:type="dxa"/>
            <w:tcBorders>
              <w:right w:val="single" w:color="000000" w:sz="10" w:space="0"/>
            </w:tcBorders>
            <w:vAlign w:val="top"/>
          </w:tcPr>
          <w:p w14:paraId="34E034BF">
            <w:pPr>
              <w:spacing w:before="212"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0.28</w:t>
            </w:r>
          </w:p>
        </w:tc>
      </w:tr>
      <w:tr w14:paraId="6072A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566" w:type="dxa"/>
            <w:tcBorders>
              <w:left w:val="single" w:color="000000" w:sz="10" w:space="0"/>
            </w:tcBorders>
            <w:vAlign w:val="top"/>
          </w:tcPr>
          <w:p w14:paraId="3C3B3278">
            <w:pPr>
              <w:spacing w:before="128"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927" w:type="dxa"/>
            <w:vAlign w:val="top"/>
          </w:tcPr>
          <w:p w14:paraId="5443DC85">
            <w:pPr>
              <w:pStyle w:val="6"/>
              <w:spacing w:before="92" w:line="229" w:lineRule="auto"/>
              <w:ind w:left="543"/>
            </w:pPr>
            <w:r>
              <w:rPr>
                <w:spacing w:val="6"/>
              </w:rPr>
              <w:t>工业用地</w:t>
            </w:r>
          </w:p>
        </w:tc>
        <w:tc>
          <w:tcPr>
            <w:tcW w:w="1241" w:type="dxa"/>
            <w:vAlign w:val="top"/>
          </w:tcPr>
          <w:p w14:paraId="7C364ACE">
            <w:pPr>
              <w:spacing w:before="128" w:line="195" w:lineRule="auto"/>
              <w:ind w:left="56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53" w:type="dxa"/>
            <w:vAlign w:val="top"/>
          </w:tcPr>
          <w:p w14:paraId="54E6261F">
            <w:pPr>
              <w:spacing w:before="128" w:line="195" w:lineRule="auto"/>
              <w:ind w:left="5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241" w:type="dxa"/>
            <w:vAlign w:val="top"/>
          </w:tcPr>
          <w:p w14:paraId="748DA036">
            <w:pPr>
              <w:spacing w:before="128" w:line="195" w:lineRule="auto"/>
              <w:ind w:left="57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40" w:type="dxa"/>
            <w:vAlign w:val="top"/>
          </w:tcPr>
          <w:p w14:paraId="21B4A661">
            <w:pPr>
              <w:spacing w:before="128" w:line="195" w:lineRule="auto"/>
              <w:ind w:left="5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256" w:type="dxa"/>
            <w:tcBorders>
              <w:right w:val="single" w:color="000000" w:sz="10" w:space="0"/>
            </w:tcBorders>
            <w:vAlign w:val="top"/>
          </w:tcPr>
          <w:p w14:paraId="7C4BAC33">
            <w:pPr>
              <w:spacing w:before="128" w:line="195" w:lineRule="auto"/>
              <w:ind w:left="58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76D874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566" w:type="dxa"/>
            <w:tcBorders>
              <w:left w:val="single" w:color="000000" w:sz="10" w:space="0"/>
            </w:tcBorders>
            <w:vAlign w:val="top"/>
          </w:tcPr>
          <w:p w14:paraId="7F630CCD">
            <w:pPr>
              <w:spacing w:before="131" w:line="192" w:lineRule="auto"/>
              <w:ind w:left="22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927" w:type="dxa"/>
            <w:vAlign w:val="top"/>
          </w:tcPr>
          <w:p w14:paraId="308F81A3">
            <w:pPr>
              <w:pStyle w:val="6"/>
              <w:spacing w:before="92" w:line="228" w:lineRule="auto"/>
              <w:ind w:left="540"/>
            </w:pPr>
            <w:r>
              <w:rPr>
                <w:spacing w:val="7"/>
              </w:rPr>
              <w:t>仓储用地</w:t>
            </w:r>
          </w:p>
        </w:tc>
        <w:tc>
          <w:tcPr>
            <w:tcW w:w="1241" w:type="dxa"/>
            <w:vAlign w:val="top"/>
          </w:tcPr>
          <w:p w14:paraId="19C5BD77">
            <w:pPr>
              <w:spacing w:before="128" w:line="195" w:lineRule="auto"/>
              <w:ind w:left="56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53" w:type="dxa"/>
            <w:vAlign w:val="top"/>
          </w:tcPr>
          <w:p w14:paraId="4E43BFCE">
            <w:pPr>
              <w:spacing w:before="128" w:line="195" w:lineRule="auto"/>
              <w:ind w:left="527"/>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1241" w:type="dxa"/>
            <w:vAlign w:val="top"/>
          </w:tcPr>
          <w:p w14:paraId="6EC5E340">
            <w:pPr>
              <w:spacing w:before="128" w:line="195" w:lineRule="auto"/>
              <w:ind w:left="57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40" w:type="dxa"/>
            <w:vAlign w:val="top"/>
          </w:tcPr>
          <w:p w14:paraId="0CB8E391">
            <w:pPr>
              <w:spacing w:before="128" w:line="195" w:lineRule="auto"/>
              <w:ind w:left="5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256" w:type="dxa"/>
            <w:tcBorders>
              <w:right w:val="single" w:color="000000" w:sz="10" w:space="0"/>
            </w:tcBorders>
            <w:vAlign w:val="top"/>
          </w:tcPr>
          <w:p w14:paraId="36104318">
            <w:pPr>
              <w:spacing w:before="128" w:line="195" w:lineRule="auto"/>
              <w:ind w:left="58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56B67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566" w:type="dxa"/>
            <w:tcBorders>
              <w:left w:val="single" w:color="000000" w:sz="10" w:space="0"/>
            </w:tcBorders>
            <w:vAlign w:val="top"/>
          </w:tcPr>
          <w:p w14:paraId="4FECFC7B">
            <w:pPr>
              <w:spacing w:before="130"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927" w:type="dxa"/>
            <w:vAlign w:val="top"/>
          </w:tcPr>
          <w:p w14:paraId="7F46D325">
            <w:pPr>
              <w:pStyle w:val="6"/>
              <w:spacing w:before="94" w:line="228" w:lineRule="auto"/>
              <w:ind w:left="126"/>
            </w:pPr>
            <w:r>
              <w:rPr>
                <w:spacing w:val="7"/>
              </w:rPr>
              <w:t>市政公用设施用地</w:t>
            </w:r>
          </w:p>
        </w:tc>
        <w:tc>
          <w:tcPr>
            <w:tcW w:w="1241" w:type="dxa"/>
            <w:vAlign w:val="top"/>
          </w:tcPr>
          <w:p w14:paraId="7E4EF731">
            <w:pPr>
              <w:spacing w:before="130"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12.59</w:t>
            </w:r>
          </w:p>
        </w:tc>
        <w:tc>
          <w:tcPr>
            <w:tcW w:w="1253" w:type="dxa"/>
            <w:vAlign w:val="top"/>
          </w:tcPr>
          <w:p w14:paraId="3F9078DE">
            <w:pPr>
              <w:spacing w:before="130" w:line="195" w:lineRule="auto"/>
              <w:ind w:left="5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241" w:type="dxa"/>
            <w:vAlign w:val="top"/>
          </w:tcPr>
          <w:p w14:paraId="55E2C96B">
            <w:pPr>
              <w:spacing w:before="130" w:line="195" w:lineRule="auto"/>
              <w:ind w:left="4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1240" w:type="dxa"/>
            <w:vAlign w:val="top"/>
          </w:tcPr>
          <w:p w14:paraId="78CA9331">
            <w:pPr>
              <w:spacing w:before="130" w:line="195" w:lineRule="auto"/>
              <w:ind w:left="5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256" w:type="dxa"/>
            <w:tcBorders>
              <w:right w:val="single" w:color="000000" w:sz="10" w:space="0"/>
            </w:tcBorders>
            <w:vAlign w:val="top"/>
          </w:tcPr>
          <w:p w14:paraId="5FE5EBDB">
            <w:pPr>
              <w:spacing w:before="130"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r>
      <w:tr w14:paraId="158F6E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566" w:type="dxa"/>
            <w:tcBorders>
              <w:left w:val="single" w:color="000000" w:sz="10" w:space="0"/>
            </w:tcBorders>
            <w:vAlign w:val="top"/>
          </w:tcPr>
          <w:p w14:paraId="7173B693">
            <w:pPr>
              <w:spacing w:before="135" w:line="192" w:lineRule="auto"/>
              <w:ind w:left="22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927" w:type="dxa"/>
            <w:vAlign w:val="top"/>
          </w:tcPr>
          <w:p w14:paraId="42758621">
            <w:pPr>
              <w:pStyle w:val="6"/>
              <w:spacing w:before="96" w:line="228" w:lineRule="auto"/>
              <w:ind w:left="329"/>
            </w:pPr>
            <w:r>
              <w:rPr>
                <w:spacing w:val="8"/>
              </w:rPr>
              <w:t>道路广场用地</w:t>
            </w:r>
          </w:p>
        </w:tc>
        <w:tc>
          <w:tcPr>
            <w:tcW w:w="1241" w:type="dxa"/>
            <w:vAlign w:val="top"/>
          </w:tcPr>
          <w:p w14:paraId="4DB42F6A">
            <w:pPr>
              <w:spacing w:before="132" w:line="195" w:lineRule="auto"/>
              <w:ind w:left="3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77.22</w:t>
            </w:r>
          </w:p>
        </w:tc>
        <w:tc>
          <w:tcPr>
            <w:tcW w:w="1253" w:type="dxa"/>
            <w:vAlign w:val="top"/>
          </w:tcPr>
          <w:p w14:paraId="792CA7AD">
            <w:pPr>
              <w:spacing w:before="132" w:line="195" w:lineRule="auto"/>
              <w:ind w:left="5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241" w:type="dxa"/>
            <w:vAlign w:val="top"/>
          </w:tcPr>
          <w:p w14:paraId="3F57C622">
            <w:pPr>
              <w:spacing w:before="132" w:line="195" w:lineRule="auto"/>
              <w:ind w:left="4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0.19</w:t>
            </w:r>
          </w:p>
        </w:tc>
        <w:tc>
          <w:tcPr>
            <w:tcW w:w="1240" w:type="dxa"/>
            <w:vAlign w:val="top"/>
          </w:tcPr>
          <w:p w14:paraId="7B5058E2">
            <w:pPr>
              <w:spacing w:before="132" w:line="195" w:lineRule="auto"/>
              <w:ind w:left="5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256" w:type="dxa"/>
            <w:tcBorders>
              <w:right w:val="single" w:color="000000" w:sz="10" w:space="0"/>
            </w:tcBorders>
            <w:vAlign w:val="top"/>
          </w:tcPr>
          <w:p w14:paraId="29B96C6D">
            <w:pPr>
              <w:spacing w:before="132"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0.16</w:t>
            </w:r>
          </w:p>
        </w:tc>
      </w:tr>
      <w:tr w14:paraId="09273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566" w:type="dxa"/>
            <w:tcBorders>
              <w:left w:val="single" w:color="000000" w:sz="10" w:space="0"/>
            </w:tcBorders>
            <w:vAlign w:val="top"/>
          </w:tcPr>
          <w:p w14:paraId="627F05A8">
            <w:pPr>
              <w:spacing w:before="134" w:line="195" w:lineRule="auto"/>
              <w:ind w:left="22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927" w:type="dxa"/>
            <w:vAlign w:val="top"/>
          </w:tcPr>
          <w:p w14:paraId="19A09D74">
            <w:pPr>
              <w:pStyle w:val="6"/>
              <w:spacing w:before="98" w:line="229" w:lineRule="auto"/>
              <w:ind w:left="751"/>
            </w:pPr>
            <w:r>
              <w:rPr>
                <w:spacing w:val="3"/>
              </w:rPr>
              <w:t>绿地</w:t>
            </w:r>
          </w:p>
        </w:tc>
        <w:tc>
          <w:tcPr>
            <w:tcW w:w="1241" w:type="dxa"/>
            <w:vAlign w:val="top"/>
          </w:tcPr>
          <w:p w14:paraId="7B72A897">
            <w:pPr>
              <w:spacing w:before="134"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53.11</w:t>
            </w:r>
          </w:p>
        </w:tc>
        <w:tc>
          <w:tcPr>
            <w:tcW w:w="1253" w:type="dxa"/>
            <w:vAlign w:val="top"/>
          </w:tcPr>
          <w:p w14:paraId="553BCD15">
            <w:pPr>
              <w:spacing w:before="134" w:line="195" w:lineRule="auto"/>
              <w:ind w:left="5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241" w:type="dxa"/>
            <w:vAlign w:val="top"/>
          </w:tcPr>
          <w:p w14:paraId="39BA9AE3">
            <w:pPr>
              <w:spacing w:before="134"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0.11</w:t>
            </w:r>
          </w:p>
        </w:tc>
        <w:tc>
          <w:tcPr>
            <w:tcW w:w="1240" w:type="dxa"/>
            <w:vAlign w:val="top"/>
          </w:tcPr>
          <w:p w14:paraId="40F64608">
            <w:pPr>
              <w:spacing w:before="134" w:line="195" w:lineRule="auto"/>
              <w:ind w:left="51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256" w:type="dxa"/>
            <w:tcBorders>
              <w:right w:val="single" w:color="000000" w:sz="10" w:space="0"/>
            </w:tcBorders>
            <w:vAlign w:val="top"/>
          </w:tcPr>
          <w:p w14:paraId="352FDDA1">
            <w:pPr>
              <w:spacing w:before="134"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r>
      <w:tr w14:paraId="0F6CD0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566" w:type="dxa"/>
            <w:tcBorders>
              <w:left w:val="single" w:color="000000" w:sz="10" w:space="0"/>
              <w:bottom w:val="single" w:color="000000" w:sz="10" w:space="0"/>
            </w:tcBorders>
            <w:vAlign w:val="top"/>
          </w:tcPr>
          <w:p w14:paraId="73424DB2">
            <w:pPr>
              <w:rPr>
                <w:rFonts w:ascii="Arial"/>
                <w:sz w:val="21"/>
              </w:rPr>
            </w:pPr>
          </w:p>
        </w:tc>
        <w:tc>
          <w:tcPr>
            <w:tcW w:w="1927" w:type="dxa"/>
            <w:tcBorders>
              <w:bottom w:val="single" w:color="000000" w:sz="10" w:space="0"/>
            </w:tcBorders>
            <w:vAlign w:val="top"/>
          </w:tcPr>
          <w:p w14:paraId="3587949A">
            <w:pPr>
              <w:pStyle w:val="6"/>
              <w:spacing w:before="101" w:line="229" w:lineRule="auto"/>
              <w:ind w:left="750"/>
            </w:pPr>
            <w:r>
              <w:rPr>
                <w:spacing w:val="4"/>
              </w:rPr>
              <w:t>合计</w:t>
            </w:r>
          </w:p>
        </w:tc>
        <w:tc>
          <w:tcPr>
            <w:tcW w:w="1241" w:type="dxa"/>
            <w:tcBorders>
              <w:bottom w:val="single" w:color="000000" w:sz="10" w:space="0"/>
            </w:tcBorders>
            <w:vAlign w:val="top"/>
          </w:tcPr>
          <w:p w14:paraId="3A4831A5">
            <w:pPr>
              <w:spacing w:before="136" w:line="195"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368.63</w:t>
            </w:r>
          </w:p>
        </w:tc>
        <w:tc>
          <w:tcPr>
            <w:tcW w:w="1253" w:type="dxa"/>
            <w:tcBorders>
              <w:bottom w:val="single" w:color="000000" w:sz="10" w:space="0"/>
            </w:tcBorders>
            <w:vAlign w:val="top"/>
          </w:tcPr>
          <w:p w14:paraId="3611AA8D">
            <w:pPr>
              <w:rPr>
                <w:rFonts w:ascii="Arial"/>
                <w:sz w:val="21"/>
              </w:rPr>
            </w:pPr>
          </w:p>
        </w:tc>
        <w:tc>
          <w:tcPr>
            <w:tcW w:w="1241" w:type="dxa"/>
            <w:tcBorders>
              <w:bottom w:val="single" w:color="000000" w:sz="10" w:space="0"/>
            </w:tcBorders>
            <w:vAlign w:val="top"/>
          </w:tcPr>
          <w:p w14:paraId="76EF1877">
            <w:pPr>
              <w:rPr>
                <w:rFonts w:ascii="Arial"/>
                <w:sz w:val="21"/>
              </w:rPr>
            </w:pPr>
          </w:p>
        </w:tc>
        <w:tc>
          <w:tcPr>
            <w:tcW w:w="1240" w:type="dxa"/>
            <w:tcBorders>
              <w:bottom w:val="single" w:color="000000" w:sz="10" w:space="0"/>
            </w:tcBorders>
            <w:vAlign w:val="top"/>
          </w:tcPr>
          <w:p w14:paraId="273FD829">
            <w:pPr>
              <w:rPr>
                <w:rFonts w:ascii="Arial"/>
                <w:sz w:val="21"/>
              </w:rPr>
            </w:pPr>
          </w:p>
        </w:tc>
        <w:tc>
          <w:tcPr>
            <w:tcW w:w="1256" w:type="dxa"/>
            <w:tcBorders>
              <w:bottom w:val="single" w:color="000000" w:sz="10" w:space="0"/>
              <w:right w:val="single" w:color="000000" w:sz="10" w:space="0"/>
            </w:tcBorders>
            <w:vAlign w:val="top"/>
          </w:tcPr>
          <w:p w14:paraId="0B3EE8E0">
            <w:pPr>
              <w:spacing w:before="136"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1.78</w:t>
            </w:r>
          </w:p>
        </w:tc>
      </w:tr>
    </w:tbl>
    <w:p w14:paraId="3030673A">
      <w:pPr>
        <w:spacing w:before="155" w:line="219" w:lineRule="auto"/>
        <w:ind w:left="126"/>
        <w:outlineLvl w:val="2"/>
        <w:rPr>
          <w:rFonts w:ascii="宋体" w:hAnsi="宋体" w:eastAsia="宋体" w:cs="宋体"/>
          <w:sz w:val="24"/>
          <w:szCs w:val="24"/>
        </w:rPr>
      </w:pPr>
      <w:r>
        <w:rPr>
          <w:rFonts w:ascii="Times New Roman" w:hAnsi="Times New Roman" w:eastAsia="Times New Roman" w:cs="Times New Roman"/>
          <w:b/>
          <w:bCs/>
          <w:spacing w:val="-2"/>
          <w:sz w:val="24"/>
          <w:szCs w:val="24"/>
        </w:rPr>
        <w:t>3.5.4</w:t>
      </w:r>
      <w:r>
        <w:rPr>
          <w:rFonts w:ascii="宋体" w:hAnsi="宋体" w:eastAsia="宋体" w:cs="宋体"/>
          <w:b/>
          <w:bCs/>
          <w:spacing w:val="-2"/>
          <w:sz w:val="24"/>
          <w:szCs w:val="24"/>
        </w:rPr>
        <w:t>污水量换算</w:t>
      </w:r>
    </w:p>
    <w:p w14:paraId="5428143E">
      <w:pPr>
        <w:spacing w:before="183" w:line="359" w:lineRule="auto"/>
        <w:ind w:left="137" w:right="121" w:firstLine="475"/>
        <w:rPr>
          <w:rFonts w:ascii="宋体" w:hAnsi="宋体" w:eastAsia="宋体" w:cs="宋体"/>
          <w:sz w:val="24"/>
          <w:szCs w:val="24"/>
        </w:rPr>
      </w:pPr>
      <w:r>
        <w:rPr>
          <w:rFonts w:ascii="宋体" w:hAnsi="宋体" w:eastAsia="宋体" w:cs="宋体"/>
          <w:spacing w:val="1"/>
          <w:sz w:val="24"/>
          <w:szCs w:val="24"/>
        </w:rPr>
        <w:t>根据《城市排水工程规划规范》（</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50318-2</w:t>
      </w:r>
      <w:r>
        <w:rPr>
          <w:rFonts w:ascii="Times New Roman" w:hAnsi="Times New Roman" w:eastAsia="Times New Roman" w:cs="Times New Roman"/>
          <w:sz w:val="24"/>
          <w:szCs w:val="24"/>
        </w:rPr>
        <w:t>017</w:t>
      </w:r>
      <w:r>
        <w:rPr>
          <w:rFonts w:ascii="宋体" w:hAnsi="宋体" w:eastAsia="宋体" w:cs="宋体"/>
          <w:spacing w:val="9"/>
          <w:sz w:val="24"/>
          <w:szCs w:val="24"/>
        </w:rPr>
        <w:t>），</w:t>
      </w:r>
      <w:r>
        <w:rPr>
          <w:rFonts w:ascii="宋体" w:hAnsi="宋体" w:eastAsia="宋体" w:cs="宋体"/>
          <w:sz w:val="24"/>
          <w:szCs w:val="24"/>
        </w:rPr>
        <w:t>城市综合生活污水排放</w:t>
      </w:r>
      <w:r>
        <w:rPr>
          <w:rFonts w:ascii="宋体" w:hAnsi="宋体" w:eastAsia="宋体" w:cs="宋体"/>
          <w:spacing w:val="-2"/>
          <w:sz w:val="24"/>
          <w:szCs w:val="24"/>
        </w:rPr>
        <w:t>系数可采用</w:t>
      </w:r>
      <w:r>
        <w:rPr>
          <w:rFonts w:ascii="Times New Roman" w:hAnsi="Times New Roman" w:eastAsia="Times New Roman" w:cs="Times New Roman"/>
          <w:spacing w:val="-2"/>
          <w:sz w:val="24"/>
          <w:szCs w:val="24"/>
        </w:rPr>
        <w:t>0.80</w:t>
      </w:r>
      <w:r>
        <w:rPr>
          <w:rFonts w:ascii="宋体" w:hAnsi="宋体" w:eastAsia="宋体" w:cs="宋体"/>
          <w:spacing w:val="-2"/>
          <w:sz w:val="24"/>
          <w:szCs w:val="24"/>
        </w:rPr>
        <w:t>～</w:t>
      </w:r>
      <w:r>
        <w:rPr>
          <w:rFonts w:ascii="Times New Roman" w:hAnsi="Times New Roman" w:eastAsia="Times New Roman" w:cs="Times New Roman"/>
          <w:spacing w:val="-2"/>
          <w:sz w:val="24"/>
          <w:szCs w:val="24"/>
        </w:rPr>
        <w:t>0.90</w:t>
      </w:r>
      <w:r>
        <w:rPr>
          <w:rFonts w:ascii="宋体" w:hAnsi="宋体" w:eastAsia="宋体" w:cs="宋体"/>
          <w:spacing w:val="-2"/>
          <w:sz w:val="24"/>
          <w:szCs w:val="24"/>
        </w:rPr>
        <w:t>，本工程取</w:t>
      </w:r>
      <w:r>
        <w:rPr>
          <w:rFonts w:ascii="Times New Roman" w:hAnsi="Times New Roman" w:eastAsia="Times New Roman" w:cs="Times New Roman"/>
          <w:spacing w:val="-2"/>
          <w:sz w:val="24"/>
          <w:szCs w:val="24"/>
        </w:rPr>
        <w:t>0.8</w:t>
      </w:r>
      <w:r>
        <w:rPr>
          <w:rFonts w:ascii="宋体" w:hAnsi="宋体" w:eastAsia="宋体" w:cs="宋体"/>
          <w:spacing w:val="-2"/>
          <w:sz w:val="24"/>
          <w:szCs w:val="24"/>
        </w:rPr>
        <w:t>。</w:t>
      </w:r>
    </w:p>
    <w:p w14:paraId="3BB24927">
      <w:pPr>
        <w:spacing w:line="359" w:lineRule="auto"/>
        <w:ind w:left="135" w:right="121" w:firstLine="478"/>
        <w:jc w:val="both"/>
        <w:rPr>
          <w:rFonts w:ascii="宋体" w:hAnsi="宋体" w:eastAsia="宋体" w:cs="宋体"/>
          <w:sz w:val="24"/>
          <w:szCs w:val="24"/>
        </w:rPr>
      </w:pPr>
      <w:r>
        <w:rPr>
          <w:rFonts w:ascii="宋体" w:hAnsi="宋体" w:eastAsia="宋体" w:cs="宋体"/>
          <w:sz w:val="24"/>
          <w:szCs w:val="24"/>
        </w:rPr>
        <w:t>此外，根据《城市排水工程规划规范》（</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50318-2017</w:t>
      </w:r>
      <w:r>
        <w:rPr>
          <w:rFonts w:ascii="宋体" w:hAnsi="宋体" w:eastAsia="宋体" w:cs="宋体"/>
          <w:spacing w:val="-1"/>
          <w:sz w:val="24"/>
          <w:szCs w:val="24"/>
        </w:rPr>
        <w:t>）</w:t>
      </w:r>
      <w:r>
        <w:rPr>
          <w:rFonts w:ascii="Times New Roman" w:hAnsi="Times New Roman" w:eastAsia="Times New Roman" w:cs="Times New Roman"/>
          <w:spacing w:val="-1"/>
          <w:sz w:val="24"/>
          <w:szCs w:val="24"/>
        </w:rPr>
        <w:t>4.4.1</w:t>
      </w:r>
      <w:r>
        <w:rPr>
          <w:rFonts w:ascii="宋体" w:hAnsi="宋体" w:eastAsia="宋体" w:cs="宋体"/>
          <w:spacing w:val="-1"/>
          <w:sz w:val="24"/>
          <w:szCs w:val="24"/>
        </w:rPr>
        <w:t>“城市污水处</w:t>
      </w:r>
      <w:r>
        <w:rPr>
          <w:rFonts w:ascii="宋体" w:hAnsi="宋体" w:eastAsia="宋体" w:cs="宋体"/>
          <w:spacing w:val="2"/>
          <w:sz w:val="24"/>
          <w:szCs w:val="24"/>
        </w:rPr>
        <w:t>理厂的规模应按规划远期污水量和需接纳的初</w:t>
      </w:r>
      <w:r>
        <w:rPr>
          <w:rFonts w:ascii="宋体" w:hAnsi="宋体" w:eastAsia="宋体" w:cs="宋体"/>
          <w:spacing w:val="1"/>
          <w:sz w:val="24"/>
          <w:szCs w:val="24"/>
        </w:rPr>
        <w:t>期雨水量确定”。本工程服务范围</w:t>
      </w:r>
      <w:r>
        <w:rPr>
          <w:rFonts w:ascii="宋体" w:hAnsi="宋体" w:eastAsia="宋体" w:cs="宋体"/>
          <w:spacing w:val="3"/>
          <w:sz w:val="24"/>
          <w:szCs w:val="24"/>
        </w:rPr>
        <w:t>中隆回县城城东片区为老城区，排水体制为截流式</w:t>
      </w:r>
      <w:r>
        <w:rPr>
          <w:rFonts w:ascii="宋体" w:hAnsi="宋体" w:eastAsia="宋体" w:cs="宋体"/>
          <w:spacing w:val="2"/>
          <w:sz w:val="24"/>
          <w:szCs w:val="24"/>
        </w:rPr>
        <w:t>合流制，由于缺乏现状排水管</w:t>
      </w:r>
      <w:r>
        <w:rPr>
          <w:rFonts w:ascii="宋体" w:hAnsi="宋体" w:eastAsia="宋体" w:cs="宋体"/>
          <w:sz w:val="24"/>
          <w:szCs w:val="24"/>
        </w:rPr>
        <w:t>网布置图，本工程考虑老城区城东片区存在</w:t>
      </w:r>
      <w:r>
        <w:rPr>
          <w:rFonts w:ascii="Times New Roman" w:hAnsi="Times New Roman" w:eastAsia="Times New Roman" w:cs="Times New Roman"/>
          <w:sz w:val="24"/>
          <w:szCs w:val="24"/>
        </w:rPr>
        <w:t>20%</w:t>
      </w:r>
      <w:r>
        <w:rPr>
          <w:rFonts w:ascii="宋体" w:hAnsi="宋体" w:eastAsia="宋体" w:cs="宋体"/>
          <w:spacing w:val="-1"/>
          <w:sz w:val="24"/>
          <w:szCs w:val="24"/>
        </w:rPr>
        <w:t>的合流片区，截流倍数</w:t>
      </w:r>
      <w:r>
        <w:rPr>
          <w:rFonts w:ascii="Times New Roman" w:hAnsi="Times New Roman" w:eastAsia="Times New Roman" w:cs="Times New Roman"/>
          <w:spacing w:val="-1"/>
          <w:sz w:val="24"/>
          <w:szCs w:val="24"/>
        </w:rPr>
        <w:t>n=2</w:t>
      </w:r>
      <w:r>
        <w:rPr>
          <w:rFonts w:ascii="宋体" w:hAnsi="宋体" w:eastAsia="宋体" w:cs="宋体"/>
          <w:spacing w:val="-1"/>
          <w:sz w:val="24"/>
          <w:szCs w:val="24"/>
        </w:rPr>
        <w:t>。</w:t>
      </w:r>
    </w:p>
    <w:p w14:paraId="37D629FF">
      <w:pPr>
        <w:spacing w:line="218" w:lineRule="auto"/>
        <w:ind w:left="612"/>
        <w:rPr>
          <w:rFonts w:ascii="宋体" w:hAnsi="宋体" w:eastAsia="宋体" w:cs="宋体"/>
          <w:sz w:val="24"/>
          <w:szCs w:val="24"/>
        </w:rPr>
      </w:pPr>
      <w:r>
        <w:rPr>
          <w:rFonts w:ascii="宋体" w:hAnsi="宋体" w:eastAsia="宋体" w:cs="宋体"/>
          <w:spacing w:val="-1"/>
          <w:sz w:val="24"/>
          <w:szCs w:val="24"/>
        </w:rPr>
        <w:t>根据上面所确定的参数，本工程污水量换算如下：</w:t>
      </w:r>
    </w:p>
    <w:p w14:paraId="17F9B0A6">
      <w:pPr>
        <w:spacing w:before="184" w:line="219" w:lineRule="auto"/>
        <w:ind w:left="62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）不同性质用地用水量指标法</w:t>
      </w:r>
    </w:p>
    <w:p w14:paraId="03F95684">
      <w:pPr>
        <w:spacing w:before="180" w:line="213" w:lineRule="auto"/>
        <w:ind w:left="2056"/>
        <w:rPr>
          <w:rFonts w:ascii="宋体" w:hAnsi="宋体" w:eastAsia="宋体" w:cs="宋体"/>
          <w:sz w:val="24"/>
          <w:szCs w:val="24"/>
        </w:rPr>
      </w:pPr>
      <w:r>
        <w:rPr>
          <w:rFonts w:ascii="宋体" w:hAnsi="宋体" w:eastAsia="宋体" w:cs="宋体"/>
          <w:b/>
          <w:bCs/>
          <w:spacing w:val="-2"/>
          <w:sz w:val="24"/>
          <w:szCs w:val="24"/>
        </w:rPr>
        <w:t>表</w:t>
      </w:r>
      <w:r>
        <w:rPr>
          <w:rFonts w:ascii="Times New Roman" w:hAnsi="Times New Roman" w:eastAsia="Times New Roman" w:cs="Times New Roman"/>
          <w:b/>
          <w:bCs/>
          <w:spacing w:val="-2"/>
          <w:sz w:val="24"/>
          <w:szCs w:val="24"/>
        </w:rPr>
        <w:t>3.5-5</w:t>
      </w:r>
      <w:r>
        <w:rPr>
          <w:rFonts w:ascii="宋体" w:hAnsi="宋体" w:eastAsia="宋体" w:cs="宋体"/>
          <w:b/>
          <w:bCs/>
          <w:spacing w:val="-2"/>
          <w:sz w:val="24"/>
          <w:szCs w:val="24"/>
        </w:rPr>
        <w:t>寺山片区、集南片区供水量预测表</w:t>
      </w:r>
    </w:p>
    <w:tbl>
      <w:tblPr>
        <w:tblStyle w:val="5"/>
        <w:tblW w:w="872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2"/>
        <w:gridCol w:w="2249"/>
        <w:gridCol w:w="1448"/>
        <w:gridCol w:w="1462"/>
        <w:gridCol w:w="1448"/>
        <w:gridCol w:w="1462"/>
      </w:tblGrid>
      <w:tr w14:paraId="17940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652" w:type="dxa"/>
            <w:tcBorders>
              <w:top w:val="single" w:color="000000" w:sz="10" w:space="0"/>
              <w:left w:val="single" w:color="000000" w:sz="10" w:space="0"/>
            </w:tcBorders>
            <w:vAlign w:val="top"/>
          </w:tcPr>
          <w:p w14:paraId="5BF7FD70">
            <w:pPr>
              <w:pStyle w:val="6"/>
              <w:spacing w:before="171" w:line="229" w:lineRule="auto"/>
              <w:ind w:left="105"/>
            </w:pPr>
            <w:r>
              <w:rPr>
                <w:b/>
                <w:bCs/>
                <w:spacing w:val="4"/>
              </w:rPr>
              <w:t>序号</w:t>
            </w:r>
          </w:p>
        </w:tc>
        <w:tc>
          <w:tcPr>
            <w:tcW w:w="2249" w:type="dxa"/>
            <w:tcBorders>
              <w:top w:val="single" w:color="000000" w:sz="10" w:space="0"/>
            </w:tcBorders>
            <w:vAlign w:val="top"/>
          </w:tcPr>
          <w:p w14:paraId="323CA40B">
            <w:pPr>
              <w:pStyle w:val="6"/>
              <w:spacing w:before="171" w:line="228" w:lineRule="auto"/>
              <w:ind w:left="704"/>
            </w:pPr>
            <w:r>
              <w:rPr>
                <w:b/>
                <w:bCs/>
                <w:spacing w:val="6"/>
              </w:rPr>
              <w:t>用地性质</w:t>
            </w:r>
          </w:p>
        </w:tc>
        <w:tc>
          <w:tcPr>
            <w:tcW w:w="1448" w:type="dxa"/>
            <w:tcBorders>
              <w:top w:val="single" w:color="000000" w:sz="10" w:space="0"/>
            </w:tcBorders>
            <w:vAlign w:val="top"/>
          </w:tcPr>
          <w:p w14:paraId="0E437F91">
            <w:pPr>
              <w:pStyle w:val="6"/>
              <w:spacing w:before="35" w:line="233" w:lineRule="auto"/>
              <w:ind w:left="109" w:right="20" w:firstLine="90"/>
            </w:pPr>
            <w:r>
              <w:rPr>
                <w:b/>
                <w:bCs/>
                <w:spacing w:val="6"/>
              </w:rPr>
              <w:t>平均日用水</w:t>
            </w:r>
            <w:r>
              <w:rPr>
                <w:b/>
                <w:bCs/>
                <w:spacing w:val="-2"/>
              </w:rPr>
              <w:t>量（万</w:t>
            </w:r>
            <w:r>
              <w:rPr>
                <w:rFonts w:ascii="Times New Roman" w:hAnsi="Times New Roman" w:eastAsia="Times New Roman" w:cs="Times New Roman"/>
                <w:b/>
                <w:bCs/>
                <w:spacing w:val="-2"/>
              </w:rPr>
              <w:t>m</w:t>
            </w:r>
            <w:r>
              <w:rPr>
                <w:rFonts w:ascii="Times New Roman" w:hAnsi="Times New Roman" w:eastAsia="Times New Roman" w:cs="Times New Roman"/>
                <w:b/>
                <w:bCs/>
                <w:spacing w:val="-2"/>
                <w:position w:val="6"/>
                <w:sz w:val="13"/>
                <w:szCs w:val="13"/>
              </w:rPr>
              <w:t>3</w:t>
            </w:r>
            <w:r>
              <w:rPr>
                <w:rFonts w:ascii="Times New Roman" w:hAnsi="Times New Roman" w:eastAsia="Times New Roman" w:cs="Times New Roman"/>
                <w:b/>
                <w:bCs/>
                <w:spacing w:val="-2"/>
              </w:rPr>
              <w:t>/d</w:t>
            </w:r>
            <w:r>
              <w:rPr>
                <w:b/>
                <w:bCs/>
                <w:spacing w:val="-2"/>
              </w:rPr>
              <w:t>）</w:t>
            </w:r>
          </w:p>
        </w:tc>
        <w:tc>
          <w:tcPr>
            <w:tcW w:w="1462" w:type="dxa"/>
            <w:tcBorders>
              <w:top w:val="single" w:color="000000" w:sz="10" w:space="0"/>
            </w:tcBorders>
            <w:vAlign w:val="top"/>
          </w:tcPr>
          <w:p w14:paraId="3F026B7F">
            <w:pPr>
              <w:pStyle w:val="6"/>
              <w:spacing w:before="34" w:line="228" w:lineRule="auto"/>
              <w:ind w:left="213"/>
            </w:pPr>
            <w:r>
              <w:rPr>
                <w:b/>
                <w:bCs/>
                <w:spacing w:val="6"/>
              </w:rPr>
              <w:t>污水排放系</w:t>
            </w:r>
          </w:p>
          <w:p w14:paraId="20E41507">
            <w:pPr>
              <w:pStyle w:val="6"/>
              <w:spacing w:before="26" w:line="214" w:lineRule="auto"/>
              <w:ind w:left="636"/>
            </w:pPr>
            <w:r>
              <w:rPr>
                <w:b/>
                <w:bCs/>
                <w:spacing w:val="-3"/>
              </w:rPr>
              <w:t>数</w:t>
            </w:r>
          </w:p>
        </w:tc>
        <w:tc>
          <w:tcPr>
            <w:tcW w:w="1448" w:type="dxa"/>
            <w:tcBorders>
              <w:top w:val="single" w:color="000000" w:sz="10" w:space="0"/>
            </w:tcBorders>
            <w:vAlign w:val="top"/>
          </w:tcPr>
          <w:p w14:paraId="5C515992">
            <w:pPr>
              <w:pStyle w:val="6"/>
              <w:spacing w:before="171" w:line="228" w:lineRule="auto"/>
              <w:ind w:left="210"/>
            </w:pPr>
            <w:r>
              <w:rPr>
                <w:b/>
                <w:bCs/>
                <w:spacing w:val="6"/>
              </w:rPr>
              <w:t>污水收集率</w:t>
            </w:r>
          </w:p>
        </w:tc>
        <w:tc>
          <w:tcPr>
            <w:tcW w:w="1462" w:type="dxa"/>
            <w:tcBorders>
              <w:top w:val="single" w:color="000000" w:sz="10" w:space="0"/>
              <w:right w:val="single" w:color="000000" w:sz="10" w:space="0"/>
            </w:tcBorders>
            <w:vAlign w:val="top"/>
          </w:tcPr>
          <w:p w14:paraId="2ADA744C">
            <w:pPr>
              <w:pStyle w:val="6"/>
              <w:spacing w:before="35" w:line="233" w:lineRule="auto"/>
              <w:ind w:left="121" w:right="38" w:firstLine="90"/>
            </w:pPr>
            <w:r>
              <w:rPr>
                <w:b/>
                <w:bCs/>
                <w:spacing w:val="6"/>
              </w:rPr>
              <w:t>平均日污水</w:t>
            </w:r>
            <w:r>
              <w:rPr>
                <w:b/>
                <w:bCs/>
                <w:spacing w:val="2"/>
              </w:rPr>
              <w:t>量（万</w:t>
            </w:r>
            <w:r>
              <w:rPr>
                <w:rFonts w:ascii="Times New Roman" w:hAnsi="Times New Roman" w:eastAsia="Times New Roman" w:cs="Times New Roman"/>
                <w:b/>
                <w:bCs/>
                <w:spacing w:val="2"/>
              </w:rPr>
              <w:t>m</w:t>
            </w:r>
            <w:r>
              <w:rPr>
                <w:rFonts w:ascii="Times New Roman" w:hAnsi="Times New Roman" w:eastAsia="Times New Roman" w:cs="Times New Roman"/>
                <w:b/>
                <w:bCs/>
                <w:spacing w:val="2"/>
                <w:position w:val="6"/>
                <w:sz w:val="13"/>
                <w:szCs w:val="13"/>
              </w:rPr>
              <w:t>3</w:t>
            </w:r>
            <w:r>
              <w:rPr>
                <w:rFonts w:ascii="Times New Roman" w:hAnsi="Times New Roman" w:eastAsia="Times New Roman" w:cs="Times New Roman"/>
                <w:b/>
                <w:bCs/>
                <w:spacing w:val="2"/>
              </w:rPr>
              <w:t>/d</w:t>
            </w:r>
            <w:r>
              <w:rPr>
                <w:b/>
                <w:bCs/>
                <w:spacing w:val="2"/>
              </w:rPr>
              <w:t>）</w:t>
            </w:r>
          </w:p>
        </w:tc>
      </w:tr>
      <w:tr w14:paraId="20B332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652" w:type="dxa"/>
            <w:tcBorders>
              <w:left w:val="single" w:color="000000" w:sz="10" w:space="0"/>
            </w:tcBorders>
            <w:vAlign w:val="top"/>
          </w:tcPr>
          <w:p w14:paraId="18FAAAA5">
            <w:pPr>
              <w:spacing w:before="132" w:line="195"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49" w:type="dxa"/>
            <w:vAlign w:val="top"/>
          </w:tcPr>
          <w:p w14:paraId="027DCD6D">
            <w:pPr>
              <w:pStyle w:val="6"/>
              <w:spacing w:before="96" w:line="228" w:lineRule="auto"/>
              <w:ind w:left="704"/>
            </w:pPr>
            <w:r>
              <w:rPr>
                <w:spacing w:val="6"/>
              </w:rPr>
              <w:t>居住用地</w:t>
            </w:r>
          </w:p>
        </w:tc>
        <w:tc>
          <w:tcPr>
            <w:tcW w:w="1448" w:type="dxa"/>
            <w:vAlign w:val="top"/>
          </w:tcPr>
          <w:p w14:paraId="159B4B45">
            <w:pPr>
              <w:spacing w:before="132" w:line="195" w:lineRule="auto"/>
              <w:ind w:left="5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0.86</w:t>
            </w:r>
          </w:p>
        </w:tc>
        <w:tc>
          <w:tcPr>
            <w:tcW w:w="1462" w:type="dxa"/>
            <w:vAlign w:val="top"/>
          </w:tcPr>
          <w:p w14:paraId="16F75860">
            <w:pPr>
              <w:spacing w:before="132" w:line="195"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1448" w:type="dxa"/>
            <w:vAlign w:val="top"/>
          </w:tcPr>
          <w:p w14:paraId="2769D060">
            <w:pPr>
              <w:spacing w:before="132"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w:t>
            </w:r>
          </w:p>
        </w:tc>
        <w:tc>
          <w:tcPr>
            <w:tcW w:w="1462" w:type="dxa"/>
            <w:tcBorders>
              <w:right w:val="single" w:color="000000" w:sz="10" w:space="0"/>
            </w:tcBorders>
            <w:vAlign w:val="top"/>
          </w:tcPr>
          <w:p w14:paraId="77F9B489">
            <w:pPr>
              <w:spacing w:before="132" w:line="195" w:lineRule="auto"/>
              <w:ind w:left="5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0.69</w:t>
            </w:r>
          </w:p>
        </w:tc>
      </w:tr>
      <w:tr w14:paraId="4988F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652" w:type="dxa"/>
            <w:tcBorders>
              <w:left w:val="single" w:color="000000" w:sz="10" w:space="0"/>
            </w:tcBorders>
            <w:vAlign w:val="top"/>
          </w:tcPr>
          <w:p w14:paraId="3B2F9031">
            <w:pPr>
              <w:spacing w:before="210" w:line="195" w:lineRule="auto"/>
              <w:ind w:left="26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249" w:type="dxa"/>
            <w:vAlign w:val="top"/>
          </w:tcPr>
          <w:p w14:paraId="0FAF47F2">
            <w:pPr>
              <w:pStyle w:val="6"/>
              <w:spacing w:before="38" w:line="230" w:lineRule="auto"/>
              <w:ind w:left="705" w:right="183" w:hanging="520"/>
            </w:pPr>
            <w:r>
              <w:rPr>
                <w:spacing w:val="8"/>
              </w:rPr>
              <w:t>公共管理与公共服务</w:t>
            </w:r>
            <w:r>
              <w:rPr>
                <w:spacing w:val="6"/>
              </w:rPr>
              <w:t>设施用地</w:t>
            </w:r>
          </w:p>
        </w:tc>
        <w:tc>
          <w:tcPr>
            <w:tcW w:w="1448" w:type="dxa"/>
            <w:vAlign w:val="top"/>
          </w:tcPr>
          <w:p w14:paraId="40B75326">
            <w:pPr>
              <w:spacing w:before="210" w:line="195" w:lineRule="auto"/>
              <w:ind w:left="5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0.13</w:t>
            </w:r>
          </w:p>
        </w:tc>
        <w:tc>
          <w:tcPr>
            <w:tcW w:w="1462" w:type="dxa"/>
            <w:vAlign w:val="top"/>
          </w:tcPr>
          <w:p w14:paraId="1385536E">
            <w:pPr>
              <w:spacing w:before="210" w:line="195"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1448" w:type="dxa"/>
            <w:vAlign w:val="top"/>
          </w:tcPr>
          <w:p w14:paraId="300ABA2E">
            <w:pPr>
              <w:spacing w:before="210"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w:t>
            </w:r>
          </w:p>
        </w:tc>
        <w:tc>
          <w:tcPr>
            <w:tcW w:w="1462" w:type="dxa"/>
            <w:tcBorders>
              <w:right w:val="single" w:color="000000" w:sz="10" w:space="0"/>
            </w:tcBorders>
            <w:vAlign w:val="top"/>
          </w:tcPr>
          <w:p w14:paraId="71892653">
            <w:pPr>
              <w:spacing w:before="210" w:line="195" w:lineRule="auto"/>
              <w:ind w:left="56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0.11</w:t>
            </w:r>
          </w:p>
        </w:tc>
      </w:tr>
      <w:tr w14:paraId="4ABA6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652" w:type="dxa"/>
            <w:tcBorders>
              <w:left w:val="single" w:color="000000" w:sz="10" w:space="0"/>
            </w:tcBorders>
            <w:vAlign w:val="top"/>
          </w:tcPr>
          <w:p w14:paraId="5E848F8A">
            <w:pPr>
              <w:spacing w:before="138" w:line="195" w:lineRule="auto"/>
              <w:ind w:left="26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249" w:type="dxa"/>
            <w:vAlign w:val="top"/>
          </w:tcPr>
          <w:p w14:paraId="10E5AB6B">
            <w:pPr>
              <w:pStyle w:val="6"/>
              <w:spacing w:before="102" w:line="228" w:lineRule="auto"/>
              <w:ind w:left="183"/>
            </w:pPr>
            <w:r>
              <w:rPr>
                <w:spacing w:val="8"/>
              </w:rPr>
              <w:t>商业服务业设施用地</w:t>
            </w:r>
          </w:p>
        </w:tc>
        <w:tc>
          <w:tcPr>
            <w:tcW w:w="1448" w:type="dxa"/>
            <w:vAlign w:val="top"/>
          </w:tcPr>
          <w:p w14:paraId="0B83A3A9">
            <w:pPr>
              <w:spacing w:before="138" w:line="195" w:lineRule="auto"/>
              <w:ind w:left="54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0.11</w:t>
            </w:r>
          </w:p>
        </w:tc>
        <w:tc>
          <w:tcPr>
            <w:tcW w:w="1462" w:type="dxa"/>
            <w:vAlign w:val="top"/>
          </w:tcPr>
          <w:p w14:paraId="0F6FEC2F">
            <w:pPr>
              <w:spacing w:before="138" w:line="195"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1448" w:type="dxa"/>
            <w:vAlign w:val="top"/>
          </w:tcPr>
          <w:p w14:paraId="2A635034">
            <w:pPr>
              <w:spacing w:before="138"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w:t>
            </w:r>
          </w:p>
        </w:tc>
        <w:tc>
          <w:tcPr>
            <w:tcW w:w="1462" w:type="dxa"/>
            <w:tcBorders>
              <w:right w:val="single" w:color="000000" w:sz="10" w:space="0"/>
            </w:tcBorders>
            <w:vAlign w:val="top"/>
          </w:tcPr>
          <w:p w14:paraId="40BC7825">
            <w:pPr>
              <w:spacing w:before="138" w:line="195" w:lineRule="auto"/>
              <w:ind w:left="5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r>
      <w:tr w14:paraId="1059AA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652" w:type="dxa"/>
            <w:tcBorders>
              <w:left w:val="single" w:color="000000" w:sz="10" w:space="0"/>
            </w:tcBorders>
            <w:vAlign w:val="top"/>
          </w:tcPr>
          <w:p w14:paraId="053BFB8D">
            <w:pPr>
              <w:spacing w:before="141"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249" w:type="dxa"/>
            <w:vAlign w:val="top"/>
          </w:tcPr>
          <w:p w14:paraId="42CFC5CD">
            <w:pPr>
              <w:pStyle w:val="6"/>
              <w:spacing w:before="105" w:line="229" w:lineRule="auto"/>
              <w:ind w:left="705"/>
            </w:pPr>
            <w:r>
              <w:rPr>
                <w:spacing w:val="6"/>
              </w:rPr>
              <w:t>工业用地</w:t>
            </w:r>
          </w:p>
        </w:tc>
        <w:tc>
          <w:tcPr>
            <w:tcW w:w="1448" w:type="dxa"/>
            <w:vAlign w:val="top"/>
          </w:tcPr>
          <w:p w14:paraId="632B33FF">
            <w:pPr>
              <w:spacing w:before="141" w:line="195" w:lineRule="auto"/>
              <w:ind w:left="5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0.62</w:t>
            </w:r>
          </w:p>
        </w:tc>
        <w:tc>
          <w:tcPr>
            <w:tcW w:w="1462" w:type="dxa"/>
            <w:vAlign w:val="top"/>
          </w:tcPr>
          <w:p w14:paraId="2030AEB8">
            <w:pPr>
              <w:spacing w:before="141" w:line="195"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1448" w:type="dxa"/>
            <w:vAlign w:val="top"/>
          </w:tcPr>
          <w:p w14:paraId="7D3C065B">
            <w:pPr>
              <w:spacing w:before="141"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w:t>
            </w:r>
          </w:p>
        </w:tc>
        <w:tc>
          <w:tcPr>
            <w:tcW w:w="1462" w:type="dxa"/>
            <w:tcBorders>
              <w:right w:val="single" w:color="000000" w:sz="10" w:space="0"/>
            </w:tcBorders>
            <w:vAlign w:val="top"/>
          </w:tcPr>
          <w:p w14:paraId="7E15B117">
            <w:pPr>
              <w:spacing w:before="141" w:line="195" w:lineRule="auto"/>
              <w:ind w:left="5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0.50</w:t>
            </w:r>
          </w:p>
        </w:tc>
      </w:tr>
      <w:tr w14:paraId="0D61B7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652" w:type="dxa"/>
            <w:tcBorders>
              <w:left w:val="single" w:color="000000" w:sz="10" w:space="0"/>
            </w:tcBorders>
            <w:vAlign w:val="top"/>
          </w:tcPr>
          <w:p w14:paraId="02B21132">
            <w:pPr>
              <w:spacing w:before="145" w:line="192" w:lineRule="auto"/>
              <w:ind w:left="26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249" w:type="dxa"/>
            <w:vAlign w:val="top"/>
          </w:tcPr>
          <w:p w14:paraId="65B0E422">
            <w:pPr>
              <w:pStyle w:val="6"/>
              <w:spacing w:before="106" w:line="228" w:lineRule="auto"/>
              <w:ind w:left="701"/>
            </w:pPr>
            <w:r>
              <w:rPr>
                <w:spacing w:val="7"/>
              </w:rPr>
              <w:t>仓储用地</w:t>
            </w:r>
          </w:p>
        </w:tc>
        <w:tc>
          <w:tcPr>
            <w:tcW w:w="1448" w:type="dxa"/>
            <w:vAlign w:val="top"/>
          </w:tcPr>
          <w:p w14:paraId="746F9669">
            <w:pPr>
              <w:spacing w:before="142" w:line="195" w:lineRule="auto"/>
              <w:ind w:left="5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462" w:type="dxa"/>
            <w:vAlign w:val="top"/>
          </w:tcPr>
          <w:p w14:paraId="6870C100">
            <w:pPr>
              <w:spacing w:before="142" w:line="195"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1448" w:type="dxa"/>
            <w:vAlign w:val="top"/>
          </w:tcPr>
          <w:p w14:paraId="579732C0">
            <w:pPr>
              <w:spacing w:before="142"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w:t>
            </w:r>
          </w:p>
        </w:tc>
        <w:tc>
          <w:tcPr>
            <w:tcW w:w="1462" w:type="dxa"/>
            <w:tcBorders>
              <w:right w:val="single" w:color="000000" w:sz="10" w:space="0"/>
            </w:tcBorders>
            <w:vAlign w:val="top"/>
          </w:tcPr>
          <w:p w14:paraId="415C9945">
            <w:pPr>
              <w:spacing w:before="142" w:line="195" w:lineRule="auto"/>
              <w:ind w:left="5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r>
      <w:tr w14:paraId="7F172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652" w:type="dxa"/>
            <w:tcBorders>
              <w:left w:val="single" w:color="000000" w:sz="10" w:space="0"/>
            </w:tcBorders>
            <w:vAlign w:val="top"/>
          </w:tcPr>
          <w:p w14:paraId="4EEE55F9">
            <w:pPr>
              <w:spacing w:before="146" w:line="195"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249" w:type="dxa"/>
            <w:vAlign w:val="top"/>
          </w:tcPr>
          <w:p w14:paraId="78CFA5ED">
            <w:pPr>
              <w:pStyle w:val="6"/>
              <w:spacing w:before="110" w:line="228" w:lineRule="auto"/>
              <w:ind w:left="288"/>
            </w:pPr>
            <w:r>
              <w:rPr>
                <w:spacing w:val="7"/>
              </w:rPr>
              <w:t>市政公用设施用地</w:t>
            </w:r>
          </w:p>
        </w:tc>
        <w:tc>
          <w:tcPr>
            <w:tcW w:w="1448" w:type="dxa"/>
            <w:vAlign w:val="top"/>
          </w:tcPr>
          <w:p w14:paraId="17FD246B">
            <w:pPr>
              <w:spacing w:before="146" w:line="195" w:lineRule="auto"/>
              <w:ind w:left="5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c>
          <w:tcPr>
            <w:tcW w:w="1462" w:type="dxa"/>
            <w:vAlign w:val="top"/>
          </w:tcPr>
          <w:p w14:paraId="2E02CDEF">
            <w:pPr>
              <w:spacing w:before="146" w:line="195"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1448" w:type="dxa"/>
            <w:vAlign w:val="top"/>
          </w:tcPr>
          <w:p w14:paraId="47D86523">
            <w:pPr>
              <w:spacing w:before="146"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w:t>
            </w:r>
          </w:p>
        </w:tc>
        <w:tc>
          <w:tcPr>
            <w:tcW w:w="1462" w:type="dxa"/>
            <w:tcBorders>
              <w:right w:val="single" w:color="000000" w:sz="10" w:space="0"/>
            </w:tcBorders>
            <w:vAlign w:val="top"/>
          </w:tcPr>
          <w:p w14:paraId="5EC58427">
            <w:pPr>
              <w:spacing w:before="146" w:line="195" w:lineRule="auto"/>
              <w:ind w:left="5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r>
      <w:tr w14:paraId="08910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652" w:type="dxa"/>
            <w:tcBorders>
              <w:left w:val="single" w:color="000000" w:sz="10" w:space="0"/>
            </w:tcBorders>
            <w:vAlign w:val="top"/>
          </w:tcPr>
          <w:p w14:paraId="49D0CB7D">
            <w:pPr>
              <w:spacing w:before="152" w:line="192" w:lineRule="auto"/>
              <w:ind w:left="264"/>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249" w:type="dxa"/>
            <w:vAlign w:val="top"/>
          </w:tcPr>
          <w:p w14:paraId="51393BE0">
            <w:pPr>
              <w:pStyle w:val="6"/>
              <w:spacing w:before="113" w:line="228" w:lineRule="auto"/>
              <w:ind w:left="492"/>
            </w:pPr>
            <w:r>
              <w:rPr>
                <w:spacing w:val="8"/>
              </w:rPr>
              <w:t>道路广场用地</w:t>
            </w:r>
          </w:p>
        </w:tc>
        <w:tc>
          <w:tcPr>
            <w:tcW w:w="1448" w:type="dxa"/>
            <w:vAlign w:val="top"/>
          </w:tcPr>
          <w:p w14:paraId="34A2D29C">
            <w:pPr>
              <w:spacing w:before="149" w:line="195" w:lineRule="auto"/>
              <w:ind w:left="5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0.23</w:t>
            </w:r>
          </w:p>
        </w:tc>
        <w:tc>
          <w:tcPr>
            <w:tcW w:w="1462" w:type="dxa"/>
            <w:vAlign w:val="top"/>
          </w:tcPr>
          <w:p w14:paraId="7BE111DD">
            <w:pPr>
              <w:spacing w:before="149" w:line="195" w:lineRule="auto"/>
              <w:ind w:left="68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448" w:type="dxa"/>
            <w:vAlign w:val="top"/>
          </w:tcPr>
          <w:p w14:paraId="36ACFEB8">
            <w:pPr>
              <w:spacing w:before="149" w:line="195" w:lineRule="auto"/>
              <w:ind w:left="68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462" w:type="dxa"/>
            <w:tcBorders>
              <w:right w:val="single" w:color="000000" w:sz="10" w:space="0"/>
            </w:tcBorders>
            <w:vAlign w:val="top"/>
          </w:tcPr>
          <w:p w14:paraId="2626656A">
            <w:pPr>
              <w:spacing w:before="149" w:line="195" w:lineRule="auto"/>
              <w:ind w:left="68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1B4AF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652" w:type="dxa"/>
            <w:tcBorders>
              <w:left w:val="single" w:color="000000" w:sz="10" w:space="0"/>
            </w:tcBorders>
            <w:vAlign w:val="top"/>
          </w:tcPr>
          <w:p w14:paraId="1F4BD051">
            <w:pPr>
              <w:spacing w:before="149"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249" w:type="dxa"/>
            <w:vAlign w:val="top"/>
          </w:tcPr>
          <w:p w14:paraId="0EBDC44E">
            <w:pPr>
              <w:pStyle w:val="6"/>
              <w:spacing w:before="114" w:line="229" w:lineRule="auto"/>
              <w:ind w:left="915"/>
            </w:pPr>
            <w:r>
              <w:rPr>
                <w:spacing w:val="3"/>
              </w:rPr>
              <w:t>绿地</w:t>
            </w:r>
          </w:p>
        </w:tc>
        <w:tc>
          <w:tcPr>
            <w:tcW w:w="1448" w:type="dxa"/>
            <w:vAlign w:val="top"/>
          </w:tcPr>
          <w:p w14:paraId="7E6AC44D">
            <w:pPr>
              <w:spacing w:before="149" w:line="195" w:lineRule="auto"/>
              <w:ind w:left="5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0.19</w:t>
            </w:r>
          </w:p>
        </w:tc>
        <w:tc>
          <w:tcPr>
            <w:tcW w:w="1462" w:type="dxa"/>
            <w:vAlign w:val="top"/>
          </w:tcPr>
          <w:p w14:paraId="23812499">
            <w:pPr>
              <w:spacing w:before="149" w:line="195" w:lineRule="auto"/>
              <w:ind w:left="68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448" w:type="dxa"/>
            <w:vAlign w:val="top"/>
          </w:tcPr>
          <w:p w14:paraId="3C6A77FC">
            <w:pPr>
              <w:spacing w:before="149" w:line="195" w:lineRule="auto"/>
              <w:ind w:left="68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462" w:type="dxa"/>
            <w:tcBorders>
              <w:right w:val="single" w:color="000000" w:sz="10" w:space="0"/>
            </w:tcBorders>
            <w:vAlign w:val="top"/>
          </w:tcPr>
          <w:p w14:paraId="15C7BF63">
            <w:pPr>
              <w:spacing w:before="149" w:line="195" w:lineRule="auto"/>
              <w:ind w:left="68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1EC8B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652" w:type="dxa"/>
            <w:tcBorders>
              <w:left w:val="single" w:color="000000" w:sz="10" w:space="0"/>
              <w:bottom w:val="single" w:color="000000" w:sz="10" w:space="0"/>
            </w:tcBorders>
            <w:vAlign w:val="top"/>
          </w:tcPr>
          <w:p w14:paraId="77E567C8">
            <w:pPr>
              <w:rPr>
                <w:rFonts w:ascii="Arial"/>
                <w:sz w:val="21"/>
              </w:rPr>
            </w:pPr>
          </w:p>
        </w:tc>
        <w:tc>
          <w:tcPr>
            <w:tcW w:w="2249" w:type="dxa"/>
            <w:tcBorders>
              <w:bottom w:val="single" w:color="000000" w:sz="10" w:space="0"/>
            </w:tcBorders>
            <w:vAlign w:val="top"/>
          </w:tcPr>
          <w:p w14:paraId="6AAD5164">
            <w:pPr>
              <w:pStyle w:val="6"/>
              <w:spacing w:before="117" w:line="229" w:lineRule="auto"/>
              <w:ind w:left="914"/>
            </w:pPr>
            <w:r>
              <w:rPr>
                <w:spacing w:val="4"/>
              </w:rPr>
              <w:t>合计</w:t>
            </w:r>
          </w:p>
        </w:tc>
        <w:tc>
          <w:tcPr>
            <w:tcW w:w="1448" w:type="dxa"/>
            <w:tcBorders>
              <w:bottom w:val="single" w:color="000000" w:sz="10" w:space="0"/>
            </w:tcBorders>
            <w:vAlign w:val="top"/>
          </w:tcPr>
          <w:p w14:paraId="17C5B86E">
            <w:pPr>
              <w:spacing w:before="152" w:line="195" w:lineRule="auto"/>
              <w:ind w:left="5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2.21</w:t>
            </w:r>
          </w:p>
        </w:tc>
        <w:tc>
          <w:tcPr>
            <w:tcW w:w="1462" w:type="dxa"/>
            <w:tcBorders>
              <w:bottom w:val="single" w:color="000000" w:sz="10" w:space="0"/>
            </w:tcBorders>
            <w:vAlign w:val="top"/>
          </w:tcPr>
          <w:p w14:paraId="479AD9A8">
            <w:pPr>
              <w:rPr>
                <w:rFonts w:ascii="Arial"/>
                <w:sz w:val="21"/>
              </w:rPr>
            </w:pPr>
          </w:p>
        </w:tc>
        <w:tc>
          <w:tcPr>
            <w:tcW w:w="1448" w:type="dxa"/>
            <w:tcBorders>
              <w:bottom w:val="single" w:color="000000" w:sz="10" w:space="0"/>
            </w:tcBorders>
            <w:vAlign w:val="top"/>
          </w:tcPr>
          <w:p w14:paraId="1E4B52DF">
            <w:pPr>
              <w:rPr>
                <w:rFonts w:ascii="Arial"/>
                <w:sz w:val="21"/>
              </w:rPr>
            </w:pPr>
          </w:p>
        </w:tc>
        <w:tc>
          <w:tcPr>
            <w:tcW w:w="1462" w:type="dxa"/>
            <w:tcBorders>
              <w:bottom w:val="single" w:color="000000" w:sz="10" w:space="0"/>
              <w:right w:val="single" w:color="000000" w:sz="10" w:space="0"/>
            </w:tcBorders>
            <w:vAlign w:val="top"/>
          </w:tcPr>
          <w:p w14:paraId="56B9E04F">
            <w:pPr>
              <w:spacing w:before="152" w:line="195" w:lineRule="auto"/>
              <w:ind w:left="5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1.43</w:t>
            </w:r>
          </w:p>
        </w:tc>
      </w:tr>
    </w:tbl>
    <w:p w14:paraId="70202D4E">
      <w:pPr>
        <w:pStyle w:val="2"/>
        <w:spacing w:line="156" w:lineRule="exact"/>
        <w:rPr>
          <w:sz w:val="13"/>
        </w:rPr>
      </w:pPr>
    </w:p>
    <w:p w14:paraId="54CD138D">
      <w:pPr>
        <w:spacing w:line="156" w:lineRule="exact"/>
        <w:rPr>
          <w:sz w:val="13"/>
          <w:szCs w:val="13"/>
        </w:rPr>
        <w:sectPr>
          <w:footerReference r:id="rId61" w:type="default"/>
          <w:pgSz w:w="11907" w:h="16840"/>
          <w:pgMar w:top="1132" w:right="1578" w:bottom="1259" w:left="1578" w:header="829" w:footer="1097" w:gutter="0"/>
          <w:cols w:space="720" w:num="1"/>
        </w:sectPr>
      </w:pPr>
    </w:p>
    <w:p w14:paraId="11D3AB3A">
      <w:pPr>
        <w:pStyle w:val="2"/>
        <w:spacing w:line="241" w:lineRule="auto"/>
      </w:pPr>
    </w:p>
    <w:p w14:paraId="46C58585">
      <w:pPr>
        <w:spacing w:before="78" w:line="211" w:lineRule="auto"/>
        <w:ind w:left="2658"/>
        <w:rPr>
          <w:rFonts w:ascii="宋体" w:hAnsi="宋体" w:eastAsia="宋体" w:cs="宋体"/>
          <w:sz w:val="24"/>
          <w:szCs w:val="24"/>
        </w:rPr>
      </w:pPr>
      <w:r>
        <w:rPr>
          <w:rFonts w:ascii="宋体" w:hAnsi="宋体" w:eastAsia="宋体" w:cs="宋体"/>
          <w:b/>
          <w:bCs/>
          <w:spacing w:val="-2"/>
          <w:sz w:val="24"/>
          <w:szCs w:val="24"/>
        </w:rPr>
        <w:t>表</w:t>
      </w:r>
      <w:r>
        <w:rPr>
          <w:rFonts w:ascii="Times New Roman" w:hAnsi="Times New Roman" w:eastAsia="Times New Roman" w:cs="Times New Roman"/>
          <w:b/>
          <w:bCs/>
          <w:spacing w:val="-2"/>
          <w:sz w:val="24"/>
          <w:szCs w:val="24"/>
        </w:rPr>
        <w:t>3.5-6</w:t>
      </w:r>
      <w:r>
        <w:rPr>
          <w:rFonts w:ascii="宋体" w:hAnsi="宋体" w:eastAsia="宋体" w:cs="宋体"/>
          <w:b/>
          <w:bCs/>
          <w:spacing w:val="-2"/>
          <w:sz w:val="24"/>
          <w:szCs w:val="24"/>
        </w:rPr>
        <w:t>城东片区供水量预测表</w:t>
      </w:r>
    </w:p>
    <w:tbl>
      <w:tblPr>
        <w:tblStyle w:val="5"/>
        <w:tblW w:w="872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2"/>
        <w:gridCol w:w="2249"/>
        <w:gridCol w:w="1448"/>
        <w:gridCol w:w="1462"/>
        <w:gridCol w:w="1448"/>
        <w:gridCol w:w="1462"/>
      </w:tblGrid>
      <w:tr w14:paraId="077943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652" w:type="dxa"/>
            <w:tcBorders>
              <w:top w:val="single" w:color="000000" w:sz="10" w:space="0"/>
              <w:left w:val="single" w:color="000000" w:sz="10" w:space="0"/>
            </w:tcBorders>
            <w:vAlign w:val="top"/>
          </w:tcPr>
          <w:p w14:paraId="56D28310">
            <w:pPr>
              <w:pStyle w:val="6"/>
              <w:spacing w:before="170" w:line="229" w:lineRule="auto"/>
              <w:ind w:left="105"/>
            </w:pPr>
            <w:r>
              <w:rPr>
                <w:b/>
                <w:bCs/>
                <w:spacing w:val="4"/>
              </w:rPr>
              <w:t>序号</w:t>
            </w:r>
          </w:p>
        </w:tc>
        <w:tc>
          <w:tcPr>
            <w:tcW w:w="2249" w:type="dxa"/>
            <w:tcBorders>
              <w:top w:val="single" w:color="000000" w:sz="10" w:space="0"/>
            </w:tcBorders>
            <w:vAlign w:val="top"/>
          </w:tcPr>
          <w:p w14:paraId="59D974B9">
            <w:pPr>
              <w:pStyle w:val="6"/>
              <w:spacing w:before="171" w:line="228" w:lineRule="auto"/>
              <w:ind w:left="704"/>
            </w:pPr>
            <w:r>
              <w:rPr>
                <w:b/>
                <w:bCs/>
                <w:spacing w:val="6"/>
              </w:rPr>
              <w:t>用地性质</w:t>
            </w:r>
          </w:p>
        </w:tc>
        <w:tc>
          <w:tcPr>
            <w:tcW w:w="1448" w:type="dxa"/>
            <w:tcBorders>
              <w:top w:val="single" w:color="000000" w:sz="10" w:space="0"/>
            </w:tcBorders>
            <w:vAlign w:val="top"/>
          </w:tcPr>
          <w:p w14:paraId="3280AAF7">
            <w:pPr>
              <w:pStyle w:val="6"/>
              <w:spacing w:before="36" w:line="233" w:lineRule="auto"/>
              <w:ind w:left="109" w:right="20" w:firstLine="90"/>
            </w:pPr>
            <w:r>
              <w:rPr>
                <w:b/>
                <w:bCs/>
                <w:spacing w:val="6"/>
              </w:rPr>
              <w:t>平均日用水</w:t>
            </w:r>
            <w:r>
              <w:rPr>
                <w:b/>
                <w:bCs/>
                <w:spacing w:val="-6"/>
              </w:rPr>
              <w:t>量（万</w:t>
            </w:r>
            <w:r>
              <w:rPr>
                <w:rFonts w:ascii="Times New Roman" w:hAnsi="Times New Roman" w:eastAsia="Times New Roman" w:cs="Times New Roman"/>
                <w:b/>
                <w:bCs/>
                <w:spacing w:val="-6"/>
              </w:rPr>
              <w:t>m</w:t>
            </w:r>
            <w:r>
              <w:rPr>
                <w:b/>
                <w:bCs/>
                <w:spacing w:val="-6"/>
              </w:rPr>
              <w:t>³</w:t>
            </w:r>
            <w:r>
              <w:rPr>
                <w:rFonts w:ascii="Times New Roman" w:hAnsi="Times New Roman" w:eastAsia="Times New Roman" w:cs="Times New Roman"/>
                <w:b/>
                <w:bCs/>
                <w:spacing w:val="-6"/>
              </w:rPr>
              <w:t>/d</w:t>
            </w:r>
            <w:r>
              <w:rPr>
                <w:b/>
                <w:bCs/>
                <w:spacing w:val="-6"/>
              </w:rPr>
              <w:t>）</w:t>
            </w:r>
          </w:p>
        </w:tc>
        <w:tc>
          <w:tcPr>
            <w:tcW w:w="1462" w:type="dxa"/>
            <w:tcBorders>
              <w:top w:val="single" w:color="000000" w:sz="10" w:space="0"/>
            </w:tcBorders>
            <w:vAlign w:val="top"/>
          </w:tcPr>
          <w:p w14:paraId="4DB581B4">
            <w:pPr>
              <w:pStyle w:val="6"/>
              <w:spacing w:before="36" w:line="228" w:lineRule="auto"/>
              <w:ind w:left="213"/>
            </w:pPr>
            <w:r>
              <w:rPr>
                <w:b/>
                <w:bCs/>
                <w:spacing w:val="6"/>
              </w:rPr>
              <w:t>污水排放系</w:t>
            </w:r>
          </w:p>
          <w:p w14:paraId="359BA7BB">
            <w:pPr>
              <w:pStyle w:val="6"/>
              <w:spacing w:before="25" w:line="215" w:lineRule="auto"/>
              <w:ind w:left="636"/>
            </w:pPr>
            <w:r>
              <w:rPr>
                <w:b/>
                <w:bCs/>
                <w:spacing w:val="-3"/>
              </w:rPr>
              <w:t>数</w:t>
            </w:r>
          </w:p>
        </w:tc>
        <w:tc>
          <w:tcPr>
            <w:tcW w:w="1448" w:type="dxa"/>
            <w:tcBorders>
              <w:top w:val="single" w:color="000000" w:sz="10" w:space="0"/>
            </w:tcBorders>
            <w:vAlign w:val="top"/>
          </w:tcPr>
          <w:p w14:paraId="30455B45">
            <w:pPr>
              <w:pStyle w:val="6"/>
              <w:spacing w:before="170" w:line="228" w:lineRule="auto"/>
              <w:ind w:left="210"/>
            </w:pPr>
            <w:r>
              <w:rPr>
                <w:b/>
                <w:bCs/>
                <w:spacing w:val="6"/>
              </w:rPr>
              <w:t>污水收集率</w:t>
            </w:r>
          </w:p>
        </w:tc>
        <w:tc>
          <w:tcPr>
            <w:tcW w:w="1462" w:type="dxa"/>
            <w:tcBorders>
              <w:top w:val="single" w:color="000000" w:sz="10" w:space="0"/>
              <w:right w:val="single" w:color="000000" w:sz="10" w:space="0"/>
            </w:tcBorders>
            <w:vAlign w:val="top"/>
          </w:tcPr>
          <w:p w14:paraId="7FF9E0D1">
            <w:pPr>
              <w:pStyle w:val="6"/>
              <w:spacing w:before="36" w:line="233" w:lineRule="auto"/>
              <w:ind w:left="121" w:right="12" w:firstLine="90"/>
            </w:pPr>
            <w:r>
              <w:rPr>
                <w:b/>
                <w:bCs/>
                <w:spacing w:val="6"/>
              </w:rPr>
              <w:t>平均日污水</w:t>
            </w:r>
            <w:r>
              <w:rPr>
                <w:b/>
                <w:bCs/>
              </w:rPr>
              <w:t>量（万</w:t>
            </w:r>
            <w:r>
              <w:rPr>
                <w:rFonts w:ascii="Times New Roman" w:hAnsi="Times New Roman" w:eastAsia="Times New Roman" w:cs="Times New Roman"/>
                <w:b/>
                <w:bCs/>
              </w:rPr>
              <w:t>m</w:t>
            </w:r>
            <w:r>
              <w:rPr>
                <w:b/>
                <w:bCs/>
              </w:rPr>
              <w:t>³</w:t>
            </w:r>
            <w:r>
              <w:rPr>
                <w:rFonts w:ascii="Times New Roman" w:hAnsi="Times New Roman" w:eastAsia="Times New Roman" w:cs="Times New Roman"/>
                <w:b/>
                <w:bCs/>
              </w:rPr>
              <w:t>/d</w:t>
            </w:r>
            <w:r>
              <w:rPr>
                <w:b/>
                <w:bCs/>
              </w:rPr>
              <w:t>）</w:t>
            </w:r>
          </w:p>
        </w:tc>
      </w:tr>
      <w:tr w14:paraId="10AF1B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652" w:type="dxa"/>
            <w:tcBorders>
              <w:left w:val="single" w:color="000000" w:sz="10" w:space="0"/>
            </w:tcBorders>
            <w:vAlign w:val="top"/>
          </w:tcPr>
          <w:p w14:paraId="355A888C">
            <w:pPr>
              <w:spacing w:before="133" w:line="195"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249" w:type="dxa"/>
            <w:vAlign w:val="top"/>
          </w:tcPr>
          <w:p w14:paraId="2077951B">
            <w:pPr>
              <w:pStyle w:val="6"/>
              <w:spacing w:before="97" w:line="228" w:lineRule="auto"/>
              <w:ind w:left="704"/>
            </w:pPr>
            <w:r>
              <w:rPr>
                <w:spacing w:val="6"/>
              </w:rPr>
              <w:t>居住用地</w:t>
            </w:r>
          </w:p>
        </w:tc>
        <w:tc>
          <w:tcPr>
            <w:tcW w:w="1448" w:type="dxa"/>
            <w:vAlign w:val="top"/>
          </w:tcPr>
          <w:p w14:paraId="6B9B4D5F">
            <w:pPr>
              <w:spacing w:before="133" w:line="195" w:lineRule="auto"/>
              <w:ind w:left="5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0.85</w:t>
            </w:r>
          </w:p>
        </w:tc>
        <w:tc>
          <w:tcPr>
            <w:tcW w:w="1462" w:type="dxa"/>
            <w:vAlign w:val="top"/>
          </w:tcPr>
          <w:p w14:paraId="6441C31B">
            <w:pPr>
              <w:spacing w:before="133" w:line="195"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1448" w:type="dxa"/>
            <w:vAlign w:val="top"/>
          </w:tcPr>
          <w:p w14:paraId="1C2AEE53">
            <w:pPr>
              <w:spacing w:before="133"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w:t>
            </w:r>
          </w:p>
        </w:tc>
        <w:tc>
          <w:tcPr>
            <w:tcW w:w="1462" w:type="dxa"/>
            <w:tcBorders>
              <w:right w:val="single" w:color="000000" w:sz="10" w:space="0"/>
            </w:tcBorders>
            <w:vAlign w:val="top"/>
          </w:tcPr>
          <w:p w14:paraId="05A03E36">
            <w:pPr>
              <w:spacing w:before="133" w:line="195" w:lineRule="auto"/>
              <w:ind w:left="5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0.68</w:t>
            </w:r>
          </w:p>
        </w:tc>
      </w:tr>
      <w:tr w14:paraId="686A9F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652" w:type="dxa"/>
            <w:tcBorders>
              <w:left w:val="single" w:color="000000" w:sz="10" w:space="0"/>
            </w:tcBorders>
            <w:vAlign w:val="top"/>
          </w:tcPr>
          <w:p w14:paraId="17915A60">
            <w:pPr>
              <w:spacing w:before="209" w:line="195" w:lineRule="auto"/>
              <w:ind w:left="26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249" w:type="dxa"/>
            <w:vAlign w:val="top"/>
          </w:tcPr>
          <w:p w14:paraId="0E13191A">
            <w:pPr>
              <w:pStyle w:val="6"/>
              <w:spacing w:before="36" w:line="231" w:lineRule="auto"/>
              <w:ind w:left="705" w:right="183" w:hanging="520"/>
            </w:pPr>
            <w:r>
              <w:rPr>
                <w:spacing w:val="8"/>
              </w:rPr>
              <w:t>公共管理与公共服务</w:t>
            </w:r>
            <w:r>
              <w:rPr>
                <w:spacing w:val="6"/>
              </w:rPr>
              <w:t>设施用地</w:t>
            </w:r>
          </w:p>
        </w:tc>
        <w:tc>
          <w:tcPr>
            <w:tcW w:w="1448" w:type="dxa"/>
            <w:vAlign w:val="top"/>
          </w:tcPr>
          <w:p w14:paraId="07402A3C">
            <w:pPr>
              <w:spacing w:before="209" w:line="195" w:lineRule="auto"/>
              <w:ind w:left="5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0.37</w:t>
            </w:r>
          </w:p>
        </w:tc>
        <w:tc>
          <w:tcPr>
            <w:tcW w:w="1462" w:type="dxa"/>
            <w:vAlign w:val="top"/>
          </w:tcPr>
          <w:p w14:paraId="42A61BF9">
            <w:pPr>
              <w:spacing w:before="209" w:line="195"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1448" w:type="dxa"/>
            <w:vAlign w:val="top"/>
          </w:tcPr>
          <w:p w14:paraId="1A146C49">
            <w:pPr>
              <w:spacing w:before="209"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w:t>
            </w:r>
          </w:p>
        </w:tc>
        <w:tc>
          <w:tcPr>
            <w:tcW w:w="1462" w:type="dxa"/>
            <w:tcBorders>
              <w:right w:val="single" w:color="000000" w:sz="10" w:space="0"/>
            </w:tcBorders>
            <w:vAlign w:val="top"/>
          </w:tcPr>
          <w:p w14:paraId="46E1E96F">
            <w:pPr>
              <w:spacing w:before="209" w:line="195" w:lineRule="auto"/>
              <w:ind w:left="5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0.29</w:t>
            </w:r>
          </w:p>
        </w:tc>
      </w:tr>
      <w:tr w14:paraId="76FF9F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652" w:type="dxa"/>
            <w:tcBorders>
              <w:left w:val="single" w:color="000000" w:sz="10" w:space="0"/>
            </w:tcBorders>
            <w:vAlign w:val="top"/>
          </w:tcPr>
          <w:p w14:paraId="2DC00A00">
            <w:pPr>
              <w:spacing w:before="137" w:line="195" w:lineRule="auto"/>
              <w:ind w:left="26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249" w:type="dxa"/>
            <w:vAlign w:val="top"/>
          </w:tcPr>
          <w:p w14:paraId="39C22629">
            <w:pPr>
              <w:pStyle w:val="6"/>
              <w:spacing w:before="100" w:line="228" w:lineRule="auto"/>
              <w:ind w:left="183"/>
            </w:pPr>
            <w:r>
              <w:rPr>
                <w:spacing w:val="8"/>
              </w:rPr>
              <w:t>商业服务业设施用地</w:t>
            </w:r>
          </w:p>
        </w:tc>
        <w:tc>
          <w:tcPr>
            <w:tcW w:w="1448" w:type="dxa"/>
            <w:vAlign w:val="top"/>
          </w:tcPr>
          <w:p w14:paraId="1EA1508A">
            <w:pPr>
              <w:spacing w:before="137" w:line="195" w:lineRule="auto"/>
              <w:ind w:left="5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0.28</w:t>
            </w:r>
          </w:p>
        </w:tc>
        <w:tc>
          <w:tcPr>
            <w:tcW w:w="1462" w:type="dxa"/>
            <w:vAlign w:val="top"/>
          </w:tcPr>
          <w:p w14:paraId="0193B687">
            <w:pPr>
              <w:spacing w:before="137" w:line="195"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1448" w:type="dxa"/>
            <w:vAlign w:val="top"/>
          </w:tcPr>
          <w:p w14:paraId="34B49D61">
            <w:pPr>
              <w:spacing w:before="137"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w:t>
            </w:r>
          </w:p>
        </w:tc>
        <w:tc>
          <w:tcPr>
            <w:tcW w:w="1462" w:type="dxa"/>
            <w:tcBorders>
              <w:right w:val="single" w:color="000000" w:sz="10" w:space="0"/>
            </w:tcBorders>
            <w:vAlign w:val="top"/>
          </w:tcPr>
          <w:p w14:paraId="0EF64D58">
            <w:pPr>
              <w:spacing w:before="137" w:line="195" w:lineRule="auto"/>
              <w:ind w:left="5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0.22</w:t>
            </w:r>
          </w:p>
        </w:tc>
      </w:tr>
      <w:tr w14:paraId="24295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652" w:type="dxa"/>
            <w:tcBorders>
              <w:left w:val="single" w:color="000000" w:sz="10" w:space="0"/>
            </w:tcBorders>
            <w:vAlign w:val="top"/>
          </w:tcPr>
          <w:p w14:paraId="50D709C2">
            <w:pPr>
              <w:spacing w:before="141"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249" w:type="dxa"/>
            <w:vAlign w:val="top"/>
          </w:tcPr>
          <w:p w14:paraId="053664A7">
            <w:pPr>
              <w:pStyle w:val="6"/>
              <w:spacing w:before="105" w:line="229" w:lineRule="auto"/>
              <w:ind w:left="705"/>
            </w:pPr>
            <w:r>
              <w:rPr>
                <w:spacing w:val="6"/>
              </w:rPr>
              <w:t>工业用地</w:t>
            </w:r>
          </w:p>
        </w:tc>
        <w:tc>
          <w:tcPr>
            <w:tcW w:w="1448" w:type="dxa"/>
            <w:vAlign w:val="top"/>
          </w:tcPr>
          <w:p w14:paraId="19B12EA1">
            <w:pPr>
              <w:spacing w:before="141" w:line="195" w:lineRule="auto"/>
              <w:ind w:left="67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462" w:type="dxa"/>
            <w:vAlign w:val="top"/>
          </w:tcPr>
          <w:p w14:paraId="285F9B29">
            <w:pPr>
              <w:spacing w:before="141" w:line="195"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1448" w:type="dxa"/>
            <w:vAlign w:val="top"/>
          </w:tcPr>
          <w:p w14:paraId="42949A36">
            <w:pPr>
              <w:spacing w:before="141"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w:t>
            </w:r>
          </w:p>
        </w:tc>
        <w:tc>
          <w:tcPr>
            <w:tcW w:w="1462" w:type="dxa"/>
            <w:tcBorders>
              <w:right w:val="single" w:color="000000" w:sz="10" w:space="0"/>
            </w:tcBorders>
            <w:vAlign w:val="top"/>
          </w:tcPr>
          <w:p w14:paraId="33D57E80">
            <w:pPr>
              <w:spacing w:before="141" w:line="195" w:lineRule="auto"/>
              <w:ind w:left="68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03D6E4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652" w:type="dxa"/>
            <w:tcBorders>
              <w:left w:val="single" w:color="000000" w:sz="10" w:space="0"/>
            </w:tcBorders>
            <w:vAlign w:val="top"/>
          </w:tcPr>
          <w:p w14:paraId="45A14F4F">
            <w:pPr>
              <w:spacing w:before="147" w:line="192" w:lineRule="auto"/>
              <w:ind w:left="26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249" w:type="dxa"/>
            <w:vAlign w:val="top"/>
          </w:tcPr>
          <w:p w14:paraId="16195962">
            <w:pPr>
              <w:pStyle w:val="6"/>
              <w:spacing w:before="108" w:line="228" w:lineRule="auto"/>
              <w:ind w:left="701"/>
            </w:pPr>
            <w:r>
              <w:rPr>
                <w:spacing w:val="7"/>
              </w:rPr>
              <w:t>仓储用地</w:t>
            </w:r>
          </w:p>
        </w:tc>
        <w:tc>
          <w:tcPr>
            <w:tcW w:w="1448" w:type="dxa"/>
            <w:vAlign w:val="top"/>
          </w:tcPr>
          <w:p w14:paraId="49EBE1E9">
            <w:pPr>
              <w:spacing w:before="144" w:line="195" w:lineRule="auto"/>
              <w:ind w:left="67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462" w:type="dxa"/>
            <w:vAlign w:val="top"/>
          </w:tcPr>
          <w:p w14:paraId="3A7313EA">
            <w:pPr>
              <w:spacing w:before="144" w:line="195"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1448" w:type="dxa"/>
            <w:vAlign w:val="top"/>
          </w:tcPr>
          <w:p w14:paraId="14F4364A">
            <w:pPr>
              <w:spacing w:before="144"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w:t>
            </w:r>
          </w:p>
        </w:tc>
        <w:tc>
          <w:tcPr>
            <w:tcW w:w="1462" w:type="dxa"/>
            <w:tcBorders>
              <w:right w:val="single" w:color="000000" w:sz="10" w:space="0"/>
            </w:tcBorders>
            <w:vAlign w:val="top"/>
          </w:tcPr>
          <w:p w14:paraId="052561F0">
            <w:pPr>
              <w:spacing w:before="144" w:line="195" w:lineRule="auto"/>
              <w:ind w:left="68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26328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652" w:type="dxa"/>
            <w:tcBorders>
              <w:left w:val="single" w:color="000000" w:sz="10" w:space="0"/>
            </w:tcBorders>
            <w:vAlign w:val="top"/>
          </w:tcPr>
          <w:p w14:paraId="30110918">
            <w:pPr>
              <w:spacing w:before="144" w:line="195"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249" w:type="dxa"/>
            <w:vAlign w:val="top"/>
          </w:tcPr>
          <w:p w14:paraId="19D0FAE0">
            <w:pPr>
              <w:pStyle w:val="6"/>
              <w:spacing w:before="108" w:line="228" w:lineRule="auto"/>
              <w:ind w:left="288"/>
            </w:pPr>
            <w:r>
              <w:rPr>
                <w:spacing w:val="7"/>
              </w:rPr>
              <w:t>市政公用设施用地</w:t>
            </w:r>
          </w:p>
        </w:tc>
        <w:tc>
          <w:tcPr>
            <w:tcW w:w="1448" w:type="dxa"/>
            <w:vAlign w:val="top"/>
          </w:tcPr>
          <w:p w14:paraId="690DB578">
            <w:pPr>
              <w:spacing w:before="144" w:line="195" w:lineRule="auto"/>
              <w:ind w:left="5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1462" w:type="dxa"/>
            <w:vAlign w:val="top"/>
          </w:tcPr>
          <w:p w14:paraId="4EC0DCFC">
            <w:pPr>
              <w:spacing w:before="144" w:line="195" w:lineRule="auto"/>
              <w:ind w:left="60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1448" w:type="dxa"/>
            <w:vAlign w:val="top"/>
          </w:tcPr>
          <w:p w14:paraId="0B9B47B0">
            <w:pPr>
              <w:spacing w:before="144" w:line="195" w:lineRule="auto"/>
              <w:ind w:left="50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w:t>
            </w:r>
          </w:p>
        </w:tc>
        <w:tc>
          <w:tcPr>
            <w:tcW w:w="1462" w:type="dxa"/>
            <w:tcBorders>
              <w:right w:val="single" w:color="000000" w:sz="10" w:space="0"/>
            </w:tcBorders>
            <w:vAlign w:val="top"/>
          </w:tcPr>
          <w:p w14:paraId="564D0DF4">
            <w:pPr>
              <w:spacing w:before="144" w:line="195" w:lineRule="auto"/>
              <w:ind w:left="5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r>
      <w:tr w14:paraId="0104F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652" w:type="dxa"/>
            <w:tcBorders>
              <w:left w:val="single" w:color="000000" w:sz="10" w:space="0"/>
            </w:tcBorders>
            <w:vAlign w:val="top"/>
          </w:tcPr>
          <w:p w14:paraId="7AA651E0">
            <w:pPr>
              <w:spacing w:before="150" w:line="192" w:lineRule="auto"/>
              <w:ind w:left="264"/>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249" w:type="dxa"/>
            <w:vAlign w:val="top"/>
          </w:tcPr>
          <w:p w14:paraId="08DA59CA">
            <w:pPr>
              <w:pStyle w:val="6"/>
              <w:spacing w:before="111" w:line="228" w:lineRule="auto"/>
              <w:ind w:left="492"/>
            </w:pPr>
            <w:r>
              <w:rPr>
                <w:spacing w:val="8"/>
              </w:rPr>
              <w:t>道路广场用地</w:t>
            </w:r>
          </w:p>
        </w:tc>
        <w:tc>
          <w:tcPr>
            <w:tcW w:w="1448" w:type="dxa"/>
            <w:vAlign w:val="top"/>
          </w:tcPr>
          <w:p w14:paraId="519B9040">
            <w:pPr>
              <w:spacing w:before="147" w:line="195" w:lineRule="auto"/>
              <w:ind w:left="5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0.16</w:t>
            </w:r>
          </w:p>
        </w:tc>
        <w:tc>
          <w:tcPr>
            <w:tcW w:w="1462" w:type="dxa"/>
            <w:vAlign w:val="top"/>
          </w:tcPr>
          <w:p w14:paraId="3C986D86">
            <w:pPr>
              <w:spacing w:before="147" w:line="195" w:lineRule="auto"/>
              <w:ind w:left="68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448" w:type="dxa"/>
            <w:vAlign w:val="top"/>
          </w:tcPr>
          <w:p w14:paraId="23FDD6CC">
            <w:pPr>
              <w:spacing w:before="147" w:line="195" w:lineRule="auto"/>
              <w:ind w:left="68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462" w:type="dxa"/>
            <w:tcBorders>
              <w:right w:val="single" w:color="000000" w:sz="10" w:space="0"/>
            </w:tcBorders>
            <w:vAlign w:val="top"/>
          </w:tcPr>
          <w:p w14:paraId="431A80EA">
            <w:pPr>
              <w:spacing w:before="147" w:line="195" w:lineRule="auto"/>
              <w:ind w:left="68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393A36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652" w:type="dxa"/>
            <w:tcBorders>
              <w:left w:val="single" w:color="000000" w:sz="10" w:space="0"/>
            </w:tcBorders>
            <w:vAlign w:val="top"/>
          </w:tcPr>
          <w:p w14:paraId="68ED3108">
            <w:pPr>
              <w:spacing w:before="148"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249" w:type="dxa"/>
            <w:vAlign w:val="top"/>
          </w:tcPr>
          <w:p w14:paraId="6E4D9E06">
            <w:pPr>
              <w:pStyle w:val="6"/>
              <w:spacing w:before="112" w:line="229" w:lineRule="auto"/>
              <w:ind w:left="915"/>
            </w:pPr>
            <w:r>
              <w:rPr>
                <w:spacing w:val="3"/>
              </w:rPr>
              <w:t>绿地</w:t>
            </w:r>
          </w:p>
        </w:tc>
        <w:tc>
          <w:tcPr>
            <w:tcW w:w="1448" w:type="dxa"/>
            <w:vAlign w:val="top"/>
          </w:tcPr>
          <w:p w14:paraId="6433C65D">
            <w:pPr>
              <w:spacing w:before="148" w:line="195" w:lineRule="auto"/>
              <w:ind w:left="5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c>
          <w:tcPr>
            <w:tcW w:w="1462" w:type="dxa"/>
            <w:vAlign w:val="top"/>
          </w:tcPr>
          <w:p w14:paraId="66017B1D">
            <w:pPr>
              <w:spacing w:before="148" w:line="195" w:lineRule="auto"/>
              <w:ind w:left="68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448" w:type="dxa"/>
            <w:vAlign w:val="top"/>
          </w:tcPr>
          <w:p w14:paraId="395C6753">
            <w:pPr>
              <w:spacing w:before="148" w:line="195" w:lineRule="auto"/>
              <w:ind w:left="68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462" w:type="dxa"/>
            <w:tcBorders>
              <w:right w:val="single" w:color="000000" w:sz="10" w:space="0"/>
            </w:tcBorders>
            <w:vAlign w:val="top"/>
          </w:tcPr>
          <w:p w14:paraId="23F53FE7">
            <w:pPr>
              <w:spacing w:before="148" w:line="195" w:lineRule="auto"/>
              <w:ind w:left="68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32322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652" w:type="dxa"/>
            <w:tcBorders>
              <w:left w:val="single" w:color="000000" w:sz="10" w:space="0"/>
              <w:bottom w:val="single" w:color="000000" w:sz="10" w:space="0"/>
            </w:tcBorders>
            <w:vAlign w:val="top"/>
          </w:tcPr>
          <w:p w14:paraId="1C8382D7">
            <w:pPr>
              <w:rPr>
                <w:rFonts w:ascii="Arial"/>
                <w:sz w:val="21"/>
              </w:rPr>
            </w:pPr>
          </w:p>
        </w:tc>
        <w:tc>
          <w:tcPr>
            <w:tcW w:w="2249" w:type="dxa"/>
            <w:tcBorders>
              <w:bottom w:val="single" w:color="000000" w:sz="10" w:space="0"/>
            </w:tcBorders>
            <w:vAlign w:val="top"/>
          </w:tcPr>
          <w:p w14:paraId="42A89EE6">
            <w:pPr>
              <w:pStyle w:val="6"/>
              <w:spacing w:before="115" w:line="229" w:lineRule="auto"/>
              <w:ind w:left="914"/>
            </w:pPr>
            <w:r>
              <w:rPr>
                <w:spacing w:val="4"/>
              </w:rPr>
              <w:t>合计</w:t>
            </w:r>
          </w:p>
        </w:tc>
        <w:tc>
          <w:tcPr>
            <w:tcW w:w="1448" w:type="dxa"/>
            <w:tcBorders>
              <w:bottom w:val="single" w:color="000000" w:sz="10" w:space="0"/>
            </w:tcBorders>
            <w:vAlign w:val="top"/>
          </w:tcPr>
          <w:p w14:paraId="452BC282">
            <w:pPr>
              <w:spacing w:before="151" w:line="195" w:lineRule="auto"/>
              <w:ind w:left="5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1.78</w:t>
            </w:r>
          </w:p>
        </w:tc>
        <w:tc>
          <w:tcPr>
            <w:tcW w:w="1462" w:type="dxa"/>
            <w:tcBorders>
              <w:bottom w:val="single" w:color="000000" w:sz="10" w:space="0"/>
            </w:tcBorders>
            <w:vAlign w:val="top"/>
          </w:tcPr>
          <w:p w14:paraId="65A51173">
            <w:pPr>
              <w:rPr>
                <w:rFonts w:ascii="Arial"/>
                <w:sz w:val="21"/>
              </w:rPr>
            </w:pPr>
          </w:p>
        </w:tc>
        <w:tc>
          <w:tcPr>
            <w:tcW w:w="1448" w:type="dxa"/>
            <w:tcBorders>
              <w:bottom w:val="single" w:color="000000" w:sz="10" w:space="0"/>
            </w:tcBorders>
            <w:vAlign w:val="top"/>
          </w:tcPr>
          <w:p w14:paraId="1168EED0">
            <w:pPr>
              <w:rPr>
                <w:rFonts w:ascii="Arial"/>
                <w:sz w:val="21"/>
              </w:rPr>
            </w:pPr>
          </w:p>
        </w:tc>
        <w:tc>
          <w:tcPr>
            <w:tcW w:w="1462" w:type="dxa"/>
            <w:tcBorders>
              <w:bottom w:val="single" w:color="000000" w:sz="10" w:space="0"/>
              <w:right w:val="single" w:color="000000" w:sz="10" w:space="0"/>
            </w:tcBorders>
            <w:vAlign w:val="top"/>
          </w:tcPr>
          <w:p w14:paraId="20E32BF0">
            <w:pPr>
              <w:spacing w:before="151" w:line="195" w:lineRule="auto"/>
              <w:ind w:left="5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1.22</w:t>
            </w:r>
          </w:p>
        </w:tc>
      </w:tr>
    </w:tbl>
    <w:p w14:paraId="3690F5F1">
      <w:pPr>
        <w:spacing w:before="156" w:line="219" w:lineRule="auto"/>
        <w:ind w:left="616"/>
        <w:rPr>
          <w:rFonts w:ascii="宋体" w:hAnsi="宋体" w:eastAsia="宋体" w:cs="宋体"/>
          <w:sz w:val="24"/>
          <w:szCs w:val="24"/>
        </w:rPr>
      </w:pPr>
      <w:r>
        <w:rPr>
          <w:rFonts w:ascii="宋体" w:hAnsi="宋体" w:eastAsia="宋体" w:cs="宋体"/>
          <w:spacing w:val="-1"/>
          <w:sz w:val="24"/>
          <w:szCs w:val="24"/>
        </w:rPr>
        <w:t>不同性质用地用水量指标法水量预测如下表所示：</w:t>
      </w:r>
    </w:p>
    <w:p w14:paraId="69316C1B">
      <w:pPr>
        <w:spacing w:before="182" w:line="212" w:lineRule="auto"/>
        <w:ind w:left="1813"/>
        <w:rPr>
          <w:rFonts w:ascii="宋体" w:hAnsi="宋体" w:eastAsia="宋体" w:cs="宋体"/>
          <w:sz w:val="24"/>
          <w:szCs w:val="24"/>
        </w:rPr>
      </w:pPr>
      <w:r>
        <w:rPr>
          <w:rFonts w:ascii="宋体" w:hAnsi="宋体" w:eastAsia="宋体" w:cs="宋体"/>
          <w:b/>
          <w:bCs/>
          <w:spacing w:val="-2"/>
          <w:sz w:val="24"/>
          <w:szCs w:val="24"/>
        </w:rPr>
        <w:t>表</w:t>
      </w:r>
      <w:r>
        <w:rPr>
          <w:rFonts w:ascii="Times New Roman" w:hAnsi="Times New Roman" w:eastAsia="Times New Roman" w:cs="Times New Roman"/>
          <w:b/>
          <w:bCs/>
          <w:spacing w:val="-2"/>
          <w:sz w:val="24"/>
          <w:szCs w:val="24"/>
        </w:rPr>
        <w:t>3.5-7</w:t>
      </w:r>
      <w:r>
        <w:rPr>
          <w:rFonts w:ascii="宋体" w:hAnsi="宋体" w:eastAsia="宋体" w:cs="宋体"/>
          <w:b/>
          <w:bCs/>
          <w:spacing w:val="-2"/>
          <w:sz w:val="24"/>
          <w:szCs w:val="24"/>
        </w:rPr>
        <w:t>隆回县工业园污水处理厂污水量预测表</w:t>
      </w:r>
    </w:p>
    <w:tbl>
      <w:tblPr>
        <w:tblStyle w:val="5"/>
        <w:tblW w:w="872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67"/>
        <w:gridCol w:w="2695"/>
        <w:gridCol w:w="2622"/>
        <w:gridCol w:w="1740"/>
      </w:tblGrid>
      <w:tr w14:paraId="795694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667" w:type="dxa"/>
            <w:tcBorders>
              <w:top w:val="single" w:color="000000" w:sz="10" w:space="0"/>
              <w:left w:val="single" w:color="000000" w:sz="10" w:space="0"/>
            </w:tcBorders>
            <w:vAlign w:val="top"/>
          </w:tcPr>
          <w:p w14:paraId="50661FAC">
            <w:pPr>
              <w:pStyle w:val="6"/>
              <w:spacing w:before="98" w:line="228" w:lineRule="auto"/>
              <w:ind w:left="619"/>
            </w:pPr>
            <w:r>
              <w:rPr>
                <w:b/>
                <w:bCs/>
                <w:spacing w:val="1"/>
              </w:rPr>
              <w:t>片区</w:t>
            </w:r>
          </w:p>
        </w:tc>
        <w:tc>
          <w:tcPr>
            <w:tcW w:w="2695" w:type="dxa"/>
            <w:tcBorders>
              <w:top w:val="single" w:color="000000" w:sz="10" w:space="0"/>
            </w:tcBorders>
            <w:vAlign w:val="top"/>
          </w:tcPr>
          <w:p w14:paraId="62AECDAF">
            <w:pPr>
              <w:pStyle w:val="6"/>
              <w:spacing w:before="98" w:line="228" w:lineRule="auto"/>
              <w:ind w:left="246"/>
            </w:pPr>
            <w:r>
              <w:rPr>
                <w:b/>
                <w:bCs/>
                <w:spacing w:val="5"/>
              </w:rPr>
              <w:t>旱季污水量（万</w:t>
            </w:r>
            <w:r>
              <w:rPr>
                <w:rFonts w:ascii="Times New Roman" w:hAnsi="Times New Roman" w:eastAsia="Times New Roman" w:cs="Times New Roman"/>
                <w:b/>
                <w:bCs/>
                <w:spacing w:val="5"/>
              </w:rPr>
              <w:t>m</w:t>
            </w:r>
            <w:r>
              <w:rPr>
                <w:rFonts w:ascii="Times New Roman" w:hAnsi="Times New Roman" w:eastAsia="Times New Roman" w:cs="Times New Roman"/>
                <w:b/>
                <w:bCs/>
                <w:spacing w:val="5"/>
                <w:position w:val="6"/>
                <w:sz w:val="13"/>
                <w:szCs w:val="13"/>
              </w:rPr>
              <w:t>3</w:t>
            </w:r>
            <w:r>
              <w:rPr>
                <w:rFonts w:ascii="Times New Roman" w:hAnsi="Times New Roman" w:eastAsia="Times New Roman" w:cs="Times New Roman"/>
                <w:b/>
                <w:bCs/>
                <w:spacing w:val="5"/>
              </w:rPr>
              <w:t>/d</w:t>
            </w:r>
            <w:r>
              <w:rPr>
                <w:b/>
                <w:bCs/>
                <w:spacing w:val="5"/>
              </w:rPr>
              <w:t>）</w:t>
            </w:r>
          </w:p>
        </w:tc>
        <w:tc>
          <w:tcPr>
            <w:tcW w:w="2622" w:type="dxa"/>
            <w:tcBorders>
              <w:top w:val="single" w:color="000000" w:sz="10" w:space="0"/>
            </w:tcBorders>
            <w:vAlign w:val="top"/>
          </w:tcPr>
          <w:p w14:paraId="3BA7DE8D">
            <w:pPr>
              <w:pStyle w:val="6"/>
              <w:spacing w:before="98" w:line="228" w:lineRule="auto"/>
              <w:ind w:left="214"/>
            </w:pPr>
            <w:r>
              <w:rPr>
                <w:b/>
                <w:bCs/>
                <w:spacing w:val="5"/>
              </w:rPr>
              <w:t>初期雨水量（万</w:t>
            </w:r>
            <w:r>
              <w:rPr>
                <w:rFonts w:ascii="Times New Roman" w:hAnsi="Times New Roman" w:eastAsia="Times New Roman" w:cs="Times New Roman"/>
                <w:b/>
                <w:bCs/>
                <w:spacing w:val="5"/>
              </w:rPr>
              <w:t>m</w:t>
            </w:r>
            <w:r>
              <w:rPr>
                <w:rFonts w:ascii="Times New Roman" w:hAnsi="Times New Roman" w:eastAsia="Times New Roman" w:cs="Times New Roman"/>
                <w:b/>
                <w:bCs/>
                <w:spacing w:val="5"/>
                <w:position w:val="6"/>
                <w:sz w:val="13"/>
                <w:szCs w:val="13"/>
              </w:rPr>
              <w:t>3</w:t>
            </w:r>
            <w:r>
              <w:rPr>
                <w:rFonts w:ascii="Times New Roman" w:hAnsi="Times New Roman" w:eastAsia="Times New Roman" w:cs="Times New Roman"/>
                <w:b/>
                <w:bCs/>
                <w:spacing w:val="5"/>
              </w:rPr>
              <w:t>/d</w:t>
            </w:r>
            <w:r>
              <w:rPr>
                <w:b/>
                <w:bCs/>
                <w:spacing w:val="5"/>
              </w:rPr>
              <w:t>）</w:t>
            </w:r>
          </w:p>
        </w:tc>
        <w:tc>
          <w:tcPr>
            <w:tcW w:w="1740" w:type="dxa"/>
            <w:tcBorders>
              <w:top w:val="single" w:color="000000" w:sz="10" w:space="0"/>
              <w:right w:val="single" w:color="000000" w:sz="10" w:space="0"/>
            </w:tcBorders>
            <w:vAlign w:val="top"/>
          </w:tcPr>
          <w:p w14:paraId="1ADFE400">
            <w:pPr>
              <w:pStyle w:val="6"/>
              <w:spacing w:before="98" w:line="229" w:lineRule="auto"/>
              <w:ind w:left="668"/>
            </w:pPr>
            <w:r>
              <w:rPr>
                <w:b/>
                <w:bCs/>
                <w:spacing w:val="3"/>
              </w:rPr>
              <w:t>合计</w:t>
            </w:r>
          </w:p>
        </w:tc>
      </w:tr>
      <w:tr w14:paraId="57114E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trPr>
        <w:tc>
          <w:tcPr>
            <w:tcW w:w="1667" w:type="dxa"/>
            <w:tcBorders>
              <w:left w:val="single" w:color="000000" w:sz="10" w:space="0"/>
            </w:tcBorders>
            <w:vAlign w:val="top"/>
          </w:tcPr>
          <w:p w14:paraId="1E746C72">
            <w:pPr>
              <w:pStyle w:val="6"/>
              <w:spacing w:before="35" w:line="228" w:lineRule="auto"/>
              <w:ind w:left="194"/>
            </w:pPr>
            <w:r>
              <w:rPr>
                <w:spacing w:val="8"/>
              </w:rPr>
              <w:t>寺山片区、集</w:t>
            </w:r>
          </w:p>
          <w:p w14:paraId="7911AC73">
            <w:pPr>
              <w:pStyle w:val="6"/>
              <w:spacing w:before="26" w:line="205" w:lineRule="auto"/>
              <w:ind w:left="511"/>
            </w:pPr>
            <w:r>
              <w:rPr>
                <w:spacing w:val="6"/>
              </w:rPr>
              <w:t>南片区</w:t>
            </w:r>
          </w:p>
        </w:tc>
        <w:tc>
          <w:tcPr>
            <w:tcW w:w="2695" w:type="dxa"/>
            <w:vAlign w:val="top"/>
          </w:tcPr>
          <w:p w14:paraId="11676E3A">
            <w:pPr>
              <w:spacing w:before="208" w:line="195" w:lineRule="auto"/>
              <w:ind w:left="11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1.43</w:t>
            </w:r>
          </w:p>
        </w:tc>
        <w:tc>
          <w:tcPr>
            <w:tcW w:w="2622" w:type="dxa"/>
            <w:vAlign w:val="top"/>
          </w:tcPr>
          <w:p w14:paraId="6BCA74BE">
            <w:pPr>
              <w:spacing w:before="208" w:line="195" w:lineRule="auto"/>
              <w:ind w:left="11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0.49</w:t>
            </w:r>
          </w:p>
        </w:tc>
        <w:tc>
          <w:tcPr>
            <w:tcW w:w="1740" w:type="dxa"/>
            <w:tcBorders>
              <w:right w:val="single" w:color="000000" w:sz="10" w:space="0"/>
            </w:tcBorders>
            <w:vAlign w:val="top"/>
          </w:tcPr>
          <w:p w14:paraId="5B209113">
            <w:pPr>
              <w:spacing w:before="208" w:line="195" w:lineRule="auto"/>
              <w:ind w:left="7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1.72</w:t>
            </w:r>
          </w:p>
        </w:tc>
      </w:tr>
      <w:tr w14:paraId="265217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667" w:type="dxa"/>
            <w:tcBorders>
              <w:left w:val="single" w:color="000000" w:sz="10" w:space="0"/>
            </w:tcBorders>
            <w:vAlign w:val="top"/>
          </w:tcPr>
          <w:p w14:paraId="5380F71B">
            <w:pPr>
              <w:pStyle w:val="6"/>
              <w:spacing w:before="106" w:line="228" w:lineRule="auto"/>
              <w:ind w:left="406"/>
            </w:pPr>
            <w:r>
              <w:rPr>
                <w:spacing w:val="7"/>
              </w:rPr>
              <w:t>城东片区</w:t>
            </w:r>
          </w:p>
        </w:tc>
        <w:tc>
          <w:tcPr>
            <w:tcW w:w="2695" w:type="dxa"/>
            <w:vAlign w:val="top"/>
          </w:tcPr>
          <w:p w14:paraId="5220642E">
            <w:pPr>
              <w:spacing w:before="142" w:line="195" w:lineRule="auto"/>
              <w:ind w:left="11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1.22</w:t>
            </w:r>
          </w:p>
        </w:tc>
        <w:tc>
          <w:tcPr>
            <w:tcW w:w="2622" w:type="dxa"/>
            <w:vAlign w:val="top"/>
          </w:tcPr>
          <w:p w14:paraId="7E5697D5">
            <w:pPr>
              <w:spacing w:before="138" w:line="199" w:lineRule="auto"/>
              <w:ind w:left="12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40" w:type="dxa"/>
            <w:tcBorders>
              <w:right w:val="single" w:color="000000" w:sz="10" w:space="0"/>
            </w:tcBorders>
            <w:vAlign w:val="top"/>
          </w:tcPr>
          <w:p w14:paraId="0212EDDD">
            <w:pPr>
              <w:spacing w:before="142" w:line="195" w:lineRule="auto"/>
              <w:ind w:left="7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1.22</w:t>
            </w:r>
          </w:p>
        </w:tc>
      </w:tr>
      <w:tr w14:paraId="202F29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1667" w:type="dxa"/>
            <w:tcBorders>
              <w:left w:val="single" w:color="000000" w:sz="10" w:space="0"/>
              <w:bottom w:val="single" w:color="000000" w:sz="10" w:space="0"/>
            </w:tcBorders>
            <w:vAlign w:val="top"/>
          </w:tcPr>
          <w:p w14:paraId="099E1E70">
            <w:pPr>
              <w:pStyle w:val="6"/>
              <w:spacing w:before="113" w:line="229" w:lineRule="auto"/>
              <w:ind w:left="615"/>
            </w:pPr>
            <w:r>
              <w:rPr>
                <w:spacing w:val="4"/>
              </w:rPr>
              <w:t>合计</w:t>
            </w:r>
          </w:p>
        </w:tc>
        <w:tc>
          <w:tcPr>
            <w:tcW w:w="2695" w:type="dxa"/>
            <w:tcBorders>
              <w:bottom w:val="single" w:color="000000" w:sz="10" w:space="0"/>
            </w:tcBorders>
            <w:vAlign w:val="top"/>
          </w:tcPr>
          <w:p w14:paraId="7842537E">
            <w:pPr>
              <w:spacing w:before="149" w:line="195" w:lineRule="auto"/>
              <w:ind w:left="11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2.65</w:t>
            </w:r>
          </w:p>
        </w:tc>
        <w:tc>
          <w:tcPr>
            <w:tcW w:w="2622" w:type="dxa"/>
            <w:tcBorders>
              <w:bottom w:val="single" w:color="000000" w:sz="10" w:space="0"/>
            </w:tcBorders>
            <w:vAlign w:val="top"/>
          </w:tcPr>
          <w:p w14:paraId="67E01618">
            <w:pPr>
              <w:spacing w:before="149" w:line="195" w:lineRule="auto"/>
              <w:ind w:left="11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0.49</w:t>
            </w:r>
          </w:p>
        </w:tc>
        <w:tc>
          <w:tcPr>
            <w:tcW w:w="1740" w:type="dxa"/>
            <w:tcBorders>
              <w:bottom w:val="single" w:color="000000" w:sz="10" w:space="0"/>
              <w:right w:val="single" w:color="000000" w:sz="10" w:space="0"/>
            </w:tcBorders>
            <w:vAlign w:val="top"/>
          </w:tcPr>
          <w:p w14:paraId="4A829E33">
            <w:pPr>
              <w:spacing w:before="149" w:line="195" w:lineRule="auto"/>
              <w:ind w:left="69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3.14</w:t>
            </w:r>
          </w:p>
        </w:tc>
      </w:tr>
    </w:tbl>
    <w:p w14:paraId="7E5DA352">
      <w:pPr>
        <w:spacing w:before="157" w:line="219" w:lineRule="auto"/>
        <w:ind w:left="126"/>
        <w:outlineLvl w:val="2"/>
        <w:rPr>
          <w:rFonts w:ascii="宋体" w:hAnsi="宋体" w:eastAsia="宋体" w:cs="宋体"/>
          <w:sz w:val="24"/>
          <w:szCs w:val="24"/>
        </w:rPr>
      </w:pPr>
      <w:r>
        <w:rPr>
          <w:rFonts w:ascii="Times New Roman" w:hAnsi="Times New Roman" w:eastAsia="Times New Roman" w:cs="Times New Roman"/>
          <w:b/>
          <w:bCs/>
          <w:spacing w:val="-2"/>
          <w:sz w:val="24"/>
          <w:szCs w:val="24"/>
        </w:rPr>
        <w:t>3.5.5</w:t>
      </w:r>
      <w:r>
        <w:rPr>
          <w:rFonts w:ascii="宋体" w:hAnsi="宋体" w:eastAsia="宋体" w:cs="宋体"/>
          <w:b/>
          <w:bCs/>
          <w:spacing w:val="-2"/>
          <w:sz w:val="24"/>
          <w:szCs w:val="24"/>
        </w:rPr>
        <w:t>污水量规模</w:t>
      </w:r>
    </w:p>
    <w:p w14:paraId="671637F5">
      <w:pPr>
        <w:spacing w:before="181" w:line="360" w:lineRule="auto"/>
        <w:ind w:left="124" w:right="121" w:firstLine="487"/>
        <w:jc w:val="both"/>
        <w:rPr>
          <w:rFonts w:ascii="宋体" w:hAnsi="宋体" w:eastAsia="宋体" w:cs="宋体"/>
          <w:sz w:val="24"/>
          <w:szCs w:val="24"/>
        </w:rPr>
      </w:pPr>
      <w:r>
        <w:rPr>
          <w:rFonts w:ascii="宋体" w:hAnsi="宋体" w:eastAsia="宋体" w:cs="宋体"/>
          <w:spacing w:val="3"/>
          <w:sz w:val="24"/>
          <w:szCs w:val="24"/>
        </w:rPr>
        <w:t>通过以上的分析计算，根据污水量预测结果，结合城市规划、发展</w:t>
      </w:r>
      <w:r>
        <w:rPr>
          <w:rFonts w:ascii="宋体" w:hAnsi="宋体" w:eastAsia="宋体" w:cs="宋体"/>
          <w:spacing w:val="2"/>
          <w:sz w:val="24"/>
          <w:szCs w:val="24"/>
        </w:rPr>
        <w:t>，最终确</w:t>
      </w:r>
      <w:r>
        <w:rPr>
          <w:rFonts w:ascii="宋体" w:hAnsi="宋体" w:eastAsia="宋体" w:cs="宋体"/>
          <w:spacing w:val="-1"/>
          <w:sz w:val="24"/>
          <w:szCs w:val="24"/>
        </w:rPr>
        <w:t>定隆回县工业园区，远期</w:t>
      </w:r>
      <w:r>
        <w:rPr>
          <w:rFonts w:ascii="Times New Roman" w:hAnsi="Times New Roman" w:eastAsia="Times New Roman" w:cs="Times New Roman"/>
          <w:spacing w:val="-1"/>
          <w:sz w:val="24"/>
          <w:szCs w:val="24"/>
        </w:rPr>
        <w:t>2035</w:t>
      </w:r>
      <w:r>
        <w:rPr>
          <w:rFonts w:ascii="宋体" w:hAnsi="宋体" w:eastAsia="宋体" w:cs="宋体"/>
          <w:spacing w:val="-1"/>
          <w:sz w:val="24"/>
          <w:szCs w:val="24"/>
        </w:rPr>
        <w:t>年污水处理规模为</w:t>
      </w:r>
      <w:r>
        <w:rPr>
          <w:rFonts w:ascii="Times New Roman" w:hAnsi="Times New Roman" w:eastAsia="Times New Roman" w:cs="Times New Roman"/>
          <w:spacing w:val="-1"/>
          <w:sz w:val="24"/>
          <w:szCs w:val="24"/>
        </w:rPr>
        <w:t>3.0</w:t>
      </w:r>
      <w:r>
        <w:rPr>
          <w:rFonts w:ascii="宋体" w:hAnsi="宋体" w:eastAsia="宋体" w:cs="宋体"/>
          <w:spacing w:val="-1"/>
          <w:sz w:val="24"/>
          <w:szCs w:val="24"/>
        </w:rPr>
        <w:t>万</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4"/>
          <w:szCs w:val="24"/>
        </w:rPr>
        <w:t>/d</w:t>
      </w:r>
      <w:r>
        <w:rPr>
          <w:rFonts w:ascii="宋体" w:hAnsi="宋体" w:eastAsia="宋体" w:cs="宋体"/>
          <w:spacing w:val="-1"/>
          <w:sz w:val="24"/>
          <w:szCs w:val="24"/>
        </w:rPr>
        <w:t>，现状隆回县</w:t>
      </w:r>
      <w:r>
        <w:rPr>
          <w:rFonts w:ascii="宋体" w:hAnsi="宋体" w:eastAsia="宋体" w:cs="宋体"/>
          <w:spacing w:val="-2"/>
          <w:sz w:val="24"/>
          <w:szCs w:val="24"/>
        </w:rPr>
        <w:t>工业园</w:t>
      </w:r>
      <w:r>
        <w:rPr>
          <w:rFonts w:ascii="宋体" w:hAnsi="宋体" w:eastAsia="宋体" w:cs="宋体"/>
          <w:spacing w:val="1"/>
          <w:sz w:val="24"/>
          <w:szCs w:val="24"/>
        </w:rPr>
        <w:t>污水处理厂处理设计规模为</w:t>
      </w:r>
      <w:r>
        <w:rPr>
          <w:rFonts w:ascii="Times New Roman" w:hAnsi="Times New Roman" w:eastAsia="Times New Roman" w:cs="Times New Roman"/>
          <w:spacing w:val="1"/>
          <w:sz w:val="24"/>
          <w:szCs w:val="24"/>
        </w:rPr>
        <w:t>1.5</w:t>
      </w:r>
      <w:r>
        <w:rPr>
          <w:rFonts w:ascii="宋体" w:hAnsi="宋体" w:eastAsia="宋体" w:cs="宋体"/>
          <w:spacing w:val="1"/>
          <w:sz w:val="24"/>
          <w:szCs w:val="24"/>
        </w:rPr>
        <w:t>万</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4"/>
          <w:szCs w:val="24"/>
        </w:rPr>
        <w:t>/d</w:t>
      </w:r>
      <w:r>
        <w:rPr>
          <w:rFonts w:ascii="宋体" w:hAnsi="宋体" w:eastAsia="宋体" w:cs="宋体"/>
          <w:spacing w:val="1"/>
          <w:sz w:val="24"/>
          <w:szCs w:val="24"/>
        </w:rPr>
        <w:t>，因此需对工业园污水处理厂扩容</w:t>
      </w:r>
      <w:r>
        <w:rPr>
          <w:rFonts w:ascii="Times New Roman" w:hAnsi="Times New Roman" w:eastAsia="Times New Roman" w:cs="Times New Roman"/>
          <w:spacing w:val="1"/>
          <w:sz w:val="24"/>
          <w:szCs w:val="24"/>
        </w:rPr>
        <w:t>1.5</w:t>
      </w:r>
      <w:r>
        <w:rPr>
          <w:rFonts w:ascii="宋体" w:hAnsi="宋体" w:eastAsia="宋体" w:cs="宋体"/>
          <w:spacing w:val="1"/>
          <w:sz w:val="24"/>
          <w:szCs w:val="24"/>
        </w:rPr>
        <w:t>万</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sz w:val="24"/>
          <w:szCs w:val="24"/>
        </w:rPr>
        <w:t>/d</w:t>
      </w:r>
      <w:r>
        <w:rPr>
          <w:rFonts w:ascii="宋体" w:hAnsi="宋体" w:eastAsia="宋体" w:cs="宋体"/>
          <w:spacing w:val="-2"/>
          <w:sz w:val="24"/>
          <w:szCs w:val="24"/>
        </w:rPr>
        <w:t>，扩容后的污水处理规模为</w:t>
      </w:r>
      <w:r>
        <w:rPr>
          <w:rFonts w:ascii="Times New Roman" w:hAnsi="Times New Roman" w:eastAsia="Times New Roman" w:cs="Times New Roman"/>
          <w:spacing w:val="-2"/>
          <w:sz w:val="24"/>
          <w:szCs w:val="24"/>
        </w:rPr>
        <w:t>3.0</w:t>
      </w:r>
      <w:r>
        <w:rPr>
          <w:rFonts w:ascii="宋体" w:hAnsi="宋体" w:eastAsia="宋体" w:cs="宋体"/>
          <w:spacing w:val="-2"/>
          <w:sz w:val="24"/>
          <w:szCs w:val="24"/>
        </w:rPr>
        <w:t>万</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sz w:val="24"/>
          <w:szCs w:val="24"/>
        </w:rPr>
        <w:t>/d</w:t>
      </w:r>
      <w:r>
        <w:rPr>
          <w:rFonts w:ascii="宋体" w:hAnsi="宋体" w:eastAsia="宋体" w:cs="宋体"/>
          <w:spacing w:val="-2"/>
          <w:sz w:val="24"/>
          <w:szCs w:val="24"/>
        </w:rPr>
        <w:t>。</w:t>
      </w:r>
    </w:p>
    <w:p w14:paraId="7480486D">
      <w:pPr>
        <w:spacing w:line="360" w:lineRule="auto"/>
        <w:rPr>
          <w:rFonts w:ascii="宋体" w:hAnsi="宋体" w:eastAsia="宋体" w:cs="宋体"/>
          <w:sz w:val="24"/>
          <w:szCs w:val="24"/>
        </w:rPr>
        <w:sectPr>
          <w:footerReference r:id="rId62" w:type="default"/>
          <w:pgSz w:w="11907" w:h="16840"/>
          <w:pgMar w:top="1132" w:right="1578" w:bottom="1259" w:left="1578" w:header="829" w:footer="1097" w:gutter="0"/>
          <w:cols w:space="720" w:num="1"/>
        </w:sectPr>
      </w:pPr>
    </w:p>
    <w:p w14:paraId="3C548FDC">
      <w:pPr>
        <w:spacing w:before="333" w:line="225" w:lineRule="auto"/>
        <w:ind w:left="2374"/>
        <w:outlineLvl w:val="0"/>
        <w:rPr>
          <w:rFonts w:ascii="宋体" w:hAnsi="宋体" w:eastAsia="宋体" w:cs="宋体"/>
          <w:sz w:val="31"/>
          <w:szCs w:val="31"/>
        </w:rPr>
      </w:pPr>
      <w:bookmarkStart w:id="18" w:name="bookmark19"/>
      <w:bookmarkEnd w:id="18"/>
      <w:bookmarkStart w:id="19" w:name="bookmark18"/>
      <w:bookmarkEnd w:id="19"/>
      <w:r>
        <w:rPr>
          <w:rFonts w:ascii="Times New Roman" w:hAnsi="Times New Roman" w:eastAsia="Times New Roman" w:cs="Times New Roman"/>
          <w:b/>
          <w:bCs/>
          <w:spacing w:val="6"/>
          <w:sz w:val="31"/>
          <w:szCs w:val="31"/>
        </w:rPr>
        <w:t>4</w:t>
      </w:r>
      <w:r>
        <w:rPr>
          <w:rFonts w:ascii="宋体" w:hAnsi="宋体" w:eastAsia="宋体" w:cs="宋体"/>
          <w:b/>
          <w:bCs/>
          <w:spacing w:val="6"/>
          <w:sz w:val="31"/>
          <w:szCs w:val="31"/>
        </w:rPr>
        <w:t>水生态环境现状调查分析</w:t>
      </w:r>
    </w:p>
    <w:p w14:paraId="69A68448">
      <w:pPr>
        <w:pStyle w:val="2"/>
        <w:spacing w:line="351" w:lineRule="auto"/>
      </w:pPr>
    </w:p>
    <w:p w14:paraId="6F2460AE">
      <w:pPr>
        <w:spacing w:before="91" w:line="221" w:lineRule="auto"/>
        <w:ind w:left="9"/>
        <w:outlineLvl w:val="1"/>
        <w:rPr>
          <w:rFonts w:ascii="宋体" w:hAnsi="宋体" w:eastAsia="宋体" w:cs="宋体"/>
          <w:sz w:val="28"/>
          <w:szCs w:val="28"/>
        </w:rPr>
      </w:pPr>
      <w:r>
        <w:rPr>
          <w:rFonts w:ascii="Times New Roman" w:hAnsi="Times New Roman" w:eastAsia="Times New Roman" w:cs="Times New Roman"/>
          <w:b/>
          <w:bCs/>
          <w:spacing w:val="-2"/>
          <w:sz w:val="28"/>
          <w:szCs w:val="28"/>
        </w:rPr>
        <w:t>4.1</w:t>
      </w:r>
      <w:r>
        <w:rPr>
          <w:rFonts w:ascii="宋体" w:hAnsi="宋体" w:eastAsia="宋体" w:cs="宋体"/>
          <w:b/>
          <w:bCs/>
          <w:spacing w:val="-2"/>
          <w:sz w:val="28"/>
          <w:szCs w:val="28"/>
        </w:rPr>
        <w:t>现有入河排污口调查分析</w:t>
      </w:r>
    </w:p>
    <w:p w14:paraId="462F9506">
      <w:pPr>
        <w:spacing w:before="203" w:line="359" w:lineRule="auto"/>
        <w:ind w:right="99" w:firstLine="507"/>
        <w:jc w:val="both"/>
        <w:rPr>
          <w:rFonts w:ascii="宋体" w:hAnsi="宋体" w:eastAsia="宋体" w:cs="宋体"/>
          <w:sz w:val="24"/>
          <w:szCs w:val="24"/>
        </w:rPr>
      </w:pPr>
      <w:r>
        <w:rPr>
          <w:rFonts w:ascii="宋体" w:hAnsi="宋体" w:eastAsia="宋体" w:cs="宋体"/>
          <w:spacing w:val="2"/>
          <w:sz w:val="24"/>
          <w:szCs w:val="24"/>
        </w:rPr>
        <w:t>隆回县工业污水处理厂（一期）工程与隆回县生活污水处理厂共用一个入河</w:t>
      </w:r>
      <w:r>
        <w:rPr>
          <w:rFonts w:ascii="宋体" w:hAnsi="宋体" w:eastAsia="宋体" w:cs="宋体"/>
          <w:spacing w:val="-2"/>
          <w:sz w:val="24"/>
          <w:szCs w:val="24"/>
        </w:rPr>
        <w:t>排污口，位于元木山电站下游约</w:t>
      </w:r>
      <w:r>
        <w:rPr>
          <w:rFonts w:ascii="Times New Roman" w:hAnsi="Times New Roman" w:eastAsia="Times New Roman" w:cs="Times New Roman"/>
          <w:spacing w:val="-2"/>
          <w:sz w:val="24"/>
          <w:szCs w:val="24"/>
        </w:rPr>
        <w:t>2.8m</w:t>
      </w:r>
      <w:r>
        <w:rPr>
          <w:rFonts w:ascii="宋体" w:hAnsi="宋体" w:eastAsia="宋体" w:cs="宋体"/>
          <w:spacing w:val="-2"/>
          <w:sz w:val="24"/>
          <w:szCs w:val="24"/>
        </w:rPr>
        <w:t>处，赧水左岸，地理坐标</w:t>
      </w:r>
      <w:r>
        <w:rPr>
          <w:rFonts w:ascii="Times New Roman" w:hAnsi="Times New Roman" w:eastAsia="Times New Roman" w:cs="Times New Roman"/>
          <w:spacing w:val="-2"/>
          <w:sz w:val="24"/>
          <w:szCs w:val="24"/>
        </w:rPr>
        <w:t>111°3′22.36752″</w:t>
      </w:r>
      <w:r>
        <w:rPr>
          <w:rFonts w:ascii="宋体" w:hAnsi="宋体" w:eastAsia="宋体" w:cs="宋体"/>
          <w:spacing w:val="-2"/>
          <w:sz w:val="24"/>
          <w:szCs w:val="24"/>
        </w:rPr>
        <w:t>，</w:t>
      </w:r>
      <w:r>
        <w:rPr>
          <w:rFonts w:ascii="Times New Roman" w:hAnsi="Times New Roman" w:eastAsia="Times New Roman" w:cs="Times New Roman"/>
          <w:spacing w:val="-2"/>
          <w:sz w:val="24"/>
          <w:szCs w:val="24"/>
        </w:rPr>
        <w:t>N27°4′46.315056″</w:t>
      </w:r>
      <w:r>
        <w:rPr>
          <w:rFonts w:ascii="宋体" w:hAnsi="宋体" w:eastAsia="宋体" w:cs="宋体"/>
          <w:spacing w:val="-2"/>
          <w:sz w:val="24"/>
          <w:szCs w:val="24"/>
        </w:rPr>
        <w:t>。根据《邵阳市水功</w:t>
      </w:r>
      <w:r>
        <w:rPr>
          <w:rFonts w:ascii="宋体" w:hAnsi="宋体" w:eastAsia="宋体" w:cs="宋体"/>
          <w:spacing w:val="-3"/>
          <w:sz w:val="24"/>
          <w:szCs w:val="24"/>
        </w:rPr>
        <w:t>能区划》（</w:t>
      </w:r>
      <w:r>
        <w:rPr>
          <w:rFonts w:ascii="Times New Roman" w:hAnsi="Times New Roman" w:eastAsia="Times New Roman" w:cs="Times New Roman"/>
          <w:spacing w:val="-3"/>
          <w:sz w:val="24"/>
          <w:szCs w:val="24"/>
        </w:rPr>
        <w:t>2016</w:t>
      </w:r>
      <w:r>
        <w:rPr>
          <w:rFonts w:ascii="宋体" w:hAnsi="宋体" w:eastAsia="宋体" w:cs="宋体"/>
          <w:spacing w:val="-3"/>
          <w:sz w:val="24"/>
          <w:szCs w:val="24"/>
        </w:rPr>
        <w:t>年修编</w:t>
      </w:r>
      <w:r>
        <w:rPr>
          <w:rFonts w:ascii="宋体" w:hAnsi="宋体" w:eastAsia="宋体" w:cs="宋体"/>
          <w:spacing w:val="-9"/>
          <w:sz w:val="24"/>
          <w:szCs w:val="24"/>
        </w:rPr>
        <w:t>），</w:t>
      </w:r>
      <w:r>
        <w:rPr>
          <w:rFonts w:ascii="宋体" w:hAnsi="宋体" w:eastAsia="宋体" w:cs="宋体"/>
          <w:spacing w:val="-3"/>
          <w:sz w:val="24"/>
          <w:szCs w:val="24"/>
        </w:rPr>
        <w:t>排污口所在断面</w:t>
      </w:r>
      <w:r>
        <w:rPr>
          <w:rFonts w:ascii="宋体" w:hAnsi="宋体" w:eastAsia="宋体" w:cs="宋体"/>
          <w:spacing w:val="1"/>
          <w:sz w:val="24"/>
          <w:szCs w:val="24"/>
        </w:rPr>
        <w:t>属于资水（赧水）隆回</w:t>
      </w:r>
      <w:r>
        <w:rPr>
          <w:rFonts w:ascii="Times New Roman" w:hAnsi="Times New Roman" w:eastAsia="Times New Roman" w:cs="Times New Roman"/>
          <w:spacing w:val="1"/>
          <w:sz w:val="24"/>
          <w:szCs w:val="24"/>
        </w:rPr>
        <w:t>-</w:t>
      </w:r>
      <w:r>
        <w:rPr>
          <w:rFonts w:ascii="宋体" w:hAnsi="宋体" w:eastAsia="宋体" w:cs="宋体"/>
          <w:spacing w:val="1"/>
          <w:sz w:val="24"/>
          <w:szCs w:val="24"/>
        </w:rPr>
        <w:t>邵阳保留区，起始断面为隆回县</w:t>
      </w:r>
      <w:r>
        <w:rPr>
          <w:rFonts w:ascii="宋体" w:hAnsi="宋体" w:eastAsia="宋体" w:cs="宋体"/>
          <w:sz w:val="24"/>
          <w:szCs w:val="24"/>
        </w:rPr>
        <w:t>元木山电站，终止断面为</w:t>
      </w:r>
      <w:r>
        <w:rPr>
          <w:rFonts w:ascii="宋体" w:hAnsi="宋体" w:eastAsia="宋体" w:cs="宋体"/>
          <w:spacing w:val="-1"/>
          <w:sz w:val="24"/>
          <w:szCs w:val="24"/>
        </w:rPr>
        <w:t>邵阳市北塔区何家垸子，全长</w:t>
      </w:r>
      <w:r>
        <w:rPr>
          <w:rFonts w:ascii="Times New Roman" w:hAnsi="Times New Roman" w:eastAsia="Times New Roman" w:cs="Times New Roman"/>
          <w:spacing w:val="-1"/>
          <w:sz w:val="24"/>
          <w:szCs w:val="24"/>
        </w:rPr>
        <w:t>80.1km</w:t>
      </w:r>
      <w:r>
        <w:rPr>
          <w:rFonts w:ascii="宋体" w:hAnsi="宋体" w:eastAsia="宋体" w:cs="宋体"/>
          <w:spacing w:val="-1"/>
          <w:sz w:val="24"/>
          <w:szCs w:val="24"/>
        </w:rPr>
        <w:t>。根据《邵阳市水功能区划》，水质目标为《地表水环境质量标准》（</w:t>
      </w:r>
      <w:r>
        <w:rPr>
          <w:rFonts w:ascii="Times New Roman" w:hAnsi="Times New Roman" w:eastAsia="Times New Roman" w:cs="Times New Roman"/>
          <w:spacing w:val="-1"/>
          <w:sz w:val="24"/>
          <w:szCs w:val="24"/>
        </w:rPr>
        <w:t>GB3838-2002</w:t>
      </w:r>
      <w:r>
        <w:rPr>
          <w:rFonts w:ascii="宋体" w:hAnsi="宋体" w:eastAsia="宋体" w:cs="宋体"/>
          <w:spacing w:val="-2"/>
          <w:sz w:val="24"/>
          <w:szCs w:val="24"/>
        </w:rPr>
        <w:t>）中</w:t>
      </w:r>
      <w:r>
        <w:rPr>
          <w:rFonts w:ascii="Times New Roman" w:hAnsi="Times New Roman" w:eastAsia="Times New Roman" w:cs="Times New Roman"/>
          <w:spacing w:val="-2"/>
          <w:sz w:val="24"/>
          <w:szCs w:val="24"/>
        </w:rPr>
        <w:t>Ⅲ</w:t>
      </w:r>
      <w:r>
        <w:rPr>
          <w:rFonts w:ascii="宋体" w:hAnsi="宋体" w:eastAsia="宋体" w:cs="宋体"/>
          <w:spacing w:val="-2"/>
          <w:sz w:val="24"/>
          <w:szCs w:val="24"/>
        </w:rPr>
        <w:t>类标准，但论证范围内的隆回县元</w:t>
      </w:r>
      <w:r>
        <w:rPr>
          <w:rFonts w:ascii="宋体" w:hAnsi="宋体" w:eastAsia="宋体" w:cs="宋体"/>
          <w:sz w:val="24"/>
          <w:szCs w:val="24"/>
        </w:rPr>
        <w:t>木山断面和邵阳县渡头村断面现状考核目标为年度平均达</w:t>
      </w:r>
      <w:r>
        <w:rPr>
          <w:rFonts w:ascii="宋体" w:hAnsi="宋体" w:eastAsia="宋体" w:cs="宋体"/>
          <w:spacing w:val="-1"/>
          <w:sz w:val="24"/>
          <w:szCs w:val="24"/>
        </w:rPr>
        <w:t>到</w:t>
      </w:r>
      <w:r>
        <w:rPr>
          <w:rFonts w:ascii="Times New Roman" w:hAnsi="Times New Roman" w:eastAsia="Times New Roman" w:cs="Times New Roman"/>
          <w:spacing w:val="-1"/>
          <w:sz w:val="24"/>
          <w:szCs w:val="24"/>
        </w:rPr>
        <w:t>II</w:t>
      </w:r>
      <w:r>
        <w:rPr>
          <w:rFonts w:ascii="宋体" w:hAnsi="宋体" w:eastAsia="宋体" w:cs="宋体"/>
          <w:spacing w:val="-1"/>
          <w:sz w:val="24"/>
          <w:szCs w:val="24"/>
        </w:rPr>
        <w:t>类。</w:t>
      </w:r>
    </w:p>
    <w:p w14:paraId="086AC628">
      <w:pPr>
        <w:spacing w:before="1" w:line="360" w:lineRule="auto"/>
        <w:ind w:left="16" w:right="96" w:firstLine="477"/>
        <w:jc w:val="both"/>
        <w:rPr>
          <w:rFonts w:ascii="宋体" w:hAnsi="宋体" w:eastAsia="宋体" w:cs="宋体"/>
          <w:sz w:val="24"/>
          <w:szCs w:val="24"/>
        </w:rPr>
      </w:pPr>
      <w:r>
        <w:rPr>
          <w:rFonts w:ascii="宋体" w:hAnsi="宋体" w:eastAsia="宋体" w:cs="宋体"/>
          <w:spacing w:val="3"/>
          <w:sz w:val="24"/>
          <w:szCs w:val="24"/>
        </w:rPr>
        <w:t>本次隆回工业污水处理厂（二期）工程的尾水沿用一期工程已建</w:t>
      </w:r>
      <w:r>
        <w:rPr>
          <w:rFonts w:ascii="宋体" w:hAnsi="宋体" w:eastAsia="宋体" w:cs="宋体"/>
          <w:spacing w:val="2"/>
          <w:sz w:val="24"/>
          <w:szCs w:val="24"/>
        </w:rPr>
        <w:t>好尾水排放</w:t>
      </w:r>
      <w:r>
        <w:rPr>
          <w:rFonts w:ascii="宋体" w:hAnsi="宋体" w:eastAsia="宋体" w:cs="宋体"/>
          <w:spacing w:val="-2"/>
          <w:sz w:val="24"/>
          <w:szCs w:val="24"/>
        </w:rPr>
        <w:t>管，尾水接入排水专管后在元木山电站下游约</w:t>
      </w:r>
      <w:r>
        <w:rPr>
          <w:rFonts w:ascii="Times New Roman" w:hAnsi="Times New Roman" w:eastAsia="Times New Roman" w:cs="Times New Roman"/>
          <w:spacing w:val="-2"/>
          <w:sz w:val="24"/>
          <w:szCs w:val="24"/>
        </w:rPr>
        <w:t>2.8m</w:t>
      </w:r>
      <w:r>
        <w:rPr>
          <w:rFonts w:ascii="宋体" w:hAnsi="宋体" w:eastAsia="宋体" w:cs="宋体"/>
          <w:spacing w:val="-2"/>
          <w:sz w:val="24"/>
          <w:szCs w:val="24"/>
        </w:rPr>
        <w:t>处排入赧水，因此纳污水体水功能区类别保持不变。</w:t>
      </w:r>
    </w:p>
    <w:p w14:paraId="0F365093">
      <w:pPr>
        <w:spacing w:before="2" w:line="220" w:lineRule="auto"/>
        <w:ind w:left="9"/>
        <w:outlineLvl w:val="1"/>
        <w:rPr>
          <w:rFonts w:ascii="宋体" w:hAnsi="宋体" w:eastAsia="宋体" w:cs="宋体"/>
          <w:sz w:val="28"/>
          <w:szCs w:val="28"/>
        </w:rPr>
      </w:pPr>
      <w:bookmarkStart w:id="20" w:name="bookmark20"/>
      <w:bookmarkEnd w:id="20"/>
      <w:r>
        <w:rPr>
          <w:rFonts w:ascii="Times New Roman" w:hAnsi="Times New Roman" w:eastAsia="Times New Roman" w:cs="Times New Roman"/>
          <w:b/>
          <w:bCs/>
          <w:spacing w:val="-2"/>
          <w:sz w:val="28"/>
          <w:szCs w:val="28"/>
        </w:rPr>
        <w:t>4.2</w:t>
      </w:r>
      <w:r>
        <w:rPr>
          <w:rFonts w:ascii="宋体" w:hAnsi="宋体" w:eastAsia="宋体" w:cs="宋体"/>
          <w:b/>
          <w:bCs/>
          <w:spacing w:val="-2"/>
          <w:sz w:val="28"/>
          <w:szCs w:val="28"/>
        </w:rPr>
        <w:t>现有取排水现状</w:t>
      </w:r>
    </w:p>
    <w:p w14:paraId="05B66ED9">
      <w:pPr>
        <w:spacing w:before="206" w:line="219" w:lineRule="auto"/>
        <w:ind w:left="8"/>
        <w:outlineLvl w:val="2"/>
        <w:rPr>
          <w:rFonts w:ascii="宋体" w:hAnsi="宋体" w:eastAsia="宋体" w:cs="宋体"/>
          <w:sz w:val="24"/>
          <w:szCs w:val="24"/>
        </w:rPr>
      </w:pPr>
      <w:r>
        <w:rPr>
          <w:rFonts w:ascii="Times New Roman" w:hAnsi="Times New Roman" w:eastAsia="Times New Roman" w:cs="Times New Roman"/>
          <w:b/>
          <w:bCs/>
          <w:spacing w:val="-2"/>
          <w:sz w:val="24"/>
          <w:szCs w:val="24"/>
        </w:rPr>
        <w:t>4.2.1</w:t>
      </w:r>
      <w:r>
        <w:rPr>
          <w:rFonts w:ascii="宋体" w:hAnsi="宋体" w:eastAsia="宋体" w:cs="宋体"/>
          <w:b/>
          <w:bCs/>
          <w:spacing w:val="-2"/>
          <w:sz w:val="24"/>
          <w:szCs w:val="24"/>
        </w:rPr>
        <w:t>取水现状</w:t>
      </w:r>
    </w:p>
    <w:p w14:paraId="49A192DB">
      <w:pPr>
        <w:spacing w:before="182" w:line="359" w:lineRule="auto"/>
        <w:ind w:left="11" w:right="96" w:firstLine="481"/>
        <w:jc w:val="both"/>
        <w:rPr>
          <w:rFonts w:ascii="宋体" w:hAnsi="宋体" w:eastAsia="宋体" w:cs="宋体"/>
          <w:sz w:val="24"/>
          <w:szCs w:val="24"/>
        </w:rPr>
      </w:pPr>
      <w:r>
        <w:rPr>
          <w:rFonts w:ascii="宋体" w:hAnsi="宋体" w:eastAsia="宋体" w:cs="宋体"/>
          <w:spacing w:val="3"/>
          <w:sz w:val="24"/>
          <w:szCs w:val="24"/>
        </w:rPr>
        <w:t>本次对论证河段的取水情况进行现状调查，论证河段范围</w:t>
      </w:r>
      <w:r>
        <w:rPr>
          <w:rFonts w:ascii="宋体" w:hAnsi="宋体" w:eastAsia="宋体" w:cs="宋体"/>
          <w:spacing w:val="2"/>
          <w:sz w:val="24"/>
          <w:szCs w:val="24"/>
        </w:rPr>
        <w:t>内（赧水河隆回县</w:t>
      </w:r>
      <w:r>
        <w:rPr>
          <w:rFonts w:ascii="宋体" w:hAnsi="宋体" w:eastAsia="宋体" w:cs="宋体"/>
          <w:spacing w:val="-4"/>
          <w:sz w:val="24"/>
          <w:szCs w:val="24"/>
        </w:rPr>
        <w:t>元木山水电站至邵阳县渡头村断面（出境断面）全长约</w:t>
      </w:r>
      <w:r>
        <w:rPr>
          <w:rFonts w:ascii="Times New Roman" w:hAnsi="Times New Roman" w:eastAsia="Times New Roman" w:cs="Times New Roman"/>
          <w:spacing w:val="-4"/>
          <w:sz w:val="24"/>
          <w:szCs w:val="24"/>
        </w:rPr>
        <w:t>9km</w:t>
      </w:r>
      <w:r>
        <w:rPr>
          <w:rFonts w:ascii="宋体" w:hAnsi="宋体" w:eastAsia="宋体" w:cs="宋体"/>
          <w:spacing w:val="-4"/>
          <w:sz w:val="24"/>
          <w:szCs w:val="24"/>
        </w:rPr>
        <w:t>）集中饮用水取水口</w:t>
      </w:r>
      <w:r>
        <w:rPr>
          <w:rFonts w:ascii="Times New Roman" w:hAnsi="Times New Roman" w:eastAsia="Times New Roman" w:cs="Times New Roman"/>
          <w:spacing w:val="-4"/>
          <w:sz w:val="24"/>
          <w:szCs w:val="24"/>
        </w:rPr>
        <w:t>1</w:t>
      </w:r>
      <w:r>
        <w:rPr>
          <w:rFonts w:ascii="宋体" w:hAnsi="宋体" w:eastAsia="宋体" w:cs="宋体"/>
          <w:spacing w:val="-2"/>
          <w:sz w:val="24"/>
          <w:szCs w:val="24"/>
        </w:rPr>
        <w:t>个（邵阳县长乐乡千吨万人取水口，元木山水电站下游约</w:t>
      </w:r>
      <w:r>
        <w:rPr>
          <w:rFonts w:ascii="Times New Roman" w:hAnsi="Times New Roman" w:eastAsia="Times New Roman" w:cs="Times New Roman"/>
          <w:spacing w:val="-2"/>
          <w:sz w:val="24"/>
          <w:szCs w:val="24"/>
        </w:rPr>
        <w:t>7.5km</w:t>
      </w:r>
      <w:r>
        <w:rPr>
          <w:rFonts w:ascii="宋体" w:hAnsi="宋体" w:eastAsia="宋体" w:cs="宋体"/>
          <w:spacing w:val="-15"/>
          <w:sz w:val="24"/>
          <w:szCs w:val="24"/>
        </w:rPr>
        <w:t>），</w:t>
      </w:r>
      <w:r>
        <w:rPr>
          <w:rFonts w:ascii="宋体" w:hAnsi="宋体" w:eastAsia="宋体" w:cs="宋体"/>
          <w:spacing w:val="-2"/>
          <w:sz w:val="24"/>
          <w:szCs w:val="24"/>
        </w:rPr>
        <w:t>农田灌溉取水</w:t>
      </w:r>
      <w:r>
        <w:rPr>
          <w:rFonts w:ascii="宋体" w:hAnsi="宋体" w:eastAsia="宋体" w:cs="宋体"/>
          <w:spacing w:val="2"/>
          <w:sz w:val="24"/>
          <w:szCs w:val="24"/>
        </w:rPr>
        <w:t>口</w:t>
      </w:r>
      <w:r>
        <w:rPr>
          <w:rFonts w:ascii="Times New Roman" w:hAnsi="Times New Roman" w:eastAsia="Times New Roman" w:cs="Times New Roman"/>
          <w:spacing w:val="2"/>
          <w:sz w:val="24"/>
          <w:szCs w:val="24"/>
        </w:rPr>
        <w:t>7</w:t>
      </w:r>
      <w:r>
        <w:rPr>
          <w:rFonts w:ascii="宋体" w:hAnsi="宋体" w:eastAsia="宋体" w:cs="宋体"/>
          <w:spacing w:val="2"/>
          <w:sz w:val="24"/>
          <w:szCs w:val="24"/>
        </w:rPr>
        <w:t>个（北山镇大院村、莫家村、易阳村、杨田村、观音塘村；山界回族自治乡红星村、落马井村</w:t>
      </w:r>
      <w:r>
        <w:rPr>
          <w:rFonts w:ascii="宋体" w:hAnsi="宋体" w:eastAsia="宋体" w:cs="宋体"/>
          <w:spacing w:val="15"/>
          <w:sz w:val="24"/>
          <w:szCs w:val="24"/>
        </w:rPr>
        <w:t>），</w:t>
      </w:r>
      <w:r>
        <w:rPr>
          <w:rFonts w:ascii="宋体" w:hAnsi="宋体" w:eastAsia="宋体" w:cs="宋体"/>
          <w:spacing w:val="2"/>
          <w:sz w:val="24"/>
          <w:szCs w:val="24"/>
        </w:rPr>
        <w:t>无其他对水质有特殊的要求取水口。范围内水质年度平均</w:t>
      </w:r>
      <w:r>
        <w:rPr>
          <w:rFonts w:ascii="宋体" w:hAnsi="宋体" w:eastAsia="宋体" w:cs="宋体"/>
          <w:spacing w:val="-2"/>
          <w:sz w:val="24"/>
          <w:szCs w:val="24"/>
        </w:rPr>
        <w:t>达到《地表水环境质量标准》（</w:t>
      </w:r>
      <w:r>
        <w:rPr>
          <w:rFonts w:ascii="Times New Roman" w:hAnsi="Times New Roman" w:eastAsia="Times New Roman" w:cs="Times New Roman"/>
          <w:spacing w:val="-2"/>
          <w:sz w:val="24"/>
          <w:szCs w:val="24"/>
        </w:rPr>
        <w:t>GB3838-2002</w:t>
      </w:r>
      <w:r>
        <w:rPr>
          <w:rFonts w:ascii="宋体" w:hAnsi="宋体" w:eastAsia="宋体" w:cs="宋体"/>
          <w:spacing w:val="-2"/>
          <w:sz w:val="24"/>
          <w:szCs w:val="24"/>
        </w:rPr>
        <w:t>）中Ⅱ类标准，完全满足工业及农业灌溉水质要求。</w:t>
      </w:r>
    </w:p>
    <w:p w14:paraId="0B0B90F3">
      <w:pPr>
        <w:spacing w:line="219" w:lineRule="auto"/>
        <w:ind w:left="8"/>
        <w:outlineLvl w:val="2"/>
        <w:rPr>
          <w:rFonts w:ascii="宋体" w:hAnsi="宋体" w:eastAsia="宋体" w:cs="宋体"/>
          <w:sz w:val="24"/>
          <w:szCs w:val="24"/>
        </w:rPr>
      </w:pPr>
      <w:r>
        <w:rPr>
          <w:rFonts w:ascii="Times New Roman" w:hAnsi="Times New Roman" w:eastAsia="Times New Roman" w:cs="Times New Roman"/>
          <w:b/>
          <w:bCs/>
          <w:spacing w:val="-2"/>
          <w:sz w:val="24"/>
          <w:szCs w:val="24"/>
        </w:rPr>
        <w:t>4.2.2</w:t>
      </w:r>
      <w:r>
        <w:rPr>
          <w:rFonts w:ascii="宋体" w:hAnsi="宋体" w:eastAsia="宋体" w:cs="宋体"/>
          <w:b/>
          <w:bCs/>
          <w:spacing w:val="-2"/>
          <w:sz w:val="24"/>
          <w:szCs w:val="24"/>
        </w:rPr>
        <w:t>排水现状</w:t>
      </w:r>
    </w:p>
    <w:p w14:paraId="20119F59">
      <w:pPr>
        <w:spacing w:before="183" w:line="219" w:lineRule="auto"/>
        <w:ind w:left="493"/>
        <w:rPr>
          <w:rFonts w:ascii="宋体" w:hAnsi="宋体" w:eastAsia="宋体" w:cs="宋体"/>
          <w:sz w:val="24"/>
          <w:szCs w:val="24"/>
        </w:rPr>
      </w:pPr>
      <w:r>
        <w:rPr>
          <w:rFonts w:ascii="宋体" w:hAnsi="宋体" w:eastAsia="宋体" w:cs="宋体"/>
          <w:sz w:val="24"/>
          <w:szCs w:val="24"/>
        </w:rPr>
        <w:t>本工程论证范围的水体内水功能区无其他现有</w:t>
      </w:r>
      <w:r>
        <w:rPr>
          <w:rFonts w:ascii="宋体" w:hAnsi="宋体" w:eastAsia="宋体" w:cs="宋体"/>
          <w:spacing w:val="-1"/>
          <w:sz w:val="24"/>
          <w:szCs w:val="24"/>
        </w:rPr>
        <w:t>、在建、拟建入河排污口。</w:t>
      </w:r>
    </w:p>
    <w:p w14:paraId="424D1CA8">
      <w:pPr>
        <w:spacing w:before="187" w:line="220" w:lineRule="auto"/>
        <w:ind w:left="9"/>
        <w:outlineLvl w:val="1"/>
        <w:rPr>
          <w:rFonts w:ascii="宋体" w:hAnsi="宋体" w:eastAsia="宋体" w:cs="宋体"/>
          <w:sz w:val="28"/>
          <w:szCs w:val="28"/>
        </w:rPr>
      </w:pPr>
      <w:bookmarkStart w:id="21" w:name="bookmark21"/>
      <w:bookmarkEnd w:id="21"/>
      <w:r>
        <w:rPr>
          <w:rFonts w:ascii="Times New Roman" w:hAnsi="Times New Roman" w:eastAsia="Times New Roman" w:cs="Times New Roman"/>
          <w:b/>
          <w:bCs/>
          <w:spacing w:val="-2"/>
          <w:sz w:val="28"/>
          <w:szCs w:val="28"/>
        </w:rPr>
        <w:t>4.3</w:t>
      </w:r>
      <w:r>
        <w:rPr>
          <w:rFonts w:ascii="宋体" w:hAnsi="宋体" w:eastAsia="宋体" w:cs="宋体"/>
          <w:b/>
          <w:bCs/>
          <w:spacing w:val="-2"/>
          <w:sz w:val="28"/>
          <w:szCs w:val="28"/>
        </w:rPr>
        <w:t>水环境状况调查分析</w:t>
      </w:r>
    </w:p>
    <w:p w14:paraId="662D5297">
      <w:pPr>
        <w:spacing w:before="205" w:line="218" w:lineRule="auto"/>
        <w:ind w:left="8"/>
        <w:outlineLvl w:val="2"/>
        <w:rPr>
          <w:rFonts w:ascii="宋体" w:hAnsi="宋体" w:eastAsia="宋体" w:cs="宋体"/>
          <w:sz w:val="24"/>
          <w:szCs w:val="24"/>
        </w:rPr>
      </w:pPr>
      <w:r>
        <w:rPr>
          <w:rFonts w:ascii="Times New Roman" w:hAnsi="Times New Roman" w:eastAsia="Times New Roman" w:cs="Times New Roman"/>
          <w:b/>
          <w:bCs/>
          <w:spacing w:val="-2"/>
          <w:sz w:val="24"/>
          <w:szCs w:val="24"/>
        </w:rPr>
        <w:t>4.3.1</w:t>
      </w:r>
      <w:r>
        <w:rPr>
          <w:rFonts w:ascii="宋体" w:hAnsi="宋体" w:eastAsia="宋体" w:cs="宋体"/>
          <w:b/>
          <w:bCs/>
          <w:spacing w:val="-2"/>
          <w:sz w:val="24"/>
          <w:szCs w:val="24"/>
        </w:rPr>
        <w:t>水质现状评价范围</w:t>
      </w:r>
    </w:p>
    <w:p w14:paraId="14AB4FC1">
      <w:pPr>
        <w:spacing w:before="183" w:line="360" w:lineRule="auto"/>
        <w:ind w:left="21" w:right="96" w:firstLine="471"/>
        <w:rPr>
          <w:rFonts w:ascii="宋体" w:hAnsi="宋体" w:eastAsia="宋体" w:cs="宋体"/>
          <w:sz w:val="24"/>
          <w:szCs w:val="24"/>
        </w:rPr>
      </w:pPr>
      <w:r>
        <w:rPr>
          <w:rFonts w:ascii="宋体" w:hAnsi="宋体" w:eastAsia="宋体" w:cs="宋体"/>
          <w:spacing w:val="3"/>
          <w:sz w:val="24"/>
          <w:szCs w:val="24"/>
        </w:rPr>
        <w:t>本次论证水质现状评价范围为：赧水河隆回县元木山水电站至邵</w:t>
      </w:r>
      <w:r>
        <w:rPr>
          <w:rFonts w:ascii="宋体" w:hAnsi="宋体" w:eastAsia="宋体" w:cs="宋体"/>
          <w:spacing w:val="2"/>
          <w:sz w:val="24"/>
          <w:szCs w:val="24"/>
        </w:rPr>
        <w:t>阳县渡头村</w:t>
      </w:r>
      <w:r>
        <w:rPr>
          <w:rFonts w:ascii="宋体" w:hAnsi="宋体" w:eastAsia="宋体" w:cs="宋体"/>
          <w:spacing w:val="-3"/>
          <w:sz w:val="24"/>
          <w:szCs w:val="24"/>
        </w:rPr>
        <w:t>断面（出境断面</w:t>
      </w:r>
      <w:r>
        <w:rPr>
          <w:rFonts w:ascii="宋体" w:hAnsi="宋体" w:eastAsia="宋体" w:cs="宋体"/>
          <w:spacing w:val="6"/>
          <w:sz w:val="24"/>
          <w:szCs w:val="24"/>
        </w:rPr>
        <w:t>），</w:t>
      </w:r>
      <w:r>
        <w:rPr>
          <w:rFonts w:ascii="宋体" w:hAnsi="宋体" w:eastAsia="宋体" w:cs="宋体"/>
          <w:spacing w:val="-3"/>
          <w:sz w:val="24"/>
          <w:szCs w:val="24"/>
        </w:rPr>
        <w:t>全长约</w:t>
      </w:r>
      <w:r>
        <w:rPr>
          <w:rFonts w:ascii="Times New Roman" w:hAnsi="Times New Roman" w:eastAsia="Times New Roman" w:cs="Times New Roman"/>
          <w:spacing w:val="-3"/>
          <w:sz w:val="24"/>
          <w:szCs w:val="24"/>
        </w:rPr>
        <w:t>9km</w:t>
      </w:r>
      <w:r>
        <w:rPr>
          <w:rFonts w:ascii="宋体" w:hAnsi="宋体" w:eastAsia="宋体" w:cs="宋体"/>
          <w:spacing w:val="-3"/>
          <w:sz w:val="24"/>
          <w:szCs w:val="24"/>
        </w:rPr>
        <w:t>。</w:t>
      </w:r>
    </w:p>
    <w:p w14:paraId="724AA183">
      <w:pPr>
        <w:spacing w:before="1" w:line="217" w:lineRule="auto"/>
        <w:ind w:left="8"/>
        <w:outlineLvl w:val="2"/>
        <w:rPr>
          <w:rFonts w:ascii="宋体" w:hAnsi="宋体" w:eastAsia="宋体" w:cs="宋体"/>
          <w:sz w:val="24"/>
          <w:szCs w:val="24"/>
        </w:rPr>
      </w:pPr>
      <w:r>
        <w:rPr>
          <w:rFonts w:ascii="Times New Roman" w:hAnsi="Times New Roman" w:eastAsia="Times New Roman" w:cs="Times New Roman"/>
          <w:b/>
          <w:bCs/>
          <w:spacing w:val="-2"/>
          <w:sz w:val="24"/>
          <w:szCs w:val="24"/>
        </w:rPr>
        <w:t>4.3.2</w:t>
      </w:r>
      <w:r>
        <w:rPr>
          <w:rFonts w:ascii="宋体" w:hAnsi="宋体" w:eastAsia="宋体" w:cs="宋体"/>
          <w:b/>
          <w:bCs/>
          <w:spacing w:val="-2"/>
          <w:sz w:val="24"/>
          <w:szCs w:val="24"/>
        </w:rPr>
        <w:t>水质评价标准</w:t>
      </w:r>
    </w:p>
    <w:p w14:paraId="7D4BD0C6">
      <w:pPr>
        <w:spacing w:before="182" w:line="219" w:lineRule="auto"/>
        <w:jc w:val="right"/>
        <w:rPr>
          <w:rFonts w:ascii="宋体" w:hAnsi="宋体" w:eastAsia="宋体" w:cs="宋体"/>
          <w:sz w:val="24"/>
          <w:szCs w:val="24"/>
        </w:rPr>
      </w:pPr>
      <w:r>
        <w:rPr>
          <w:rFonts w:ascii="宋体" w:hAnsi="宋体" w:eastAsia="宋体" w:cs="宋体"/>
          <w:spacing w:val="-17"/>
          <w:sz w:val="24"/>
          <w:szCs w:val="24"/>
        </w:rPr>
        <w:t>根据《邵阳市水功能区划》，水质目标为《地表水环境质量标准》（</w:t>
      </w:r>
      <w:r>
        <w:rPr>
          <w:rFonts w:ascii="Times New Roman" w:hAnsi="Times New Roman" w:eastAsia="Times New Roman" w:cs="Times New Roman"/>
          <w:spacing w:val="-17"/>
          <w:sz w:val="24"/>
          <w:szCs w:val="24"/>
        </w:rPr>
        <w:t>GB3838-2002</w:t>
      </w:r>
      <w:r>
        <w:rPr>
          <w:rFonts w:ascii="宋体" w:hAnsi="宋体" w:eastAsia="宋体" w:cs="宋体"/>
          <w:spacing w:val="-17"/>
          <w:sz w:val="24"/>
          <w:szCs w:val="24"/>
        </w:rPr>
        <w:t>）</w:t>
      </w:r>
    </w:p>
    <w:p w14:paraId="467664C1">
      <w:pPr>
        <w:spacing w:line="219" w:lineRule="auto"/>
        <w:rPr>
          <w:rFonts w:ascii="宋体" w:hAnsi="宋体" w:eastAsia="宋体" w:cs="宋体"/>
          <w:sz w:val="24"/>
          <w:szCs w:val="24"/>
        </w:rPr>
        <w:sectPr>
          <w:headerReference r:id="rId63" w:type="default"/>
          <w:footerReference r:id="rId64" w:type="default"/>
          <w:pgSz w:w="11907" w:h="16840"/>
          <w:pgMar w:top="1132" w:right="1603" w:bottom="1259" w:left="1698" w:header="829" w:footer="1097" w:gutter="0"/>
          <w:cols w:space="720" w:num="1"/>
        </w:sectPr>
      </w:pPr>
    </w:p>
    <w:p w14:paraId="6EE619B4">
      <w:pPr>
        <w:pStyle w:val="2"/>
        <w:spacing w:line="241" w:lineRule="auto"/>
      </w:pPr>
    </w:p>
    <w:p w14:paraId="09F645AC">
      <w:pPr>
        <w:spacing w:before="78" w:line="359" w:lineRule="auto"/>
        <w:ind w:left="133" w:right="123" w:firstLine="21"/>
        <w:rPr>
          <w:rFonts w:ascii="宋体" w:hAnsi="宋体" w:eastAsia="宋体" w:cs="宋体"/>
          <w:sz w:val="24"/>
          <w:szCs w:val="24"/>
        </w:rPr>
      </w:pPr>
      <w:r>
        <w:rPr>
          <w:rFonts w:ascii="宋体" w:hAnsi="宋体" w:eastAsia="宋体" w:cs="宋体"/>
          <w:spacing w:val="2"/>
          <w:sz w:val="24"/>
          <w:szCs w:val="24"/>
        </w:rPr>
        <w:t>中Ⅲ类标准，但论证范围内的隆回县元木山断面和邵阳县渡头村断面现状考核目</w:t>
      </w:r>
      <w:r>
        <w:rPr>
          <w:rFonts w:ascii="宋体" w:hAnsi="宋体" w:eastAsia="宋体" w:cs="宋体"/>
          <w:spacing w:val="-2"/>
          <w:sz w:val="24"/>
          <w:szCs w:val="24"/>
        </w:rPr>
        <w:t>标为年度平均达到</w:t>
      </w:r>
      <w:r>
        <w:rPr>
          <w:rFonts w:ascii="Times New Roman" w:hAnsi="Times New Roman" w:eastAsia="Times New Roman" w:cs="Times New Roman"/>
          <w:spacing w:val="-2"/>
          <w:sz w:val="24"/>
          <w:szCs w:val="24"/>
        </w:rPr>
        <w:t>II</w:t>
      </w:r>
      <w:r>
        <w:rPr>
          <w:rFonts w:ascii="宋体" w:hAnsi="宋体" w:eastAsia="宋体" w:cs="宋体"/>
          <w:spacing w:val="-2"/>
          <w:sz w:val="24"/>
          <w:szCs w:val="24"/>
        </w:rPr>
        <w:t>类。</w:t>
      </w:r>
    </w:p>
    <w:p w14:paraId="73F99D34">
      <w:pPr>
        <w:spacing w:line="210" w:lineRule="auto"/>
        <w:ind w:left="613"/>
        <w:rPr>
          <w:rFonts w:ascii="宋体" w:hAnsi="宋体" w:eastAsia="宋体" w:cs="宋体"/>
          <w:sz w:val="24"/>
          <w:szCs w:val="24"/>
        </w:rPr>
      </w:pPr>
      <w:r>
        <w:rPr>
          <w:rFonts w:ascii="宋体" w:hAnsi="宋体" w:eastAsia="宋体" w:cs="宋体"/>
          <w:sz w:val="24"/>
          <w:szCs w:val="24"/>
        </w:rPr>
        <w:t>本次按《地表水环境质量标准》</w:t>
      </w:r>
      <w:r>
        <w:rPr>
          <w:rFonts w:ascii="Times New Roman" w:hAnsi="Times New Roman" w:eastAsia="Times New Roman" w:cs="Times New Roman"/>
          <w:sz w:val="24"/>
          <w:szCs w:val="24"/>
        </w:rPr>
        <w:t>(GB3838-200</w:t>
      </w:r>
      <w:r>
        <w:rPr>
          <w:rFonts w:ascii="Times New Roman" w:hAnsi="Times New Roman" w:eastAsia="Times New Roman" w:cs="Times New Roman"/>
          <w:spacing w:val="-1"/>
          <w:sz w:val="24"/>
          <w:szCs w:val="24"/>
        </w:rPr>
        <w:t>2)</w:t>
      </w:r>
      <w:r>
        <w:rPr>
          <w:rFonts w:ascii="宋体" w:hAnsi="宋体" w:eastAsia="宋体" w:cs="宋体"/>
          <w:spacing w:val="-1"/>
          <w:sz w:val="24"/>
          <w:szCs w:val="24"/>
        </w:rPr>
        <w:t>中Ⅱ类水质标准进行评价。</w:t>
      </w:r>
    </w:p>
    <w:p w14:paraId="35A4E155">
      <w:pPr>
        <w:spacing w:before="191" w:line="219" w:lineRule="auto"/>
        <w:ind w:left="129"/>
        <w:outlineLvl w:val="2"/>
        <w:rPr>
          <w:rFonts w:ascii="宋体" w:hAnsi="宋体" w:eastAsia="宋体" w:cs="宋体"/>
          <w:sz w:val="24"/>
          <w:szCs w:val="24"/>
        </w:rPr>
      </w:pPr>
      <w:r>
        <w:rPr>
          <w:rFonts w:ascii="Times New Roman" w:hAnsi="Times New Roman" w:eastAsia="Times New Roman" w:cs="Times New Roman"/>
          <w:b/>
          <w:bCs/>
          <w:spacing w:val="-2"/>
          <w:sz w:val="24"/>
          <w:szCs w:val="24"/>
        </w:rPr>
        <w:t>4.3.3</w:t>
      </w:r>
      <w:r>
        <w:rPr>
          <w:rFonts w:ascii="宋体" w:hAnsi="宋体" w:eastAsia="宋体" w:cs="宋体"/>
          <w:b/>
          <w:bCs/>
          <w:spacing w:val="-2"/>
          <w:sz w:val="24"/>
          <w:szCs w:val="24"/>
        </w:rPr>
        <w:t>水质监测断面的布设</w:t>
      </w:r>
    </w:p>
    <w:p w14:paraId="4BE41F22">
      <w:pPr>
        <w:spacing w:before="184" w:line="219" w:lineRule="auto"/>
        <w:ind w:left="623"/>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1</w:t>
      </w:r>
      <w:r>
        <w:rPr>
          <w:rFonts w:ascii="宋体" w:hAnsi="宋体" w:eastAsia="宋体" w:cs="宋体"/>
          <w:b/>
          <w:bCs/>
          <w:spacing w:val="-5"/>
          <w:sz w:val="24"/>
          <w:szCs w:val="24"/>
        </w:rPr>
        <w:t>）常规监测断面</w:t>
      </w:r>
    </w:p>
    <w:p w14:paraId="3C9CDD80">
      <w:pPr>
        <w:spacing w:before="181" w:line="358" w:lineRule="auto"/>
        <w:ind w:left="132" w:right="121" w:firstLine="482"/>
        <w:jc w:val="both"/>
        <w:rPr>
          <w:rFonts w:ascii="宋体" w:hAnsi="宋体" w:eastAsia="宋体" w:cs="宋体"/>
          <w:sz w:val="24"/>
          <w:szCs w:val="24"/>
        </w:rPr>
      </w:pPr>
      <w:r>
        <w:rPr>
          <w:rFonts w:ascii="宋体" w:hAnsi="宋体" w:eastAsia="宋体" w:cs="宋体"/>
          <w:spacing w:val="3"/>
          <w:sz w:val="24"/>
          <w:szCs w:val="24"/>
        </w:rPr>
        <w:t>水质监测断面优先采用国家和省（市）对相关水域的常规监</w:t>
      </w:r>
      <w:r>
        <w:rPr>
          <w:rFonts w:ascii="宋体" w:hAnsi="宋体" w:eastAsia="宋体" w:cs="宋体"/>
          <w:spacing w:val="2"/>
          <w:sz w:val="24"/>
          <w:szCs w:val="24"/>
        </w:rPr>
        <w:t>测断面，本入河</w:t>
      </w:r>
      <w:r>
        <w:rPr>
          <w:rFonts w:ascii="宋体" w:hAnsi="宋体" w:eastAsia="宋体" w:cs="宋体"/>
          <w:spacing w:val="-1"/>
          <w:sz w:val="24"/>
          <w:szCs w:val="24"/>
        </w:rPr>
        <w:t>排污口最近的控制断面为上游</w:t>
      </w:r>
      <w:r>
        <w:rPr>
          <w:rFonts w:ascii="Times New Roman" w:hAnsi="Times New Roman" w:eastAsia="Times New Roman" w:cs="Times New Roman"/>
          <w:spacing w:val="-1"/>
          <w:sz w:val="24"/>
          <w:szCs w:val="24"/>
        </w:rPr>
        <w:t>15km</w:t>
      </w:r>
      <w:r>
        <w:rPr>
          <w:rFonts w:ascii="宋体" w:hAnsi="宋体" w:eastAsia="宋体" w:cs="宋体"/>
          <w:spacing w:val="-1"/>
          <w:sz w:val="24"/>
          <w:szCs w:val="24"/>
        </w:rPr>
        <w:t>的隆回县水厂断面、下游</w:t>
      </w:r>
      <w:r>
        <w:rPr>
          <w:rFonts w:ascii="Times New Roman" w:hAnsi="Times New Roman" w:eastAsia="Times New Roman" w:cs="Times New Roman"/>
          <w:spacing w:val="-1"/>
          <w:sz w:val="24"/>
          <w:szCs w:val="24"/>
        </w:rPr>
        <w:t>1050m</w:t>
      </w:r>
      <w:r>
        <w:rPr>
          <w:rFonts w:ascii="宋体" w:hAnsi="宋体" w:eastAsia="宋体" w:cs="宋体"/>
          <w:spacing w:val="-1"/>
          <w:sz w:val="24"/>
          <w:szCs w:val="24"/>
        </w:rPr>
        <w:t>处的隆回县元木山断面（控制断面）、下游</w:t>
      </w:r>
      <w:r>
        <w:rPr>
          <w:rFonts w:ascii="Times New Roman" w:hAnsi="Times New Roman" w:eastAsia="Times New Roman" w:cs="Times New Roman"/>
          <w:spacing w:val="-1"/>
          <w:sz w:val="24"/>
          <w:szCs w:val="24"/>
        </w:rPr>
        <w:t>9km</w:t>
      </w:r>
      <w:r>
        <w:rPr>
          <w:rFonts w:ascii="宋体" w:hAnsi="宋体" w:eastAsia="宋体" w:cs="宋体"/>
          <w:spacing w:val="-1"/>
          <w:sz w:val="24"/>
          <w:szCs w:val="24"/>
        </w:rPr>
        <w:t>处的邵阳县渡头村断面（出境断面）。</w:t>
      </w:r>
    </w:p>
    <w:p w14:paraId="466F2C81">
      <w:pPr>
        <w:spacing w:line="222" w:lineRule="auto"/>
        <w:ind w:left="1711"/>
        <w:rPr>
          <w:rFonts w:ascii="宋体" w:hAnsi="宋体" w:eastAsia="宋体" w:cs="宋体"/>
          <w:sz w:val="20"/>
          <w:szCs w:val="20"/>
        </w:rPr>
      </w:pPr>
      <w:r>
        <w:rPr>
          <w:rFonts w:ascii="宋体" w:hAnsi="宋体" w:eastAsia="宋体" w:cs="宋体"/>
          <w:b/>
          <w:bCs/>
          <w:spacing w:val="6"/>
          <w:sz w:val="20"/>
          <w:szCs w:val="20"/>
        </w:rPr>
        <w:t>表</w:t>
      </w:r>
      <w:r>
        <w:rPr>
          <w:rFonts w:ascii="Times New Roman" w:hAnsi="Times New Roman" w:eastAsia="Times New Roman" w:cs="Times New Roman"/>
          <w:b/>
          <w:bCs/>
          <w:spacing w:val="6"/>
          <w:sz w:val="20"/>
          <w:szCs w:val="20"/>
        </w:rPr>
        <w:t>4.3-1</w:t>
      </w:r>
      <w:r>
        <w:rPr>
          <w:rFonts w:ascii="宋体" w:hAnsi="宋体" w:eastAsia="宋体" w:cs="宋体"/>
          <w:b/>
          <w:bCs/>
          <w:spacing w:val="6"/>
          <w:sz w:val="20"/>
          <w:szCs w:val="20"/>
        </w:rPr>
        <w:t>地表水环境质量常规监测点位（常规监测断面）</w:t>
      </w:r>
    </w:p>
    <w:tbl>
      <w:tblPr>
        <w:tblStyle w:val="5"/>
        <w:tblW w:w="872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2"/>
        <w:gridCol w:w="3719"/>
        <w:gridCol w:w="3733"/>
      </w:tblGrid>
      <w:tr w14:paraId="5E9C54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72" w:type="dxa"/>
            <w:tcBorders>
              <w:top w:val="single" w:color="000000" w:sz="10" w:space="0"/>
              <w:left w:val="single" w:color="000000" w:sz="10" w:space="0"/>
            </w:tcBorders>
            <w:vAlign w:val="top"/>
          </w:tcPr>
          <w:p w14:paraId="167F48AD">
            <w:pPr>
              <w:pStyle w:val="6"/>
              <w:spacing w:before="69" w:line="228" w:lineRule="auto"/>
              <w:ind w:left="217"/>
            </w:pPr>
            <w:r>
              <w:rPr>
                <w:b/>
                <w:bCs/>
                <w:spacing w:val="3"/>
              </w:rPr>
              <w:t>点位编号</w:t>
            </w:r>
          </w:p>
        </w:tc>
        <w:tc>
          <w:tcPr>
            <w:tcW w:w="3719" w:type="dxa"/>
            <w:tcBorders>
              <w:top w:val="single" w:color="000000" w:sz="10" w:space="0"/>
            </w:tcBorders>
            <w:vAlign w:val="top"/>
          </w:tcPr>
          <w:p w14:paraId="7DE0DAC3">
            <w:pPr>
              <w:pStyle w:val="6"/>
              <w:spacing w:before="70" w:line="229" w:lineRule="auto"/>
              <w:ind w:left="1228"/>
            </w:pPr>
            <w:r>
              <w:rPr>
                <w:b/>
                <w:bCs/>
                <w:spacing w:val="6"/>
              </w:rPr>
              <w:t>监测点位位置</w:t>
            </w:r>
          </w:p>
        </w:tc>
        <w:tc>
          <w:tcPr>
            <w:tcW w:w="3733" w:type="dxa"/>
            <w:tcBorders>
              <w:top w:val="single" w:color="000000" w:sz="10" w:space="0"/>
              <w:right w:val="single" w:color="000000" w:sz="10" w:space="0"/>
            </w:tcBorders>
            <w:vAlign w:val="top"/>
          </w:tcPr>
          <w:p w14:paraId="56E42420">
            <w:pPr>
              <w:pStyle w:val="6"/>
              <w:spacing w:before="70" w:line="228" w:lineRule="auto"/>
              <w:ind w:left="1452"/>
            </w:pPr>
            <w:r>
              <w:rPr>
                <w:b/>
                <w:bCs/>
                <w:spacing w:val="6"/>
              </w:rPr>
              <w:t>监测因子</w:t>
            </w:r>
          </w:p>
        </w:tc>
      </w:tr>
      <w:tr w14:paraId="57E5C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272" w:type="dxa"/>
            <w:tcBorders>
              <w:left w:val="single" w:color="000000" w:sz="10" w:space="0"/>
            </w:tcBorders>
            <w:vAlign w:val="top"/>
          </w:tcPr>
          <w:p w14:paraId="522C3AB1">
            <w:pPr>
              <w:spacing w:before="174"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W0</w:t>
            </w:r>
          </w:p>
        </w:tc>
        <w:tc>
          <w:tcPr>
            <w:tcW w:w="3719" w:type="dxa"/>
            <w:vAlign w:val="top"/>
          </w:tcPr>
          <w:p w14:paraId="116ADF81">
            <w:pPr>
              <w:pStyle w:val="6"/>
              <w:spacing w:before="138" w:line="228" w:lineRule="auto"/>
              <w:ind w:left="813"/>
            </w:pPr>
            <w:r>
              <w:rPr>
                <w:spacing w:val="8"/>
              </w:rPr>
              <w:t>赧水河隆回县水厂断面</w:t>
            </w:r>
          </w:p>
        </w:tc>
        <w:tc>
          <w:tcPr>
            <w:tcW w:w="3733" w:type="dxa"/>
            <w:vMerge w:val="restart"/>
            <w:tcBorders>
              <w:bottom w:val="nil"/>
              <w:right w:val="single" w:color="000000" w:sz="10" w:space="0"/>
            </w:tcBorders>
            <w:vAlign w:val="top"/>
          </w:tcPr>
          <w:p w14:paraId="6E1E5EBC">
            <w:pPr>
              <w:pStyle w:val="6"/>
              <w:spacing w:before="37" w:line="221" w:lineRule="auto"/>
              <w:ind w:right="3"/>
              <w:jc w:val="right"/>
            </w:pPr>
            <w:r>
              <w:rPr>
                <w:rFonts w:ascii="Times New Roman" w:hAnsi="Times New Roman" w:eastAsia="Times New Roman" w:cs="Times New Roman"/>
              </w:rPr>
              <w:t>pH</w:t>
            </w:r>
            <w:r>
              <w:rPr>
                <w:spacing w:val="6"/>
              </w:rPr>
              <w:t>值、溶解氧、高锰酸盐指数、</w:t>
            </w:r>
            <w:r>
              <w:rPr>
                <w:rFonts w:ascii="Times New Roman" w:hAnsi="Times New Roman" w:eastAsia="Times New Roman" w:cs="Times New Roman"/>
              </w:rPr>
              <w:t>COD</w:t>
            </w:r>
            <w:r>
              <w:rPr>
                <w:spacing w:val="6"/>
              </w:rPr>
              <w:t>、</w:t>
            </w:r>
          </w:p>
          <w:p w14:paraId="4A2E7AC3">
            <w:pPr>
              <w:pStyle w:val="6"/>
              <w:spacing w:before="31" w:line="227" w:lineRule="auto"/>
              <w:ind w:right="3"/>
              <w:jc w:val="right"/>
            </w:pPr>
            <w:r>
              <w:rPr>
                <w:rFonts w:ascii="Times New Roman" w:hAnsi="Times New Roman" w:eastAsia="Times New Roman" w:cs="Times New Roman"/>
              </w:rPr>
              <w:t>BOD</w:t>
            </w:r>
            <w:r>
              <w:rPr>
                <w:rFonts w:ascii="Times New Roman" w:hAnsi="Times New Roman" w:eastAsia="Times New Roman" w:cs="Times New Roman"/>
                <w:spacing w:val="5"/>
                <w:position w:val="-1"/>
                <w:sz w:val="13"/>
                <w:szCs w:val="13"/>
              </w:rPr>
              <w:t>5</w:t>
            </w:r>
            <w:r>
              <w:rPr>
                <w:spacing w:val="5"/>
              </w:rPr>
              <w:t>、氨氮、总磷、铜、锌、氟化物、</w:t>
            </w:r>
          </w:p>
          <w:p w14:paraId="60C77CFB">
            <w:pPr>
              <w:pStyle w:val="6"/>
              <w:spacing w:before="25" w:line="226" w:lineRule="auto"/>
              <w:ind w:left="113"/>
            </w:pPr>
            <w:r>
              <w:rPr>
                <w:spacing w:val="6"/>
              </w:rPr>
              <w:t>硒、砷、汞、镉、铬（六价）、铅、氰</w:t>
            </w:r>
          </w:p>
          <w:p w14:paraId="575198F8">
            <w:pPr>
              <w:pStyle w:val="6"/>
              <w:spacing w:before="28" w:line="228" w:lineRule="auto"/>
              <w:ind w:left="115"/>
            </w:pPr>
            <w:r>
              <w:rPr>
                <w:spacing w:val="6"/>
              </w:rPr>
              <w:t>化物、挥发酚、石油类、阴离子表面活</w:t>
            </w:r>
          </w:p>
          <w:p w14:paraId="40A7C944">
            <w:pPr>
              <w:pStyle w:val="6"/>
              <w:spacing w:before="26" w:line="216" w:lineRule="auto"/>
              <w:ind w:left="1245"/>
            </w:pPr>
            <w:r>
              <w:rPr>
                <w:spacing w:val="7"/>
              </w:rPr>
              <w:t>性剂、硫化物</w:t>
            </w:r>
          </w:p>
        </w:tc>
      </w:tr>
      <w:tr w14:paraId="78E3F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272" w:type="dxa"/>
            <w:tcBorders>
              <w:left w:val="single" w:color="000000" w:sz="10" w:space="0"/>
            </w:tcBorders>
            <w:vAlign w:val="top"/>
          </w:tcPr>
          <w:p w14:paraId="21F89BA1">
            <w:pPr>
              <w:spacing w:before="159" w:line="195" w:lineRule="auto"/>
              <w:ind w:left="3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W0-1</w:t>
            </w:r>
          </w:p>
        </w:tc>
        <w:tc>
          <w:tcPr>
            <w:tcW w:w="3719" w:type="dxa"/>
            <w:vAlign w:val="top"/>
          </w:tcPr>
          <w:p w14:paraId="48CF7004">
            <w:pPr>
              <w:pStyle w:val="6"/>
              <w:spacing w:before="121" w:line="228" w:lineRule="auto"/>
              <w:ind w:left="105"/>
            </w:pPr>
            <w:r>
              <w:rPr>
                <w:spacing w:val="8"/>
              </w:rPr>
              <w:t>赧水河隆回县元木山断面（控制断面）</w:t>
            </w:r>
          </w:p>
        </w:tc>
        <w:tc>
          <w:tcPr>
            <w:tcW w:w="3733" w:type="dxa"/>
            <w:vMerge w:val="continue"/>
            <w:tcBorders>
              <w:top w:val="nil"/>
              <w:bottom w:val="nil"/>
              <w:right w:val="single" w:color="000000" w:sz="10" w:space="0"/>
            </w:tcBorders>
            <w:vAlign w:val="top"/>
          </w:tcPr>
          <w:p w14:paraId="2D762287">
            <w:pPr>
              <w:rPr>
                <w:rFonts w:ascii="Arial"/>
                <w:sz w:val="21"/>
              </w:rPr>
            </w:pPr>
          </w:p>
        </w:tc>
      </w:tr>
      <w:tr w14:paraId="413CC3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272" w:type="dxa"/>
            <w:tcBorders>
              <w:left w:val="single" w:color="000000" w:sz="10" w:space="0"/>
              <w:bottom w:val="single" w:color="000000" w:sz="10" w:space="0"/>
            </w:tcBorders>
            <w:vAlign w:val="top"/>
          </w:tcPr>
          <w:p w14:paraId="40E800DA">
            <w:pPr>
              <w:spacing w:before="167" w:line="195" w:lineRule="auto"/>
              <w:ind w:left="38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W0-2</w:t>
            </w:r>
          </w:p>
        </w:tc>
        <w:tc>
          <w:tcPr>
            <w:tcW w:w="3719" w:type="dxa"/>
            <w:tcBorders>
              <w:bottom w:val="single" w:color="000000" w:sz="10" w:space="0"/>
            </w:tcBorders>
            <w:vAlign w:val="top"/>
          </w:tcPr>
          <w:p w14:paraId="330B02A4">
            <w:pPr>
              <w:pStyle w:val="6"/>
              <w:spacing w:before="131" w:line="227" w:lineRule="auto"/>
              <w:ind w:left="105"/>
            </w:pPr>
            <w:r>
              <w:rPr>
                <w:spacing w:val="8"/>
              </w:rPr>
              <w:t>赧水河邵阳县渡头村断面（出境断面）</w:t>
            </w:r>
          </w:p>
        </w:tc>
        <w:tc>
          <w:tcPr>
            <w:tcW w:w="3733" w:type="dxa"/>
            <w:vMerge w:val="continue"/>
            <w:tcBorders>
              <w:top w:val="nil"/>
              <w:bottom w:val="single" w:color="000000" w:sz="10" w:space="0"/>
              <w:right w:val="single" w:color="000000" w:sz="10" w:space="0"/>
            </w:tcBorders>
            <w:vAlign w:val="top"/>
          </w:tcPr>
          <w:p w14:paraId="1208A5E6">
            <w:pPr>
              <w:rPr>
                <w:rFonts w:ascii="Arial"/>
                <w:sz w:val="21"/>
              </w:rPr>
            </w:pPr>
          </w:p>
        </w:tc>
      </w:tr>
    </w:tbl>
    <w:p w14:paraId="153DAA0B">
      <w:pPr>
        <w:spacing w:before="158" w:line="219" w:lineRule="auto"/>
        <w:ind w:left="623"/>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2</w:t>
      </w:r>
      <w:r>
        <w:rPr>
          <w:rFonts w:ascii="宋体" w:hAnsi="宋体" w:eastAsia="宋体" w:cs="宋体"/>
          <w:b/>
          <w:bCs/>
          <w:spacing w:val="-5"/>
          <w:sz w:val="24"/>
          <w:szCs w:val="24"/>
        </w:rPr>
        <w:t>）补充监测断面</w:t>
      </w:r>
    </w:p>
    <w:p w14:paraId="19B502A5">
      <w:pPr>
        <w:spacing w:before="181" w:line="357" w:lineRule="auto"/>
        <w:ind w:left="139" w:right="121" w:firstLine="473"/>
        <w:rPr>
          <w:rFonts w:ascii="宋体" w:hAnsi="宋体" w:eastAsia="宋体" w:cs="宋体"/>
          <w:sz w:val="24"/>
          <w:szCs w:val="24"/>
        </w:rPr>
      </w:pPr>
      <w:r>
        <w:rPr>
          <w:rFonts w:ascii="宋体" w:hAnsi="宋体" w:eastAsia="宋体" w:cs="宋体"/>
          <w:spacing w:val="3"/>
          <w:sz w:val="24"/>
          <w:szCs w:val="24"/>
        </w:rPr>
        <w:t>本报告委托长沙崇德检测科技有限公司进行现状水质监测，监测</w:t>
      </w:r>
      <w:r>
        <w:rPr>
          <w:rFonts w:ascii="宋体" w:hAnsi="宋体" w:eastAsia="宋体" w:cs="宋体"/>
          <w:spacing w:val="2"/>
          <w:sz w:val="24"/>
          <w:szCs w:val="24"/>
        </w:rPr>
        <w:t>断面布设如</w:t>
      </w:r>
      <w:r>
        <w:rPr>
          <w:rFonts w:ascii="宋体" w:hAnsi="宋体" w:eastAsia="宋体" w:cs="宋体"/>
          <w:spacing w:val="-8"/>
          <w:sz w:val="24"/>
          <w:szCs w:val="24"/>
        </w:rPr>
        <w:t>下表所示。检测时间为</w:t>
      </w:r>
      <w:r>
        <w:rPr>
          <w:rFonts w:ascii="Times New Roman" w:hAnsi="Times New Roman" w:eastAsia="Times New Roman" w:cs="Times New Roman"/>
          <w:spacing w:val="-8"/>
          <w:sz w:val="24"/>
          <w:szCs w:val="24"/>
        </w:rPr>
        <w:t>2025</w:t>
      </w:r>
      <w:r>
        <w:rPr>
          <w:rFonts w:ascii="宋体" w:hAnsi="宋体" w:eastAsia="宋体" w:cs="宋体"/>
          <w:spacing w:val="-8"/>
          <w:sz w:val="24"/>
          <w:szCs w:val="24"/>
        </w:rPr>
        <w:t>年</w:t>
      </w:r>
      <w:r>
        <w:rPr>
          <w:rFonts w:ascii="Times New Roman" w:hAnsi="Times New Roman" w:eastAsia="Times New Roman" w:cs="Times New Roman"/>
          <w:spacing w:val="-8"/>
          <w:sz w:val="24"/>
          <w:szCs w:val="24"/>
        </w:rPr>
        <w:t>6</w:t>
      </w:r>
      <w:r>
        <w:rPr>
          <w:rFonts w:ascii="宋体" w:hAnsi="宋体" w:eastAsia="宋体" w:cs="宋体"/>
          <w:spacing w:val="-8"/>
          <w:sz w:val="24"/>
          <w:szCs w:val="24"/>
        </w:rPr>
        <w:t>月</w:t>
      </w:r>
      <w:r>
        <w:rPr>
          <w:rFonts w:ascii="Times New Roman" w:hAnsi="Times New Roman" w:eastAsia="Times New Roman" w:cs="Times New Roman"/>
          <w:spacing w:val="-8"/>
          <w:sz w:val="24"/>
          <w:szCs w:val="24"/>
        </w:rPr>
        <w:t>11</w:t>
      </w:r>
      <w:r>
        <w:rPr>
          <w:rFonts w:ascii="宋体" w:hAnsi="宋体" w:eastAsia="宋体" w:cs="宋体"/>
          <w:spacing w:val="-8"/>
          <w:sz w:val="24"/>
          <w:szCs w:val="24"/>
        </w:rPr>
        <w:t>日至</w:t>
      </w:r>
      <w:r>
        <w:rPr>
          <w:rFonts w:ascii="Times New Roman" w:hAnsi="Times New Roman" w:eastAsia="Times New Roman" w:cs="Times New Roman"/>
          <w:spacing w:val="-8"/>
          <w:sz w:val="24"/>
          <w:szCs w:val="24"/>
        </w:rPr>
        <w:t>6</w:t>
      </w:r>
      <w:r>
        <w:rPr>
          <w:rFonts w:ascii="宋体" w:hAnsi="宋体" w:eastAsia="宋体" w:cs="宋体"/>
          <w:spacing w:val="-8"/>
          <w:sz w:val="24"/>
          <w:szCs w:val="24"/>
        </w:rPr>
        <w:t>月</w:t>
      </w:r>
      <w:r>
        <w:rPr>
          <w:rFonts w:ascii="Times New Roman" w:hAnsi="Times New Roman" w:eastAsia="Times New Roman" w:cs="Times New Roman"/>
          <w:spacing w:val="-8"/>
          <w:sz w:val="24"/>
          <w:szCs w:val="24"/>
        </w:rPr>
        <w:t>13</w:t>
      </w:r>
      <w:r>
        <w:rPr>
          <w:rFonts w:ascii="宋体" w:hAnsi="宋体" w:eastAsia="宋体" w:cs="宋体"/>
          <w:spacing w:val="-9"/>
          <w:sz w:val="24"/>
          <w:szCs w:val="24"/>
        </w:rPr>
        <w:t>日。</w:t>
      </w:r>
    </w:p>
    <w:p w14:paraId="148D4784">
      <w:pPr>
        <w:spacing w:before="1" w:line="227" w:lineRule="auto"/>
        <w:ind w:left="1923"/>
        <w:rPr>
          <w:rFonts w:ascii="宋体" w:hAnsi="宋体" w:eastAsia="宋体" w:cs="宋体"/>
          <w:sz w:val="20"/>
          <w:szCs w:val="20"/>
        </w:rPr>
      </w:pPr>
      <w:r>
        <w:rPr>
          <w:rFonts w:ascii="宋体" w:hAnsi="宋体" w:eastAsia="宋体" w:cs="宋体"/>
          <w:b/>
          <w:bCs/>
          <w:spacing w:val="6"/>
          <w:sz w:val="20"/>
          <w:szCs w:val="20"/>
        </w:rPr>
        <w:t>表</w:t>
      </w:r>
      <w:r>
        <w:rPr>
          <w:rFonts w:ascii="Times New Roman" w:hAnsi="Times New Roman" w:eastAsia="Times New Roman" w:cs="Times New Roman"/>
          <w:b/>
          <w:bCs/>
          <w:spacing w:val="6"/>
          <w:sz w:val="20"/>
          <w:szCs w:val="20"/>
        </w:rPr>
        <w:t>4.3-2</w:t>
      </w:r>
      <w:r>
        <w:rPr>
          <w:rFonts w:ascii="宋体" w:hAnsi="宋体" w:eastAsia="宋体" w:cs="宋体"/>
          <w:b/>
          <w:bCs/>
          <w:spacing w:val="6"/>
          <w:sz w:val="20"/>
          <w:szCs w:val="20"/>
        </w:rPr>
        <w:t>地表水环境质量现状监测点位（实测断面）</w:t>
      </w:r>
    </w:p>
    <w:p w14:paraId="2F40E2B7">
      <w:pPr>
        <w:spacing w:line="131" w:lineRule="exact"/>
      </w:pPr>
    </w:p>
    <w:tbl>
      <w:tblPr>
        <w:tblStyle w:val="5"/>
        <w:tblW w:w="872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2"/>
        <w:gridCol w:w="3674"/>
        <w:gridCol w:w="3938"/>
      </w:tblGrid>
      <w:tr w14:paraId="078D6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112" w:type="dxa"/>
            <w:tcBorders>
              <w:top w:val="single" w:color="000000" w:sz="10" w:space="0"/>
              <w:left w:val="single" w:color="000000" w:sz="10" w:space="0"/>
            </w:tcBorders>
            <w:vAlign w:val="top"/>
          </w:tcPr>
          <w:p w14:paraId="196C5295">
            <w:pPr>
              <w:pStyle w:val="6"/>
              <w:spacing w:before="69" w:line="228" w:lineRule="auto"/>
              <w:ind w:left="136"/>
            </w:pPr>
            <w:r>
              <w:rPr>
                <w:b/>
                <w:bCs/>
                <w:spacing w:val="3"/>
              </w:rPr>
              <w:t>点位编号</w:t>
            </w:r>
          </w:p>
        </w:tc>
        <w:tc>
          <w:tcPr>
            <w:tcW w:w="3674" w:type="dxa"/>
            <w:tcBorders>
              <w:top w:val="single" w:color="000000" w:sz="10" w:space="0"/>
            </w:tcBorders>
            <w:vAlign w:val="top"/>
          </w:tcPr>
          <w:p w14:paraId="74EA7F8F">
            <w:pPr>
              <w:pStyle w:val="6"/>
              <w:spacing w:before="69" w:line="229" w:lineRule="auto"/>
              <w:ind w:left="1208"/>
            </w:pPr>
            <w:r>
              <w:rPr>
                <w:b/>
                <w:bCs/>
                <w:spacing w:val="6"/>
              </w:rPr>
              <w:t>监测点位位置</w:t>
            </w:r>
          </w:p>
        </w:tc>
        <w:tc>
          <w:tcPr>
            <w:tcW w:w="3938" w:type="dxa"/>
            <w:tcBorders>
              <w:top w:val="single" w:color="000000" w:sz="10" w:space="0"/>
              <w:right w:val="single" w:color="000000" w:sz="10" w:space="0"/>
            </w:tcBorders>
            <w:vAlign w:val="top"/>
          </w:tcPr>
          <w:p w14:paraId="22D91713">
            <w:pPr>
              <w:pStyle w:val="6"/>
              <w:spacing w:before="69" w:line="228" w:lineRule="auto"/>
              <w:ind w:left="1237"/>
            </w:pPr>
            <w:r>
              <w:rPr>
                <w:b/>
                <w:bCs/>
                <w:spacing w:val="7"/>
              </w:rPr>
              <w:t>监测因子及频次</w:t>
            </w:r>
          </w:p>
        </w:tc>
      </w:tr>
      <w:tr w14:paraId="684A20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112" w:type="dxa"/>
            <w:tcBorders>
              <w:left w:val="single" w:color="000000" w:sz="10" w:space="0"/>
            </w:tcBorders>
            <w:vAlign w:val="top"/>
          </w:tcPr>
          <w:p w14:paraId="2E4188A8">
            <w:pPr>
              <w:spacing w:line="283" w:lineRule="auto"/>
              <w:rPr>
                <w:rFonts w:ascii="Arial"/>
                <w:sz w:val="21"/>
              </w:rPr>
            </w:pPr>
          </w:p>
          <w:p w14:paraId="1A4DD92C">
            <w:pPr>
              <w:spacing w:before="57"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W1</w:t>
            </w:r>
          </w:p>
        </w:tc>
        <w:tc>
          <w:tcPr>
            <w:tcW w:w="3674" w:type="dxa"/>
            <w:vAlign w:val="top"/>
          </w:tcPr>
          <w:p w14:paraId="1E2F73D0">
            <w:pPr>
              <w:pStyle w:val="6"/>
              <w:spacing w:before="306" w:line="228" w:lineRule="auto"/>
              <w:ind w:right="16"/>
              <w:jc w:val="right"/>
            </w:pPr>
            <w:r>
              <w:rPr>
                <w:spacing w:val="8"/>
              </w:rPr>
              <w:t>赧水（工业污水厂一期入河排污口处）</w:t>
            </w:r>
          </w:p>
        </w:tc>
        <w:tc>
          <w:tcPr>
            <w:tcW w:w="3938" w:type="dxa"/>
            <w:vMerge w:val="restart"/>
            <w:tcBorders>
              <w:bottom w:val="nil"/>
              <w:right w:val="single" w:color="000000" w:sz="10" w:space="0"/>
            </w:tcBorders>
            <w:vAlign w:val="top"/>
          </w:tcPr>
          <w:p w14:paraId="4399ED4D">
            <w:pPr>
              <w:pStyle w:val="6"/>
              <w:spacing w:before="37" w:line="221" w:lineRule="auto"/>
              <w:ind w:left="107"/>
            </w:pPr>
            <w:r>
              <w:rPr>
                <w:rFonts w:ascii="Times New Roman" w:hAnsi="Times New Roman" w:eastAsia="Times New Roman" w:cs="Times New Roman"/>
              </w:rPr>
              <w:t>pH</w:t>
            </w:r>
            <w:r>
              <w:rPr>
                <w:spacing w:val="5"/>
              </w:rPr>
              <w:t>值、溶解氧、</w:t>
            </w:r>
            <w:r>
              <w:rPr>
                <w:rFonts w:ascii="Times New Roman" w:hAnsi="Times New Roman" w:eastAsia="Times New Roman" w:cs="Times New Roman"/>
              </w:rPr>
              <w:t>COD</w:t>
            </w:r>
            <w:r>
              <w:rPr>
                <w:spacing w:val="5"/>
              </w:rPr>
              <w:t>、</w:t>
            </w:r>
            <w:r>
              <w:rPr>
                <w:rFonts w:ascii="Times New Roman" w:hAnsi="Times New Roman" w:eastAsia="Times New Roman" w:cs="Times New Roman"/>
              </w:rPr>
              <w:t>BOD</w:t>
            </w:r>
            <w:r>
              <w:rPr>
                <w:rFonts w:ascii="Times New Roman" w:hAnsi="Times New Roman" w:eastAsia="Times New Roman" w:cs="Times New Roman"/>
                <w:spacing w:val="5"/>
                <w:position w:val="-1"/>
                <w:sz w:val="13"/>
                <w:szCs w:val="13"/>
              </w:rPr>
              <w:t>5</w:t>
            </w:r>
            <w:r>
              <w:rPr>
                <w:spacing w:val="5"/>
              </w:rPr>
              <w:t>、氨氮、总</w:t>
            </w:r>
          </w:p>
          <w:p w14:paraId="580FA788">
            <w:pPr>
              <w:pStyle w:val="6"/>
              <w:spacing w:before="31" w:line="228" w:lineRule="auto"/>
              <w:ind w:left="115"/>
            </w:pPr>
            <w:r>
              <w:rPr>
                <w:spacing w:val="-5"/>
              </w:rPr>
              <w:t>磷、铜、锌、氟化物、砷、汞、镉、铬（六</w:t>
            </w:r>
          </w:p>
          <w:p w14:paraId="7A721ADC">
            <w:pPr>
              <w:pStyle w:val="6"/>
              <w:spacing w:before="27" w:line="226" w:lineRule="auto"/>
              <w:ind w:left="116"/>
            </w:pPr>
            <w:r>
              <w:rPr>
                <w:spacing w:val="6"/>
              </w:rPr>
              <w:t>价）、铅、氰化物、挥发酚、石油类、阴</w:t>
            </w:r>
          </w:p>
          <w:p w14:paraId="46E917C9">
            <w:pPr>
              <w:pStyle w:val="6"/>
              <w:spacing w:before="26" w:line="227" w:lineRule="auto"/>
              <w:ind w:left="822"/>
            </w:pPr>
            <w:r>
              <w:rPr>
                <w:spacing w:val="8"/>
              </w:rPr>
              <w:t>离子表面活性剂、硫化物</w:t>
            </w:r>
          </w:p>
          <w:p w14:paraId="70F7838A">
            <w:pPr>
              <w:pStyle w:val="6"/>
              <w:spacing w:before="27" w:line="216" w:lineRule="auto"/>
              <w:ind w:left="714"/>
            </w:pPr>
            <w:r>
              <w:rPr>
                <w:spacing w:val="2"/>
              </w:rPr>
              <w:t>连续监测</w:t>
            </w:r>
            <w:r>
              <w:rPr>
                <w:rFonts w:ascii="Times New Roman" w:hAnsi="Times New Roman" w:eastAsia="Times New Roman" w:cs="Times New Roman"/>
                <w:spacing w:val="2"/>
              </w:rPr>
              <w:t>3</w:t>
            </w:r>
            <w:r>
              <w:rPr>
                <w:spacing w:val="2"/>
              </w:rPr>
              <w:t>天，每天</w:t>
            </w:r>
            <w:r>
              <w:rPr>
                <w:rFonts w:ascii="Times New Roman" w:hAnsi="Times New Roman" w:eastAsia="Times New Roman" w:cs="Times New Roman"/>
                <w:spacing w:val="2"/>
              </w:rPr>
              <w:t>1</w:t>
            </w:r>
            <w:r>
              <w:rPr>
                <w:spacing w:val="2"/>
              </w:rPr>
              <w:t>次。</w:t>
            </w:r>
          </w:p>
        </w:tc>
      </w:tr>
      <w:tr w14:paraId="4F405C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112" w:type="dxa"/>
            <w:tcBorders>
              <w:left w:val="single" w:color="000000" w:sz="10" w:space="0"/>
              <w:bottom w:val="single" w:color="000000" w:sz="10" w:space="0"/>
            </w:tcBorders>
            <w:vAlign w:val="top"/>
          </w:tcPr>
          <w:p w14:paraId="64D301FB">
            <w:pPr>
              <w:spacing w:before="218"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W2</w:t>
            </w:r>
          </w:p>
        </w:tc>
        <w:tc>
          <w:tcPr>
            <w:tcW w:w="3674" w:type="dxa"/>
            <w:tcBorders>
              <w:bottom w:val="single" w:color="000000" w:sz="10" w:space="0"/>
            </w:tcBorders>
            <w:vAlign w:val="top"/>
          </w:tcPr>
          <w:p w14:paraId="60A8F429">
            <w:pPr>
              <w:pStyle w:val="6"/>
              <w:spacing w:before="182" w:line="227" w:lineRule="auto"/>
              <w:ind w:left="1314"/>
            </w:pPr>
            <w:r>
              <w:rPr>
                <w:spacing w:val="7"/>
              </w:rPr>
              <w:t>赧水新元村</w:t>
            </w:r>
          </w:p>
        </w:tc>
        <w:tc>
          <w:tcPr>
            <w:tcW w:w="3938" w:type="dxa"/>
            <w:vMerge w:val="continue"/>
            <w:tcBorders>
              <w:top w:val="nil"/>
              <w:bottom w:val="single" w:color="000000" w:sz="10" w:space="0"/>
              <w:right w:val="single" w:color="000000" w:sz="10" w:space="0"/>
            </w:tcBorders>
            <w:vAlign w:val="top"/>
          </w:tcPr>
          <w:p w14:paraId="4DE61DE4">
            <w:pPr>
              <w:rPr>
                <w:rFonts w:ascii="Arial"/>
                <w:sz w:val="21"/>
              </w:rPr>
            </w:pPr>
          </w:p>
        </w:tc>
      </w:tr>
    </w:tbl>
    <w:p w14:paraId="473CF950">
      <w:pPr>
        <w:spacing w:before="155" w:line="220" w:lineRule="auto"/>
        <w:ind w:left="129"/>
        <w:outlineLvl w:val="2"/>
        <w:rPr>
          <w:rFonts w:ascii="宋体" w:hAnsi="宋体" w:eastAsia="宋体" w:cs="宋体"/>
          <w:sz w:val="24"/>
          <w:szCs w:val="24"/>
        </w:rPr>
      </w:pPr>
      <w:r>
        <w:rPr>
          <w:rFonts w:ascii="Times New Roman" w:hAnsi="Times New Roman" w:eastAsia="Times New Roman" w:cs="Times New Roman"/>
          <w:b/>
          <w:bCs/>
          <w:spacing w:val="-2"/>
          <w:sz w:val="24"/>
          <w:szCs w:val="24"/>
        </w:rPr>
        <w:t>4.3.4</w:t>
      </w:r>
      <w:r>
        <w:rPr>
          <w:rFonts w:ascii="宋体" w:hAnsi="宋体" w:eastAsia="宋体" w:cs="宋体"/>
          <w:b/>
          <w:bCs/>
          <w:spacing w:val="-2"/>
          <w:sz w:val="24"/>
          <w:szCs w:val="24"/>
        </w:rPr>
        <w:t>监测结果及分析</w:t>
      </w:r>
    </w:p>
    <w:p w14:paraId="5F82A7B0">
      <w:pPr>
        <w:spacing w:before="183" w:line="219" w:lineRule="auto"/>
        <w:ind w:left="623"/>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1</w:t>
      </w:r>
      <w:r>
        <w:rPr>
          <w:rFonts w:ascii="宋体" w:hAnsi="宋体" w:eastAsia="宋体" w:cs="宋体"/>
          <w:b/>
          <w:bCs/>
          <w:spacing w:val="-5"/>
          <w:sz w:val="24"/>
          <w:szCs w:val="24"/>
        </w:rPr>
        <w:t>）常规监测断面</w:t>
      </w:r>
    </w:p>
    <w:p w14:paraId="7ADBE4DB">
      <w:pPr>
        <w:spacing w:before="179" w:line="360" w:lineRule="auto"/>
        <w:ind w:left="131" w:right="62" w:firstLine="483"/>
        <w:jc w:val="both"/>
        <w:rPr>
          <w:rFonts w:ascii="宋体" w:hAnsi="宋体" w:eastAsia="宋体" w:cs="宋体"/>
          <w:sz w:val="24"/>
          <w:szCs w:val="24"/>
        </w:rPr>
      </w:pPr>
      <w:r>
        <w:rPr>
          <w:rFonts w:ascii="宋体" w:hAnsi="宋体" w:eastAsia="宋体" w:cs="宋体"/>
          <w:spacing w:val="-1"/>
          <w:sz w:val="24"/>
          <w:szCs w:val="24"/>
        </w:rPr>
        <w:t>从表</w:t>
      </w:r>
      <w:r>
        <w:rPr>
          <w:rFonts w:ascii="Times New Roman" w:hAnsi="Times New Roman" w:eastAsia="Times New Roman" w:cs="Times New Roman"/>
          <w:spacing w:val="-1"/>
          <w:sz w:val="24"/>
          <w:szCs w:val="24"/>
        </w:rPr>
        <w:t>3.3-3</w:t>
      </w:r>
      <w:r>
        <w:rPr>
          <w:rFonts w:ascii="宋体" w:hAnsi="宋体" w:eastAsia="宋体" w:cs="宋体"/>
          <w:spacing w:val="-1"/>
          <w:sz w:val="24"/>
          <w:szCs w:val="24"/>
        </w:rPr>
        <w:t>至</w:t>
      </w:r>
      <w:r>
        <w:rPr>
          <w:rFonts w:ascii="Times New Roman" w:hAnsi="Times New Roman" w:eastAsia="Times New Roman" w:cs="Times New Roman"/>
          <w:spacing w:val="-1"/>
          <w:sz w:val="24"/>
          <w:szCs w:val="24"/>
        </w:rPr>
        <w:t>3.2-9</w:t>
      </w:r>
      <w:r>
        <w:rPr>
          <w:rFonts w:ascii="宋体" w:hAnsi="宋体" w:eastAsia="宋体" w:cs="宋体"/>
          <w:spacing w:val="-1"/>
          <w:sz w:val="24"/>
          <w:szCs w:val="24"/>
        </w:rPr>
        <w:t>的水质监测数据可以看出，元木山电站断面、隆回县元木</w:t>
      </w:r>
      <w:r>
        <w:rPr>
          <w:rFonts w:ascii="宋体" w:hAnsi="宋体" w:eastAsia="宋体" w:cs="宋体"/>
          <w:spacing w:val="3"/>
          <w:sz w:val="24"/>
          <w:szCs w:val="24"/>
        </w:rPr>
        <w:t>山断面（控制断面）、邵阳县渡头村断面（出境断面）辰</w:t>
      </w:r>
      <w:r>
        <w:rPr>
          <w:rFonts w:ascii="宋体" w:hAnsi="宋体" w:eastAsia="宋体" w:cs="宋体"/>
          <w:spacing w:val="2"/>
          <w:sz w:val="24"/>
          <w:szCs w:val="24"/>
        </w:rPr>
        <w:t>水入赧水河口断面的地</w:t>
      </w:r>
      <w:r>
        <w:rPr>
          <w:rFonts w:ascii="宋体" w:hAnsi="宋体" w:eastAsia="宋体" w:cs="宋体"/>
          <w:spacing w:val="-3"/>
          <w:sz w:val="24"/>
          <w:szCs w:val="24"/>
        </w:rPr>
        <w:t>表水环境质量常年稳定达到《地表水质量标准》（</w:t>
      </w:r>
      <w:r>
        <w:rPr>
          <w:rFonts w:ascii="Times New Roman" w:hAnsi="Times New Roman" w:eastAsia="Times New Roman" w:cs="Times New Roman"/>
          <w:spacing w:val="-3"/>
          <w:sz w:val="24"/>
          <w:szCs w:val="24"/>
        </w:rPr>
        <w:t>GB3838-200</w:t>
      </w:r>
      <w:r>
        <w:rPr>
          <w:rFonts w:ascii="Times New Roman" w:hAnsi="Times New Roman" w:eastAsia="Times New Roman" w:cs="Times New Roman"/>
          <w:spacing w:val="-4"/>
          <w:sz w:val="24"/>
          <w:szCs w:val="24"/>
        </w:rPr>
        <w:t>2</w:t>
      </w:r>
      <w:r>
        <w:rPr>
          <w:rFonts w:ascii="宋体" w:hAnsi="宋体" w:eastAsia="宋体" w:cs="宋体"/>
          <w:spacing w:val="-4"/>
          <w:sz w:val="24"/>
          <w:szCs w:val="24"/>
        </w:rPr>
        <w:t>）中的</w:t>
      </w:r>
      <w:r>
        <w:rPr>
          <w:rFonts w:ascii="Times New Roman" w:hAnsi="Times New Roman" w:eastAsia="Times New Roman" w:cs="Times New Roman"/>
          <w:spacing w:val="-4"/>
          <w:sz w:val="24"/>
          <w:szCs w:val="24"/>
        </w:rPr>
        <w:t>III</w:t>
      </w:r>
      <w:r>
        <w:rPr>
          <w:rFonts w:ascii="宋体" w:hAnsi="宋体" w:eastAsia="宋体" w:cs="宋体"/>
          <w:spacing w:val="-4"/>
          <w:sz w:val="24"/>
          <w:szCs w:val="24"/>
        </w:rPr>
        <w:t>类标准，</w:t>
      </w:r>
      <w:r>
        <w:rPr>
          <w:rFonts w:ascii="宋体" w:hAnsi="宋体" w:eastAsia="宋体" w:cs="宋体"/>
          <w:spacing w:val="-2"/>
          <w:sz w:val="24"/>
          <w:szCs w:val="24"/>
        </w:rPr>
        <w:t>大部分月份可达《地表水质量标准》（</w:t>
      </w:r>
      <w:r>
        <w:rPr>
          <w:rFonts w:ascii="Times New Roman" w:hAnsi="Times New Roman" w:eastAsia="Times New Roman" w:cs="Times New Roman"/>
          <w:spacing w:val="-2"/>
          <w:sz w:val="24"/>
          <w:szCs w:val="24"/>
        </w:rPr>
        <w:t>GB3838-2002</w:t>
      </w:r>
      <w:r>
        <w:rPr>
          <w:rFonts w:ascii="宋体" w:hAnsi="宋体" w:eastAsia="宋体" w:cs="宋体"/>
          <w:spacing w:val="-2"/>
          <w:sz w:val="24"/>
          <w:szCs w:val="24"/>
        </w:rPr>
        <w:t>）中的Ⅱ类标准，部分时候甚</w:t>
      </w:r>
      <w:r>
        <w:rPr>
          <w:rFonts w:ascii="宋体" w:hAnsi="宋体" w:eastAsia="宋体" w:cs="宋体"/>
          <w:spacing w:val="-4"/>
          <w:sz w:val="24"/>
          <w:szCs w:val="24"/>
        </w:rPr>
        <w:t>至达到《地表水质量标准》（</w:t>
      </w:r>
      <w:r>
        <w:rPr>
          <w:rFonts w:ascii="Times New Roman" w:hAnsi="Times New Roman" w:eastAsia="Times New Roman" w:cs="Times New Roman"/>
          <w:spacing w:val="-4"/>
          <w:sz w:val="24"/>
          <w:szCs w:val="24"/>
        </w:rPr>
        <w:t>GB3838-2002</w:t>
      </w:r>
      <w:r>
        <w:rPr>
          <w:rFonts w:ascii="宋体" w:hAnsi="宋体" w:eastAsia="宋体" w:cs="宋体"/>
          <w:spacing w:val="-4"/>
          <w:sz w:val="24"/>
          <w:szCs w:val="24"/>
        </w:rPr>
        <w:t>）中的Ⅰ类标准，说明区域水环</w:t>
      </w:r>
      <w:r>
        <w:rPr>
          <w:rFonts w:ascii="宋体" w:hAnsi="宋体" w:eastAsia="宋体" w:cs="宋体"/>
          <w:spacing w:val="-5"/>
          <w:sz w:val="24"/>
          <w:szCs w:val="24"/>
        </w:rPr>
        <w:t>境质量</w:t>
      </w:r>
      <w:r>
        <w:rPr>
          <w:rFonts w:ascii="宋体" w:hAnsi="宋体" w:eastAsia="宋体" w:cs="宋体"/>
          <w:spacing w:val="-3"/>
          <w:sz w:val="24"/>
          <w:szCs w:val="24"/>
        </w:rPr>
        <w:t>良好。</w:t>
      </w:r>
    </w:p>
    <w:p w14:paraId="6D3B0DD8">
      <w:pPr>
        <w:spacing w:line="360" w:lineRule="auto"/>
        <w:rPr>
          <w:rFonts w:ascii="宋体" w:hAnsi="宋体" w:eastAsia="宋体" w:cs="宋体"/>
          <w:sz w:val="24"/>
          <w:szCs w:val="24"/>
        </w:rPr>
        <w:sectPr>
          <w:headerReference r:id="rId65" w:type="default"/>
          <w:footerReference r:id="rId66" w:type="default"/>
          <w:pgSz w:w="11907" w:h="16840"/>
          <w:pgMar w:top="1132" w:right="1578" w:bottom="1259" w:left="1578" w:header="829" w:footer="1097" w:gutter="0"/>
          <w:cols w:space="720" w:num="1"/>
        </w:sectPr>
      </w:pPr>
    </w:p>
    <w:p w14:paraId="60014B44">
      <w:pPr>
        <w:pStyle w:val="2"/>
        <w:spacing w:line="261" w:lineRule="auto"/>
      </w:pPr>
    </w:p>
    <w:p w14:paraId="46C3EA94">
      <w:pPr>
        <w:pStyle w:val="2"/>
        <w:spacing w:line="261" w:lineRule="auto"/>
      </w:pPr>
    </w:p>
    <w:p w14:paraId="7D45EBA3">
      <w:pPr>
        <w:spacing w:before="78" w:line="212" w:lineRule="auto"/>
        <w:ind w:left="5409"/>
        <w:rPr>
          <w:rFonts w:ascii="宋体" w:hAnsi="宋体" w:eastAsia="宋体" w:cs="宋体"/>
          <w:sz w:val="24"/>
          <w:szCs w:val="24"/>
        </w:rPr>
      </w:pPr>
      <w:r>
        <w:rPr>
          <w:rFonts w:ascii="宋体" w:hAnsi="宋体" w:eastAsia="宋体" w:cs="宋体"/>
          <w:b/>
          <w:bCs/>
          <w:spacing w:val="-2"/>
          <w:sz w:val="24"/>
          <w:szCs w:val="24"/>
        </w:rPr>
        <w:t>表</w:t>
      </w:r>
      <w:r>
        <w:rPr>
          <w:rFonts w:ascii="Times New Roman" w:hAnsi="Times New Roman" w:eastAsia="Times New Roman" w:cs="Times New Roman"/>
          <w:b/>
          <w:bCs/>
          <w:spacing w:val="-2"/>
          <w:sz w:val="24"/>
          <w:szCs w:val="24"/>
        </w:rPr>
        <w:t>4.3-3</w:t>
      </w:r>
      <w:r>
        <w:rPr>
          <w:rFonts w:ascii="宋体" w:hAnsi="宋体" w:eastAsia="宋体" w:cs="宋体"/>
          <w:b/>
          <w:bCs/>
          <w:spacing w:val="-2"/>
          <w:sz w:val="24"/>
          <w:szCs w:val="24"/>
        </w:rPr>
        <w:t>断面环境质量达标情况</w:t>
      </w:r>
    </w:p>
    <w:tbl>
      <w:tblPr>
        <w:tblStyle w:val="5"/>
        <w:tblW w:w="14177" w:type="dxa"/>
        <w:tblInd w:w="3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4"/>
        <w:gridCol w:w="838"/>
        <w:gridCol w:w="764"/>
        <w:gridCol w:w="809"/>
        <w:gridCol w:w="853"/>
        <w:gridCol w:w="1086"/>
        <w:gridCol w:w="875"/>
        <w:gridCol w:w="779"/>
        <w:gridCol w:w="824"/>
        <w:gridCol w:w="809"/>
        <w:gridCol w:w="1063"/>
        <w:gridCol w:w="1018"/>
        <w:gridCol w:w="883"/>
        <w:gridCol w:w="853"/>
        <w:gridCol w:w="838"/>
        <w:gridCol w:w="971"/>
      </w:tblGrid>
      <w:tr w14:paraId="3B73B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914" w:type="dxa"/>
            <w:tcBorders>
              <w:top w:val="single" w:color="000000" w:sz="10" w:space="0"/>
              <w:left w:val="single" w:color="000000" w:sz="10" w:space="0"/>
            </w:tcBorders>
            <w:vAlign w:val="top"/>
          </w:tcPr>
          <w:p w14:paraId="58311138">
            <w:pPr>
              <w:pStyle w:val="6"/>
              <w:spacing w:before="92" w:line="222" w:lineRule="auto"/>
              <w:ind w:left="226"/>
              <w:rPr>
                <w:sz w:val="22"/>
                <w:szCs w:val="22"/>
              </w:rPr>
            </w:pPr>
            <w:r>
              <w:rPr>
                <w:b/>
                <w:bCs/>
                <w:spacing w:val="-6"/>
                <w:sz w:val="22"/>
                <w:szCs w:val="22"/>
              </w:rPr>
              <w:t>河流</w:t>
            </w:r>
          </w:p>
        </w:tc>
        <w:tc>
          <w:tcPr>
            <w:tcW w:w="13263" w:type="dxa"/>
            <w:gridSpan w:val="15"/>
            <w:tcBorders>
              <w:top w:val="single" w:color="000000" w:sz="10" w:space="0"/>
              <w:right w:val="single" w:color="000000" w:sz="10" w:space="0"/>
            </w:tcBorders>
            <w:vAlign w:val="top"/>
          </w:tcPr>
          <w:p w14:paraId="188C6101">
            <w:pPr>
              <w:pStyle w:val="6"/>
              <w:spacing w:before="92" w:line="220" w:lineRule="auto"/>
              <w:ind w:left="6412"/>
              <w:rPr>
                <w:sz w:val="22"/>
                <w:szCs w:val="22"/>
              </w:rPr>
            </w:pPr>
            <w:r>
              <w:rPr>
                <w:b/>
                <w:bCs/>
                <w:spacing w:val="-7"/>
                <w:sz w:val="22"/>
                <w:szCs w:val="22"/>
              </w:rPr>
              <w:t>赧水</w:t>
            </w:r>
          </w:p>
        </w:tc>
      </w:tr>
      <w:tr w14:paraId="6F71A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14" w:type="dxa"/>
            <w:tcBorders>
              <w:left w:val="single" w:color="000000" w:sz="10" w:space="0"/>
            </w:tcBorders>
            <w:vAlign w:val="top"/>
          </w:tcPr>
          <w:p w14:paraId="75163F63">
            <w:pPr>
              <w:pStyle w:val="6"/>
              <w:spacing w:before="88" w:line="220" w:lineRule="auto"/>
              <w:ind w:left="236"/>
              <w:rPr>
                <w:sz w:val="22"/>
                <w:szCs w:val="22"/>
              </w:rPr>
            </w:pPr>
            <w:r>
              <w:rPr>
                <w:b/>
                <w:bCs/>
                <w:spacing w:val="-11"/>
                <w:sz w:val="22"/>
                <w:szCs w:val="22"/>
              </w:rPr>
              <w:t>断面</w:t>
            </w:r>
          </w:p>
        </w:tc>
        <w:tc>
          <w:tcPr>
            <w:tcW w:w="4350" w:type="dxa"/>
            <w:gridSpan w:val="5"/>
            <w:vAlign w:val="top"/>
          </w:tcPr>
          <w:p w14:paraId="03655D37">
            <w:pPr>
              <w:pStyle w:val="6"/>
              <w:spacing w:before="88" w:line="220" w:lineRule="auto"/>
              <w:ind w:left="1415"/>
              <w:rPr>
                <w:sz w:val="22"/>
                <w:szCs w:val="22"/>
              </w:rPr>
            </w:pPr>
            <w:r>
              <w:rPr>
                <w:b/>
                <w:bCs/>
                <w:spacing w:val="-5"/>
                <w:sz w:val="22"/>
                <w:szCs w:val="22"/>
              </w:rPr>
              <w:t>隆回县水厂断面</w:t>
            </w:r>
          </w:p>
        </w:tc>
        <w:tc>
          <w:tcPr>
            <w:tcW w:w="4350" w:type="dxa"/>
            <w:gridSpan w:val="5"/>
            <w:vAlign w:val="top"/>
          </w:tcPr>
          <w:p w14:paraId="7BA56658">
            <w:pPr>
              <w:pStyle w:val="6"/>
              <w:spacing w:before="88" w:line="220" w:lineRule="auto"/>
              <w:ind w:left="967"/>
              <w:rPr>
                <w:sz w:val="22"/>
                <w:szCs w:val="22"/>
              </w:rPr>
            </w:pPr>
            <w:r>
              <w:rPr>
                <w:b/>
                <w:bCs/>
                <w:spacing w:val="-3"/>
                <w:sz w:val="22"/>
                <w:szCs w:val="22"/>
              </w:rPr>
              <w:t>元木山断面（控制断面）</w:t>
            </w:r>
          </w:p>
        </w:tc>
        <w:tc>
          <w:tcPr>
            <w:tcW w:w="4563" w:type="dxa"/>
            <w:gridSpan w:val="5"/>
            <w:tcBorders>
              <w:right w:val="single" w:color="000000" w:sz="10" w:space="0"/>
            </w:tcBorders>
            <w:vAlign w:val="top"/>
          </w:tcPr>
          <w:p w14:paraId="077DC8F7">
            <w:pPr>
              <w:pStyle w:val="6"/>
              <w:spacing w:before="88" w:line="219" w:lineRule="auto"/>
              <w:ind w:left="741"/>
              <w:rPr>
                <w:sz w:val="22"/>
                <w:szCs w:val="22"/>
              </w:rPr>
            </w:pPr>
            <w:r>
              <w:rPr>
                <w:b/>
                <w:bCs/>
                <w:spacing w:val="-3"/>
                <w:sz w:val="22"/>
                <w:szCs w:val="22"/>
              </w:rPr>
              <w:t>邵阳县渡头村断面（出境断面）</w:t>
            </w:r>
          </w:p>
        </w:tc>
      </w:tr>
      <w:tr w14:paraId="12F38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914" w:type="dxa"/>
            <w:tcBorders>
              <w:left w:val="single" w:color="000000" w:sz="10" w:space="0"/>
            </w:tcBorders>
            <w:vAlign w:val="top"/>
          </w:tcPr>
          <w:p w14:paraId="46F01C71">
            <w:pPr>
              <w:pStyle w:val="6"/>
              <w:spacing w:before="177" w:line="220" w:lineRule="auto"/>
              <w:ind w:left="230"/>
              <w:rPr>
                <w:sz w:val="22"/>
                <w:szCs w:val="22"/>
              </w:rPr>
            </w:pPr>
            <w:r>
              <w:rPr>
                <w:spacing w:val="-5"/>
                <w:sz w:val="22"/>
                <w:szCs w:val="22"/>
              </w:rPr>
              <w:t>水质</w:t>
            </w:r>
          </w:p>
        </w:tc>
        <w:tc>
          <w:tcPr>
            <w:tcW w:w="838" w:type="dxa"/>
            <w:vAlign w:val="top"/>
          </w:tcPr>
          <w:p w14:paraId="5808759A">
            <w:pPr>
              <w:spacing w:before="215" w:line="189" w:lineRule="auto"/>
              <w:ind w:left="190"/>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2022</w:t>
            </w:r>
          </w:p>
        </w:tc>
        <w:tc>
          <w:tcPr>
            <w:tcW w:w="764" w:type="dxa"/>
            <w:vAlign w:val="top"/>
          </w:tcPr>
          <w:p w14:paraId="1CBBFD89">
            <w:pPr>
              <w:spacing w:before="215" w:line="189" w:lineRule="auto"/>
              <w:ind w:left="154"/>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2023</w:t>
            </w:r>
          </w:p>
        </w:tc>
        <w:tc>
          <w:tcPr>
            <w:tcW w:w="809" w:type="dxa"/>
            <w:vAlign w:val="top"/>
          </w:tcPr>
          <w:p w14:paraId="02CC3047">
            <w:pPr>
              <w:spacing w:before="215" w:line="189" w:lineRule="auto"/>
              <w:ind w:left="179"/>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2024</w:t>
            </w:r>
          </w:p>
        </w:tc>
        <w:tc>
          <w:tcPr>
            <w:tcW w:w="853" w:type="dxa"/>
            <w:vAlign w:val="top"/>
          </w:tcPr>
          <w:p w14:paraId="70384800">
            <w:pPr>
              <w:spacing w:before="215" w:line="189" w:lineRule="auto"/>
              <w:ind w:left="20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2025</w:t>
            </w:r>
          </w:p>
        </w:tc>
        <w:tc>
          <w:tcPr>
            <w:tcW w:w="1086" w:type="dxa"/>
            <w:vAlign w:val="top"/>
          </w:tcPr>
          <w:p w14:paraId="071F6D7A">
            <w:pPr>
              <w:pStyle w:val="6"/>
              <w:spacing w:before="35" w:line="221" w:lineRule="auto"/>
              <w:ind w:left="323"/>
              <w:rPr>
                <w:sz w:val="22"/>
                <w:szCs w:val="22"/>
              </w:rPr>
            </w:pPr>
            <w:r>
              <w:rPr>
                <w:spacing w:val="-3"/>
                <w:sz w:val="22"/>
                <w:szCs w:val="22"/>
              </w:rPr>
              <w:t>超标</w:t>
            </w:r>
          </w:p>
          <w:p w14:paraId="612257DE">
            <w:pPr>
              <w:pStyle w:val="6"/>
              <w:spacing w:before="22" w:line="203" w:lineRule="auto"/>
              <w:ind w:left="324"/>
              <w:rPr>
                <w:sz w:val="22"/>
                <w:szCs w:val="22"/>
              </w:rPr>
            </w:pPr>
            <w:r>
              <w:rPr>
                <w:spacing w:val="-4"/>
                <w:sz w:val="22"/>
                <w:szCs w:val="22"/>
              </w:rPr>
              <w:t>倍数</w:t>
            </w:r>
          </w:p>
        </w:tc>
        <w:tc>
          <w:tcPr>
            <w:tcW w:w="875" w:type="dxa"/>
            <w:vAlign w:val="top"/>
          </w:tcPr>
          <w:p w14:paraId="4883A3BD">
            <w:pPr>
              <w:spacing w:before="215" w:line="189" w:lineRule="auto"/>
              <w:ind w:left="215"/>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2022</w:t>
            </w:r>
          </w:p>
        </w:tc>
        <w:tc>
          <w:tcPr>
            <w:tcW w:w="779" w:type="dxa"/>
            <w:vAlign w:val="top"/>
          </w:tcPr>
          <w:p w14:paraId="72CD229F">
            <w:pPr>
              <w:spacing w:before="215" w:line="189" w:lineRule="auto"/>
              <w:ind w:left="17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2023</w:t>
            </w:r>
          </w:p>
        </w:tc>
        <w:tc>
          <w:tcPr>
            <w:tcW w:w="824" w:type="dxa"/>
            <w:vAlign w:val="top"/>
          </w:tcPr>
          <w:p w14:paraId="0C99CA89">
            <w:pPr>
              <w:spacing w:before="215" w:line="189" w:lineRule="auto"/>
              <w:ind w:left="193"/>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2024</w:t>
            </w:r>
          </w:p>
        </w:tc>
        <w:tc>
          <w:tcPr>
            <w:tcW w:w="809" w:type="dxa"/>
            <w:vAlign w:val="top"/>
          </w:tcPr>
          <w:p w14:paraId="2EC2755F">
            <w:pPr>
              <w:spacing w:before="215" w:line="189" w:lineRule="auto"/>
              <w:ind w:left="188"/>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2025</w:t>
            </w:r>
          </w:p>
        </w:tc>
        <w:tc>
          <w:tcPr>
            <w:tcW w:w="1063" w:type="dxa"/>
            <w:vAlign w:val="top"/>
          </w:tcPr>
          <w:p w14:paraId="7B1C6D1E">
            <w:pPr>
              <w:pStyle w:val="6"/>
              <w:spacing w:before="35" w:line="221" w:lineRule="auto"/>
              <w:ind w:left="318"/>
              <w:rPr>
                <w:sz w:val="22"/>
                <w:szCs w:val="22"/>
              </w:rPr>
            </w:pPr>
            <w:r>
              <w:rPr>
                <w:spacing w:val="-3"/>
                <w:sz w:val="22"/>
                <w:szCs w:val="22"/>
              </w:rPr>
              <w:t>超标</w:t>
            </w:r>
          </w:p>
          <w:p w14:paraId="6D00F439">
            <w:pPr>
              <w:pStyle w:val="6"/>
              <w:spacing w:before="22" w:line="203" w:lineRule="auto"/>
              <w:ind w:left="319"/>
              <w:rPr>
                <w:sz w:val="22"/>
                <w:szCs w:val="22"/>
              </w:rPr>
            </w:pPr>
            <w:r>
              <w:rPr>
                <w:spacing w:val="-4"/>
                <w:sz w:val="22"/>
                <w:szCs w:val="22"/>
              </w:rPr>
              <w:t>倍数</w:t>
            </w:r>
          </w:p>
        </w:tc>
        <w:tc>
          <w:tcPr>
            <w:tcW w:w="1018" w:type="dxa"/>
            <w:vAlign w:val="top"/>
          </w:tcPr>
          <w:p w14:paraId="3B25A7C3">
            <w:pPr>
              <w:spacing w:before="215" w:line="189" w:lineRule="auto"/>
              <w:ind w:left="29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2022</w:t>
            </w:r>
          </w:p>
        </w:tc>
        <w:tc>
          <w:tcPr>
            <w:tcW w:w="883" w:type="dxa"/>
            <w:vAlign w:val="top"/>
          </w:tcPr>
          <w:p w14:paraId="28B6572E">
            <w:pPr>
              <w:spacing w:before="215" w:line="189" w:lineRule="auto"/>
              <w:ind w:left="23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2023</w:t>
            </w:r>
          </w:p>
        </w:tc>
        <w:tc>
          <w:tcPr>
            <w:tcW w:w="853" w:type="dxa"/>
            <w:vAlign w:val="top"/>
          </w:tcPr>
          <w:p w14:paraId="79C50688">
            <w:pPr>
              <w:spacing w:before="215" w:line="189" w:lineRule="auto"/>
              <w:ind w:left="216"/>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2024</w:t>
            </w:r>
          </w:p>
        </w:tc>
        <w:tc>
          <w:tcPr>
            <w:tcW w:w="838" w:type="dxa"/>
            <w:vAlign w:val="top"/>
          </w:tcPr>
          <w:p w14:paraId="68620527">
            <w:pPr>
              <w:spacing w:before="215" w:line="189" w:lineRule="auto"/>
              <w:ind w:left="211"/>
              <w:rPr>
                <w:rFonts w:ascii="Times New Roman" w:hAnsi="Times New Roman" w:eastAsia="Times New Roman" w:cs="Times New Roman"/>
                <w:sz w:val="22"/>
                <w:szCs w:val="22"/>
              </w:rPr>
            </w:pPr>
            <w:r>
              <w:rPr>
                <w:rFonts w:ascii="Times New Roman" w:hAnsi="Times New Roman" w:eastAsia="Times New Roman" w:cs="Times New Roman"/>
                <w:spacing w:val="-1"/>
                <w:sz w:val="22"/>
                <w:szCs w:val="22"/>
              </w:rPr>
              <w:t>2025</w:t>
            </w:r>
          </w:p>
        </w:tc>
        <w:tc>
          <w:tcPr>
            <w:tcW w:w="971" w:type="dxa"/>
            <w:tcBorders>
              <w:right w:val="single" w:color="000000" w:sz="10" w:space="0"/>
            </w:tcBorders>
            <w:vAlign w:val="top"/>
          </w:tcPr>
          <w:p w14:paraId="08C31F9A">
            <w:pPr>
              <w:pStyle w:val="6"/>
              <w:spacing w:before="35" w:line="221" w:lineRule="auto"/>
              <w:ind w:left="276"/>
              <w:rPr>
                <w:sz w:val="22"/>
                <w:szCs w:val="22"/>
              </w:rPr>
            </w:pPr>
            <w:r>
              <w:rPr>
                <w:spacing w:val="-3"/>
                <w:sz w:val="22"/>
                <w:szCs w:val="22"/>
              </w:rPr>
              <w:t>超标</w:t>
            </w:r>
          </w:p>
          <w:p w14:paraId="118B2E7A">
            <w:pPr>
              <w:pStyle w:val="6"/>
              <w:spacing w:before="22" w:line="203" w:lineRule="auto"/>
              <w:ind w:left="277"/>
              <w:rPr>
                <w:sz w:val="22"/>
                <w:szCs w:val="22"/>
              </w:rPr>
            </w:pPr>
            <w:r>
              <w:rPr>
                <w:spacing w:val="-4"/>
                <w:sz w:val="22"/>
                <w:szCs w:val="22"/>
              </w:rPr>
              <w:t>倍数</w:t>
            </w:r>
          </w:p>
        </w:tc>
      </w:tr>
      <w:tr w14:paraId="31C53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14" w:type="dxa"/>
            <w:tcBorders>
              <w:left w:val="single" w:color="000000" w:sz="10" w:space="0"/>
            </w:tcBorders>
            <w:vAlign w:val="top"/>
          </w:tcPr>
          <w:p w14:paraId="26C17108">
            <w:pPr>
              <w:pStyle w:val="6"/>
              <w:spacing w:before="93" w:line="220" w:lineRule="auto"/>
              <w:ind w:left="230"/>
              <w:rPr>
                <w:sz w:val="22"/>
                <w:szCs w:val="22"/>
              </w:rPr>
            </w:pPr>
            <w:r>
              <w:rPr>
                <w:spacing w:val="-6"/>
                <w:sz w:val="22"/>
                <w:szCs w:val="22"/>
              </w:rPr>
              <w:t>一月</w:t>
            </w:r>
          </w:p>
        </w:tc>
        <w:tc>
          <w:tcPr>
            <w:tcW w:w="838" w:type="dxa"/>
            <w:vAlign w:val="top"/>
          </w:tcPr>
          <w:p w14:paraId="7128C194">
            <w:pPr>
              <w:pStyle w:val="6"/>
              <w:spacing w:before="93" w:line="220" w:lineRule="auto"/>
              <w:ind w:left="229"/>
              <w:rPr>
                <w:sz w:val="22"/>
                <w:szCs w:val="22"/>
              </w:rPr>
            </w:pPr>
            <w:r>
              <w:rPr>
                <w:rFonts w:ascii="Times New Roman" w:hAnsi="Times New Roman" w:eastAsia="Times New Roman" w:cs="Times New Roman"/>
                <w:spacing w:val="-2"/>
                <w:sz w:val="22"/>
                <w:szCs w:val="22"/>
              </w:rPr>
              <w:t>Ⅱ</w:t>
            </w:r>
            <w:r>
              <w:rPr>
                <w:spacing w:val="-2"/>
                <w:sz w:val="22"/>
                <w:szCs w:val="22"/>
              </w:rPr>
              <w:t>类</w:t>
            </w:r>
          </w:p>
        </w:tc>
        <w:tc>
          <w:tcPr>
            <w:tcW w:w="764" w:type="dxa"/>
            <w:vAlign w:val="top"/>
          </w:tcPr>
          <w:p w14:paraId="4BE23E50">
            <w:pPr>
              <w:pStyle w:val="6"/>
              <w:spacing w:before="93" w:line="220" w:lineRule="auto"/>
              <w:ind w:left="229"/>
              <w:rPr>
                <w:sz w:val="22"/>
                <w:szCs w:val="22"/>
              </w:rPr>
            </w:pPr>
            <w:r>
              <w:rPr>
                <w:rFonts w:ascii="Times New Roman" w:hAnsi="Times New Roman" w:eastAsia="Times New Roman" w:cs="Times New Roman"/>
                <w:spacing w:val="-2"/>
                <w:sz w:val="22"/>
                <w:szCs w:val="22"/>
              </w:rPr>
              <w:t>Ⅰ</w:t>
            </w:r>
            <w:r>
              <w:rPr>
                <w:spacing w:val="-2"/>
                <w:sz w:val="22"/>
                <w:szCs w:val="22"/>
              </w:rPr>
              <w:t>类</w:t>
            </w:r>
          </w:p>
        </w:tc>
        <w:tc>
          <w:tcPr>
            <w:tcW w:w="809" w:type="dxa"/>
            <w:vAlign w:val="top"/>
          </w:tcPr>
          <w:p w14:paraId="0A1D8071">
            <w:pPr>
              <w:pStyle w:val="6"/>
              <w:spacing w:before="93" w:line="220" w:lineRule="auto"/>
              <w:ind w:left="219"/>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53" w:type="dxa"/>
            <w:vAlign w:val="top"/>
          </w:tcPr>
          <w:p w14:paraId="0EEEA1F2">
            <w:pPr>
              <w:pStyle w:val="6"/>
              <w:spacing w:before="93" w:line="220" w:lineRule="auto"/>
              <w:ind w:left="276"/>
              <w:rPr>
                <w:sz w:val="22"/>
                <w:szCs w:val="22"/>
              </w:rPr>
            </w:pPr>
            <w:r>
              <w:rPr>
                <w:rFonts w:ascii="Times New Roman" w:hAnsi="Times New Roman" w:eastAsia="Times New Roman" w:cs="Times New Roman"/>
                <w:spacing w:val="-2"/>
                <w:sz w:val="22"/>
                <w:szCs w:val="22"/>
              </w:rPr>
              <w:t>Ⅰ</w:t>
            </w:r>
            <w:r>
              <w:rPr>
                <w:spacing w:val="-2"/>
                <w:sz w:val="22"/>
                <w:szCs w:val="22"/>
              </w:rPr>
              <w:t>类</w:t>
            </w:r>
          </w:p>
        </w:tc>
        <w:tc>
          <w:tcPr>
            <w:tcW w:w="1086" w:type="dxa"/>
            <w:vAlign w:val="top"/>
          </w:tcPr>
          <w:p w14:paraId="79BAC0F4">
            <w:pPr>
              <w:pStyle w:val="6"/>
              <w:spacing w:before="92" w:line="221" w:lineRule="auto"/>
              <w:ind w:left="215"/>
              <w:rPr>
                <w:sz w:val="22"/>
                <w:szCs w:val="22"/>
              </w:rPr>
            </w:pPr>
            <w:r>
              <w:rPr>
                <w:spacing w:val="-3"/>
                <w:sz w:val="22"/>
                <w:szCs w:val="22"/>
              </w:rPr>
              <w:t>无超标</w:t>
            </w:r>
          </w:p>
        </w:tc>
        <w:tc>
          <w:tcPr>
            <w:tcW w:w="875" w:type="dxa"/>
            <w:vAlign w:val="top"/>
          </w:tcPr>
          <w:p w14:paraId="1772F106">
            <w:pPr>
              <w:pStyle w:val="6"/>
              <w:spacing w:before="93" w:line="220" w:lineRule="auto"/>
              <w:ind w:left="257"/>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779" w:type="dxa"/>
            <w:vAlign w:val="top"/>
          </w:tcPr>
          <w:p w14:paraId="04E6A3AE">
            <w:pPr>
              <w:pStyle w:val="6"/>
              <w:spacing w:before="93" w:line="220" w:lineRule="auto"/>
              <w:ind w:left="210"/>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24" w:type="dxa"/>
            <w:vAlign w:val="top"/>
          </w:tcPr>
          <w:p w14:paraId="55151641">
            <w:pPr>
              <w:pStyle w:val="6"/>
              <w:spacing w:before="93" w:line="220" w:lineRule="auto"/>
              <w:ind w:left="233"/>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09" w:type="dxa"/>
            <w:vAlign w:val="top"/>
          </w:tcPr>
          <w:p w14:paraId="13D4D23B">
            <w:pPr>
              <w:pStyle w:val="6"/>
              <w:spacing w:before="93" w:line="220" w:lineRule="auto"/>
              <w:ind w:left="227"/>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1063" w:type="dxa"/>
            <w:vAlign w:val="top"/>
          </w:tcPr>
          <w:p w14:paraId="42B73E76">
            <w:pPr>
              <w:pStyle w:val="6"/>
              <w:spacing w:before="92" w:line="221" w:lineRule="auto"/>
              <w:ind w:left="210"/>
              <w:rPr>
                <w:sz w:val="22"/>
                <w:szCs w:val="22"/>
              </w:rPr>
            </w:pPr>
            <w:r>
              <w:rPr>
                <w:spacing w:val="-3"/>
                <w:sz w:val="22"/>
                <w:szCs w:val="22"/>
              </w:rPr>
              <w:t>无超标</w:t>
            </w:r>
          </w:p>
        </w:tc>
        <w:tc>
          <w:tcPr>
            <w:tcW w:w="1018" w:type="dxa"/>
            <w:vAlign w:val="top"/>
          </w:tcPr>
          <w:p w14:paraId="37C363CF">
            <w:pPr>
              <w:pStyle w:val="6"/>
              <w:spacing w:before="93" w:line="220" w:lineRule="auto"/>
              <w:ind w:left="335"/>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83" w:type="dxa"/>
            <w:vAlign w:val="top"/>
          </w:tcPr>
          <w:p w14:paraId="4C93F424">
            <w:pPr>
              <w:pStyle w:val="6"/>
              <w:spacing w:before="93" w:line="220" w:lineRule="auto"/>
              <w:ind w:left="270"/>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53" w:type="dxa"/>
            <w:vAlign w:val="top"/>
          </w:tcPr>
          <w:p w14:paraId="0BA9DFD6">
            <w:pPr>
              <w:pStyle w:val="6"/>
              <w:spacing w:before="93" w:line="220" w:lineRule="auto"/>
              <w:ind w:left="256"/>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38" w:type="dxa"/>
            <w:vAlign w:val="top"/>
          </w:tcPr>
          <w:p w14:paraId="5314713C">
            <w:pPr>
              <w:pStyle w:val="6"/>
              <w:spacing w:before="93" w:line="220" w:lineRule="auto"/>
              <w:ind w:left="252"/>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971" w:type="dxa"/>
            <w:tcBorders>
              <w:right w:val="single" w:color="000000" w:sz="10" w:space="0"/>
            </w:tcBorders>
            <w:vAlign w:val="top"/>
          </w:tcPr>
          <w:p w14:paraId="3480C5E3">
            <w:pPr>
              <w:pStyle w:val="6"/>
              <w:spacing w:before="92" w:line="221" w:lineRule="auto"/>
              <w:ind w:left="168"/>
              <w:rPr>
                <w:sz w:val="22"/>
                <w:szCs w:val="22"/>
              </w:rPr>
            </w:pPr>
            <w:r>
              <w:rPr>
                <w:spacing w:val="-3"/>
                <w:sz w:val="22"/>
                <w:szCs w:val="22"/>
              </w:rPr>
              <w:t>无超标</w:t>
            </w:r>
          </w:p>
        </w:tc>
      </w:tr>
      <w:tr w14:paraId="08A9F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14" w:type="dxa"/>
            <w:tcBorders>
              <w:left w:val="single" w:color="000000" w:sz="10" w:space="0"/>
            </w:tcBorders>
            <w:vAlign w:val="top"/>
          </w:tcPr>
          <w:p w14:paraId="61BBD442">
            <w:pPr>
              <w:pStyle w:val="6"/>
              <w:spacing w:before="93" w:line="220" w:lineRule="auto"/>
              <w:ind w:left="230"/>
              <w:rPr>
                <w:sz w:val="22"/>
                <w:szCs w:val="22"/>
              </w:rPr>
            </w:pPr>
            <w:r>
              <w:rPr>
                <w:spacing w:val="-6"/>
                <w:sz w:val="22"/>
                <w:szCs w:val="22"/>
              </w:rPr>
              <w:t>二月</w:t>
            </w:r>
          </w:p>
        </w:tc>
        <w:tc>
          <w:tcPr>
            <w:tcW w:w="838" w:type="dxa"/>
            <w:vAlign w:val="top"/>
          </w:tcPr>
          <w:p w14:paraId="1818E7EE">
            <w:pPr>
              <w:pStyle w:val="6"/>
              <w:spacing w:before="93" w:line="220" w:lineRule="auto"/>
              <w:ind w:left="265"/>
              <w:rPr>
                <w:sz w:val="22"/>
                <w:szCs w:val="22"/>
              </w:rPr>
            </w:pPr>
            <w:r>
              <w:rPr>
                <w:rFonts w:ascii="Times New Roman" w:hAnsi="Times New Roman" w:eastAsia="Times New Roman" w:cs="Times New Roman"/>
                <w:spacing w:val="-3"/>
                <w:sz w:val="22"/>
                <w:szCs w:val="22"/>
              </w:rPr>
              <w:t>Ⅰ</w:t>
            </w:r>
            <w:r>
              <w:rPr>
                <w:spacing w:val="-3"/>
                <w:sz w:val="22"/>
                <w:szCs w:val="22"/>
              </w:rPr>
              <w:t>类</w:t>
            </w:r>
          </w:p>
        </w:tc>
        <w:tc>
          <w:tcPr>
            <w:tcW w:w="764" w:type="dxa"/>
            <w:vAlign w:val="top"/>
          </w:tcPr>
          <w:p w14:paraId="325924B1">
            <w:pPr>
              <w:pStyle w:val="6"/>
              <w:spacing w:before="93" w:line="220" w:lineRule="auto"/>
              <w:ind w:left="159"/>
              <w:rPr>
                <w:sz w:val="22"/>
                <w:szCs w:val="22"/>
              </w:rPr>
            </w:pPr>
            <w:r>
              <w:rPr>
                <w:rFonts w:ascii="Times New Roman" w:hAnsi="Times New Roman" w:eastAsia="Times New Roman" w:cs="Times New Roman"/>
                <w:spacing w:val="-3"/>
                <w:sz w:val="22"/>
                <w:szCs w:val="22"/>
              </w:rPr>
              <w:t>Ⅲ</w:t>
            </w:r>
            <w:r>
              <w:rPr>
                <w:spacing w:val="-3"/>
                <w:sz w:val="22"/>
                <w:szCs w:val="22"/>
              </w:rPr>
              <w:t>类</w:t>
            </w:r>
          </w:p>
        </w:tc>
        <w:tc>
          <w:tcPr>
            <w:tcW w:w="809" w:type="dxa"/>
            <w:vAlign w:val="top"/>
          </w:tcPr>
          <w:p w14:paraId="05AA1493">
            <w:pPr>
              <w:pStyle w:val="6"/>
              <w:spacing w:before="93" w:line="220" w:lineRule="auto"/>
              <w:ind w:left="219"/>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53" w:type="dxa"/>
            <w:vAlign w:val="top"/>
          </w:tcPr>
          <w:p w14:paraId="2FDB25BC">
            <w:pPr>
              <w:pStyle w:val="6"/>
              <w:spacing w:before="93" w:line="220" w:lineRule="auto"/>
              <w:ind w:left="242"/>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1086" w:type="dxa"/>
            <w:vAlign w:val="top"/>
          </w:tcPr>
          <w:p w14:paraId="398071B6">
            <w:pPr>
              <w:pStyle w:val="6"/>
              <w:spacing w:before="93" w:line="221" w:lineRule="auto"/>
              <w:ind w:left="215"/>
              <w:rPr>
                <w:sz w:val="22"/>
                <w:szCs w:val="22"/>
              </w:rPr>
            </w:pPr>
            <w:r>
              <w:rPr>
                <w:spacing w:val="-3"/>
                <w:sz w:val="22"/>
                <w:szCs w:val="22"/>
              </w:rPr>
              <w:t>无超标</w:t>
            </w:r>
          </w:p>
        </w:tc>
        <w:tc>
          <w:tcPr>
            <w:tcW w:w="875" w:type="dxa"/>
            <w:vAlign w:val="top"/>
          </w:tcPr>
          <w:p w14:paraId="06502887">
            <w:pPr>
              <w:pStyle w:val="6"/>
              <w:spacing w:before="93" w:line="220" w:lineRule="auto"/>
              <w:ind w:left="257"/>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779" w:type="dxa"/>
            <w:vAlign w:val="top"/>
          </w:tcPr>
          <w:p w14:paraId="6C84F532">
            <w:pPr>
              <w:pStyle w:val="6"/>
              <w:spacing w:before="93" w:line="220" w:lineRule="auto"/>
              <w:ind w:left="210"/>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24" w:type="dxa"/>
            <w:vAlign w:val="top"/>
          </w:tcPr>
          <w:p w14:paraId="777FD52B">
            <w:pPr>
              <w:pStyle w:val="6"/>
              <w:spacing w:before="93" w:line="220" w:lineRule="auto"/>
              <w:ind w:left="233"/>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09" w:type="dxa"/>
            <w:vAlign w:val="top"/>
          </w:tcPr>
          <w:p w14:paraId="29625B7E">
            <w:pPr>
              <w:pStyle w:val="6"/>
              <w:spacing w:before="93" w:line="220" w:lineRule="auto"/>
              <w:ind w:left="227"/>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1063" w:type="dxa"/>
            <w:vAlign w:val="top"/>
          </w:tcPr>
          <w:p w14:paraId="341CA318">
            <w:pPr>
              <w:pStyle w:val="6"/>
              <w:spacing w:before="93" w:line="221" w:lineRule="auto"/>
              <w:ind w:left="210"/>
              <w:rPr>
                <w:sz w:val="22"/>
                <w:szCs w:val="22"/>
              </w:rPr>
            </w:pPr>
            <w:r>
              <w:rPr>
                <w:spacing w:val="-3"/>
                <w:sz w:val="22"/>
                <w:szCs w:val="22"/>
              </w:rPr>
              <w:t>无超标</w:t>
            </w:r>
          </w:p>
        </w:tc>
        <w:tc>
          <w:tcPr>
            <w:tcW w:w="1018" w:type="dxa"/>
            <w:vAlign w:val="top"/>
          </w:tcPr>
          <w:p w14:paraId="123EF279">
            <w:pPr>
              <w:pStyle w:val="6"/>
              <w:spacing w:before="93" w:line="220" w:lineRule="auto"/>
              <w:ind w:left="335"/>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83" w:type="dxa"/>
            <w:vAlign w:val="top"/>
          </w:tcPr>
          <w:p w14:paraId="593E073E">
            <w:pPr>
              <w:pStyle w:val="6"/>
              <w:spacing w:before="93" w:line="220" w:lineRule="auto"/>
              <w:ind w:left="270"/>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53" w:type="dxa"/>
            <w:vAlign w:val="top"/>
          </w:tcPr>
          <w:p w14:paraId="374DD664">
            <w:pPr>
              <w:pStyle w:val="6"/>
              <w:spacing w:before="93" w:line="220" w:lineRule="auto"/>
              <w:ind w:left="256"/>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38" w:type="dxa"/>
            <w:vAlign w:val="top"/>
          </w:tcPr>
          <w:p w14:paraId="1E7F4C7E">
            <w:pPr>
              <w:pStyle w:val="6"/>
              <w:spacing w:before="93" w:line="220" w:lineRule="auto"/>
              <w:ind w:left="252"/>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971" w:type="dxa"/>
            <w:tcBorders>
              <w:right w:val="single" w:color="000000" w:sz="10" w:space="0"/>
            </w:tcBorders>
            <w:vAlign w:val="top"/>
          </w:tcPr>
          <w:p w14:paraId="1C2C312E">
            <w:pPr>
              <w:pStyle w:val="6"/>
              <w:spacing w:before="93" w:line="221" w:lineRule="auto"/>
              <w:ind w:left="168"/>
              <w:rPr>
                <w:sz w:val="22"/>
                <w:szCs w:val="22"/>
              </w:rPr>
            </w:pPr>
            <w:r>
              <w:rPr>
                <w:spacing w:val="-3"/>
                <w:sz w:val="22"/>
                <w:szCs w:val="22"/>
              </w:rPr>
              <w:t>无超标</w:t>
            </w:r>
          </w:p>
        </w:tc>
      </w:tr>
      <w:tr w14:paraId="6BA1B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14" w:type="dxa"/>
            <w:tcBorders>
              <w:left w:val="single" w:color="000000" w:sz="10" w:space="0"/>
            </w:tcBorders>
            <w:vAlign w:val="top"/>
          </w:tcPr>
          <w:p w14:paraId="2FF5CC9C">
            <w:pPr>
              <w:pStyle w:val="6"/>
              <w:spacing w:before="96" w:line="220" w:lineRule="auto"/>
              <w:ind w:left="227"/>
              <w:rPr>
                <w:sz w:val="22"/>
                <w:szCs w:val="22"/>
              </w:rPr>
            </w:pPr>
            <w:r>
              <w:rPr>
                <w:spacing w:val="-4"/>
                <w:sz w:val="22"/>
                <w:szCs w:val="22"/>
              </w:rPr>
              <w:t>三月</w:t>
            </w:r>
          </w:p>
        </w:tc>
        <w:tc>
          <w:tcPr>
            <w:tcW w:w="838" w:type="dxa"/>
            <w:vAlign w:val="top"/>
          </w:tcPr>
          <w:p w14:paraId="3CCF201C">
            <w:pPr>
              <w:pStyle w:val="6"/>
              <w:spacing w:before="96" w:line="220" w:lineRule="auto"/>
              <w:ind w:left="229"/>
              <w:rPr>
                <w:sz w:val="22"/>
                <w:szCs w:val="22"/>
              </w:rPr>
            </w:pPr>
            <w:r>
              <w:rPr>
                <w:rFonts w:ascii="Times New Roman" w:hAnsi="Times New Roman" w:eastAsia="Times New Roman" w:cs="Times New Roman"/>
                <w:spacing w:val="-2"/>
                <w:sz w:val="22"/>
                <w:szCs w:val="22"/>
              </w:rPr>
              <w:t>Ⅱ</w:t>
            </w:r>
            <w:r>
              <w:rPr>
                <w:spacing w:val="-2"/>
                <w:sz w:val="22"/>
                <w:szCs w:val="22"/>
              </w:rPr>
              <w:t>类</w:t>
            </w:r>
          </w:p>
        </w:tc>
        <w:tc>
          <w:tcPr>
            <w:tcW w:w="764" w:type="dxa"/>
            <w:vAlign w:val="top"/>
          </w:tcPr>
          <w:p w14:paraId="04CB7567">
            <w:pPr>
              <w:pStyle w:val="6"/>
              <w:spacing w:before="96" w:line="220" w:lineRule="auto"/>
              <w:ind w:left="195"/>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09" w:type="dxa"/>
            <w:vAlign w:val="top"/>
          </w:tcPr>
          <w:p w14:paraId="2B85C90C">
            <w:pPr>
              <w:pStyle w:val="6"/>
              <w:spacing w:before="96" w:line="220" w:lineRule="auto"/>
              <w:ind w:left="219"/>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53" w:type="dxa"/>
            <w:vAlign w:val="top"/>
          </w:tcPr>
          <w:p w14:paraId="3B9CAB53">
            <w:pPr>
              <w:pStyle w:val="6"/>
              <w:spacing w:before="96" w:line="220" w:lineRule="auto"/>
              <w:ind w:left="242"/>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1086" w:type="dxa"/>
            <w:vAlign w:val="top"/>
          </w:tcPr>
          <w:p w14:paraId="78795B70">
            <w:pPr>
              <w:pStyle w:val="6"/>
              <w:spacing w:before="96" w:line="221" w:lineRule="auto"/>
              <w:ind w:left="215"/>
              <w:rPr>
                <w:sz w:val="22"/>
                <w:szCs w:val="22"/>
              </w:rPr>
            </w:pPr>
            <w:r>
              <w:rPr>
                <w:spacing w:val="-3"/>
                <w:sz w:val="22"/>
                <w:szCs w:val="22"/>
              </w:rPr>
              <w:t>无超标</w:t>
            </w:r>
          </w:p>
        </w:tc>
        <w:tc>
          <w:tcPr>
            <w:tcW w:w="875" w:type="dxa"/>
            <w:vAlign w:val="top"/>
          </w:tcPr>
          <w:p w14:paraId="1D4D59FC">
            <w:pPr>
              <w:pStyle w:val="6"/>
              <w:spacing w:before="96" w:line="220" w:lineRule="auto"/>
              <w:ind w:left="257"/>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779" w:type="dxa"/>
            <w:vAlign w:val="top"/>
          </w:tcPr>
          <w:p w14:paraId="166BD428">
            <w:pPr>
              <w:pStyle w:val="6"/>
              <w:spacing w:before="96" w:line="220" w:lineRule="auto"/>
              <w:ind w:left="210"/>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24" w:type="dxa"/>
            <w:vAlign w:val="top"/>
          </w:tcPr>
          <w:p w14:paraId="2A9F6719">
            <w:pPr>
              <w:pStyle w:val="6"/>
              <w:spacing w:before="96" w:line="220" w:lineRule="auto"/>
              <w:ind w:left="233"/>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09" w:type="dxa"/>
            <w:vAlign w:val="top"/>
          </w:tcPr>
          <w:p w14:paraId="1A3CA1BD">
            <w:pPr>
              <w:pStyle w:val="6"/>
              <w:spacing w:before="96" w:line="220" w:lineRule="auto"/>
              <w:ind w:left="227"/>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1063" w:type="dxa"/>
            <w:vAlign w:val="top"/>
          </w:tcPr>
          <w:p w14:paraId="3BF765F7">
            <w:pPr>
              <w:pStyle w:val="6"/>
              <w:spacing w:before="96" w:line="221" w:lineRule="auto"/>
              <w:ind w:left="210"/>
              <w:rPr>
                <w:sz w:val="22"/>
                <w:szCs w:val="22"/>
              </w:rPr>
            </w:pPr>
            <w:r>
              <w:rPr>
                <w:spacing w:val="-3"/>
                <w:sz w:val="22"/>
                <w:szCs w:val="22"/>
              </w:rPr>
              <w:t>无超标</w:t>
            </w:r>
          </w:p>
        </w:tc>
        <w:tc>
          <w:tcPr>
            <w:tcW w:w="1018" w:type="dxa"/>
            <w:vAlign w:val="top"/>
          </w:tcPr>
          <w:p w14:paraId="41676B73">
            <w:pPr>
              <w:pStyle w:val="6"/>
              <w:spacing w:before="96" w:line="220" w:lineRule="auto"/>
              <w:ind w:left="335"/>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83" w:type="dxa"/>
            <w:vAlign w:val="top"/>
          </w:tcPr>
          <w:p w14:paraId="2606D038">
            <w:pPr>
              <w:pStyle w:val="6"/>
              <w:spacing w:before="96" w:line="220" w:lineRule="auto"/>
              <w:ind w:left="270"/>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53" w:type="dxa"/>
            <w:vAlign w:val="top"/>
          </w:tcPr>
          <w:p w14:paraId="2E1B05BF">
            <w:pPr>
              <w:pStyle w:val="6"/>
              <w:spacing w:before="96" w:line="220" w:lineRule="auto"/>
              <w:ind w:left="256"/>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38" w:type="dxa"/>
            <w:vAlign w:val="top"/>
          </w:tcPr>
          <w:p w14:paraId="100DDCDE">
            <w:pPr>
              <w:pStyle w:val="6"/>
              <w:spacing w:before="96" w:line="220" w:lineRule="auto"/>
              <w:ind w:left="252"/>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971" w:type="dxa"/>
            <w:tcBorders>
              <w:right w:val="single" w:color="000000" w:sz="10" w:space="0"/>
            </w:tcBorders>
            <w:vAlign w:val="top"/>
          </w:tcPr>
          <w:p w14:paraId="21BE688A">
            <w:pPr>
              <w:pStyle w:val="6"/>
              <w:spacing w:before="96" w:line="221" w:lineRule="auto"/>
              <w:ind w:left="168"/>
              <w:rPr>
                <w:sz w:val="22"/>
                <w:szCs w:val="22"/>
              </w:rPr>
            </w:pPr>
            <w:r>
              <w:rPr>
                <w:spacing w:val="-3"/>
                <w:sz w:val="22"/>
                <w:szCs w:val="22"/>
              </w:rPr>
              <w:t>无超标</w:t>
            </w:r>
          </w:p>
        </w:tc>
      </w:tr>
      <w:tr w14:paraId="02D69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14" w:type="dxa"/>
            <w:tcBorders>
              <w:left w:val="single" w:color="000000" w:sz="10" w:space="0"/>
            </w:tcBorders>
            <w:vAlign w:val="top"/>
          </w:tcPr>
          <w:p w14:paraId="031B59B8">
            <w:pPr>
              <w:pStyle w:val="6"/>
              <w:spacing w:before="96" w:line="220" w:lineRule="auto"/>
              <w:ind w:left="248"/>
              <w:rPr>
                <w:sz w:val="22"/>
                <w:szCs w:val="22"/>
              </w:rPr>
            </w:pPr>
            <w:r>
              <w:rPr>
                <w:spacing w:val="-14"/>
                <w:sz w:val="22"/>
                <w:szCs w:val="22"/>
              </w:rPr>
              <w:t>四月</w:t>
            </w:r>
          </w:p>
        </w:tc>
        <w:tc>
          <w:tcPr>
            <w:tcW w:w="838" w:type="dxa"/>
            <w:vAlign w:val="top"/>
          </w:tcPr>
          <w:p w14:paraId="56A0A94D">
            <w:pPr>
              <w:pStyle w:val="6"/>
              <w:spacing w:before="96" w:line="220" w:lineRule="auto"/>
              <w:ind w:left="229"/>
              <w:rPr>
                <w:sz w:val="22"/>
                <w:szCs w:val="22"/>
              </w:rPr>
            </w:pPr>
            <w:r>
              <w:rPr>
                <w:rFonts w:ascii="Times New Roman" w:hAnsi="Times New Roman" w:eastAsia="Times New Roman" w:cs="Times New Roman"/>
                <w:spacing w:val="-2"/>
                <w:sz w:val="22"/>
                <w:szCs w:val="22"/>
              </w:rPr>
              <w:t>Ⅱ</w:t>
            </w:r>
            <w:r>
              <w:rPr>
                <w:spacing w:val="-2"/>
                <w:sz w:val="22"/>
                <w:szCs w:val="22"/>
              </w:rPr>
              <w:t>类</w:t>
            </w:r>
          </w:p>
        </w:tc>
        <w:tc>
          <w:tcPr>
            <w:tcW w:w="764" w:type="dxa"/>
            <w:vAlign w:val="top"/>
          </w:tcPr>
          <w:p w14:paraId="7CE097FC">
            <w:pPr>
              <w:pStyle w:val="6"/>
              <w:spacing w:before="96" w:line="220" w:lineRule="auto"/>
              <w:ind w:left="195"/>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09" w:type="dxa"/>
            <w:vAlign w:val="top"/>
          </w:tcPr>
          <w:p w14:paraId="0BC5AA6C">
            <w:pPr>
              <w:pStyle w:val="6"/>
              <w:spacing w:before="96" w:line="220" w:lineRule="auto"/>
              <w:ind w:left="219"/>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53" w:type="dxa"/>
            <w:vAlign w:val="top"/>
          </w:tcPr>
          <w:p w14:paraId="0D598BC4">
            <w:pPr>
              <w:pStyle w:val="6"/>
              <w:spacing w:before="96" w:line="220" w:lineRule="auto"/>
              <w:ind w:left="276"/>
              <w:rPr>
                <w:sz w:val="22"/>
                <w:szCs w:val="22"/>
              </w:rPr>
            </w:pPr>
            <w:r>
              <w:rPr>
                <w:rFonts w:ascii="Times New Roman" w:hAnsi="Times New Roman" w:eastAsia="Times New Roman" w:cs="Times New Roman"/>
                <w:spacing w:val="-2"/>
                <w:sz w:val="22"/>
                <w:szCs w:val="22"/>
              </w:rPr>
              <w:t>Ⅰ</w:t>
            </w:r>
            <w:r>
              <w:rPr>
                <w:spacing w:val="-2"/>
                <w:sz w:val="22"/>
                <w:szCs w:val="22"/>
              </w:rPr>
              <w:t>类</w:t>
            </w:r>
          </w:p>
        </w:tc>
        <w:tc>
          <w:tcPr>
            <w:tcW w:w="1086" w:type="dxa"/>
            <w:vAlign w:val="top"/>
          </w:tcPr>
          <w:p w14:paraId="140C830C">
            <w:pPr>
              <w:pStyle w:val="6"/>
              <w:spacing w:before="96" w:line="221" w:lineRule="auto"/>
              <w:ind w:left="215"/>
              <w:rPr>
                <w:sz w:val="22"/>
                <w:szCs w:val="22"/>
              </w:rPr>
            </w:pPr>
            <w:r>
              <w:rPr>
                <w:spacing w:val="-3"/>
                <w:sz w:val="22"/>
                <w:szCs w:val="22"/>
              </w:rPr>
              <w:t>无超标</w:t>
            </w:r>
          </w:p>
        </w:tc>
        <w:tc>
          <w:tcPr>
            <w:tcW w:w="875" w:type="dxa"/>
            <w:vAlign w:val="top"/>
          </w:tcPr>
          <w:p w14:paraId="505BCB45">
            <w:pPr>
              <w:pStyle w:val="6"/>
              <w:spacing w:before="96" w:line="220" w:lineRule="auto"/>
              <w:ind w:left="257"/>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779" w:type="dxa"/>
            <w:vAlign w:val="top"/>
          </w:tcPr>
          <w:p w14:paraId="33C17002">
            <w:pPr>
              <w:pStyle w:val="6"/>
              <w:spacing w:before="96" w:line="220" w:lineRule="auto"/>
              <w:ind w:left="210"/>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24" w:type="dxa"/>
            <w:vAlign w:val="top"/>
          </w:tcPr>
          <w:p w14:paraId="6AC17D61">
            <w:pPr>
              <w:pStyle w:val="6"/>
              <w:spacing w:before="96" w:line="220" w:lineRule="auto"/>
              <w:ind w:left="233"/>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09" w:type="dxa"/>
            <w:vAlign w:val="top"/>
          </w:tcPr>
          <w:p w14:paraId="41FC78C1">
            <w:pPr>
              <w:pStyle w:val="6"/>
              <w:spacing w:before="96" w:line="220" w:lineRule="auto"/>
              <w:ind w:left="227"/>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1063" w:type="dxa"/>
            <w:vAlign w:val="top"/>
          </w:tcPr>
          <w:p w14:paraId="3953DA55">
            <w:pPr>
              <w:pStyle w:val="6"/>
              <w:spacing w:before="96" w:line="221" w:lineRule="auto"/>
              <w:ind w:left="210"/>
              <w:rPr>
                <w:sz w:val="22"/>
                <w:szCs w:val="22"/>
              </w:rPr>
            </w:pPr>
            <w:r>
              <w:rPr>
                <w:spacing w:val="-3"/>
                <w:sz w:val="22"/>
                <w:szCs w:val="22"/>
              </w:rPr>
              <w:t>无超标</w:t>
            </w:r>
          </w:p>
        </w:tc>
        <w:tc>
          <w:tcPr>
            <w:tcW w:w="1018" w:type="dxa"/>
            <w:vAlign w:val="top"/>
          </w:tcPr>
          <w:p w14:paraId="0FF97556">
            <w:pPr>
              <w:pStyle w:val="6"/>
              <w:spacing w:before="96" w:line="220" w:lineRule="auto"/>
              <w:ind w:left="335"/>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83" w:type="dxa"/>
            <w:vAlign w:val="top"/>
          </w:tcPr>
          <w:p w14:paraId="740C0E6A">
            <w:pPr>
              <w:pStyle w:val="6"/>
              <w:spacing w:before="96" w:line="220" w:lineRule="auto"/>
              <w:ind w:left="270"/>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53" w:type="dxa"/>
            <w:vAlign w:val="top"/>
          </w:tcPr>
          <w:p w14:paraId="2A106A58">
            <w:pPr>
              <w:pStyle w:val="6"/>
              <w:spacing w:before="96" w:line="220" w:lineRule="auto"/>
              <w:ind w:left="256"/>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38" w:type="dxa"/>
            <w:vAlign w:val="top"/>
          </w:tcPr>
          <w:p w14:paraId="5CA454C5">
            <w:pPr>
              <w:pStyle w:val="6"/>
              <w:spacing w:before="96" w:line="220" w:lineRule="auto"/>
              <w:ind w:left="252"/>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971" w:type="dxa"/>
            <w:tcBorders>
              <w:right w:val="single" w:color="000000" w:sz="10" w:space="0"/>
            </w:tcBorders>
            <w:vAlign w:val="top"/>
          </w:tcPr>
          <w:p w14:paraId="24838C71">
            <w:pPr>
              <w:pStyle w:val="6"/>
              <w:spacing w:before="96" w:line="221" w:lineRule="auto"/>
              <w:ind w:left="168"/>
              <w:rPr>
                <w:sz w:val="22"/>
                <w:szCs w:val="22"/>
              </w:rPr>
            </w:pPr>
            <w:r>
              <w:rPr>
                <w:spacing w:val="-3"/>
                <w:sz w:val="22"/>
                <w:szCs w:val="22"/>
              </w:rPr>
              <w:t>无超标</w:t>
            </w:r>
          </w:p>
        </w:tc>
      </w:tr>
      <w:tr w14:paraId="377FF2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14" w:type="dxa"/>
            <w:tcBorders>
              <w:left w:val="single" w:color="000000" w:sz="10" w:space="0"/>
            </w:tcBorders>
            <w:vAlign w:val="top"/>
          </w:tcPr>
          <w:p w14:paraId="4C03FA38">
            <w:pPr>
              <w:pStyle w:val="6"/>
              <w:spacing w:before="99" w:line="220" w:lineRule="auto"/>
              <w:ind w:left="230"/>
              <w:rPr>
                <w:sz w:val="22"/>
                <w:szCs w:val="22"/>
              </w:rPr>
            </w:pPr>
            <w:r>
              <w:rPr>
                <w:spacing w:val="-6"/>
                <w:sz w:val="22"/>
                <w:szCs w:val="22"/>
              </w:rPr>
              <w:t>五月</w:t>
            </w:r>
          </w:p>
        </w:tc>
        <w:tc>
          <w:tcPr>
            <w:tcW w:w="838" w:type="dxa"/>
            <w:vAlign w:val="top"/>
          </w:tcPr>
          <w:p w14:paraId="3884D0E9">
            <w:pPr>
              <w:pStyle w:val="6"/>
              <w:spacing w:before="99" w:line="220" w:lineRule="auto"/>
              <w:ind w:left="229"/>
              <w:rPr>
                <w:sz w:val="22"/>
                <w:szCs w:val="22"/>
              </w:rPr>
            </w:pPr>
            <w:r>
              <w:rPr>
                <w:rFonts w:ascii="Times New Roman" w:hAnsi="Times New Roman" w:eastAsia="Times New Roman" w:cs="Times New Roman"/>
                <w:spacing w:val="-2"/>
                <w:sz w:val="22"/>
                <w:szCs w:val="22"/>
              </w:rPr>
              <w:t>Ⅱ</w:t>
            </w:r>
            <w:r>
              <w:rPr>
                <w:spacing w:val="-2"/>
                <w:sz w:val="22"/>
                <w:szCs w:val="22"/>
              </w:rPr>
              <w:t>类</w:t>
            </w:r>
          </w:p>
        </w:tc>
        <w:tc>
          <w:tcPr>
            <w:tcW w:w="764" w:type="dxa"/>
            <w:vAlign w:val="top"/>
          </w:tcPr>
          <w:p w14:paraId="70784A04">
            <w:pPr>
              <w:pStyle w:val="6"/>
              <w:spacing w:before="99" w:line="220" w:lineRule="auto"/>
              <w:ind w:left="195"/>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09" w:type="dxa"/>
            <w:vAlign w:val="top"/>
          </w:tcPr>
          <w:p w14:paraId="284415CD">
            <w:pPr>
              <w:pStyle w:val="6"/>
              <w:spacing w:before="99" w:line="220" w:lineRule="auto"/>
              <w:ind w:left="219"/>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53" w:type="dxa"/>
            <w:vAlign w:val="top"/>
          </w:tcPr>
          <w:p w14:paraId="429587B3">
            <w:pPr>
              <w:spacing w:before="133" w:line="193" w:lineRule="auto"/>
              <w:ind w:left="38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086" w:type="dxa"/>
            <w:vAlign w:val="top"/>
          </w:tcPr>
          <w:p w14:paraId="18CC5847">
            <w:pPr>
              <w:pStyle w:val="6"/>
              <w:spacing w:before="99" w:line="221" w:lineRule="auto"/>
              <w:ind w:left="215"/>
              <w:rPr>
                <w:sz w:val="22"/>
                <w:szCs w:val="22"/>
              </w:rPr>
            </w:pPr>
            <w:r>
              <w:rPr>
                <w:spacing w:val="-3"/>
                <w:sz w:val="22"/>
                <w:szCs w:val="22"/>
              </w:rPr>
              <w:t>无超标</w:t>
            </w:r>
          </w:p>
        </w:tc>
        <w:tc>
          <w:tcPr>
            <w:tcW w:w="875" w:type="dxa"/>
            <w:vAlign w:val="top"/>
          </w:tcPr>
          <w:p w14:paraId="5AE2D006">
            <w:pPr>
              <w:pStyle w:val="6"/>
              <w:spacing w:before="99" w:line="220" w:lineRule="auto"/>
              <w:ind w:left="257"/>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779" w:type="dxa"/>
            <w:vAlign w:val="top"/>
          </w:tcPr>
          <w:p w14:paraId="1A6FE79E">
            <w:pPr>
              <w:pStyle w:val="6"/>
              <w:spacing w:before="99" w:line="220" w:lineRule="auto"/>
              <w:ind w:left="210"/>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24" w:type="dxa"/>
            <w:vAlign w:val="top"/>
          </w:tcPr>
          <w:p w14:paraId="0CC095FE">
            <w:pPr>
              <w:pStyle w:val="6"/>
              <w:spacing w:before="99" w:line="220" w:lineRule="auto"/>
              <w:ind w:left="233"/>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09" w:type="dxa"/>
            <w:vAlign w:val="top"/>
          </w:tcPr>
          <w:p w14:paraId="509D58E1">
            <w:pPr>
              <w:spacing w:before="133" w:line="193" w:lineRule="auto"/>
              <w:ind w:left="37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063" w:type="dxa"/>
            <w:vAlign w:val="top"/>
          </w:tcPr>
          <w:p w14:paraId="3B82C40C">
            <w:pPr>
              <w:pStyle w:val="6"/>
              <w:spacing w:before="99" w:line="221" w:lineRule="auto"/>
              <w:ind w:left="210"/>
              <w:rPr>
                <w:sz w:val="22"/>
                <w:szCs w:val="22"/>
              </w:rPr>
            </w:pPr>
            <w:r>
              <w:rPr>
                <w:spacing w:val="-3"/>
                <w:sz w:val="22"/>
                <w:szCs w:val="22"/>
              </w:rPr>
              <w:t>无超标</w:t>
            </w:r>
          </w:p>
        </w:tc>
        <w:tc>
          <w:tcPr>
            <w:tcW w:w="1018" w:type="dxa"/>
            <w:vAlign w:val="top"/>
          </w:tcPr>
          <w:p w14:paraId="6B03F997">
            <w:pPr>
              <w:pStyle w:val="6"/>
              <w:spacing w:before="99" w:line="220" w:lineRule="auto"/>
              <w:ind w:left="335"/>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83" w:type="dxa"/>
            <w:vAlign w:val="top"/>
          </w:tcPr>
          <w:p w14:paraId="387113BF">
            <w:pPr>
              <w:pStyle w:val="6"/>
              <w:spacing w:before="99" w:line="220" w:lineRule="auto"/>
              <w:ind w:left="270"/>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53" w:type="dxa"/>
            <w:vAlign w:val="top"/>
          </w:tcPr>
          <w:p w14:paraId="0307BAEF">
            <w:pPr>
              <w:pStyle w:val="6"/>
              <w:spacing w:before="99" w:line="220" w:lineRule="auto"/>
              <w:ind w:left="256"/>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38" w:type="dxa"/>
            <w:vAlign w:val="top"/>
          </w:tcPr>
          <w:p w14:paraId="61419B8F">
            <w:pPr>
              <w:spacing w:before="133" w:line="193"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71" w:type="dxa"/>
            <w:tcBorders>
              <w:right w:val="single" w:color="000000" w:sz="10" w:space="0"/>
            </w:tcBorders>
            <w:vAlign w:val="top"/>
          </w:tcPr>
          <w:p w14:paraId="18305A4F">
            <w:pPr>
              <w:pStyle w:val="6"/>
              <w:spacing w:before="99" w:line="221" w:lineRule="auto"/>
              <w:ind w:left="168"/>
              <w:rPr>
                <w:sz w:val="22"/>
                <w:szCs w:val="22"/>
              </w:rPr>
            </w:pPr>
            <w:r>
              <w:rPr>
                <w:spacing w:val="-3"/>
                <w:sz w:val="22"/>
                <w:szCs w:val="22"/>
              </w:rPr>
              <w:t>无超标</w:t>
            </w:r>
          </w:p>
        </w:tc>
      </w:tr>
      <w:tr w14:paraId="7526A2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14" w:type="dxa"/>
            <w:tcBorders>
              <w:left w:val="single" w:color="000000" w:sz="10" w:space="0"/>
            </w:tcBorders>
            <w:vAlign w:val="top"/>
          </w:tcPr>
          <w:p w14:paraId="74773016">
            <w:pPr>
              <w:pStyle w:val="6"/>
              <w:spacing w:before="102" w:line="220" w:lineRule="auto"/>
              <w:ind w:left="229"/>
              <w:rPr>
                <w:sz w:val="22"/>
                <w:szCs w:val="22"/>
              </w:rPr>
            </w:pPr>
            <w:r>
              <w:rPr>
                <w:spacing w:val="-5"/>
                <w:sz w:val="22"/>
                <w:szCs w:val="22"/>
              </w:rPr>
              <w:t>六月</w:t>
            </w:r>
          </w:p>
        </w:tc>
        <w:tc>
          <w:tcPr>
            <w:tcW w:w="838" w:type="dxa"/>
            <w:vAlign w:val="top"/>
          </w:tcPr>
          <w:p w14:paraId="201C115B">
            <w:pPr>
              <w:pStyle w:val="6"/>
              <w:spacing w:before="102" w:line="220" w:lineRule="auto"/>
              <w:ind w:left="229"/>
              <w:rPr>
                <w:sz w:val="22"/>
                <w:szCs w:val="22"/>
              </w:rPr>
            </w:pPr>
            <w:r>
              <w:rPr>
                <w:rFonts w:ascii="Times New Roman" w:hAnsi="Times New Roman" w:eastAsia="Times New Roman" w:cs="Times New Roman"/>
                <w:spacing w:val="-2"/>
                <w:sz w:val="22"/>
                <w:szCs w:val="22"/>
              </w:rPr>
              <w:t>Ⅱ</w:t>
            </w:r>
            <w:r>
              <w:rPr>
                <w:spacing w:val="-2"/>
                <w:sz w:val="22"/>
                <w:szCs w:val="22"/>
              </w:rPr>
              <w:t>类</w:t>
            </w:r>
          </w:p>
        </w:tc>
        <w:tc>
          <w:tcPr>
            <w:tcW w:w="764" w:type="dxa"/>
            <w:vAlign w:val="top"/>
          </w:tcPr>
          <w:p w14:paraId="637A008F">
            <w:pPr>
              <w:pStyle w:val="6"/>
              <w:spacing w:before="102" w:line="220" w:lineRule="auto"/>
              <w:ind w:left="195"/>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09" w:type="dxa"/>
            <w:vAlign w:val="top"/>
          </w:tcPr>
          <w:p w14:paraId="5D6D2DFC">
            <w:pPr>
              <w:pStyle w:val="6"/>
              <w:spacing w:before="102" w:line="220" w:lineRule="auto"/>
              <w:ind w:left="219"/>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53" w:type="dxa"/>
            <w:vAlign w:val="top"/>
          </w:tcPr>
          <w:p w14:paraId="63C97BE6">
            <w:pPr>
              <w:spacing w:before="136" w:line="193" w:lineRule="auto"/>
              <w:ind w:left="38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086" w:type="dxa"/>
            <w:vAlign w:val="top"/>
          </w:tcPr>
          <w:p w14:paraId="10C2D92B">
            <w:pPr>
              <w:pStyle w:val="6"/>
              <w:spacing w:before="102" w:line="221" w:lineRule="auto"/>
              <w:ind w:left="215"/>
              <w:rPr>
                <w:sz w:val="22"/>
                <w:szCs w:val="22"/>
              </w:rPr>
            </w:pPr>
            <w:r>
              <w:rPr>
                <w:spacing w:val="-3"/>
                <w:sz w:val="22"/>
                <w:szCs w:val="22"/>
              </w:rPr>
              <w:t>无超标</w:t>
            </w:r>
          </w:p>
        </w:tc>
        <w:tc>
          <w:tcPr>
            <w:tcW w:w="875" w:type="dxa"/>
            <w:vAlign w:val="top"/>
          </w:tcPr>
          <w:p w14:paraId="6A8AAAC5">
            <w:pPr>
              <w:pStyle w:val="6"/>
              <w:spacing w:before="102" w:line="220" w:lineRule="auto"/>
              <w:ind w:left="257"/>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779" w:type="dxa"/>
            <w:vAlign w:val="top"/>
          </w:tcPr>
          <w:p w14:paraId="6702DE29">
            <w:pPr>
              <w:pStyle w:val="6"/>
              <w:spacing w:before="102" w:line="220" w:lineRule="auto"/>
              <w:ind w:left="176"/>
              <w:rPr>
                <w:sz w:val="22"/>
                <w:szCs w:val="22"/>
              </w:rPr>
            </w:pPr>
            <w:r>
              <w:rPr>
                <w:rFonts w:ascii="Times New Roman" w:hAnsi="Times New Roman" w:eastAsia="Times New Roman" w:cs="Times New Roman"/>
                <w:spacing w:val="-3"/>
                <w:sz w:val="22"/>
                <w:szCs w:val="22"/>
              </w:rPr>
              <w:t>Ⅲ</w:t>
            </w:r>
            <w:r>
              <w:rPr>
                <w:spacing w:val="-3"/>
                <w:sz w:val="22"/>
                <w:szCs w:val="22"/>
              </w:rPr>
              <w:t>类</w:t>
            </w:r>
          </w:p>
        </w:tc>
        <w:tc>
          <w:tcPr>
            <w:tcW w:w="824" w:type="dxa"/>
            <w:vAlign w:val="top"/>
          </w:tcPr>
          <w:p w14:paraId="1874BC23">
            <w:pPr>
              <w:pStyle w:val="6"/>
              <w:spacing w:before="102" w:line="220" w:lineRule="auto"/>
              <w:ind w:left="233"/>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09" w:type="dxa"/>
            <w:vAlign w:val="top"/>
          </w:tcPr>
          <w:p w14:paraId="2FDEE24F">
            <w:pPr>
              <w:spacing w:before="136" w:line="193" w:lineRule="auto"/>
              <w:ind w:left="37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063" w:type="dxa"/>
            <w:vAlign w:val="top"/>
          </w:tcPr>
          <w:p w14:paraId="21F8395C">
            <w:pPr>
              <w:pStyle w:val="6"/>
              <w:spacing w:before="102" w:line="221" w:lineRule="auto"/>
              <w:ind w:left="210"/>
              <w:rPr>
                <w:sz w:val="22"/>
                <w:szCs w:val="22"/>
              </w:rPr>
            </w:pPr>
            <w:r>
              <w:rPr>
                <w:spacing w:val="-3"/>
                <w:sz w:val="22"/>
                <w:szCs w:val="22"/>
              </w:rPr>
              <w:t>无超标</w:t>
            </w:r>
          </w:p>
        </w:tc>
        <w:tc>
          <w:tcPr>
            <w:tcW w:w="1018" w:type="dxa"/>
            <w:vAlign w:val="top"/>
          </w:tcPr>
          <w:p w14:paraId="4A335C89">
            <w:pPr>
              <w:pStyle w:val="6"/>
              <w:spacing w:before="102" w:line="220" w:lineRule="auto"/>
              <w:ind w:left="335"/>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83" w:type="dxa"/>
            <w:vAlign w:val="top"/>
          </w:tcPr>
          <w:p w14:paraId="55A3F3A2">
            <w:pPr>
              <w:pStyle w:val="6"/>
              <w:spacing w:before="102" w:line="220" w:lineRule="auto"/>
              <w:ind w:left="270"/>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53" w:type="dxa"/>
            <w:vAlign w:val="top"/>
          </w:tcPr>
          <w:p w14:paraId="7983F746">
            <w:pPr>
              <w:pStyle w:val="6"/>
              <w:spacing w:before="102" w:line="220" w:lineRule="auto"/>
              <w:ind w:left="256"/>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38" w:type="dxa"/>
            <w:vAlign w:val="top"/>
          </w:tcPr>
          <w:p w14:paraId="4C2BC586">
            <w:pPr>
              <w:spacing w:before="136" w:line="193"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71" w:type="dxa"/>
            <w:tcBorders>
              <w:right w:val="single" w:color="000000" w:sz="10" w:space="0"/>
            </w:tcBorders>
            <w:vAlign w:val="top"/>
          </w:tcPr>
          <w:p w14:paraId="445F0F00">
            <w:pPr>
              <w:pStyle w:val="6"/>
              <w:spacing w:before="102" w:line="221" w:lineRule="auto"/>
              <w:ind w:left="168"/>
              <w:rPr>
                <w:sz w:val="22"/>
                <w:szCs w:val="22"/>
              </w:rPr>
            </w:pPr>
            <w:r>
              <w:rPr>
                <w:spacing w:val="-3"/>
                <w:sz w:val="22"/>
                <w:szCs w:val="22"/>
              </w:rPr>
              <w:t>无超标</w:t>
            </w:r>
          </w:p>
        </w:tc>
      </w:tr>
      <w:tr w14:paraId="6C28B3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14" w:type="dxa"/>
            <w:tcBorders>
              <w:left w:val="single" w:color="000000" w:sz="10" w:space="0"/>
            </w:tcBorders>
            <w:vAlign w:val="top"/>
          </w:tcPr>
          <w:p w14:paraId="715076D8">
            <w:pPr>
              <w:pStyle w:val="6"/>
              <w:spacing w:before="102" w:line="220" w:lineRule="auto"/>
              <w:ind w:left="226"/>
              <w:rPr>
                <w:sz w:val="22"/>
                <w:szCs w:val="22"/>
              </w:rPr>
            </w:pPr>
            <w:r>
              <w:rPr>
                <w:spacing w:val="-3"/>
                <w:sz w:val="22"/>
                <w:szCs w:val="22"/>
              </w:rPr>
              <w:t>七月</w:t>
            </w:r>
          </w:p>
        </w:tc>
        <w:tc>
          <w:tcPr>
            <w:tcW w:w="838" w:type="dxa"/>
            <w:vAlign w:val="top"/>
          </w:tcPr>
          <w:p w14:paraId="26DBD2DB">
            <w:pPr>
              <w:pStyle w:val="6"/>
              <w:spacing w:before="102" w:line="220" w:lineRule="auto"/>
              <w:ind w:left="229"/>
              <w:rPr>
                <w:sz w:val="22"/>
                <w:szCs w:val="22"/>
              </w:rPr>
            </w:pPr>
            <w:r>
              <w:rPr>
                <w:rFonts w:ascii="Times New Roman" w:hAnsi="Times New Roman" w:eastAsia="Times New Roman" w:cs="Times New Roman"/>
                <w:spacing w:val="-2"/>
                <w:sz w:val="22"/>
                <w:szCs w:val="22"/>
              </w:rPr>
              <w:t>Ⅱ</w:t>
            </w:r>
            <w:r>
              <w:rPr>
                <w:spacing w:val="-2"/>
                <w:sz w:val="22"/>
                <w:szCs w:val="22"/>
              </w:rPr>
              <w:t>类</w:t>
            </w:r>
          </w:p>
        </w:tc>
        <w:tc>
          <w:tcPr>
            <w:tcW w:w="764" w:type="dxa"/>
            <w:vAlign w:val="top"/>
          </w:tcPr>
          <w:p w14:paraId="45B9B5A5">
            <w:pPr>
              <w:pStyle w:val="6"/>
              <w:spacing w:before="102" w:line="220" w:lineRule="auto"/>
              <w:ind w:left="195"/>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09" w:type="dxa"/>
            <w:vAlign w:val="top"/>
          </w:tcPr>
          <w:p w14:paraId="21854360">
            <w:pPr>
              <w:pStyle w:val="6"/>
              <w:spacing w:before="102" w:line="220" w:lineRule="auto"/>
              <w:ind w:left="219"/>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53" w:type="dxa"/>
            <w:vAlign w:val="top"/>
          </w:tcPr>
          <w:p w14:paraId="6FF4311C">
            <w:pPr>
              <w:spacing w:before="136" w:line="193" w:lineRule="auto"/>
              <w:ind w:left="38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086" w:type="dxa"/>
            <w:vAlign w:val="top"/>
          </w:tcPr>
          <w:p w14:paraId="3E1BB36E">
            <w:pPr>
              <w:pStyle w:val="6"/>
              <w:spacing w:before="102" w:line="221" w:lineRule="auto"/>
              <w:ind w:left="215"/>
              <w:rPr>
                <w:sz w:val="22"/>
                <w:szCs w:val="22"/>
              </w:rPr>
            </w:pPr>
            <w:r>
              <w:rPr>
                <w:spacing w:val="-3"/>
                <w:sz w:val="22"/>
                <w:szCs w:val="22"/>
              </w:rPr>
              <w:t>无超标</w:t>
            </w:r>
          </w:p>
        </w:tc>
        <w:tc>
          <w:tcPr>
            <w:tcW w:w="875" w:type="dxa"/>
            <w:vAlign w:val="top"/>
          </w:tcPr>
          <w:p w14:paraId="0F1EB81D">
            <w:pPr>
              <w:pStyle w:val="6"/>
              <w:spacing w:before="102" w:line="220" w:lineRule="auto"/>
              <w:ind w:left="257"/>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779" w:type="dxa"/>
            <w:vAlign w:val="top"/>
          </w:tcPr>
          <w:p w14:paraId="47DDEC86">
            <w:pPr>
              <w:pStyle w:val="6"/>
              <w:spacing w:before="102" w:line="220" w:lineRule="auto"/>
              <w:ind w:left="210"/>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24" w:type="dxa"/>
            <w:vAlign w:val="top"/>
          </w:tcPr>
          <w:p w14:paraId="507DAED6">
            <w:pPr>
              <w:pStyle w:val="6"/>
              <w:spacing w:before="102" w:line="220" w:lineRule="auto"/>
              <w:ind w:left="233"/>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09" w:type="dxa"/>
            <w:vAlign w:val="top"/>
          </w:tcPr>
          <w:p w14:paraId="12790CA3">
            <w:pPr>
              <w:spacing w:before="136" w:line="193" w:lineRule="auto"/>
              <w:ind w:left="37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063" w:type="dxa"/>
            <w:vAlign w:val="top"/>
          </w:tcPr>
          <w:p w14:paraId="6ABB6835">
            <w:pPr>
              <w:pStyle w:val="6"/>
              <w:spacing w:before="102" w:line="221" w:lineRule="auto"/>
              <w:ind w:left="210"/>
              <w:rPr>
                <w:sz w:val="22"/>
                <w:szCs w:val="22"/>
              </w:rPr>
            </w:pPr>
            <w:r>
              <w:rPr>
                <w:spacing w:val="-3"/>
                <w:sz w:val="22"/>
                <w:szCs w:val="22"/>
              </w:rPr>
              <w:t>无超标</w:t>
            </w:r>
          </w:p>
        </w:tc>
        <w:tc>
          <w:tcPr>
            <w:tcW w:w="1018" w:type="dxa"/>
            <w:vAlign w:val="top"/>
          </w:tcPr>
          <w:p w14:paraId="389FCFA5">
            <w:pPr>
              <w:pStyle w:val="6"/>
              <w:spacing w:before="102" w:line="220" w:lineRule="auto"/>
              <w:ind w:left="335"/>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83" w:type="dxa"/>
            <w:vAlign w:val="top"/>
          </w:tcPr>
          <w:p w14:paraId="448A7E05">
            <w:pPr>
              <w:pStyle w:val="6"/>
              <w:spacing w:before="102" w:line="220" w:lineRule="auto"/>
              <w:ind w:left="270"/>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53" w:type="dxa"/>
            <w:vAlign w:val="top"/>
          </w:tcPr>
          <w:p w14:paraId="482B9B31">
            <w:pPr>
              <w:pStyle w:val="6"/>
              <w:spacing w:before="102" w:line="220" w:lineRule="auto"/>
              <w:ind w:left="256"/>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38" w:type="dxa"/>
            <w:vAlign w:val="top"/>
          </w:tcPr>
          <w:p w14:paraId="2219EA51">
            <w:pPr>
              <w:spacing w:before="136" w:line="193"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71" w:type="dxa"/>
            <w:tcBorders>
              <w:right w:val="single" w:color="000000" w:sz="10" w:space="0"/>
            </w:tcBorders>
            <w:vAlign w:val="top"/>
          </w:tcPr>
          <w:p w14:paraId="2D20F551">
            <w:pPr>
              <w:pStyle w:val="6"/>
              <w:spacing w:before="102" w:line="221" w:lineRule="auto"/>
              <w:ind w:left="168"/>
              <w:rPr>
                <w:sz w:val="22"/>
                <w:szCs w:val="22"/>
              </w:rPr>
            </w:pPr>
            <w:r>
              <w:rPr>
                <w:spacing w:val="-3"/>
                <w:sz w:val="22"/>
                <w:szCs w:val="22"/>
              </w:rPr>
              <w:t>无超标</w:t>
            </w:r>
          </w:p>
        </w:tc>
      </w:tr>
      <w:tr w14:paraId="6BD73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14" w:type="dxa"/>
            <w:tcBorders>
              <w:left w:val="single" w:color="000000" w:sz="10" w:space="0"/>
            </w:tcBorders>
            <w:vAlign w:val="top"/>
          </w:tcPr>
          <w:p w14:paraId="420C3C83">
            <w:pPr>
              <w:pStyle w:val="6"/>
              <w:spacing w:before="104" w:line="220" w:lineRule="auto"/>
              <w:ind w:left="230"/>
              <w:rPr>
                <w:sz w:val="22"/>
                <w:szCs w:val="22"/>
              </w:rPr>
            </w:pPr>
            <w:r>
              <w:rPr>
                <w:spacing w:val="-6"/>
                <w:sz w:val="22"/>
                <w:szCs w:val="22"/>
              </w:rPr>
              <w:t>八月</w:t>
            </w:r>
          </w:p>
        </w:tc>
        <w:tc>
          <w:tcPr>
            <w:tcW w:w="838" w:type="dxa"/>
            <w:vAlign w:val="top"/>
          </w:tcPr>
          <w:p w14:paraId="5DA24B87">
            <w:pPr>
              <w:pStyle w:val="6"/>
              <w:spacing w:before="104" w:line="220" w:lineRule="auto"/>
              <w:ind w:left="229"/>
              <w:rPr>
                <w:sz w:val="22"/>
                <w:szCs w:val="22"/>
              </w:rPr>
            </w:pPr>
            <w:r>
              <w:rPr>
                <w:rFonts w:ascii="Times New Roman" w:hAnsi="Times New Roman" w:eastAsia="Times New Roman" w:cs="Times New Roman"/>
                <w:spacing w:val="-2"/>
                <w:sz w:val="22"/>
                <w:szCs w:val="22"/>
              </w:rPr>
              <w:t>Ⅱ</w:t>
            </w:r>
            <w:r>
              <w:rPr>
                <w:spacing w:val="-2"/>
                <w:sz w:val="22"/>
                <w:szCs w:val="22"/>
              </w:rPr>
              <w:t>类</w:t>
            </w:r>
          </w:p>
        </w:tc>
        <w:tc>
          <w:tcPr>
            <w:tcW w:w="764" w:type="dxa"/>
            <w:vAlign w:val="top"/>
          </w:tcPr>
          <w:p w14:paraId="2AE2BDE7">
            <w:pPr>
              <w:pStyle w:val="6"/>
              <w:spacing w:before="104" w:line="220" w:lineRule="auto"/>
              <w:ind w:left="195"/>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09" w:type="dxa"/>
            <w:vAlign w:val="top"/>
          </w:tcPr>
          <w:p w14:paraId="7D734695">
            <w:pPr>
              <w:pStyle w:val="6"/>
              <w:spacing w:before="104" w:line="220" w:lineRule="auto"/>
              <w:ind w:left="219"/>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53" w:type="dxa"/>
            <w:vAlign w:val="top"/>
          </w:tcPr>
          <w:p w14:paraId="7853DC2E">
            <w:pPr>
              <w:spacing w:before="138" w:line="193" w:lineRule="auto"/>
              <w:ind w:left="38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086" w:type="dxa"/>
            <w:vAlign w:val="top"/>
          </w:tcPr>
          <w:p w14:paraId="3F9F53F1">
            <w:pPr>
              <w:pStyle w:val="6"/>
              <w:spacing w:before="104" w:line="221" w:lineRule="auto"/>
              <w:ind w:left="215"/>
              <w:rPr>
                <w:sz w:val="22"/>
                <w:szCs w:val="22"/>
              </w:rPr>
            </w:pPr>
            <w:r>
              <w:rPr>
                <w:spacing w:val="-3"/>
                <w:sz w:val="22"/>
                <w:szCs w:val="22"/>
              </w:rPr>
              <w:t>无超标</w:t>
            </w:r>
          </w:p>
        </w:tc>
        <w:tc>
          <w:tcPr>
            <w:tcW w:w="875" w:type="dxa"/>
            <w:vAlign w:val="top"/>
          </w:tcPr>
          <w:p w14:paraId="7CF9B510">
            <w:pPr>
              <w:pStyle w:val="6"/>
              <w:spacing w:before="104" w:line="220" w:lineRule="auto"/>
              <w:ind w:left="257"/>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779" w:type="dxa"/>
            <w:vAlign w:val="top"/>
          </w:tcPr>
          <w:p w14:paraId="5C6F61B2">
            <w:pPr>
              <w:pStyle w:val="6"/>
              <w:spacing w:before="104" w:line="220" w:lineRule="auto"/>
              <w:ind w:left="210"/>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24" w:type="dxa"/>
            <w:vAlign w:val="top"/>
          </w:tcPr>
          <w:p w14:paraId="115C9F35">
            <w:pPr>
              <w:pStyle w:val="6"/>
              <w:spacing w:before="104" w:line="220" w:lineRule="auto"/>
              <w:ind w:left="233"/>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09" w:type="dxa"/>
            <w:vAlign w:val="top"/>
          </w:tcPr>
          <w:p w14:paraId="4C7306E6">
            <w:pPr>
              <w:spacing w:before="138" w:line="193" w:lineRule="auto"/>
              <w:ind w:left="37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063" w:type="dxa"/>
            <w:vAlign w:val="top"/>
          </w:tcPr>
          <w:p w14:paraId="6965AFE2">
            <w:pPr>
              <w:pStyle w:val="6"/>
              <w:spacing w:before="104" w:line="221" w:lineRule="auto"/>
              <w:ind w:left="210"/>
              <w:rPr>
                <w:sz w:val="22"/>
                <w:szCs w:val="22"/>
              </w:rPr>
            </w:pPr>
            <w:r>
              <w:rPr>
                <w:spacing w:val="-3"/>
                <w:sz w:val="22"/>
                <w:szCs w:val="22"/>
              </w:rPr>
              <w:t>无超标</w:t>
            </w:r>
          </w:p>
        </w:tc>
        <w:tc>
          <w:tcPr>
            <w:tcW w:w="1018" w:type="dxa"/>
            <w:vAlign w:val="top"/>
          </w:tcPr>
          <w:p w14:paraId="36DC67FA">
            <w:pPr>
              <w:pStyle w:val="6"/>
              <w:spacing w:before="104" w:line="220" w:lineRule="auto"/>
              <w:ind w:left="335"/>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83" w:type="dxa"/>
            <w:vAlign w:val="top"/>
          </w:tcPr>
          <w:p w14:paraId="600D11B1">
            <w:pPr>
              <w:pStyle w:val="6"/>
              <w:spacing w:before="104" w:line="220" w:lineRule="auto"/>
              <w:ind w:left="270"/>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53" w:type="dxa"/>
            <w:vAlign w:val="top"/>
          </w:tcPr>
          <w:p w14:paraId="0E5DE237">
            <w:pPr>
              <w:pStyle w:val="6"/>
              <w:spacing w:before="104" w:line="220" w:lineRule="auto"/>
              <w:ind w:left="256"/>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38" w:type="dxa"/>
            <w:vAlign w:val="top"/>
          </w:tcPr>
          <w:p w14:paraId="46BC8ED3">
            <w:pPr>
              <w:spacing w:before="138" w:line="193"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71" w:type="dxa"/>
            <w:tcBorders>
              <w:right w:val="single" w:color="000000" w:sz="10" w:space="0"/>
            </w:tcBorders>
            <w:vAlign w:val="top"/>
          </w:tcPr>
          <w:p w14:paraId="57D2EA78">
            <w:pPr>
              <w:pStyle w:val="6"/>
              <w:spacing w:before="104" w:line="221" w:lineRule="auto"/>
              <w:ind w:left="168"/>
              <w:rPr>
                <w:sz w:val="22"/>
                <w:szCs w:val="22"/>
              </w:rPr>
            </w:pPr>
            <w:r>
              <w:rPr>
                <w:spacing w:val="-3"/>
                <w:sz w:val="22"/>
                <w:szCs w:val="22"/>
              </w:rPr>
              <w:t>无超标</w:t>
            </w:r>
          </w:p>
        </w:tc>
      </w:tr>
      <w:tr w14:paraId="18F74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14" w:type="dxa"/>
            <w:tcBorders>
              <w:left w:val="single" w:color="000000" w:sz="10" w:space="0"/>
            </w:tcBorders>
            <w:vAlign w:val="top"/>
          </w:tcPr>
          <w:p w14:paraId="72B13744">
            <w:pPr>
              <w:pStyle w:val="6"/>
              <w:spacing w:before="105" w:line="220" w:lineRule="auto"/>
              <w:ind w:left="232"/>
              <w:rPr>
                <w:sz w:val="22"/>
                <w:szCs w:val="22"/>
              </w:rPr>
            </w:pPr>
            <w:r>
              <w:rPr>
                <w:spacing w:val="-7"/>
                <w:sz w:val="22"/>
                <w:szCs w:val="22"/>
              </w:rPr>
              <w:t>九月</w:t>
            </w:r>
          </w:p>
        </w:tc>
        <w:tc>
          <w:tcPr>
            <w:tcW w:w="838" w:type="dxa"/>
            <w:vAlign w:val="top"/>
          </w:tcPr>
          <w:p w14:paraId="2E16B64F">
            <w:pPr>
              <w:pStyle w:val="6"/>
              <w:spacing w:before="105" w:line="220" w:lineRule="auto"/>
              <w:ind w:left="229"/>
              <w:rPr>
                <w:sz w:val="22"/>
                <w:szCs w:val="22"/>
              </w:rPr>
            </w:pPr>
            <w:r>
              <w:rPr>
                <w:rFonts w:ascii="Times New Roman" w:hAnsi="Times New Roman" w:eastAsia="Times New Roman" w:cs="Times New Roman"/>
                <w:spacing w:val="-2"/>
                <w:sz w:val="22"/>
                <w:szCs w:val="22"/>
              </w:rPr>
              <w:t>Ⅱ</w:t>
            </w:r>
            <w:r>
              <w:rPr>
                <w:spacing w:val="-2"/>
                <w:sz w:val="22"/>
                <w:szCs w:val="22"/>
              </w:rPr>
              <w:t>类</w:t>
            </w:r>
          </w:p>
        </w:tc>
        <w:tc>
          <w:tcPr>
            <w:tcW w:w="764" w:type="dxa"/>
            <w:vAlign w:val="top"/>
          </w:tcPr>
          <w:p w14:paraId="137B3C2E">
            <w:pPr>
              <w:pStyle w:val="6"/>
              <w:spacing w:before="105" w:line="220" w:lineRule="auto"/>
              <w:ind w:left="195"/>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09" w:type="dxa"/>
            <w:vAlign w:val="top"/>
          </w:tcPr>
          <w:p w14:paraId="16ABEF54">
            <w:pPr>
              <w:pStyle w:val="6"/>
              <w:spacing w:before="105" w:line="220" w:lineRule="auto"/>
              <w:ind w:left="219"/>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53" w:type="dxa"/>
            <w:vAlign w:val="top"/>
          </w:tcPr>
          <w:p w14:paraId="4AF69B08">
            <w:pPr>
              <w:spacing w:before="139" w:line="193" w:lineRule="auto"/>
              <w:ind w:left="38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086" w:type="dxa"/>
            <w:vAlign w:val="top"/>
          </w:tcPr>
          <w:p w14:paraId="25B578BA">
            <w:pPr>
              <w:pStyle w:val="6"/>
              <w:spacing w:before="105" w:line="221" w:lineRule="auto"/>
              <w:ind w:left="215"/>
              <w:rPr>
                <w:sz w:val="22"/>
                <w:szCs w:val="22"/>
              </w:rPr>
            </w:pPr>
            <w:r>
              <w:rPr>
                <w:spacing w:val="-3"/>
                <w:sz w:val="22"/>
                <w:szCs w:val="22"/>
              </w:rPr>
              <w:t>无超标</w:t>
            </w:r>
          </w:p>
        </w:tc>
        <w:tc>
          <w:tcPr>
            <w:tcW w:w="875" w:type="dxa"/>
            <w:vAlign w:val="top"/>
          </w:tcPr>
          <w:p w14:paraId="32815086">
            <w:pPr>
              <w:pStyle w:val="6"/>
              <w:spacing w:before="105" w:line="220" w:lineRule="auto"/>
              <w:ind w:left="257"/>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779" w:type="dxa"/>
            <w:vAlign w:val="top"/>
          </w:tcPr>
          <w:p w14:paraId="33A4F860">
            <w:pPr>
              <w:pStyle w:val="6"/>
              <w:spacing w:before="105" w:line="220" w:lineRule="auto"/>
              <w:ind w:left="210"/>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24" w:type="dxa"/>
            <w:vAlign w:val="top"/>
          </w:tcPr>
          <w:p w14:paraId="145A5692">
            <w:pPr>
              <w:pStyle w:val="6"/>
              <w:spacing w:before="105" w:line="220" w:lineRule="auto"/>
              <w:ind w:left="233"/>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09" w:type="dxa"/>
            <w:vAlign w:val="top"/>
          </w:tcPr>
          <w:p w14:paraId="1D2ACA88">
            <w:pPr>
              <w:spacing w:before="139" w:line="193" w:lineRule="auto"/>
              <w:ind w:left="37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063" w:type="dxa"/>
            <w:vAlign w:val="top"/>
          </w:tcPr>
          <w:p w14:paraId="30CA9851">
            <w:pPr>
              <w:pStyle w:val="6"/>
              <w:spacing w:before="105" w:line="221" w:lineRule="auto"/>
              <w:ind w:left="210"/>
              <w:rPr>
                <w:sz w:val="22"/>
                <w:szCs w:val="22"/>
              </w:rPr>
            </w:pPr>
            <w:r>
              <w:rPr>
                <w:spacing w:val="-3"/>
                <w:sz w:val="22"/>
                <w:szCs w:val="22"/>
              </w:rPr>
              <w:t>无超标</w:t>
            </w:r>
          </w:p>
        </w:tc>
        <w:tc>
          <w:tcPr>
            <w:tcW w:w="1018" w:type="dxa"/>
            <w:vAlign w:val="top"/>
          </w:tcPr>
          <w:p w14:paraId="6FF8797E">
            <w:pPr>
              <w:pStyle w:val="6"/>
              <w:spacing w:before="105" w:line="220" w:lineRule="auto"/>
              <w:ind w:left="335"/>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83" w:type="dxa"/>
            <w:vAlign w:val="top"/>
          </w:tcPr>
          <w:p w14:paraId="2F195254">
            <w:pPr>
              <w:pStyle w:val="6"/>
              <w:spacing w:before="105" w:line="220" w:lineRule="auto"/>
              <w:ind w:left="270"/>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53" w:type="dxa"/>
            <w:vAlign w:val="top"/>
          </w:tcPr>
          <w:p w14:paraId="37F294EA">
            <w:pPr>
              <w:pStyle w:val="6"/>
              <w:spacing w:before="105" w:line="220" w:lineRule="auto"/>
              <w:ind w:left="256"/>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38" w:type="dxa"/>
            <w:vAlign w:val="top"/>
          </w:tcPr>
          <w:p w14:paraId="18A6EA91">
            <w:pPr>
              <w:spacing w:before="139" w:line="193"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71" w:type="dxa"/>
            <w:tcBorders>
              <w:right w:val="single" w:color="000000" w:sz="10" w:space="0"/>
            </w:tcBorders>
            <w:vAlign w:val="top"/>
          </w:tcPr>
          <w:p w14:paraId="1F9DA69C">
            <w:pPr>
              <w:pStyle w:val="6"/>
              <w:spacing w:before="105" w:line="221" w:lineRule="auto"/>
              <w:ind w:left="168"/>
              <w:rPr>
                <w:sz w:val="22"/>
                <w:szCs w:val="22"/>
              </w:rPr>
            </w:pPr>
            <w:r>
              <w:rPr>
                <w:spacing w:val="-3"/>
                <w:sz w:val="22"/>
                <w:szCs w:val="22"/>
              </w:rPr>
              <w:t>无超标</w:t>
            </w:r>
          </w:p>
        </w:tc>
      </w:tr>
      <w:tr w14:paraId="017036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14" w:type="dxa"/>
            <w:tcBorders>
              <w:left w:val="single" w:color="000000" w:sz="10" w:space="0"/>
            </w:tcBorders>
            <w:vAlign w:val="top"/>
          </w:tcPr>
          <w:p w14:paraId="618B27BA">
            <w:pPr>
              <w:pStyle w:val="6"/>
              <w:spacing w:before="107" w:line="220" w:lineRule="auto"/>
              <w:ind w:left="228"/>
              <w:rPr>
                <w:sz w:val="22"/>
                <w:szCs w:val="22"/>
              </w:rPr>
            </w:pPr>
            <w:r>
              <w:rPr>
                <w:spacing w:val="-4"/>
                <w:sz w:val="22"/>
                <w:szCs w:val="22"/>
              </w:rPr>
              <w:t>十月</w:t>
            </w:r>
          </w:p>
        </w:tc>
        <w:tc>
          <w:tcPr>
            <w:tcW w:w="838" w:type="dxa"/>
            <w:vAlign w:val="top"/>
          </w:tcPr>
          <w:p w14:paraId="02734CD1">
            <w:pPr>
              <w:pStyle w:val="6"/>
              <w:spacing w:before="107" w:line="220" w:lineRule="auto"/>
              <w:ind w:left="229"/>
              <w:rPr>
                <w:sz w:val="22"/>
                <w:szCs w:val="22"/>
              </w:rPr>
            </w:pPr>
            <w:r>
              <w:rPr>
                <w:rFonts w:ascii="Times New Roman" w:hAnsi="Times New Roman" w:eastAsia="Times New Roman" w:cs="Times New Roman"/>
                <w:spacing w:val="-2"/>
                <w:sz w:val="22"/>
                <w:szCs w:val="22"/>
              </w:rPr>
              <w:t>Ⅱ</w:t>
            </w:r>
            <w:r>
              <w:rPr>
                <w:spacing w:val="-2"/>
                <w:sz w:val="22"/>
                <w:szCs w:val="22"/>
              </w:rPr>
              <w:t>类</w:t>
            </w:r>
          </w:p>
        </w:tc>
        <w:tc>
          <w:tcPr>
            <w:tcW w:w="764" w:type="dxa"/>
            <w:vAlign w:val="top"/>
          </w:tcPr>
          <w:p w14:paraId="10D34E7F">
            <w:pPr>
              <w:pStyle w:val="6"/>
              <w:spacing w:before="107" w:line="220" w:lineRule="auto"/>
              <w:ind w:left="195"/>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09" w:type="dxa"/>
            <w:vAlign w:val="top"/>
          </w:tcPr>
          <w:p w14:paraId="5FB98A83">
            <w:pPr>
              <w:pStyle w:val="6"/>
              <w:spacing w:before="107" w:line="220" w:lineRule="auto"/>
              <w:ind w:left="219"/>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53" w:type="dxa"/>
            <w:vAlign w:val="top"/>
          </w:tcPr>
          <w:p w14:paraId="08FD6C85">
            <w:pPr>
              <w:spacing w:before="141" w:line="193" w:lineRule="auto"/>
              <w:ind w:left="38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086" w:type="dxa"/>
            <w:vAlign w:val="top"/>
          </w:tcPr>
          <w:p w14:paraId="29AE7650">
            <w:pPr>
              <w:pStyle w:val="6"/>
              <w:spacing w:before="107" w:line="221" w:lineRule="auto"/>
              <w:ind w:left="215"/>
              <w:rPr>
                <w:sz w:val="22"/>
                <w:szCs w:val="22"/>
              </w:rPr>
            </w:pPr>
            <w:r>
              <w:rPr>
                <w:spacing w:val="-3"/>
                <w:sz w:val="22"/>
                <w:szCs w:val="22"/>
              </w:rPr>
              <w:t>无超标</w:t>
            </w:r>
          </w:p>
        </w:tc>
        <w:tc>
          <w:tcPr>
            <w:tcW w:w="875" w:type="dxa"/>
            <w:vAlign w:val="top"/>
          </w:tcPr>
          <w:p w14:paraId="71DD7140">
            <w:pPr>
              <w:pStyle w:val="6"/>
              <w:spacing w:before="107" w:line="220" w:lineRule="auto"/>
              <w:ind w:left="257"/>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779" w:type="dxa"/>
            <w:vAlign w:val="top"/>
          </w:tcPr>
          <w:p w14:paraId="218C9081">
            <w:pPr>
              <w:pStyle w:val="6"/>
              <w:spacing w:before="107" w:line="220" w:lineRule="auto"/>
              <w:ind w:left="210"/>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24" w:type="dxa"/>
            <w:vAlign w:val="top"/>
          </w:tcPr>
          <w:p w14:paraId="07308E9A">
            <w:pPr>
              <w:pStyle w:val="6"/>
              <w:spacing w:before="107" w:line="220" w:lineRule="auto"/>
              <w:ind w:left="233"/>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09" w:type="dxa"/>
            <w:vAlign w:val="top"/>
          </w:tcPr>
          <w:p w14:paraId="2D512B5A">
            <w:pPr>
              <w:spacing w:before="141" w:line="193" w:lineRule="auto"/>
              <w:ind w:left="37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063" w:type="dxa"/>
            <w:vAlign w:val="top"/>
          </w:tcPr>
          <w:p w14:paraId="2955B0D5">
            <w:pPr>
              <w:pStyle w:val="6"/>
              <w:spacing w:before="107" w:line="221" w:lineRule="auto"/>
              <w:ind w:left="210"/>
              <w:rPr>
                <w:sz w:val="22"/>
                <w:szCs w:val="22"/>
              </w:rPr>
            </w:pPr>
            <w:r>
              <w:rPr>
                <w:spacing w:val="-3"/>
                <w:sz w:val="22"/>
                <w:szCs w:val="22"/>
              </w:rPr>
              <w:t>无超标</w:t>
            </w:r>
          </w:p>
        </w:tc>
        <w:tc>
          <w:tcPr>
            <w:tcW w:w="1018" w:type="dxa"/>
            <w:vAlign w:val="top"/>
          </w:tcPr>
          <w:p w14:paraId="5A856C25">
            <w:pPr>
              <w:pStyle w:val="6"/>
              <w:spacing w:before="107" w:line="220" w:lineRule="auto"/>
              <w:ind w:left="335"/>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83" w:type="dxa"/>
            <w:vAlign w:val="top"/>
          </w:tcPr>
          <w:p w14:paraId="40BB9303">
            <w:pPr>
              <w:pStyle w:val="6"/>
              <w:spacing w:before="107" w:line="220" w:lineRule="auto"/>
              <w:ind w:left="270"/>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53" w:type="dxa"/>
            <w:vAlign w:val="top"/>
          </w:tcPr>
          <w:p w14:paraId="7175D431">
            <w:pPr>
              <w:pStyle w:val="6"/>
              <w:spacing w:before="107" w:line="220" w:lineRule="auto"/>
              <w:ind w:left="256"/>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38" w:type="dxa"/>
            <w:vAlign w:val="top"/>
          </w:tcPr>
          <w:p w14:paraId="167C493A">
            <w:pPr>
              <w:spacing w:before="141" w:line="193"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71" w:type="dxa"/>
            <w:tcBorders>
              <w:right w:val="single" w:color="000000" w:sz="10" w:space="0"/>
            </w:tcBorders>
            <w:vAlign w:val="top"/>
          </w:tcPr>
          <w:p w14:paraId="498CA587">
            <w:pPr>
              <w:pStyle w:val="6"/>
              <w:spacing w:before="107" w:line="221" w:lineRule="auto"/>
              <w:ind w:left="168"/>
              <w:rPr>
                <w:sz w:val="22"/>
                <w:szCs w:val="22"/>
              </w:rPr>
            </w:pPr>
            <w:r>
              <w:rPr>
                <w:spacing w:val="-3"/>
                <w:sz w:val="22"/>
                <w:szCs w:val="22"/>
              </w:rPr>
              <w:t>无超标</w:t>
            </w:r>
          </w:p>
        </w:tc>
      </w:tr>
      <w:tr w14:paraId="40E86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14" w:type="dxa"/>
            <w:tcBorders>
              <w:left w:val="single" w:color="000000" w:sz="10" w:space="0"/>
            </w:tcBorders>
            <w:vAlign w:val="top"/>
          </w:tcPr>
          <w:p w14:paraId="245D8B52">
            <w:pPr>
              <w:pStyle w:val="6"/>
              <w:spacing w:before="108" w:line="220" w:lineRule="auto"/>
              <w:ind w:left="117"/>
              <w:rPr>
                <w:sz w:val="22"/>
                <w:szCs w:val="22"/>
              </w:rPr>
            </w:pPr>
            <w:r>
              <w:rPr>
                <w:spacing w:val="-3"/>
                <w:sz w:val="22"/>
                <w:szCs w:val="22"/>
              </w:rPr>
              <w:t>十一月</w:t>
            </w:r>
          </w:p>
        </w:tc>
        <w:tc>
          <w:tcPr>
            <w:tcW w:w="838" w:type="dxa"/>
            <w:vAlign w:val="top"/>
          </w:tcPr>
          <w:p w14:paraId="4494D229">
            <w:pPr>
              <w:pStyle w:val="6"/>
              <w:spacing w:before="108" w:line="220" w:lineRule="auto"/>
              <w:ind w:left="229"/>
              <w:rPr>
                <w:sz w:val="22"/>
                <w:szCs w:val="22"/>
              </w:rPr>
            </w:pPr>
            <w:r>
              <w:rPr>
                <w:rFonts w:ascii="Times New Roman" w:hAnsi="Times New Roman" w:eastAsia="Times New Roman" w:cs="Times New Roman"/>
                <w:spacing w:val="-2"/>
                <w:sz w:val="22"/>
                <w:szCs w:val="22"/>
              </w:rPr>
              <w:t>Ⅱ</w:t>
            </w:r>
            <w:r>
              <w:rPr>
                <w:spacing w:val="-2"/>
                <w:sz w:val="22"/>
                <w:szCs w:val="22"/>
              </w:rPr>
              <w:t>类</w:t>
            </w:r>
          </w:p>
        </w:tc>
        <w:tc>
          <w:tcPr>
            <w:tcW w:w="764" w:type="dxa"/>
            <w:vAlign w:val="top"/>
          </w:tcPr>
          <w:p w14:paraId="0CF8D3A1">
            <w:pPr>
              <w:pStyle w:val="6"/>
              <w:spacing w:before="108" w:line="220" w:lineRule="auto"/>
              <w:ind w:left="195"/>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09" w:type="dxa"/>
            <w:vAlign w:val="top"/>
          </w:tcPr>
          <w:p w14:paraId="7E7B43B8">
            <w:pPr>
              <w:pStyle w:val="6"/>
              <w:spacing w:before="108" w:line="220" w:lineRule="auto"/>
              <w:ind w:left="219"/>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53" w:type="dxa"/>
            <w:vAlign w:val="top"/>
          </w:tcPr>
          <w:p w14:paraId="4CCA1D82">
            <w:pPr>
              <w:spacing w:before="141" w:line="193" w:lineRule="auto"/>
              <w:ind w:left="38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086" w:type="dxa"/>
            <w:vAlign w:val="top"/>
          </w:tcPr>
          <w:p w14:paraId="6EB42A3F">
            <w:pPr>
              <w:pStyle w:val="6"/>
              <w:spacing w:before="107" w:line="221" w:lineRule="auto"/>
              <w:ind w:left="215"/>
              <w:rPr>
                <w:sz w:val="22"/>
                <w:szCs w:val="22"/>
              </w:rPr>
            </w:pPr>
            <w:r>
              <w:rPr>
                <w:spacing w:val="-3"/>
                <w:sz w:val="22"/>
                <w:szCs w:val="22"/>
              </w:rPr>
              <w:t>无超标</w:t>
            </w:r>
          </w:p>
        </w:tc>
        <w:tc>
          <w:tcPr>
            <w:tcW w:w="875" w:type="dxa"/>
            <w:vAlign w:val="top"/>
          </w:tcPr>
          <w:p w14:paraId="573176F8">
            <w:pPr>
              <w:pStyle w:val="6"/>
              <w:spacing w:before="108" w:line="220" w:lineRule="auto"/>
              <w:ind w:left="257"/>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779" w:type="dxa"/>
            <w:vAlign w:val="top"/>
          </w:tcPr>
          <w:p w14:paraId="09B87B12">
            <w:pPr>
              <w:pStyle w:val="6"/>
              <w:spacing w:before="108" w:line="220" w:lineRule="auto"/>
              <w:ind w:left="210"/>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24" w:type="dxa"/>
            <w:vAlign w:val="top"/>
          </w:tcPr>
          <w:p w14:paraId="24680929">
            <w:pPr>
              <w:pStyle w:val="6"/>
              <w:spacing w:before="108" w:line="220" w:lineRule="auto"/>
              <w:ind w:left="233"/>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09" w:type="dxa"/>
            <w:vAlign w:val="top"/>
          </w:tcPr>
          <w:p w14:paraId="39484B5D">
            <w:pPr>
              <w:spacing w:before="141" w:line="193" w:lineRule="auto"/>
              <w:ind w:left="37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063" w:type="dxa"/>
            <w:vAlign w:val="top"/>
          </w:tcPr>
          <w:p w14:paraId="6D1E2140">
            <w:pPr>
              <w:pStyle w:val="6"/>
              <w:spacing w:before="107" w:line="221" w:lineRule="auto"/>
              <w:ind w:left="210"/>
              <w:rPr>
                <w:sz w:val="22"/>
                <w:szCs w:val="22"/>
              </w:rPr>
            </w:pPr>
            <w:r>
              <w:rPr>
                <w:spacing w:val="-3"/>
                <w:sz w:val="22"/>
                <w:szCs w:val="22"/>
              </w:rPr>
              <w:t>无超标</w:t>
            </w:r>
          </w:p>
        </w:tc>
        <w:tc>
          <w:tcPr>
            <w:tcW w:w="1018" w:type="dxa"/>
            <w:vAlign w:val="top"/>
          </w:tcPr>
          <w:p w14:paraId="5AE8AB56">
            <w:pPr>
              <w:pStyle w:val="6"/>
              <w:spacing w:before="108" w:line="220" w:lineRule="auto"/>
              <w:ind w:left="335"/>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83" w:type="dxa"/>
            <w:vAlign w:val="top"/>
          </w:tcPr>
          <w:p w14:paraId="5E2FF06E">
            <w:pPr>
              <w:pStyle w:val="6"/>
              <w:spacing w:before="108" w:line="220" w:lineRule="auto"/>
              <w:ind w:left="270"/>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53" w:type="dxa"/>
            <w:vAlign w:val="top"/>
          </w:tcPr>
          <w:p w14:paraId="1CB18EC2">
            <w:pPr>
              <w:pStyle w:val="6"/>
              <w:spacing w:before="108" w:line="220" w:lineRule="auto"/>
              <w:ind w:left="256"/>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38" w:type="dxa"/>
            <w:vAlign w:val="top"/>
          </w:tcPr>
          <w:p w14:paraId="0EDD8856">
            <w:pPr>
              <w:spacing w:before="141" w:line="193"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71" w:type="dxa"/>
            <w:tcBorders>
              <w:right w:val="single" w:color="000000" w:sz="10" w:space="0"/>
            </w:tcBorders>
            <w:vAlign w:val="top"/>
          </w:tcPr>
          <w:p w14:paraId="256A6113">
            <w:pPr>
              <w:pStyle w:val="6"/>
              <w:spacing w:before="107" w:line="221" w:lineRule="auto"/>
              <w:ind w:left="168"/>
              <w:rPr>
                <w:sz w:val="22"/>
                <w:szCs w:val="22"/>
              </w:rPr>
            </w:pPr>
            <w:r>
              <w:rPr>
                <w:spacing w:val="-3"/>
                <w:sz w:val="22"/>
                <w:szCs w:val="22"/>
              </w:rPr>
              <w:t>无超标</w:t>
            </w:r>
          </w:p>
        </w:tc>
      </w:tr>
      <w:tr w14:paraId="40369E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914" w:type="dxa"/>
            <w:tcBorders>
              <w:left w:val="single" w:color="000000" w:sz="10" w:space="0"/>
              <w:bottom w:val="single" w:color="000000" w:sz="10" w:space="0"/>
            </w:tcBorders>
            <w:vAlign w:val="top"/>
          </w:tcPr>
          <w:p w14:paraId="2463686C">
            <w:pPr>
              <w:pStyle w:val="6"/>
              <w:spacing w:before="110" w:line="220" w:lineRule="auto"/>
              <w:ind w:left="117"/>
              <w:rPr>
                <w:sz w:val="22"/>
                <w:szCs w:val="22"/>
              </w:rPr>
            </w:pPr>
            <w:r>
              <w:rPr>
                <w:spacing w:val="-3"/>
                <w:sz w:val="22"/>
                <w:szCs w:val="22"/>
              </w:rPr>
              <w:t>十二月</w:t>
            </w:r>
          </w:p>
        </w:tc>
        <w:tc>
          <w:tcPr>
            <w:tcW w:w="838" w:type="dxa"/>
            <w:tcBorders>
              <w:bottom w:val="single" w:color="000000" w:sz="10" w:space="0"/>
            </w:tcBorders>
            <w:vAlign w:val="top"/>
          </w:tcPr>
          <w:p w14:paraId="10943A41">
            <w:pPr>
              <w:pStyle w:val="6"/>
              <w:spacing w:before="110" w:line="220" w:lineRule="auto"/>
              <w:ind w:left="265"/>
              <w:rPr>
                <w:sz w:val="22"/>
                <w:szCs w:val="22"/>
              </w:rPr>
            </w:pPr>
            <w:r>
              <w:rPr>
                <w:rFonts w:ascii="Times New Roman" w:hAnsi="Times New Roman" w:eastAsia="Times New Roman" w:cs="Times New Roman"/>
                <w:spacing w:val="-3"/>
                <w:sz w:val="22"/>
                <w:szCs w:val="22"/>
              </w:rPr>
              <w:t>Ⅰ</w:t>
            </w:r>
            <w:r>
              <w:rPr>
                <w:spacing w:val="-3"/>
                <w:sz w:val="22"/>
                <w:szCs w:val="22"/>
              </w:rPr>
              <w:t>类</w:t>
            </w:r>
          </w:p>
        </w:tc>
        <w:tc>
          <w:tcPr>
            <w:tcW w:w="764" w:type="dxa"/>
            <w:tcBorders>
              <w:bottom w:val="single" w:color="000000" w:sz="10" w:space="0"/>
            </w:tcBorders>
            <w:vAlign w:val="top"/>
          </w:tcPr>
          <w:p w14:paraId="6F134CE9">
            <w:pPr>
              <w:pStyle w:val="6"/>
              <w:spacing w:before="110" w:line="220" w:lineRule="auto"/>
              <w:ind w:left="195"/>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09" w:type="dxa"/>
            <w:tcBorders>
              <w:bottom w:val="single" w:color="000000" w:sz="10" w:space="0"/>
            </w:tcBorders>
            <w:vAlign w:val="top"/>
          </w:tcPr>
          <w:p w14:paraId="774A0645">
            <w:pPr>
              <w:pStyle w:val="6"/>
              <w:spacing w:before="110" w:line="220" w:lineRule="auto"/>
              <w:ind w:left="219"/>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53" w:type="dxa"/>
            <w:tcBorders>
              <w:bottom w:val="single" w:color="000000" w:sz="10" w:space="0"/>
            </w:tcBorders>
            <w:vAlign w:val="top"/>
          </w:tcPr>
          <w:p w14:paraId="3F1A3E00">
            <w:pPr>
              <w:spacing w:before="143" w:line="193" w:lineRule="auto"/>
              <w:ind w:left="38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086" w:type="dxa"/>
            <w:tcBorders>
              <w:bottom w:val="single" w:color="000000" w:sz="10" w:space="0"/>
            </w:tcBorders>
            <w:vAlign w:val="top"/>
          </w:tcPr>
          <w:p w14:paraId="274CC565">
            <w:pPr>
              <w:pStyle w:val="6"/>
              <w:spacing w:before="109" w:line="221" w:lineRule="auto"/>
              <w:ind w:left="215"/>
              <w:rPr>
                <w:sz w:val="22"/>
                <w:szCs w:val="22"/>
              </w:rPr>
            </w:pPr>
            <w:r>
              <w:rPr>
                <w:spacing w:val="-3"/>
                <w:sz w:val="22"/>
                <w:szCs w:val="22"/>
              </w:rPr>
              <w:t>无超标</w:t>
            </w:r>
          </w:p>
        </w:tc>
        <w:tc>
          <w:tcPr>
            <w:tcW w:w="875" w:type="dxa"/>
            <w:tcBorders>
              <w:bottom w:val="single" w:color="000000" w:sz="10" w:space="0"/>
            </w:tcBorders>
            <w:vAlign w:val="top"/>
          </w:tcPr>
          <w:p w14:paraId="5130EDDB">
            <w:pPr>
              <w:pStyle w:val="6"/>
              <w:spacing w:before="110" w:line="220" w:lineRule="auto"/>
              <w:ind w:left="291"/>
              <w:rPr>
                <w:sz w:val="22"/>
                <w:szCs w:val="22"/>
              </w:rPr>
            </w:pPr>
            <w:r>
              <w:rPr>
                <w:rFonts w:ascii="Times New Roman" w:hAnsi="Times New Roman" w:eastAsia="Times New Roman" w:cs="Times New Roman"/>
                <w:spacing w:val="-2"/>
                <w:sz w:val="22"/>
                <w:szCs w:val="22"/>
              </w:rPr>
              <w:t>Ⅰ</w:t>
            </w:r>
            <w:r>
              <w:rPr>
                <w:spacing w:val="-2"/>
                <w:sz w:val="22"/>
                <w:szCs w:val="22"/>
              </w:rPr>
              <w:t>类</w:t>
            </w:r>
          </w:p>
        </w:tc>
        <w:tc>
          <w:tcPr>
            <w:tcW w:w="779" w:type="dxa"/>
            <w:tcBorders>
              <w:bottom w:val="single" w:color="000000" w:sz="10" w:space="0"/>
            </w:tcBorders>
            <w:vAlign w:val="top"/>
          </w:tcPr>
          <w:p w14:paraId="282101C2">
            <w:pPr>
              <w:pStyle w:val="6"/>
              <w:spacing w:before="110" w:line="220" w:lineRule="auto"/>
              <w:ind w:left="210"/>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24" w:type="dxa"/>
            <w:tcBorders>
              <w:bottom w:val="single" w:color="000000" w:sz="10" w:space="0"/>
            </w:tcBorders>
            <w:vAlign w:val="top"/>
          </w:tcPr>
          <w:p w14:paraId="5FB6DC07">
            <w:pPr>
              <w:pStyle w:val="6"/>
              <w:spacing w:before="110" w:line="220" w:lineRule="auto"/>
              <w:ind w:left="233"/>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09" w:type="dxa"/>
            <w:tcBorders>
              <w:bottom w:val="single" w:color="000000" w:sz="10" w:space="0"/>
            </w:tcBorders>
            <w:vAlign w:val="top"/>
          </w:tcPr>
          <w:p w14:paraId="020F6E39">
            <w:pPr>
              <w:spacing w:before="143" w:line="193" w:lineRule="auto"/>
              <w:ind w:left="373"/>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1063" w:type="dxa"/>
            <w:tcBorders>
              <w:bottom w:val="single" w:color="000000" w:sz="10" w:space="0"/>
            </w:tcBorders>
            <w:vAlign w:val="top"/>
          </w:tcPr>
          <w:p w14:paraId="1720E738">
            <w:pPr>
              <w:pStyle w:val="6"/>
              <w:spacing w:before="109" w:line="221" w:lineRule="auto"/>
              <w:ind w:left="210"/>
              <w:rPr>
                <w:sz w:val="22"/>
                <w:szCs w:val="22"/>
              </w:rPr>
            </w:pPr>
            <w:r>
              <w:rPr>
                <w:spacing w:val="-3"/>
                <w:sz w:val="22"/>
                <w:szCs w:val="22"/>
              </w:rPr>
              <w:t>无超标</w:t>
            </w:r>
          </w:p>
        </w:tc>
        <w:tc>
          <w:tcPr>
            <w:tcW w:w="1018" w:type="dxa"/>
            <w:tcBorders>
              <w:bottom w:val="single" w:color="000000" w:sz="10" w:space="0"/>
            </w:tcBorders>
            <w:vAlign w:val="top"/>
          </w:tcPr>
          <w:p w14:paraId="14963DA3">
            <w:pPr>
              <w:pStyle w:val="6"/>
              <w:spacing w:before="110" w:line="220" w:lineRule="auto"/>
              <w:ind w:left="335"/>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83" w:type="dxa"/>
            <w:tcBorders>
              <w:bottom w:val="single" w:color="000000" w:sz="10" w:space="0"/>
            </w:tcBorders>
            <w:vAlign w:val="top"/>
          </w:tcPr>
          <w:p w14:paraId="34C15691">
            <w:pPr>
              <w:pStyle w:val="6"/>
              <w:spacing w:before="110" w:line="220" w:lineRule="auto"/>
              <w:ind w:left="270"/>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53" w:type="dxa"/>
            <w:tcBorders>
              <w:bottom w:val="single" w:color="000000" w:sz="10" w:space="0"/>
            </w:tcBorders>
            <w:vAlign w:val="top"/>
          </w:tcPr>
          <w:p w14:paraId="76C6AA13">
            <w:pPr>
              <w:pStyle w:val="6"/>
              <w:spacing w:before="110" w:line="220" w:lineRule="auto"/>
              <w:ind w:left="256"/>
              <w:rPr>
                <w:sz w:val="22"/>
                <w:szCs w:val="22"/>
              </w:rPr>
            </w:pPr>
            <w:r>
              <w:rPr>
                <w:rFonts w:ascii="Times New Roman" w:hAnsi="Times New Roman" w:eastAsia="Times New Roman" w:cs="Times New Roman"/>
                <w:spacing w:val="-3"/>
                <w:sz w:val="22"/>
                <w:szCs w:val="22"/>
              </w:rPr>
              <w:t>Ⅱ</w:t>
            </w:r>
            <w:r>
              <w:rPr>
                <w:spacing w:val="-3"/>
                <w:sz w:val="22"/>
                <w:szCs w:val="22"/>
              </w:rPr>
              <w:t>类</w:t>
            </w:r>
          </w:p>
        </w:tc>
        <w:tc>
          <w:tcPr>
            <w:tcW w:w="838" w:type="dxa"/>
            <w:tcBorders>
              <w:bottom w:val="single" w:color="000000" w:sz="10" w:space="0"/>
            </w:tcBorders>
            <w:vAlign w:val="top"/>
          </w:tcPr>
          <w:p w14:paraId="323313F2">
            <w:pPr>
              <w:spacing w:before="143" w:line="193" w:lineRule="auto"/>
              <w:ind w:left="396"/>
              <w:rPr>
                <w:rFonts w:ascii="Times New Roman" w:hAnsi="Times New Roman" w:eastAsia="Times New Roman" w:cs="Times New Roman"/>
                <w:sz w:val="22"/>
                <w:szCs w:val="22"/>
              </w:rPr>
            </w:pPr>
            <w:r>
              <w:rPr>
                <w:rFonts w:ascii="Times New Roman" w:hAnsi="Times New Roman" w:eastAsia="Times New Roman" w:cs="Times New Roman"/>
                <w:sz w:val="22"/>
                <w:szCs w:val="22"/>
              </w:rPr>
              <w:t>/</w:t>
            </w:r>
          </w:p>
        </w:tc>
        <w:tc>
          <w:tcPr>
            <w:tcW w:w="971" w:type="dxa"/>
            <w:tcBorders>
              <w:bottom w:val="single" w:color="000000" w:sz="10" w:space="0"/>
              <w:right w:val="single" w:color="000000" w:sz="10" w:space="0"/>
            </w:tcBorders>
            <w:vAlign w:val="top"/>
          </w:tcPr>
          <w:p w14:paraId="4F93840E">
            <w:pPr>
              <w:pStyle w:val="6"/>
              <w:spacing w:before="109" w:line="221" w:lineRule="auto"/>
              <w:ind w:left="168"/>
              <w:rPr>
                <w:sz w:val="22"/>
                <w:szCs w:val="22"/>
              </w:rPr>
            </w:pPr>
            <w:r>
              <w:rPr>
                <w:spacing w:val="-3"/>
                <w:sz w:val="22"/>
                <w:szCs w:val="22"/>
              </w:rPr>
              <w:t>无超标</w:t>
            </w:r>
          </w:p>
        </w:tc>
      </w:tr>
    </w:tbl>
    <w:p w14:paraId="2E38B914">
      <w:pPr>
        <w:spacing w:before="155" w:line="212" w:lineRule="auto"/>
        <w:ind w:left="3230"/>
        <w:rPr>
          <w:rFonts w:ascii="宋体" w:hAnsi="宋体" w:eastAsia="宋体" w:cs="宋体"/>
          <w:sz w:val="24"/>
          <w:szCs w:val="24"/>
        </w:rPr>
      </w:pPr>
      <w:r>
        <w:rPr>
          <w:rFonts w:ascii="宋体" w:hAnsi="宋体" w:eastAsia="宋体" w:cs="宋体"/>
          <w:b/>
          <w:bCs/>
          <w:spacing w:val="-2"/>
          <w:sz w:val="24"/>
          <w:szCs w:val="24"/>
        </w:rPr>
        <w:t>表</w:t>
      </w:r>
      <w:r>
        <w:rPr>
          <w:rFonts w:ascii="Times New Roman" w:hAnsi="Times New Roman" w:eastAsia="Times New Roman" w:cs="Times New Roman"/>
          <w:b/>
          <w:bCs/>
          <w:spacing w:val="-2"/>
          <w:sz w:val="24"/>
          <w:szCs w:val="24"/>
        </w:rPr>
        <w:t>4.3-4</w:t>
      </w:r>
      <w:r>
        <w:rPr>
          <w:rFonts w:ascii="宋体" w:hAnsi="宋体" w:eastAsia="宋体" w:cs="宋体"/>
          <w:b/>
          <w:bCs/>
          <w:spacing w:val="-2"/>
          <w:sz w:val="24"/>
          <w:szCs w:val="24"/>
        </w:rPr>
        <w:t>隆回县水厂断面监测数据（</w:t>
      </w:r>
      <w:r>
        <w:rPr>
          <w:rFonts w:ascii="Times New Roman" w:hAnsi="Times New Roman" w:eastAsia="Times New Roman" w:cs="Times New Roman"/>
          <w:b/>
          <w:bCs/>
          <w:spacing w:val="-2"/>
          <w:sz w:val="24"/>
          <w:szCs w:val="24"/>
        </w:rPr>
        <w:t>2022</w:t>
      </w:r>
      <w:r>
        <w:rPr>
          <w:rFonts w:ascii="宋体" w:hAnsi="宋体" w:eastAsia="宋体" w:cs="宋体"/>
          <w:b/>
          <w:bCs/>
          <w:spacing w:val="-2"/>
          <w:sz w:val="24"/>
          <w:szCs w:val="24"/>
        </w:rPr>
        <w:t>年</w:t>
      </w:r>
      <w:r>
        <w:rPr>
          <w:rFonts w:ascii="Times New Roman" w:hAnsi="Times New Roman" w:eastAsia="Times New Roman" w:cs="Times New Roman"/>
          <w:b/>
          <w:bCs/>
          <w:spacing w:val="-2"/>
          <w:sz w:val="24"/>
          <w:szCs w:val="24"/>
        </w:rPr>
        <w:t>1</w:t>
      </w:r>
      <w:r>
        <w:rPr>
          <w:rFonts w:ascii="宋体" w:hAnsi="宋体" w:eastAsia="宋体" w:cs="宋体"/>
          <w:b/>
          <w:bCs/>
          <w:spacing w:val="-2"/>
          <w:sz w:val="24"/>
          <w:szCs w:val="24"/>
        </w:rPr>
        <w:t>月</w:t>
      </w:r>
      <w:r>
        <w:rPr>
          <w:rFonts w:ascii="Times New Roman" w:hAnsi="Times New Roman" w:eastAsia="Times New Roman" w:cs="Times New Roman"/>
          <w:b/>
          <w:bCs/>
          <w:spacing w:val="-2"/>
          <w:sz w:val="24"/>
          <w:szCs w:val="24"/>
        </w:rPr>
        <w:t>-2025</w:t>
      </w:r>
      <w:r>
        <w:rPr>
          <w:rFonts w:ascii="宋体" w:hAnsi="宋体" w:eastAsia="宋体" w:cs="宋体"/>
          <w:b/>
          <w:bCs/>
          <w:spacing w:val="-2"/>
          <w:sz w:val="24"/>
          <w:szCs w:val="24"/>
        </w:rPr>
        <w:t>年</w:t>
      </w:r>
      <w:r>
        <w:rPr>
          <w:rFonts w:ascii="Times New Roman" w:hAnsi="Times New Roman" w:eastAsia="Times New Roman" w:cs="Times New Roman"/>
          <w:b/>
          <w:bCs/>
          <w:spacing w:val="-2"/>
          <w:sz w:val="24"/>
          <w:szCs w:val="24"/>
        </w:rPr>
        <w:t>4</w:t>
      </w:r>
      <w:r>
        <w:rPr>
          <w:rFonts w:ascii="宋体" w:hAnsi="宋体" w:eastAsia="宋体" w:cs="宋体"/>
          <w:b/>
          <w:bCs/>
          <w:spacing w:val="-2"/>
          <w:sz w:val="24"/>
          <w:szCs w:val="24"/>
        </w:rPr>
        <w:t>月</w:t>
      </w:r>
      <w:r>
        <w:rPr>
          <w:rFonts w:ascii="宋体" w:hAnsi="宋体" w:eastAsia="宋体" w:cs="宋体"/>
          <w:b/>
          <w:bCs/>
          <w:spacing w:val="-9"/>
          <w:sz w:val="24"/>
          <w:szCs w:val="24"/>
        </w:rPr>
        <w:t>）（</w:t>
      </w:r>
      <w:r>
        <w:rPr>
          <w:rFonts w:ascii="Times New Roman" w:hAnsi="Times New Roman" w:eastAsia="Times New Roman" w:cs="Times New Roman"/>
          <w:b/>
          <w:bCs/>
          <w:spacing w:val="-2"/>
          <w:sz w:val="24"/>
          <w:szCs w:val="24"/>
        </w:rPr>
        <w:t>mg/L</w:t>
      </w:r>
      <w:r>
        <w:rPr>
          <w:rFonts w:ascii="宋体" w:hAnsi="宋体" w:eastAsia="宋体" w:cs="宋体"/>
          <w:b/>
          <w:bCs/>
          <w:spacing w:val="-2"/>
          <w:sz w:val="24"/>
          <w:szCs w:val="24"/>
        </w:rPr>
        <w:t>）</w:t>
      </w:r>
    </w:p>
    <w:p w14:paraId="3054754C">
      <w:pPr>
        <w:spacing w:line="157" w:lineRule="exact"/>
      </w:pPr>
    </w:p>
    <w:tbl>
      <w:tblPr>
        <w:tblStyle w:val="5"/>
        <w:tblW w:w="1421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3"/>
        <w:gridCol w:w="681"/>
        <w:gridCol w:w="1067"/>
        <w:gridCol w:w="1752"/>
        <w:gridCol w:w="1522"/>
        <w:gridCol w:w="1689"/>
        <w:gridCol w:w="1338"/>
        <w:gridCol w:w="886"/>
        <w:gridCol w:w="886"/>
        <w:gridCol w:w="1006"/>
        <w:gridCol w:w="1068"/>
        <w:gridCol w:w="1021"/>
      </w:tblGrid>
      <w:tr w14:paraId="63E71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1303" w:type="dxa"/>
            <w:tcBorders>
              <w:top w:val="single" w:color="000000" w:sz="10" w:space="0"/>
              <w:left w:val="single" w:color="000000" w:sz="10" w:space="0"/>
            </w:tcBorders>
            <w:vAlign w:val="top"/>
          </w:tcPr>
          <w:p w14:paraId="129AF846">
            <w:pPr>
              <w:pStyle w:val="6"/>
              <w:spacing w:before="96" w:line="227" w:lineRule="auto"/>
              <w:ind w:left="221"/>
            </w:pPr>
            <w:r>
              <w:rPr>
                <w:b/>
                <w:bCs/>
                <w:spacing w:val="6"/>
              </w:rPr>
              <w:t>采样时间</w:t>
            </w:r>
          </w:p>
        </w:tc>
        <w:tc>
          <w:tcPr>
            <w:tcW w:w="681" w:type="dxa"/>
            <w:tcBorders>
              <w:top w:val="single" w:color="000000" w:sz="10" w:space="0"/>
            </w:tcBorders>
            <w:vAlign w:val="top"/>
          </w:tcPr>
          <w:p w14:paraId="7AFC3A9D">
            <w:pPr>
              <w:spacing w:before="135" w:line="194" w:lineRule="auto"/>
              <w:ind w:left="192"/>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pH</w:t>
            </w:r>
          </w:p>
        </w:tc>
        <w:tc>
          <w:tcPr>
            <w:tcW w:w="1067" w:type="dxa"/>
            <w:tcBorders>
              <w:top w:val="single" w:color="000000" w:sz="10" w:space="0"/>
            </w:tcBorders>
            <w:vAlign w:val="top"/>
          </w:tcPr>
          <w:p w14:paraId="5BCB82FC">
            <w:pPr>
              <w:pStyle w:val="6"/>
              <w:spacing w:before="96" w:line="227" w:lineRule="auto"/>
              <w:ind w:left="216"/>
            </w:pPr>
            <w:r>
              <w:rPr>
                <w:b/>
                <w:bCs/>
                <w:spacing w:val="4"/>
              </w:rPr>
              <w:t>溶解氧</w:t>
            </w:r>
          </w:p>
        </w:tc>
        <w:tc>
          <w:tcPr>
            <w:tcW w:w="1752" w:type="dxa"/>
            <w:tcBorders>
              <w:top w:val="single" w:color="000000" w:sz="10" w:space="0"/>
            </w:tcBorders>
            <w:vAlign w:val="top"/>
          </w:tcPr>
          <w:p w14:paraId="2FE7F64F">
            <w:pPr>
              <w:pStyle w:val="6"/>
              <w:spacing w:before="96" w:line="228" w:lineRule="auto"/>
              <w:ind w:left="249"/>
            </w:pPr>
            <w:r>
              <w:rPr>
                <w:b/>
                <w:bCs/>
                <w:spacing w:val="6"/>
              </w:rPr>
              <w:t>高锰酸盐指数</w:t>
            </w:r>
          </w:p>
        </w:tc>
        <w:tc>
          <w:tcPr>
            <w:tcW w:w="1522" w:type="dxa"/>
            <w:tcBorders>
              <w:top w:val="single" w:color="000000" w:sz="10" w:space="0"/>
            </w:tcBorders>
            <w:vAlign w:val="top"/>
          </w:tcPr>
          <w:p w14:paraId="27BA7B9F">
            <w:pPr>
              <w:pStyle w:val="6"/>
              <w:spacing w:before="96" w:line="227" w:lineRule="auto"/>
              <w:ind w:left="237"/>
            </w:pPr>
            <w:r>
              <w:rPr>
                <w:b/>
                <w:bCs/>
                <w:spacing w:val="6"/>
              </w:rPr>
              <w:t>化学需氧量</w:t>
            </w:r>
          </w:p>
        </w:tc>
        <w:tc>
          <w:tcPr>
            <w:tcW w:w="1689" w:type="dxa"/>
            <w:tcBorders>
              <w:top w:val="single" w:color="000000" w:sz="10" w:space="0"/>
            </w:tcBorders>
            <w:vAlign w:val="top"/>
          </w:tcPr>
          <w:p w14:paraId="260C412A">
            <w:pPr>
              <w:pStyle w:val="6"/>
              <w:spacing w:before="96" w:line="227" w:lineRule="auto"/>
              <w:ind w:left="116"/>
            </w:pPr>
            <w:r>
              <w:rPr>
                <w:b/>
                <w:bCs/>
                <w:spacing w:val="6"/>
              </w:rPr>
              <w:t>五日生化需氧量</w:t>
            </w:r>
          </w:p>
        </w:tc>
        <w:tc>
          <w:tcPr>
            <w:tcW w:w="1338" w:type="dxa"/>
            <w:tcBorders>
              <w:top w:val="single" w:color="000000" w:sz="10" w:space="0"/>
            </w:tcBorders>
            <w:vAlign w:val="top"/>
          </w:tcPr>
          <w:p w14:paraId="0EE58664">
            <w:pPr>
              <w:pStyle w:val="6"/>
              <w:spacing w:before="96" w:line="227" w:lineRule="auto"/>
              <w:ind w:left="466"/>
            </w:pPr>
            <w:r>
              <w:rPr>
                <w:b/>
                <w:bCs/>
                <w:spacing w:val="3"/>
              </w:rPr>
              <w:t>氨氮</w:t>
            </w:r>
          </w:p>
        </w:tc>
        <w:tc>
          <w:tcPr>
            <w:tcW w:w="886" w:type="dxa"/>
            <w:tcBorders>
              <w:top w:val="single" w:color="000000" w:sz="10" w:space="0"/>
            </w:tcBorders>
            <w:vAlign w:val="top"/>
          </w:tcPr>
          <w:p w14:paraId="3D580D2B">
            <w:pPr>
              <w:pStyle w:val="6"/>
              <w:spacing w:before="96" w:line="228" w:lineRule="auto"/>
              <w:ind w:left="248"/>
            </w:pPr>
            <w:r>
              <w:rPr>
                <w:b/>
                <w:bCs/>
                <w:spacing w:val="1"/>
              </w:rPr>
              <w:t>总磷</w:t>
            </w:r>
          </w:p>
        </w:tc>
        <w:tc>
          <w:tcPr>
            <w:tcW w:w="886" w:type="dxa"/>
            <w:tcBorders>
              <w:top w:val="single" w:color="000000" w:sz="10" w:space="0"/>
            </w:tcBorders>
            <w:vAlign w:val="top"/>
          </w:tcPr>
          <w:p w14:paraId="7CF77EBA">
            <w:pPr>
              <w:pStyle w:val="6"/>
              <w:spacing w:before="96" w:line="229" w:lineRule="auto"/>
              <w:ind w:left="350"/>
            </w:pPr>
            <w:r>
              <w:rPr>
                <w:b/>
                <w:bCs/>
                <w:spacing w:val="-2"/>
              </w:rPr>
              <w:t>铜</w:t>
            </w:r>
          </w:p>
        </w:tc>
        <w:tc>
          <w:tcPr>
            <w:tcW w:w="1006" w:type="dxa"/>
            <w:tcBorders>
              <w:top w:val="single" w:color="000000" w:sz="10" w:space="0"/>
            </w:tcBorders>
            <w:vAlign w:val="top"/>
          </w:tcPr>
          <w:p w14:paraId="49E0FE15">
            <w:pPr>
              <w:pStyle w:val="6"/>
              <w:spacing w:before="96" w:line="228" w:lineRule="auto"/>
              <w:ind w:left="411"/>
            </w:pPr>
            <w:r>
              <w:rPr>
                <w:b/>
                <w:bCs/>
                <w:spacing w:val="-1"/>
              </w:rPr>
              <w:t>锌</w:t>
            </w:r>
          </w:p>
        </w:tc>
        <w:tc>
          <w:tcPr>
            <w:tcW w:w="1068" w:type="dxa"/>
            <w:tcBorders>
              <w:top w:val="single" w:color="000000" w:sz="10" w:space="0"/>
            </w:tcBorders>
            <w:vAlign w:val="top"/>
          </w:tcPr>
          <w:p w14:paraId="7214055D">
            <w:pPr>
              <w:pStyle w:val="6"/>
              <w:spacing w:before="96" w:line="228" w:lineRule="auto"/>
              <w:ind w:left="234"/>
            </w:pPr>
            <w:r>
              <w:rPr>
                <w:b/>
                <w:bCs/>
                <w:spacing w:val="5"/>
              </w:rPr>
              <w:t>氟化物</w:t>
            </w:r>
          </w:p>
        </w:tc>
        <w:tc>
          <w:tcPr>
            <w:tcW w:w="1021" w:type="dxa"/>
            <w:tcBorders>
              <w:top w:val="single" w:color="000000" w:sz="10" w:space="0"/>
              <w:right w:val="single" w:color="000000" w:sz="10" w:space="0"/>
            </w:tcBorders>
            <w:vAlign w:val="top"/>
          </w:tcPr>
          <w:p w14:paraId="35B55AEC">
            <w:pPr>
              <w:pStyle w:val="6"/>
              <w:spacing w:before="95" w:line="231" w:lineRule="auto"/>
              <w:ind w:left="414"/>
            </w:pPr>
            <w:r>
              <w:rPr>
                <w:b/>
                <w:bCs/>
              </w:rPr>
              <w:t>硒</w:t>
            </w:r>
          </w:p>
        </w:tc>
      </w:tr>
      <w:tr w14:paraId="2C46D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303" w:type="dxa"/>
            <w:tcBorders>
              <w:left w:val="single" w:color="000000" w:sz="10" w:space="0"/>
            </w:tcBorders>
            <w:vAlign w:val="top"/>
          </w:tcPr>
          <w:p w14:paraId="5EB9AF8D">
            <w:pPr>
              <w:spacing w:before="137"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2022-01</w:t>
            </w:r>
          </w:p>
        </w:tc>
        <w:tc>
          <w:tcPr>
            <w:tcW w:w="681" w:type="dxa"/>
            <w:vAlign w:val="top"/>
          </w:tcPr>
          <w:p w14:paraId="78D78573">
            <w:pPr>
              <w:spacing w:before="137"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67" w:type="dxa"/>
            <w:vAlign w:val="top"/>
          </w:tcPr>
          <w:p w14:paraId="282A4AAF">
            <w:pPr>
              <w:spacing w:before="137"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9.8</w:t>
            </w:r>
          </w:p>
        </w:tc>
        <w:tc>
          <w:tcPr>
            <w:tcW w:w="1752" w:type="dxa"/>
            <w:vAlign w:val="top"/>
          </w:tcPr>
          <w:p w14:paraId="29737710">
            <w:pPr>
              <w:spacing w:before="137" w:line="195" w:lineRule="auto"/>
              <w:ind w:left="7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1.9</w:t>
            </w:r>
          </w:p>
        </w:tc>
        <w:tc>
          <w:tcPr>
            <w:tcW w:w="1522" w:type="dxa"/>
            <w:vAlign w:val="top"/>
          </w:tcPr>
          <w:p w14:paraId="6C9178F8">
            <w:pPr>
              <w:spacing w:before="137" w:line="195" w:lineRule="auto"/>
              <w:ind w:left="634"/>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689" w:type="dxa"/>
            <w:vAlign w:val="top"/>
          </w:tcPr>
          <w:p w14:paraId="010B0364">
            <w:pPr>
              <w:spacing w:before="137"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1338" w:type="dxa"/>
            <w:vAlign w:val="top"/>
          </w:tcPr>
          <w:p w14:paraId="3C1D8621">
            <w:pPr>
              <w:spacing w:before="137"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0.28</w:t>
            </w:r>
          </w:p>
        </w:tc>
        <w:tc>
          <w:tcPr>
            <w:tcW w:w="886" w:type="dxa"/>
            <w:vAlign w:val="top"/>
          </w:tcPr>
          <w:p w14:paraId="78F46FFF">
            <w:pPr>
              <w:spacing w:before="137"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0.040</w:t>
            </w:r>
          </w:p>
        </w:tc>
        <w:tc>
          <w:tcPr>
            <w:tcW w:w="886" w:type="dxa"/>
            <w:vAlign w:val="top"/>
          </w:tcPr>
          <w:p w14:paraId="16C2323A">
            <w:pPr>
              <w:spacing w:before="137"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1006" w:type="dxa"/>
            <w:vAlign w:val="top"/>
          </w:tcPr>
          <w:p w14:paraId="39CCC83A">
            <w:pPr>
              <w:spacing w:before="137"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068" w:type="dxa"/>
            <w:vAlign w:val="top"/>
          </w:tcPr>
          <w:p w14:paraId="41AF56D8">
            <w:pPr>
              <w:spacing w:before="137"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0.118</w:t>
            </w:r>
          </w:p>
        </w:tc>
        <w:tc>
          <w:tcPr>
            <w:tcW w:w="1021" w:type="dxa"/>
            <w:tcBorders>
              <w:right w:val="single" w:color="000000" w:sz="10" w:space="0"/>
            </w:tcBorders>
            <w:vAlign w:val="top"/>
          </w:tcPr>
          <w:p w14:paraId="6F7A39EB">
            <w:pPr>
              <w:spacing w:before="137"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481C23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303" w:type="dxa"/>
            <w:tcBorders>
              <w:left w:val="single" w:color="000000" w:sz="10" w:space="0"/>
              <w:bottom w:val="single" w:color="000000" w:sz="10" w:space="0"/>
            </w:tcBorders>
            <w:vAlign w:val="top"/>
          </w:tcPr>
          <w:p w14:paraId="71F69E18">
            <w:pPr>
              <w:spacing w:before="146"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2022-02</w:t>
            </w:r>
          </w:p>
        </w:tc>
        <w:tc>
          <w:tcPr>
            <w:tcW w:w="681" w:type="dxa"/>
            <w:tcBorders>
              <w:bottom w:val="single" w:color="000000" w:sz="10" w:space="0"/>
            </w:tcBorders>
            <w:vAlign w:val="top"/>
          </w:tcPr>
          <w:p w14:paraId="5626D4E7">
            <w:pPr>
              <w:spacing w:before="146"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67" w:type="dxa"/>
            <w:tcBorders>
              <w:bottom w:val="single" w:color="000000" w:sz="10" w:space="0"/>
            </w:tcBorders>
            <w:vAlign w:val="top"/>
          </w:tcPr>
          <w:p w14:paraId="41FC59A9">
            <w:pPr>
              <w:spacing w:before="146"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10.4</w:t>
            </w:r>
          </w:p>
        </w:tc>
        <w:tc>
          <w:tcPr>
            <w:tcW w:w="1752" w:type="dxa"/>
            <w:tcBorders>
              <w:bottom w:val="single" w:color="000000" w:sz="10" w:space="0"/>
            </w:tcBorders>
            <w:vAlign w:val="top"/>
          </w:tcPr>
          <w:p w14:paraId="619519B9">
            <w:pPr>
              <w:spacing w:before="146" w:line="195" w:lineRule="auto"/>
              <w:ind w:left="7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1522" w:type="dxa"/>
            <w:tcBorders>
              <w:bottom w:val="single" w:color="000000" w:sz="10" w:space="0"/>
            </w:tcBorders>
            <w:vAlign w:val="top"/>
          </w:tcPr>
          <w:p w14:paraId="6EE324B7">
            <w:pPr>
              <w:spacing w:before="146" w:line="195" w:lineRule="auto"/>
              <w:ind w:left="5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12.0</w:t>
            </w:r>
          </w:p>
        </w:tc>
        <w:tc>
          <w:tcPr>
            <w:tcW w:w="1689" w:type="dxa"/>
            <w:tcBorders>
              <w:bottom w:val="single" w:color="000000" w:sz="10" w:space="0"/>
            </w:tcBorders>
            <w:vAlign w:val="top"/>
          </w:tcPr>
          <w:p w14:paraId="0761DBA6">
            <w:pPr>
              <w:spacing w:before="146" w:line="195" w:lineRule="auto"/>
              <w:ind w:left="73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1338" w:type="dxa"/>
            <w:tcBorders>
              <w:bottom w:val="single" w:color="000000" w:sz="10" w:space="0"/>
            </w:tcBorders>
            <w:vAlign w:val="top"/>
          </w:tcPr>
          <w:p w14:paraId="48A5EAD4">
            <w:pPr>
              <w:spacing w:before="146"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886" w:type="dxa"/>
            <w:tcBorders>
              <w:bottom w:val="single" w:color="000000" w:sz="10" w:space="0"/>
            </w:tcBorders>
            <w:vAlign w:val="top"/>
          </w:tcPr>
          <w:p w14:paraId="0ADA8C10">
            <w:pPr>
              <w:spacing w:before="146"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0.020</w:t>
            </w:r>
          </w:p>
        </w:tc>
        <w:tc>
          <w:tcPr>
            <w:tcW w:w="886" w:type="dxa"/>
            <w:tcBorders>
              <w:bottom w:val="single" w:color="000000" w:sz="10" w:space="0"/>
            </w:tcBorders>
            <w:vAlign w:val="top"/>
          </w:tcPr>
          <w:p w14:paraId="59F8460D">
            <w:pPr>
              <w:spacing w:before="146"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1006" w:type="dxa"/>
            <w:tcBorders>
              <w:bottom w:val="single" w:color="000000" w:sz="10" w:space="0"/>
            </w:tcBorders>
            <w:vAlign w:val="top"/>
          </w:tcPr>
          <w:p w14:paraId="35931ECA">
            <w:pPr>
              <w:spacing w:before="146"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068" w:type="dxa"/>
            <w:tcBorders>
              <w:bottom w:val="single" w:color="000000" w:sz="10" w:space="0"/>
            </w:tcBorders>
            <w:vAlign w:val="top"/>
          </w:tcPr>
          <w:p w14:paraId="10626544">
            <w:pPr>
              <w:spacing w:before="146"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0.127</w:t>
            </w:r>
          </w:p>
        </w:tc>
        <w:tc>
          <w:tcPr>
            <w:tcW w:w="1021" w:type="dxa"/>
            <w:tcBorders>
              <w:bottom w:val="single" w:color="000000" w:sz="10" w:space="0"/>
              <w:right w:val="single" w:color="000000" w:sz="10" w:space="0"/>
            </w:tcBorders>
            <w:vAlign w:val="top"/>
          </w:tcPr>
          <w:p w14:paraId="7E29110F">
            <w:pPr>
              <w:spacing w:before="146"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bl>
    <w:p w14:paraId="7DF957D7">
      <w:pPr>
        <w:pStyle w:val="2"/>
      </w:pPr>
    </w:p>
    <w:p w14:paraId="18673FF9">
      <w:pPr>
        <w:sectPr>
          <w:headerReference r:id="rId67" w:type="default"/>
          <w:footerReference r:id="rId68" w:type="default"/>
          <w:pgSz w:w="16840" w:h="11907"/>
          <w:pgMar w:top="1132" w:right="1300" w:bottom="1258" w:left="1294" w:header="829" w:footer="1096" w:gutter="0"/>
          <w:cols w:space="720" w:num="1"/>
        </w:sectPr>
      </w:pPr>
    </w:p>
    <w:p w14:paraId="1651116F">
      <w:pPr>
        <w:spacing w:before="43"/>
      </w:pPr>
    </w:p>
    <w:p w14:paraId="6FF60897">
      <w:pPr>
        <w:spacing w:before="42"/>
      </w:pPr>
    </w:p>
    <w:tbl>
      <w:tblPr>
        <w:tblStyle w:val="5"/>
        <w:tblW w:w="1421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3"/>
        <w:gridCol w:w="681"/>
        <w:gridCol w:w="1067"/>
        <w:gridCol w:w="1752"/>
        <w:gridCol w:w="1522"/>
        <w:gridCol w:w="1689"/>
        <w:gridCol w:w="1338"/>
        <w:gridCol w:w="886"/>
        <w:gridCol w:w="886"/>
        <w:gridCol w:w="1006"/>
        <w:gridCol w:w="1068"/>
        <w:gridCol w:w="1021"/>
      </w:tblGrid>
      <w:tr w14:paraId="4A0AB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303" w:type="dxa"/>
            <w:tcBorders>
              <w:top w:val="single" w:color="000000" w:sz="10" w:space="0"/>
              <w:left w:val="single" w:color="000000" w:sz="10" w:space="0"/>
            </w:tcBorders>
            <w:vAlign w:val="top"/>
          </w:tcPr>
          <w:p w14:paraId="78CF51BC">
            <w:pPr>
              <w:pStyle w:val="6"/>
              <w:spacing w:before="99" w:line="227" w:lineRule="auto"/>
              <w:ind w:left="221"/>
            </w:pPr>
            <w:r>
              <w:rPr>
                <w:b/>
                <w:bCs/>
                <w:spacing w:val="6"/>
              </w:rPr>
              <w:t>采样时间</w:t>
            </w:r>
          </w:p>
        </w:tc>
        <w:tc>
          <w:tcPr>
            <w:tcW w:w="681" w:type="dxa"/>
            <w:tcBorders>
              <w:top w:val="single" w:color="000000" w:sz="10" w:space="0"/>
            </w:tcBorders>
            <w:vAlign w:val="top"/>
          </w:tcPr>
          <w:p w14:paraId="524EA54F">
            <w:pPr>
              <w:spacing w:before="138" w:line="194" w:lineRule="auto"/>
              <w:ind w:left="192"/>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pH</w:t>
            </w:r>
          </w:p>
        </w:tc>
        <w:tc>
          <w:tcPr>
            <w:tcW w:w="1067" w:type="dxa"/>
            <w:tcBorders>
              <w:top w:val="single" w:color="000000" w:sz="10" w:space="0"/>
            </w:tcBorders>
            <w:vAlign w:val="top"/>
          </w:tcPr>
          <w:p w14:paraId="3D356D66">
            <w:pPr>
              <w:pStyle w:val="6"/>
              <w:spacing w:before="99" w:line="227" w:lineRule="auto"/>
              <w:ind w:left="216"/>
            </w:pPr>
            <w:r>
              <w:rPr>
                <w:b/>
                <w:bCs/>
                <w:spacing w:val="4"/>
              </w:rPr>
              <w:t>溶解氧</w:t>
            </w:r>
          </w:p>
        </w:tc>
        <w:tc>
          <w:tcPr>
            <w:tcW w:w="1752" w:type="dxa"/>
            <w:tcBorders>
              <w:top w:val="single" w:color="000000" w:sz="10" w:space="0"/>
            </w:tcBorders>
            <w:vAlign w:val="top"/>
          </w:tcPr>
          <w:p w14:paraId="40666E50">
            <w:pPr>
              <w:pStyle w:val="6"/>
              <w:spacing w:before="99" w:line="228" w:lineRule="auto"/>
              <w:ind w:left="249"/>
            </w:pPr>
            <w:r>
              <w:rPr>
                <w:b/>
                <w:bCs/>
                <w:spacing w:val="6"/>
              </w:rPr>
              <w:t>高锰酸盐指数</w:t>
            </w:r>
          </w:p>
        </w:tc>
        <w:tc>
          <w:tcPr>
            <w:tcW w:w="1522" w:type="dxa"/>
            <w:tcBorders>
              <w:top w:val="single" w:color="000000" w:sz="10" w:space="0"/>
            </w:tcBorders>
            <w:vAlign w:val="top"/>
          </w:tcPr>
          <w:p w14:paraId="793E7F5A">
            <w:pPr>
              <w:pStyle w:val="6"/>
              <w:spacing w:before="99" w:line="227" w:lineRule="auto"/>
              <w:ind w:left="237"/>
            </w:pPr>
            <w:r>
              <w:rPr>
                <w:b/>
                <w:bCs/>
                <w:spacing w:val="6"/>
              </w:rPr>
              <w:t>化学需氧量</w:t>
            </w:r>
          </w:p>
        </w:tc>
        <w:tc>
          <w:tcPr>
            <w:tcW w:w="1689" w:type="dxa"/>
            <w:tcBorders>
              <w:top w:val="single" w:color="000000" w:sz="10" w:space="0"/>
            </w:tcBorders>
            <w:vAlign w:val="top"/>
          </w:tcPr>
          <w:p w14:paraId="6321AB68">
            <w:pPr>
              <w:pStyle w:val="6"/>
              <w:spacing w:before="99" w:line="227" w:lineRule="auto"/>
              <w:ind w:left="116"/>
            </w:pPr>
            <w:r>
              <w:rPr>
                <w:b/>
                <w:bCs/>
                <w:spacing w:val="6"/>
              </w:rPr>
              <w:t>五日生化需氧量</w:t>
            </w:r>
          </w:p>
        </w:tc>
        <w:tc>
          <w:tcPr>
            <w:tcW w:w="1338" w:type="dxa"/>
            <w:tcBorders>
              <w:top w:val="single" w:color="000000" w:sz="10" w:space="0"/>
            </w:tcBorders>
            <w:vAlign w:val="top"/>
          </w:tcPr>
          <w:p w14:paraId="3B5851A4">
            <w:pPr>
              <w:pStyle w:val="6"/>
              <w:spacing w:before="99" w:line="227" w:lineRule="auto"/>
              <w:ind w:left="466"/>
            </w:pPr>
            <w:r>
              <w:rPr>
                <w:b/>
                <w:bCs/>
                <w:spacing w:val="3"/>
              </w:rPr>
              <w:t>氨氮</w:t>
            </w:r>
          </w:p>
        </w:tc>
        <w:tc>
          <w:tcPr>
            <w:tcW w:w="886" w:type="dxa"/>
            <w:tcBorders>
              <w:top w:val="single" w:color="000000" w:sz="10" w:space="0"/>
            </w:tcBorders>
            <w:vAlign w:val="top"/>
          </w:tcPr>
          <w:p w14:paraId="364EDD48">
            <w:pPr>
              <w:pStyle w:val="6"/>
              <w:spacing w:before="99" w:line="228" w:lineRule="auto"/>
              <w:ind w:left="248"/>
            </w:pPr>
            <w:r>
              <w:rPr>
                <w:b/>
                <w:bCs/>
                <w:spacing w:val="1"/>
              </w:rPr>
              <w:t>总磷</w:t>
            </w:r>
          </w:p>
        </w:tc>
        <w:tc>
          <w:tcPr>
            <w:tcW w:w="886" w:type="dxa"/>
            <w:tcBorders>
              <w:top w:val="single" w:color="000000" w:sz="10" w:space="0"/>
            </w:tcBorders>
            <w:vAlign w:val="top"/>
          </w:tcPr>
          <w:p w14:paraId="1882B53B">
            <w:pPr>
              <w:pStyle w:val="6"/>
              <w:spacing w:before="99" w:line="229" w:lineRule="auto"/>
              <w:ind w:left="350"/>
            </w:pPr>
            <w:r>
              <w:rPr>
                <w:b/>
                <w:bCs/>
                <w:spacing w:val="-2"/>
              </w:rPr>
              <w:t>铜</w:t>
            </w:r>
          </w:p>
        </w:tc>
        <w:tc>
          <w:tcPr>
            <w:tcW w:w="1006" w:type="dxa"/>
            <w:tcBorders>
              <w:top w:val="single" w:color="000000" w:sz="10" w:space="0"/>
            </w:tcBorders>
            <w:vAlign w:val="top"/>
          </w:tcPr>
          <w:p w14:paraId="26AACE02">
            <w:pPr>
              <w:pStyle w:val="6"/>
              <w:spacing w:before="99" w:line="228" w:lineRule="auto"/>
              <w:ind w:left="411"/>
            </w:pPr>
            <w:r>
              <w:rPr>
                <w:b/>
                <w:bCs/>
                <w:spacing w:val="-1"/>
              </w:rPr>
              <w:t>锌</w:t>
            </w:r>
          </w:p>
        </w:tc>
        <w:tc>
          <w:tcPr>
            <w:tcW w:w="1068" w:type="dxa"/>
            <w:tcBorders>
              <w:top w:val="single" w:color="000000" w:sz="10" w:space="0"/>
            </w:tcBorders>
            <w:vAlign w:val="top"/>
          </w:tcPr>
          <w:p w14:paraId="397647C8">
            <w:pPr>
              <w:pStyle w:val="6"/>
              <w:spacing w:before="99" w:line="228" w:lineRule="auto"/>
              <w:ind w:left="234"/>
            </w:pPr>
            <w:r>
              <w:rPr>
                <w:b/>
                <w:bCs/>
                <w:spacing w:val="5"/>
              </w:rPr>
              <w:t>氟化物</w:t>
            </w:r>
          </w:p>
        </w:tc>
        <w:tc>
          <w:tcPr>
            <w:tcW w:w="1021" w:type="dxa"/>
            <w:tcBorders>
              <w:top w:val="single" w:color="000000" w:sz="10" w:space="0"/>
              <w:right w:val="single" w:color="000000" w:sz="10" w:space="0"/>
            </w:tcBorders>
            <w:vAlign w:val="top"/>
          </w:tcPr>
          <w:p w14:paraId="7AA7FC1E">
            <w:pPr>
              <w:pStyle w:val="6"/>
              <w:spacing w:before="98" w:line="231" w:lineRule="auto"/>
              <w:ind w:left="414"/>
            </w:pPr>
            <w:r>
              <w:rPr>
                <w:b/>
                <w:bCs/>
              </w:rPr>
              <w:t>硒</w:t>
            </w:r>
          </w:p>
        </w:tc>
      </w:tr>
      <w:tr w14:paraId="6628B3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03" w:type="dxa"/>
            <w:tcBorders>
              <w:left w:val="single" w:color="000000" w:sz="10" w:space="0"/>
            </w:tcBorders>
            <w:vAlign w:val="top"/>
          </w:tcPr>
          <w:p w14:paraId="799BC282">
            <w:pPr>
              <w:spacing w:before="130"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2022-03</w:t>
            </w:r>
          </w:p>
        </w:tc>
        <w:tc>
          <w:tcPr>
            <w:tcW w:w="681" w:type="dxa"/>
            <w:vAlign w:val="top"/>
          </w:tcPr>
          <w:p w14:paraId="24D03A9D">
            <w:pPr>
              <w:spacing w:before="130"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67" w:type="dxa"/>
            <w:vAlign w:val="top"/>
          </w:tcPr>
          <w:p w14:paraId="08369DB1">
            <w:pPr>
              <w:spacing w:before="130"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10.1</w:t>
            </w:r>
          </w:p>
        </w:tc>
        <w:tc>
          <w:tcPr>
            <w:tcW w:w="1752" w:type="dxa"/>
            <w:vAlign w:val="top"/>
          </w:tcPr>
          <w:p w14:paraId="04C209D5">
            <w:pPr>
              <w:spacing w:before="130" w:line="195" w:lineRule="auto"/>
              <w:ind w:left="7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522" w:type="dxa"/>
            <w:vAlign w:val="top"/>
          </w:tcPr>
          <w:p w14:paraId="4AA338A4">
            <w:pPr>
              <w:spacing w:before="130" w:line="195" w:lineRule="auto"/>
              <w:ind w:left="6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689" w:type="dxa"/>
            <w:vAlign w:val="top"/>
          </w:tcPr>
          <w:p w14:paraId="67A12E94">
            <w:pPr>
              <w:spacing w:before="130"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1338" w:type="dxa"/>
            <w:vAlign w:val="top"/>
          </w:tcPr>
          <w:p w14:paraId="5F9D1083">
            <w:pPr>
              <w:spacing w:before="130"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886" w:type="dxa"/>
            <w:vAlign w:val="top"/>
          </w:tcPr>
          <w:p w14:paraId="380BB8BA">
            <w:pPr>
              <w:spacing w:before="130"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0.060</w:t>
            </w:r>
          </w:p>
        </w:tc>
        <w:tc>
          <w:tcPr>
            <w:tcW w:w="886" w:type="dxa"/>
            <w:vAlign w:val="top"/>
          </w:tcPr>
          <w:p w14:paraId="5B188CC7">
            <w:pPr>
              <w:spacing w:before="130"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1006" w:type="dxa"/>
            <w:vAlign w:val="top"/>
          </w:tcPr>
          <w:p w14:paraId="38CA5439">
            <w:pPr>
              <w:spacing w:before="130"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068" w:type="dxa"/>
            <w:vAlign w:val="top"/>
          </w:tcPr>
          <w:p w14:paraId="635606CC">
            <w:pPr>
              <w:spacing w:before="130"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0.106</w:t>
            </w:r>
          </w:p>
        </w:tc>
        <w:tc>
          <w:tcPr>
            <w:tcW w:w="1021" w:type="dxa"/>
            <w:tcBorders>
              <w:right w:val="single" w:color="000000" w:sz="10" w:space="0"/>
            </w:tcBorders>
            <w:vAlign w:val="top"/>
          </w:tcPr>
          <w:p w14:paraId="1907AC8D">
            <w:pPr>
              <w:spacing w:before="130"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5E711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03" w:type="dxa"/>
            <w:tcBorders>
              <w:left w:val="single" w:color="000000" w:sz="10" w:space="0"/>
            </w:tcBorders>
            <w:vAlign w:val="top"/>
          </w:tcPr>
          <w:p w14:paraId="1A60C0EB">
            <w:pPr>
              <w:spacing w:before="133"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2022-04</w:t>
            </w:r>
          </w:p>
        </w:tc>
        <w:tc>
          <w:tcPr>
            <w:tcW w:w="681" w:type="dxa"/>
            <w:vAlign w:val="top"/>
          </w:tcPr>
          <w:p w14:paraId="342B4998">
            <w:pPr>
              <w:spacing w:before="133"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67" w:type="dxa"/>
            <w:vAlign w:val="top"/>
          </w:tcPr>
          <w:p w14:paraId="794444FA">
            <w:pPr>
              <w:spacing w:before="133"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9.8</w:t>
            </w:r>
          </w:p>
        </w:tc>
        <w:tc>
          <w:tcPr>
            <w:tcW w:w="1752" w:type="dxa"/>
            <w:vAlign w:val="top"/>
          </w:tcPr>
          <w:p w14:paraId="5ACE6BFA">
            <w:pPr>
              <w:spacing w:before="133" w:line="195" w:lineRule="auto"/>
              <w:ind w:left="7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2.1</w:t>
            </w:r>
          </w:p>
        </w:tc>
        <w:tc>
          <w:tcPr>
            <w:tcW w:w="1522" w:type="dxa"/>
            <w:vAlign w:val="top"/>
          </w:tcPr>
          <w:p w14:paraId="691146BC">
            <w:pPr>
              <w:spacing w:before="133" w:line="195" w:lineRule="auto"/>
              <w:ind w:left="5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w:t>
            </w:r>
          </w:p>
        </w:tc>
        <w:tc>
          <w:tcPr>
            <w:tcW w:w="1689" w:type="dxa"/>
            <w:vAlign w:val="top"/>
          </w:tcPr>
          <w:p w14:paraId="65B44648">
            <w:pPr>
              <w:spacing w:before="133"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1338" w:type="dxa"/>
            <w:vAlign w:val="top"/>
          </w:tcPr>
          <w:p w14:paraId="0232C95A">
            <w:pPr>
              <w:spacing w:before="133"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886" w:type="dxa"/>
            <w:vAlign w:val="top"/>
          </w:tcPr>
          <w:p w14:paraId="28E4AD47">
            <w:pPr>
              <w:spacing w:before="133"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0.050</w:t>
            </w:r>
          </w:p>
        </w:tc>
        <w:tc>
          <w:tcPr>
            <w:tcW w:w="886" w:type="dxa"/>
            <w:vAlign w:val="top"/>
          </w:tcPr>
          <w:p w14:paraId="7C5904BE">
            <w:pPr>
              <w:spacing w:before="133"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1006" w:type="dxa"/>
            <w:vAlign w:val="top"/>
          </w:tcPr>
          <w:p w14:paraId="48E3694E">
            <w:pPr>
              <w:spacing w:before="133"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068" w:type="dxa"/>
            <w:vAlign w:val="top"/>
          </w:tcPr>
          <w:p w14:paraId="0A08A652">
            <w:pPr>
              <w:spacing w:before="133"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0.128</w:t>
            </w:r>
          </w:p>
        </w:tc>
        <w:tc>
          <w:tcPr>
            <w:tcW w:w="1021" w:type="dxa"/>
            <w:tcBorders>
              <w:right w:val="single" w:color="000000" w:sz="10" w:space="0"/>
            </w:tcBorders>
            <w:vAlign w:val="top"/>
          </w:tcPr>
          <w:p w14:paraId="5EF00D33">
            <w:pPr>
              <w:spacing w:before="133"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2A910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03" w:type="dxa"/>
            <w:tcBorders>
              <w:left w:val="single" w:color="000000" w:sz="10" w:space="0"/>
            </w:tcBorders>
            <w:vAlign w:val="top"/>
          </w:tcPr>
          <w:p w14:paraId="655D9810">
            <w:pPr>
              <w:spacing w:before="133"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2022-05</w:t>
            </w:r>
          </w:p>
        </w:tc>
        <w:tc>
          <w:tcPr>
            <w:tcW w:w="681" w:type="dxa"/>
            <w:vAlign w:val="top"/>
          </w:tcPr>
          <w:p w14:paraId="72E6B94D">
            <w:pPr>
              <w:spacing w:before="133"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67" w:type="dxa"/>
            <w:vAlign w:val="top"/>
          </w:tcPr>
          <w:p w14:paraId="61F75097">
            <w:pPr>
              <w:spacing w:before="133" w:line="195" w:lineRule="auto"/>
              <w:ind w:left="4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8.1</w:t>
            </w:r>
          </w:p>
        </w:tc>
        <w:tc>
          <w:tcPr>
            <w:tcW w:w="1752" w:type="dxa"/>
            <w:vAlign w:val="top"/>
          </w:tcPr>
          <w:p w14:paraId="489C840E">
            <w:pPr>
              <w:spacing w:before="133" w:line="195" w:lineRule="auto"/>
              <w:ind w:left="7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1522" w:type="dxa"/>
            <w:vAlign w:val="top"/>
          </w:tcPr>
          <w:p w14:paraId="06310759">
            <w:pPr>
              <w:spacing w:before="133" w:line="195" w:lineRule="auto"/>
              <w:ind w:left="5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13.0</w:t>
            </w:r>
          </w:p>
        </w:tc>
        <w:tc>
          <w:tcPr>
            <w:tcW w:w="1689" w:type="dxa"/>
            <w:vAlign w:val="top"/>
          </w:tcPr>
          <w:p w14:paraId="2EE15F9B">
            <w:pPr>
              <w:spacing w:before="133"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0.7</w:t>
            </w:r>
          </w:p>
        </w:tc>
        <w:tc>
          <w:tcPr>
            <w:tcW w:w="1338" w:type="dxa"/>
            <w:vAlign w:val="top"/>
          </w:tcPr>
          <w:p w14:paraId="7C9D423F">
            <w:pPr>
              <w:spacing w:before="133"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886" w:type="dxa"/>
            <w:vAlign w:val="top"/>
          </w:tcPr>
          <w:p w14:paraId="0C99557F">
            <w:pPr>
              <w:spacing w:before="133"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0.060</w:t>
            </w:r>
          </w:p>
        </w:tc>
        <w:tc>
          <w:tcPr>
            <w:tcW w:w="886" w:type="dxa"/>
            <w:vAlign w:val="top"/>
          </w:tcPr>
          <w:p w14:paraId="01E75B06">
            <w:pPr>
              <w:spacing w:before="133"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1006" w:type="dxa"/>
            <w:vAlign w:val="top"/>
          </w:tcPr>
          <w:p w14:paraId="6AE26886">
            <w:pPr>
              <w:spacing w:before="133"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068" w:type="dxa"/>
            <w:vAlign w:val="top"/>
          </w:tcPr>
          <w:p w14:paraId="1AF985E1">
            <w:pPr>
              <w:spacing w:before="133"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0.128</w:t>
            </w:r>
          </w:p>
        </w:tc>
        <w:tc>
          <w:tcPr>
            <w:tcW w:w="1021" w:type="dxa"/>
            <w:tcBorders>
              <w:right w:val="single" w:color="000000" w:sz="10" w:space="0"/>
            </w:tcBorders>
            <w:vAlign w:val="top"/>
          </w:tcPr>
          <w:p w14:paraId="20DC4948">
            <w:pPr>
              <w:spacing w:before="133"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790BB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03" w:type="dxa"/>
            <w:tcBorders>
              <w:left w:val="single" w:color="000000" w:sz="10" w:space="0"/>
            </w:tcBorders>
            <w:vAlign w:val="top"/>
          </w:tcPr>
          <w:p w14:paraId="14FCA11A">
            <w:pPr>
              <w:spacing w:before="135"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2022-06</w:t>
            </w:r>
          </w:p>
        </w:tc>
        <w:tc>
          <w:tcPr>
            <w:tcW w:w="681" w:type="dxa"/>
            <w:vAlign w:val="top"/>
          </w:tcPr>
          <w:p w14:paraId="578EA36C">
            <w:pPr>
              <w:spacing w:before="135"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67" w:type="dxa"/>
            <w:vAlign w:val="top"/>
          </w:tcPr>
          <w:p w14:paraId="5FF9D938">
            <w:pPr>
              <w:spacing w:before="135" w:line="195" w:lineRule="auto"/>
              <w:ind w:left="4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8.1</w:t>
            </w:r>
          </w:p>
        </w:tc>
        <w:tc>
          <w:tcPr>
            <w:tcW w:w="1752" w:type="dxa"/>
            <w:vAlign w:val="top"/>
          </w:tcPr>
          <w:p w14:paraId="46C35BA7">
            <w:pPr>
              <w:spacing w:before="135" w:line="195" w:lineRule="auto"/>
              <w:ind w:left="7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1522" w:type="dxa"/>
            <w:vAlign w:val="top"/>
          </w:tcPr>
          <w:p w14:paraId="439E370C">
            <w:pPr>
              <w:spacing w:before="135" w:line="195" w:lineRule="auto"/>
              <w:ind w:left="63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6.0</w:t>
            </w:r>
          </w:p>
        </w:tc>
        <w:tc>
          <w:tcPr>
            <w:tcW w:w="1689" w:type="dxa"/>
            <w:vAlign w:val="top"/>
          </w:tcPr>
          <w:p w14:paraId="7281FB49">
            <w:pPr>
              <w:spacing w:before="135"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0.7</w:t>
            </w:r>
          </w:p>
        </w:tc>
        <w:tc>
          <w:tcPr>
            <w:tcW w:w="1338" w:type="dxa"/>
            <w:vAlign w:val="top"/>
          </w:tcPr>
          <w:p w14:paraId="6C59EFCF">
            <w:pPr>
              <w:spacing w:before="135"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886" w:type="dxa"/>
            <w:vAlign w:val="top"/>
          </w:tcPr>
          <w:p w14:paraId="187D0E4B">
            <w:pPr>
              <w:spacing w:before="135"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0.040</w:t>
            </w:r>
          </w:p>
        </w:tc>
        <w:tc>
          <w:tcPr>
            <w:tcW w:w="886" w:type="dxa"/>
            <w:vAlign w:val="top"/>
          </w:tcPr>
          <w:p w14:paraId="0C09EB1D">
            <w:pPr>
              <w:spacing w:before="135"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1006" w:type="dxa"/>
            <w:vAlign w:val="top"/>
          </w:tcPr>
          <w:p w14:paraId="0EEF9DB8">
            <w:pPr>
              <w:spacing w:before="135"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068" w:type="dxa"/>
            <w:vAlign w:val="top"/>
          </w:tcPr>
          <w:p w14:paraId="1204EBC3">
            <w:pPr>
              <w:spacing w:before="135"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0.128</w:t>
            </w:r>
          </w:p>
        </w:tc>
        <w:tc>
          <w:tcPr>
            <w:tcW w:w="1021" w:type="dxa"/>
            <w:tcBorders>
              <w:right w:val="single" w:color="000000" w:sz="10" w:space="0"/>
            </w:tcBorders>
            <w:vAlign w:val="top"/>
          </w:tcPr>
          <w:p w14:paraId="0014F652">
            <w:pPr>
              <w:spacing w:before="135"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3A2E9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03" w:type="dxa"/>
            <w:tcBorders>
              <w:left w:val="single" w:color="000000" w:sz="10" w:space="0"/>
            </w:tcBorders>
            <w:vAlign w:val="top"/>
          </w:tcPr>
          <w:p w14:paraId="34FA61E5">
            <w:pPr>
              <w:spacing w:before="136"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2022-07</w:t>
            </w:r>
          </w:p>
        </w:tc>
        <w:tc>
          <w:tcPr>
            <w:tcW w:w="681" w:type="dxa"/>
            <w:vAlign w:val="top"/>
          </w:tcPr>
          <w:p w14:paraId="2A98AC7D">
            <w:pPr>
              <w:spacing w:before="136"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67" w:type="dxa"/>
            <w:vAlign w:val="top"/>
          </w:tcPr>
          <w:p w14:paraId="62E84FF0">
            <w:pPr>
              <w:spacing w:before="136"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6.6</w:t>
            </w:r>
          </w:p>
        </w:tc>
        <w:tc>
          <w:tcPr>
            <w:tcW w:w="1752" w:type="dxa"/>
            <w:vAlign w:val="top"/>
          </w:tcPr>
          <w:p w14:paraId="03EE3D32">
            <w:pPr>
              <w:spacing w:before="136" w:line="195" w:lineRule="auto"/>
              <w:ind w:left="7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522" w:type="dxa"/>
            <w:vAlign w:val="top"/>
          </w:tcPr>
          <w:p w14:paraId="476278FA">
            <w:pPr>
              <w:spacing w:before="136" w:line="195" w:lineRule="auto"/>
              <w:ind w:left="5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w:t>
            </w:r>
          </w:p>
        </w:tc>
        <w:tc>
          <w:tcPr>
            <w:tcW w:w="1689" w:type="dxa"/>
            <w:vAlign w:val="top"/>
          </w:tcPr>
          <w:p w14:paraId="3E679EA1">
            <w:pPr>
              <w:spacing w:before="136" w:line="195" w:lineRule="auto"/>
              <w:ind w:left="73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1338" w:type="dxa"/>
            <w:vAlign w:val="top"/>
          </w:tcPr>
          <w:p w14:paraId="22BF05CE">
            <w:pPr>
              <w:spacing w:before="136"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0.13</w:t>
            </w:r>
          </w:p>
        </w:tc>
        <w:tc>
          <w:tcPr>
            <w:tcW w:w="886" w:type="dxa"/>
            <w:vAlign w:val="top"/>
          </w:tcPr>
          <w:p w14:paraId="763764A3">
            <w:pPr>
              <w:spacing w:before="136"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0.040</w:t>
            </w:r>
          </w:p>
        </w:tc>
        <w:tc>
          <w:tcPr>
            <w:tcW w:w="886" w:type="dxa"/>
            <w:vAlign w:val="top"/>
          </w:tcPr>
          <w:p w14:paraId="516A1474">
            <w:pPr>
              <w:spacing w:before="136"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1006" w:type="dxa"/>
            <w:vAlign w:val="top"/>
          </w:tcPr>
          <w:p w14:paraId="1886D0DB">
            <w:pPr>
              <w:spacing w:before="136"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068" w:type="dxa"/>
            <w:vAlign w:val="top"/>
          </w:tcPr>
          <w:p w14:paraId="4A3640DA">
            <w:pPr>
              <w:spacing w:before="136"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0.128</w:t>
            </w:r>
          </w:p>
        </w:tc>
        <w:tc>
          <w:tcPr>
            <w:tcW w:w="1021" w:type="dxa"/>
            <w:tcBorders>
              <w:right w:val="single" w:color="000000" w:sz="10" w:space="0"/>
            </w:tcBorders>
            <w:vAlign w:val="top"/>
          </w:tcPr>
          <w:p w14:paraId="7AB51D77">
            <w:pPr>
              <w:spacing w:before="136"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29C1D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03" w:type="dxa"/>
            <w:tcBorders>
              <w:left w:val="single" w:color="000000" w:sz="10" w:space="0"/>
            </w:tcBorders>
            <w:vAlign w:val="top"/>
          </w:tcPr>
          <w:p w14:paraId="3BE704F0">
            <w:pPr>
              <w:spacing w:before="138"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2022-08</w:t>
            </w:r>
          </w:p>
        </w:tc>
        <w:tc>
          <w:tcPr>
            <w:tcW w:w="681" w:type="dxa"/>
            <w:vAlign w:val="top"/>
          </w:tcPr>
          <w:p w14:paraId="0BC6397A">
            <w:pPr>
              <w:spacing w:before="138" w:line="195" w:lineRule="auto"/>
              <w:ind w:left="282"/>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067" w:type="dxa"/>
            <w:vAlign w:val="top"/>
          </w:tcPr>
          <w:p w14:paraId="5E48CD3B">
            <w:pPr>
              <w:spacing w:before="138" w:line="195" w:lineRule="auto"/>
              <w:ind w:left="398"/>
              <w:rPr>
                <w:rFonts w:ascii="Times New Roman" w:hAnsi="Times New Roman" w:eastAsia="Times New Roman" w:cs="Times New Roman"/>
                <w:sz w:val="20"/>
                <w:szCs w:val="20"/>
              </w:rPr>
            </w:pPr>
            <w:r>
              <w:rPr>
                <w:rFonts w:ascii="Times New Roman" w:hAnsi="Times New Roman" w:eastAsia="Times New Roman" w:cs="Times New Roman"/>
                <w:sz w:val="20"/>
                <w:szCs w:val="20"/>
              </w:rPr>
              <w:t>7.1</w:t>
            </w:r>
          </w:p>
        </w:tc>
        <w:tc>
          <w:tcPr>
            <w:tcW w:w="1752" w:type="dxa"/>
            <w:vAlign w:val="top"/>
          </w:tcPr>
          <w:p w14:paraId="5F858C3E">
            <w:pPr>
              <w:spacing w:before="138" w:line="195" w:lineRule="auto"/>
              <w:ind w:left="7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p>
        </w:tc>
        <w:tc>
          <w:tcPr>
            <w:tcW w:w="1522" w:type="dxa"/>
            <w:vAlign w:val="top"/>
          </w:tcPr>
          <w:p w14:paraId="000E0ADC">
            <w:pPr>
              <w:spacing w:before="138" w:line="195" w:lineRule="auto"/>
              <w:ind w:left="63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9.0</w:t>
            </w:r>
          </w:p>
        </w:tc>
        <w:tc>
          <w:tcPr>
            <w:tcW w:w="1689" w:type="dxa"/>
            <w:vAlign w:val="top"/>
          </w:tcPr>
          <w:p w14:paraId="7B2201FC">
            <w:pPr>
              <w:spacing w:before="138"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1338" w:type="dxa"/>
            <w:vAlign w:val="top"/>
          </w:tcPr>
          <w:p w14:paraId="1E73FE73">
            <w:pPr>
              <w:spacing w:before="138"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0.18</w:t>
            </w:r>
          </w:p>
        </w:tc>
        <w:tc>
          <w:tcPr>
            <w:tcW w:w="886" w:type="dxa"/>
            <w:vAlign w:val="top"/>
          </w:tcPr>
          <w:p w14:paraId="450B1F86">
            <w:pPr>
              <w:spacing w:before="138"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0.030</w:t>
            </w:r>
          </w:p>
        </w:tc>
        <w:tc>
          <w:tcPr>
            <w:tcW w:w="886" w:type="dxa"/>
            <w:vAlign w:val="top"/>
          </w:tcPr>
          <w:p w14:paraId="403EF9F7">
            <w:pPr>
              <w:spacing w:before="138"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1006" w:type="dxa"/>
            <w:vAlign w:val="top"/>
          </w:tcPr>
          <w:p w14:paraId="269F60CB">
            <w:pPr>
              <w:spacing w:before="138"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068" w:type="dxa"/>
            <w:vAlign w:val="top"/>
          </w:tcPr>
          <w:p w14:paraId="1D32E0F8">
            <w:pPr>
              <w:spacing w:before="138"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0.138</w:t>
            </w:r>
          </w:p>
        </w:tc>
        <w:tc>
          <w:tcPr>
            <w:tcW w:w="1021" w:type="dxa"/>
            <w:tcBorders>
              <w:right w:val="single" w:color="000000" w:sz="10" w:space="0"/>
            </w:tcBorders>
            <w:vAlign w:val="top"/>
          </w:tcPr>
          <w:p w14:paraId="5878653A">
            <w:pPr>
              <w:spacing w:before="138"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206F8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03" w:type="dxa"/>
            <w:tcBorders>
              <w:left w:val="single" w:color="000000" w:sz="10" w:space="0"/>
            </w:tcBorders>
            <w:vAlign w:val="top"/>
          </w:tcPr>
          <w:p w14:paraId="2C5EF23A">
            <w:pPr>
              <w:spacing w:before="141"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2022-09</w:t>
            </w:r>
          </w:p>
        </w:tc>
        <w:tc>
          <w:tcPr>
            <w:tcW w:w="681" w:type="dxa"/>
            <w:vAlign w:val="top"/>
          </w:tcPr>
          <w:p w14:paraId="3FE65D84">
            <w:pPr>
              <w:spacing w:before="141"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67" w:type="dxa"/>
            <w:vAlign w:val="top"/>
          </w:tcPr>
          <w:p w14:paraId="19750725">
            <w:pPr>
              <w:spacing w:before="141"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9.0</w:t>
            </w:r>
          </w:p>
        </w:tc>
        <w:tc>
          <w:tcPr>
            <w:tcW w:w="1752" w:type="dxa"/>
            <w:vAlign w:val="top"/>
          </w:tcPr>
          <w:p w14:paraId="7EA66E53">
            <w:pPr>
              <w:spacing w:before="141" w:line="195" w:lineRule="auto"/>
              <w:ind w:left="7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2.1</w:t>
            </w:r>
          </w:p>
        </w:tc>
        <w:tc>
          <w:tcPr>
            <w:tcW w:w="1522" w:type="dxa"/>
            <w:vAlign w:val="top"/>
          </w:tcPr>
          <w:p w14:paraId="0371C1C2">
            <w:pPr>
              <w:spacing w:before="141" w:line="195" w:lineRule="auto"/>
              <w:ind w:left="5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12.0</w:t>
            </w:r>
          </w:p>
        </w:tc>
        <w:tc>
          <w:tcPr>
            <w:tcW w:w="1689" w:type="dxa"/>
            <w:vAlign w:val="top"/>
          </w:tcPr>
          <w:p w14:paraId="1E3B3E5D">
            <w:pPr>
              <w:spacing w:before="141" w:line="195" w:lineRule="auto"/>
              <w:ind w:left="73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1338" w:type="dxa"/>
            <w:vAlign w:val="top"/>
          </w:tcPr>
          <w:p w14:paraId="746E87E8">
            <w:pPr>
              <w:spacing w:before="141"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w:t>
            </w:r>
          </w:p>
        </w:tc>
        <w:tc>
          <w:tcPr>
            <w:tcW w:w="886" w:type="dxa"/>
            <w:vAlign w:val="top"/>
          </w:tcPr>
          <w:p w14:paraId="701D074E">
            <w:pPr>
              <w:spacing w:before="141"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886" w:type="dxa"/>
            <w:vAlign w:val="top"/>
          </w:tcPr>
          <w:p w14:paraId="2084F1F8">
            <w:pPr>
              <w:spacing w:before="141"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1006" w:type="dxa"/>
            <w:vAlign w:val="top"/>
          </w:tcPr>
          <w:p w14:paraId="21E23814">
            <w:pPr>
              <w:spacing w:before="141"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068" w:type="dxa"/>
            <w:vAlign w:val="top"/>
          </w:tcPr>
          <w:p w14:paraId="67E9BDD7">
            <w:pPr>
              <w:spacing w:before="141"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0.138</w:t>
            </w:r>
          </w:p>
        </w:tc>
        <w:tc>
          <w:tcPr>
            <w:tcW w:w="1021" w:type="dxa"/>
            <w:tcBorders>
              <w:right w:val="single" w:color="000000" w:sz="10" w:space="0"/>
            </w:tcBorders>
            <w:vAlign w:val="top"/>
          </w:tcPr>
          <w:p w14:paraId="002ECDCB">
            <w:pPr>
              <w:spacing w:before="141"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320675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03" w:type="dxa"/>
            <w:tcBorders>
              <w:left w:val="single" w:color="000000" w:sz="10" w:space="0"/>
            </w:tcBorders>
            <w:vAlign w:val="top"/>
          </w:tcPr>
          <w:p w14:paraId="21FFB616">
            <w:pPr>
              <w:spacing w:before="140"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2022-10</w:t>
            </w:r>
          </w:p>
        </w:tc>
        <w:tc>
          <w:tcPr>
            <w:tcW w:w="681" w:type="dxa"/>
            <w:vAlign w:val="top"/>
          </w:tcPr>
          <w:p w14:paraId="390E57BF">
            <w:pPr>
              <w:spacing w:before="143" w:line="192" w:lineRule="auto"/>
              <w:ind w:left="28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067" w:type="dxa"/>
            <w:vAlign w:val="top"/>
          </w:tcPr>
          <w:p w14:paraId="5596EDC1">
            <w:pPr>
              <w:spacing w:before="140"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6.2</w:t>
            </w:r>
          </w:p>
        </w:tc>
        <w:tc>
          <w:tcPr>
            <w:tcW w:w="1752" w:type="dxa"/>
            <w:vAlign w:val="top"/>
          </w:tcPr>
          <w:p w14:paraId="7D0A7AF7">
            <w:pPr>
              <w:spacing w:before="140" w:line="195" w:lineRule="auto"/>
              <w:ind w:left="7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p>
        </w:tc>
        <w:tc>
          <w:tcPr>
            <w:tcW w:w="1522" w:type="dxa"/>
            <w:vAlign w:val="top"/>
          </w:tcPr>
          <w:p w14:paraId="4505C828">
            <w:pPr>
              <w:spacing w:before="140" w:line="195" w:lineRule="auto"/>
              <w:ind w:left="5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w:t>
            </w:r>
          </w:p>
        </w:tc>
        <w:tc>
          <w:tcPr>
            <w:tcW w:w="1689" w:type="dxa"/>
            <w:vAlign w:val="top"/>
          </w:tcPr>
          <w:p w14:paraId="21A1CE70">
            <w:pPr>
              <w:spacing w:before="140" w:line="195" w:lineRule="auto"/>
              <w:ind w:left="73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338" w:type="dxa"/>
            <w:vAlign w:val="top"/>
          </w:tcPr>
          <w:p w14:paraId="16CD5189">
            <w:pPr>
              <w:spacing w:before="140"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0.16</w:t>
            </w:r>
          </w:p>
        </w:tc>
        <w:tc>
          <w:tcPr>
            <w:tcW w:w="886" w:type="dxa"/>
            <w:vAlign w:val="top"/>
          </w:tcPr>
          <w:p w14:paraId="76E5BDFF">
            <w:pPr>
              <w:spacing w:before="140"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0.030</w:t>
            </w:r>
          </w:p>
        </w:tc>
        <w:tc>
          <w:tcPr>
            <w:tcW w:w="886" w:type="dxa"/>
            <w:vAlign w:val="top"/>
          </w:tcPr>
          <w:p w14:paraId="29032812">
            <w:pPr>
              <w:spacing w:before="140"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1006" w:type="dxa"/>
            <w:vAlign w:val="top"/>
          </w:tcPr>
          <w:p w14:paraId="7921E078">
            <w:pPr>
              <w:spacing w:before="140"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068" w:type="dxa"/>
            <w:vAlign w:val="top"/>
          </w:tcPr>
          <w:p w14:paraId="1B098011">
            <w:pPr>
              <w:spacing w:before="140"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0.138</w:t>
            </w:r>
          </w:p>
        </w:tc>
        <w:tc>
          <w:tcPr>
            <w:tcW w:w="1021" w:type="dxa"/>
            <w:tcBorders>
              <w:right w:val="single" w:color="000000" w:sz="10" w:space="0"/>
            </w:tcBorders>
            <w:vAlign w:val="top"/>
          </w:tcPr>
          <w:p w14:paraId="3EB2CB2C">
            <w:pPr>
              <w:spacing w:before="140"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152E01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03" w:type="dxa"/>
            <w:tcBorders>
              <w:left w:val="single" w:color="000000" w:sz="10" w:space="0"/>
            </w:tcBorders>
            <w:vAlign w:val="top"/>
          </w:tcPr>
          <w:p w14:paraId="64FB8DF5">
            <w:pPr>
              <w:spacing w:before="142"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2022-11</w:t>
            </w:r>
          </w:p>
        </w:tc>
        <w:tc>
          <w:tcPr>
            <w:tcW w:w="681" w:type="dxa"/>
            <w:vAlign w:val="top"/>
          </w:tcPr>
          <w:p w14:paraId="02B97C51">
            <w:pPr>
              <w:spacing w:before="142"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67" w:type="dxa"/>
            <w:vAlign w:val="top"/>
          </w:tcPr>
          <w:p w14:paraId="5389A57F">
            <w:pPr>
              <w:spacing w:before="142" w:line="195" w:lineRule="auto"/>
              <w:ind w:left="403"/>
              <w:rPr>
                <w:rFonts w:ascii="Times New Roman" w:hAnsi="Times New Roman" w:eastAsia="Times New Roman" w:cs="Times New Roman"/>
                <w:sz w:val="20"/>
                <w:szCs w:val="20"/>
              </w:rPr>
            </w:pPr>
            <w:r>
              <w:rPr>
                <w:rFonts w:ascii="Times New Roman" w:hAnsi="Times New Roman" w:eastAsia="Times New Roman" w:cs="Times New Roman"/>
                <w:sz w:val="20"/>
                <w:szCs w:val="20"/>
              </w:rPr>
              <w:t>8.2</w:t>
            </w:r>
          </w:p>
        </w:tc>
        <w:tc>
          <w:tcPr>
            <w:tcW w:w="1752" w:type="dxa"/>
            <w:vAlign w:val="top"/>
          </w:tcPr>
          <w:p w14:paraId="6BAB7955">
            <w:pPr>
              <w:spacing w:before="142" w:line="195" w:lineRule="auto"/>
              <w:ind w:left="7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p>
        </w:tc>
        <w:tc>
          <w:tcPr>
            <w:tcW w:w="1522" w:type="dxa"/>
            <w:vAlign w:val="top"/>
          </w:tcPr>
          <w:p w14:paraId="3584B20F">
            <w:pPr>
              <w:spacing w:before="142" w:line="195" w:lineRule="auto"/>
              <w:ind w:left="63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9.0</w:t>
            </w:r>
          </w:p>
        </w:tc>
        <w:tc>
          <w:tcPr>
            <w:tcW w:w="1689" w:type="dxa"/>
            <w:vAlign w:val="top"/>
          </w:tcPr>
          <w:p w14:paraId="5769C7A9">
            <w:pPr>
              <w:spacing w:before="142"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0.9</w:t>
            </w:r>
          </w:p>
        </w:tc>
        <w:tc>
          <w:tcPr>
            <w:tcW w:w="1338" w:type="dxa"/>
            <w:vAlign w:val="top"/>
          </w:tcPr>
          <w:p w14:paraId="2F9812CE">
            <w:pPr>
              <w:spacing w:before="142"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0.13</w:t>
            </w:r>
          </w:p>
        </w:tc>
        <w:tc>
          <w:tcPr>
            <w:tcW w:w="886" w:type="dxa"/>
            <w:vAlign w:val="top"/>
          </w:tcPr>
          <w:p w14:paraId="5FD950B9">
            <w:pPr>
              <w:spacing w:before="142"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0.040</w:t>
            </w:r>
          </w:p>
        </w:tc>
        <w:tc>
          <w:tcPr>
            <w:tcW w:w="886" w:type="dxa"/>
            <w:vAlign w:val="top"/>
          </w:tcPr>
          <w:p w14:paraId="36D152B1">
            <w:pPr>
              <w:spacing w:before="142"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0.300</w:t>
            </w:r>
          </w:p>
        </w:tc>
        <w:tc>
          <w:tcPr>
            <w:tcW w:w="1006" w:type="dxa"/>
            <w:vAlign w:val="top"/>
          </w:tcPr>
          <w:p w14:paraId="71FC3250">
            <w:pPr>
              <w:spacing w:before="142"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068" w:type="dxa"/>
            <w:vAlign w:val="top"/>
          </w:tcPr>
          <w:p w14:paraId="724D0C5A">
            <w:pPr>
              <w:spacing w:before="142"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0.138</w:t>
            </w:r>
          </w:p>
        </w:tc>
        <w:tc>
          <w:tcPr>
            <w:tcW w:w="1021" w:type="dxa"/>
            <w:tcBorders>
              <w:right w:val="single" w:color="000000" w:sz="10" w:space="0"/>
            </w:tcBorders>
            <w:vAlign w:val="top"/>
          </w:tcPr>
          <w:p w14:paraId="5AAF390D">
            <w:pPr>
              <w:spacing w:before="142"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6E9C5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03" w:type="dxa"/>
            <w:tcBorders>
              <w:left w:val="single" w:color="000000" w:sz="10" w:space="0"/>
            </w:tcBorders>
            <w:vAlign w:val="top"/>
          </w:tcPr>
          <w:p w14:paraId="003E33C0">
            <w:pPr>
              <w:spacing w:before="142"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2022-12</w:t>
            </w:r>
          </w:p>
        </w:tc>
        <w:tc>
          <w:tcPr>
            <w:tcW w:w="681" w:type="dxa"/>
            <w:vAlign w:val="top"/>
          </w:tcPr>
          <w:p w14:paraId="10FD2DC8">
            <w:pPr>
              <w:spacing w:before="142"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67" w:type="dxa"/>
            <w:vAlign w:val="top"/>
          </w:tcPr>
          <w:p w14:paraId="7CD7A39F">
            <w:pPr>
              <w:spacing w:before="142"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10.2</w:t>
            </w:r>
          </w:p>
        </w:tc>
        <w:tc>
          <w:tcPr>
            <w:tcW w:w="1752" w:type="dxa"/>
            <w:vAlign w:val="top"/>
          </w:tcPr>
          <w:p w14:paraId="78DCA4DB">
            <w:pPr>
              <w:spacing w:before="142" w:line="195" w:lineRule="auto"/>
              <w:ind w:left="7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522" w:type="dxa"/>
            <w:vAlign w:val="top"/>
          </w:tcPr>
          <w:p w14:paraId="71C8826F">
            <w:pPr>
              <w:spacing w:before="142" w:line="195" w:lineRule="auto"/>
              <w:ind w:left="6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689" w:type="dxa"/>
            <w:vAlign w:val="top"/>
          </w:tcPr>
          <w:p w14:paraId="364FA3B2">
            <w:pPr>
              <w:spacing w:before="142"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1338" w:type="dxa"/>
            <w:vAlign w:val="top"/>
          </w:tcPr>
          <w:p w14:paraId="30B65AD6">
            <w:pPr>
              <w:spacing w:before="142"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0.13</w:t>
            </w:r>
          </w:p>
        </w:tc>
        <w:tc>
          <w:tcPr>
            <w:tcW w:w="886" w:type="dxa"/>
            <w:vAlign w:val="top"/>
          </w:tcPr>
          <w:p w14:paraId="5C796DCC">
            <w:pPr>
              <w:spacing w:before="142"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886" w:type="dxa"/>
            <w:vAlign w:val="top"/>
          </w:tcPr>
          <w:p w14:paraId="71691C6C">
            <w:pPr>
              <w:spacing w:before="142"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1006" w:type="dxa"/>
            <w:vAlign w:val="top"/>
          </w:tcPr>
          <w:p w14:paraId="289F2C99">
            <w:pPr>
              <w:spacing w:before="142"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068" w:type="dxa"/>
            <w:vAlign w:val="top"/>
          </w:tcPr>
          <w:p w14:paraId="343E4EBA">
            <w:pPr>
              <w:spacing w:before="142"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0.114</w:t>
            </w:r>
          </w:p>
        </w:tc>
        <w:tc>
          <w:tcPr>
            <w:tcW w:w="1021" w:type="dxa"/>
            <w:tcBorders>
              <w:right w:val="single" w:color="000000" w:sz="10" w:space="0"/>
            </w:tcBorders>
            <w:vAlign w:val="top"/>
          </w:tcPr>
          <w:p w14:paraId="47E009D5">
            <w:pPr>
              <w:spacing w:before="142"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68909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03" w:type="dxa"/>
            <w:tcBorders>
              <w:left w:val="single" w:color="000000" w:sz="10" w:space="0"/>
            </w:tcBorders>
            <w:vAlign w:val="top"/>
          </w:tcPr>
          <w:p w14:paraId="1BB24824">
            <w:pPr>
              <w:spacing w:before="144"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2023-01</w:t>
            </w:r>
          </w:p>
        </w:tc>
        <w:tc>
          <w:tcPr>
            <w:tcW w:w="681" w:type="dxa"/>
            <w:vAlign w:val="top"/>
          </w:tcPr>
          <w:p w14:paraId="00B833FF">
            <w:pPr>
              <w:spacing w:before="147" w:line="192" w:lineRule="auto"/>
              <w:ind w:left="28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067" w:type="dxa"/>
            <w:vAlign w:val="top"/>
          </w:tcPr>
          <w:p w14:paraId="6CAF4F07">
            <w:pPr>
              <w:spacing w:before="144"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10.2</w:t>
            </w:r>
          </w:p>
        </w:tc>
        <w:tc>
          <w:tcPr>
            <w:tcW w:w="1752" w:type="dxa"/>
            <w:vAlign w:val="top"/>
          </w:tcPr>
          <w:p w14:paraId="1D4C0EE1">
            <w:pPr>
              <w:spacing w:before="144" w:line="195" w:lineRule="auto"/>
              <w:ind w:left="7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522" w:type="dxa"/>
            <w:vAlign w:val="top"/>
          </w:tcPr>
          <w:p w14:paraId="4FB5CE1E">
            <w:pPr>
              <w:spacing w:before="144" w:line="195" w:lineRule="auto"/>
              <w:ind w:left="6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689" w:type="dxa"/>
            <w:vAlign w:val="top"/>
          </w:tcPr>
          <w:p w14:paraId="621658E3">
            <w:pPr>
              <w:spacing w:before="144"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0.7</w:t>
            </w:r>
          </w:p>
        </w:tc>
        <w:tc>
          <w:tcPr>
            <w:tcW w:w="1338" w:type="dxa"/>
            <w:vAlign w:val="top"/>
          </w:tcPr>
          <w:p w14:paraId="2B6BEF5F">
            <w:pPr>
              <w:spacing w:before="144"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c>
          <w:tcPr>
            <w:tcW w:w="886" w:type="dxa"/>
            <w:vAlign w:val="top"/>
          </w:tcPr>
          <w:p w14:paraId="7B080834">
            <w:pPr>
              <w:spacing w:before="144"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0.020</w:t>
            </w:r>
          </w:p>
        </w:tc>
        <w:tc>
          <w:tcPr>
            <w:tcW w:w="886" w:type="dxa"/>
            <w:vAlign w:val="top"/>
          </w:tcPr>
          <w:p w14:paraId="45D202CC">
            <w:pPr>
              <w:spacing w:before="144"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1006" w:type="dxa"/>
            <w:vAlign w:val="top"/>
          </w:tcPr>
          <w:p w14:paraId="720D5202">
            <w:pPr>
              <w:spacing w:before="144"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068" w:type="dxa"/>
            <w:vAlign w:val="top"/>
          </w:tcPr>
          <w:p w14:paraId="4C52E4EC">
            <w:pPr>
              <w:spacing w:before="144"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0.114</w:t>
            </w:r>
          </w:p>
        </w:tc>
        <w:tc>
          <w:tcPr>
            <w:tcW w:w="1021" w:type="dxa"/>
            <w:tcBorders>
              <w:right w:val="single" w:color="000000" w:sz="10" w:space="0"/>
            </w:tcBorders>
            <w:vAlign w:val="top"/>
          </w:tcPr>
          <w:p w14:paraId="50B3DE16">
            <w:pPr>
              <w:spacing w:before="144"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6F3292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03" w:type="dxa"/>
            <w:tcBorders>
              <w:left w:val="single" w:color="000000" w:sz="10" w:space="0"/>
            </w:tcBorders>
            <w:vAlign w:val="top"/>
          </w:tcPr>
          <w:p w14:paraId="3B86D222">
            <w:pPr>
              <w:spacing w:before="147"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2023-02</w:t>
            </w:r>
          </w:p>
        </w:tc>
        <w:tc>
          <w:tcPr>
            <w:tcW w:w="681" w:type="dxa"/>
            <w:vAlign w:val="top"/>
          </w:tcPr>
          <w:p w14:paraId="182C5868">
            <w:pPr>
              <w:spacing w:before="147"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67" w:type="dxa"/>
            <w:vAlign w:val="top"/>
          </w:tcPr>
          <w:p w14:paraId="2B93FEC1">
            <w:pPr>
              <w:spacing w:before="147"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10.5</w:t>
            </w:r>
          </w:p>
        </w:tc>
        <w:tc>
          <w:tcPr>
            <w:tcW w:w="1752" w:type="dxa"/>
            <w:vAlign w:val="top"/>
          </w:tcPr>
          <w:p w14:paraId="19B8F361">
            <w:pPr>
              <w:spacing w:before="147" w:line="195" w:lineRule="auto"/>
              <w:ind w:left="7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1522" w:type="dxa"/>
            <w:vAlign w:val="top"/>
          </w:tcPr>
          <w:p w14:paraId="508D804C">
            <w:pPr>
              <w:spacing w:before="147" w:line="195" w:lineRule="auto"/>
              <w:ind w:left="5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14.0</w:t>
            </w:r>
          </w:p>
        </w:tc>
        <w:tc>
          <w:tcPr>
            <w:tcW w:w="1689" w:type="dxa"/>
            <w:vAlign w:val="top"/>
          </w:tcPr>
          <w:p w14:paraId="6949A5E9">
            <w:pPr>
              <w:spacing w:before="147" w:line="195" w:lineRule="auto"/>
              <w:ind w:left="73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338" w:type="dxa"/>
            <w:vAlign w:val="top"/>
          </w:tcPr>
          <w:p w14:paraId="3B72DBD7">
            <w:pPr>
              <w:spacing w:before="147"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0.84</w:t>
            </w:r>
          </w:p>
        </w:tc>
        <w:tc>
          <w:tcPr>
            <w:tcW w:w="886" w:type="dxa"/>
            <w:vAlign w:val="top"/>
          </w:tcPr>
          <w:p w14:paraId="31264929">
            <w:pPr>
              <w:spacing w:before="147"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886" w:type="dxa"/>
            <w:vAlign w:val="top"/>
          </w:tcPr>
          <w:p w14:paraId="7DA9E28D">
            <w:pPr>
              <w:spacing w:before="147"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1006" w:type="dxa"/>
            <w:vAlign w:val="top"/>
          </w:tcPr>
          <w:p w14:paraId="028BF0E6">
            <w:pPr>
              <w:spacing w:before="147"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068" w:type="dxa"/>
            <w:vAlign w:val="top"/>
          </w:tcPr>
          <w:p w14:paraId="1715E9FA">
            <w:pPr>
              <w:spacing w:before="147"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0.130</w:t>
            </w:r>
          </w:p>
        </w:tc>
        <w:tc>
          <w:tcPr>
            <w:tcW w:w="1021" w:type="dxa"/>
            <w:tcBorders>
              <w:right w:val="single" w:color="000000" w:sz="10" w:space="0"/>
            </w:tcBorders>
            <w:vAlign w:val="top"/>
          </w:tcPr>
          <w:p w14:paraId="3382E9EB">
            <w:pPr>
              <w:spacing w:before="147"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4A81C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03" w:type="dxa"/>
            <w:tcBorders>
              <w:left w:val="single" w:color="000000" w:sz="10" w:space="0"/>
            </w:tcBorders>
            <w:vAlign w:val="top"/>
          </w:tcPr>
          <w:p w14:paraId="4B022B20">
            <w:pPr>
              <w:spacing w:before="146"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2023-03</w:t>
            </w:r>
          </w:p>
        </w:tc>
        <w:tc>
          <w:tcPr>
            <w:tcW w:w="681" w:type="dxa"/>
            <w:vAlign w:val="top"/>
          </w:tcPr>
          <w:p w14:paraId="06BEB561">
            <w:pPr>
              <w:spacing w:before="146"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67" w:type="dxa"/>
            <w:vAlign w:val="top"/>
          </w:tcPr>
          <w:p w14:paraId="64664CF6">
            <w:pPr>
              <w:spacing w:before="146"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10.1</w:t>
            </w:r>
          </w:p>
        </w:tc>
        <w:tc>
          <w:tcPr>
            <w:tcW w:w="1752" w:type="dxa"/>
            <w:vAlign w:val="top"/>
          </w:tcPr>
          <w:p w14:paraId="263F4BD4">
            <w:pPr>
              <w:spacing w:before="146" w:line="195" w:lineRule="auto"/>
              <w:ind w:left="74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0.9</w:t>
            </w:r>
          </w:p>
        </w:tc>
        <w:tc>
          <w:tcPr>
            <w:tcW w:w="1522" w:type="dxa"/>
            <w:vAlign w:val="top"/>
          </w:tcPr>
          <w:p w14:paraId="487513AC">
            <w:pPr>
              <w:spacing w:before="146" w:line="195" w:lineRule="auto"/>
              <w:ind w:left="634"/>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689" w:type="dxa"/>
            <w:vAlign w:val="top"/>
          </w:tcPr>
          <w:p w14:paraId="02250DE9">
            <w:pPr>
              <w:spacing w:before="146"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338" w:type="dxa"/>
            <w:vAlign w:val="top"/>
          </w:tcPr>
          <w:p w14:paraId="733295C7">
            <w:pPr>
              <w:spacing w:before="146"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c>
          <w:tcPr>
            <w:tcW w:w="886" w:type="dxa"/>
            <w:vAlign w:val="top"/>
          </w:tcPr>
          <w:p w14:paraId="41636766">
            <w:pPr>
              <w:spacing w:before="146"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886" w:type="dxa"/>
            <w:vAlign w:val="top"/>
          </w:tcPr>
          <w:p w14:paraId="7D201644">
            <w:pPr>
              <w:spacing w:before="146"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0.011</w:t>
            </w:r>
          </w:p>
        </w:tc>
        <w:tc>
          <w:tcPr>
            <w:tcW w:w="1006" w:type="dxa"/>
            <w:vAlign w:val="top"/>
          </w:tcPr>
          <w:p w14:paraId="24A09781">
            <w:pPr>
              <w:spacing w:before="146"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068" w:type="dxa"/>
            <w:vAlign w:val="top"/>
          </w:tcPr>
          <w:p w14:paraId="7640906F">
            <w:pPr>
              <w:spacing w:before="146"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0.082</w:t>
            </w:r>
          </w:p>
        </w:tc>
        <w:tc>
          <w:tcPr>
            <w:tcW w:w="1021" w:type="dxa"/>
            <w:tcBorders>
              <w:right w:val="single" w:color="000000" w:sz="10" w:space="0"/>
            </w:tcBorders>
            <w:vAlign w:val="top"/>
          </w:tcPr>
          <w:p w14:paraId="408331CB">
            <w:pPr>
              <w:spacing w:before="146"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384EC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03" w:type="dxa"/>
            <w:tcBorders>
              <w:left w:val="single" w:color="000000" w:sz="10" w:space="0"/>
            </w:tcBorders>
            <w:vAlign w:val="top"/>
          </w:tcPr>
          <w:p w14:paraId="2F16253E">
            <w:pPr>
              <w:spacing w:before="148"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2023-04</w:t>
            </w:r>
          </w:p>
        </w:tc>
        <w:tc>
          <w:tcPr>
            <w:tcW w:w="681" w:type="dxa"/>
            <w:vAlign w:val="top"/>
          </w:tcPr>
          <w:p w14:paraId="77E53572">
            <w:pPr>
              <w:spacing w:before="148"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67" w:type="dxa"/>
            <w:vAlign w:val="top"/>
          </w:tcPr>
          <w:p w14:paraId="12FE17C0">
            <w:pPr>
              <w:spacing w:before="148"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10.1</w:t>
            </w:r>
          </w:p>
        </w:tc>
        <w:tc>
          <w:tcPr>
            <w:tcW w:w="1752" w:type="dxa"/>
            <w:vAlign w:val="top"/>
          </w:tcPr>
          <w:p w14:paraId="74847185">
            <w:pPr>
              <w:spacing w:before="148" w:line="195" w:lineRule="auto"/>
              <w:ind w:left="7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522" w:type="dxa"/>
            <w:vAlign w:val="top"/>
          </w:tcPr>
          <w:p w14:paraId="3A1562FA">
            <w:pPr>
              <w:spacing w:before="148" w:line="195" w:lineRule="auto"/>
              <w:ind w:left="5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14.0</w:t>
            </w:r>
          </w:p>
        </w:tc>
        <w:tc>
          <w:tcPr>
            <w:tcW w:w="1689" w:type="dxa"/>
            <w:vAlign w:val="top"/>
          </w:tcPr>
          <w:p w14:paraId="47CC248D">
            <w:pPr>
              <w:spacing w:before="148" w:line="195" w:lineRule="auto"/>
              <w:ind w:left="73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338" w:type="dxa"/>
            <w:vAlign w:val="top"/>
          </w:tcPr>
          <w:p w14:paraId="02B841A5">
            <w:pPr>
              <w:spacing w:before="148"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0.13</w:t>
            </w:r>
          </w:p>
        </w:tc>
        <w:tc>
          <w:tcPr>
            <w:tcW w:w="886" w:type="dxa"/>
            <w:vAlign w:val="top"/>
          </w:tcPr>
          <w:p w14:paraId="643BF3B4">
            <w:pPr>
              <w:spacing w:before="148"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0.030</w:t>
            </w:r>
          </w:p>
        </w:tc>
        <w:tc>
          <w:tcPr>
            <w:tcW w:w="886" w:type="dxa"/>
            <w:vAlign w:val="top"/>
          </w:tcPr>
          <w:p w14:paraId="111D8DD2">
            <w:pPr>
              <w:spacing w:before="148"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0.034</w:t>
            </w:r>
          </w:p>
        </w:tc>
        <w:tc>
          <w:tcPr>
            <w:tcW w:w="1006" w:type="dxa"/>
            <w:vAlign w:val="top"/>
          </w:tcPr>
          <w:p w14:paraId="0F2B1762">
            <w:pPr>
              <w:spacing w:before="148"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068" w:type="dxa"/>
            <w:vAlign w:val="top"/>
          </w:tcPr>
          <w:p w14:paraId="6836A21B">
            <w:pPr>
              <w:spacing w:before="148"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0.116</w:t>
            </w:r>
          </w:p>
        </w:tc>
        <w:tc>
          <w:tcPr>
            <w:tcW w:w="1021" w:type="dxa"/>
            <w:tcBorders>
              <w:right w:val="single" w:color="000000" w:sz="10" w:space="0"/>
            </w:tcBorders>
            <w:vAlign w:val="top"/>
          </w:tcPr>
          <w:p w14:paraId="07746546">
            <w:pPr>
              <w:spacing w:before="148"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301EC4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03" w:type="dxa"/>
            <w:tcBorders>
              <w:left w:val="single" w:color="000000" w:sz="10" w:space="0"/>
            </w:tcBorders>
            <w:vAlign w:val="top"/>
          </w:tcPr>
          <w:p w14:paraId="1C01DF81">
            <w:pPr>
              <w:spacing w:before="148"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2023-05</w:t>
            </w:r>
          </w:p>
        </w:tc>
        <w:tc>
          <w:tcPr>
            <w:tcW w:w="681" w:type="dxa"/>
            <w:vAlign w:val="top"/>
          </w:tcPr>
          <w:p w14:paraId="3FBAB059">
            <w:pPr>
              <w:spacing w:before="148"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67" w:type="dxa"/>
            <w:vAlign w:val="top"/>
          </w:tcPr>
          <w:p w14:paraId="69F72ECF">
            <w:pPr>
              <w:spacing w:before="148"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9.3</w:t>
            </w:r>
          </w:p>
        </w:tc>
        <w:tc>
          <w:tcPr>
            <w:tcW w:w="1752" w:type="dxa"/>
            <w:vAlign w:val="top"/>
          </w:tcPr>
          <w:p w14:paraId="6A22BFDA">
            <w:pPr>
              <w:spacing w:before="148" w:line="195" w:lineRule="auto"/>
              <w:ind w:left="7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522" w:type="dxa"/>
            <w:vAlign w:val="top"/>
          </w:tcPr>
          <w:p w14:paraId="011EB171">
            <w:pPr>
              <w:spacing w:before="148" w:line="195" w:lineRule="auto"/>
              <w:ind w:left="5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11.0</w:t>
            </w:r>
          </w:p>
        </w:tc>
        <w:tc>
          <w:tcPr>
            <w:tcW w:w="1689" w:type="dxa"/>
            <w:vAlign w:val="top"/>
          </w:tcPr>
          <w:p w14:paraId="0A7FE29B">
            <w:pPr>
              <w:spacing w:before="148"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0.7</w:t>
            </w:r>
          </w:p>
        </w:tc>
        <w:tc>
          <w:tcPr>
            <w:tcW w:w="1338" w:type="dxa"/>
            <w:vAlign w:val="top"/>
          </w:tcPr>
          <w:p w14:paraId="2405F252">
            <w:pPr>
              <w:spacing w:before="148"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tc>
        <w:tc>
          <w:tcPr>
            <w:tcW w:w="886" w:type="dxa"/>
            <w:vAlign w:val="top"/>
          </w:tcPr>
          <w:p w14:paraId="11D7CC80">
            <w:pPr>
              <w:spacing w:before="148"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0.020</w:t>
            </w:r>
          </w:p>
        </w:tc>
        <w:tc>
          <w:tcPr>
            <w:tcW w:w="886" w:type="dxa"/>
            <w:vAlign w:val="top"/>
          </w:tcPr>
          <w:p w14:paraId="24224883">
            <w:pPr>
              <w:spacing w:before="148"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0.034</w:t>
            </w:r>
          </w:p>
        </w:tc>
        <w:tc>
          <w:tcPr>
            <w:tcW w:w="1006" w:type="dxa"/>
            <w:vAlign w:val="top"/>
          </w:tcPr>
          <w:p w14:paraId="2FC80FAB">
            <w:pPr>
              <w:spacing w:before="148"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068" w:type="dxa"/>
            <w:vAlign w:val="top"/>
          </w:tcPr>
          <w:p w14:paraId="2FCBD5C1">
            <w:pPr>
              <w:spacing w:before="148"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0.116</w:t>
            </w:r>
          </w:p>
        </w:tc>
        <w:tc>
          <w:tcPr>
            <w:tcW w:w="1021" w:type="dxa"/>
            <w:tcBorders>
              <w:right w:val="single" w:color="000000" w:sz="10" w:space="0"/>
            </w:tcBorders>
            <w:vAlign w:val="top"/>
          </w:tcPr>
          <w:p w14:paraId="4654FC84">
            <w:pPr>
              <w:spacing w:before="148"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685443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03" w:type="dxa"/>
            <w:tcBorders>
              <w:left w:val="single" w:color="000000" w:sz="10" w:space="0"/>
            </w:tcBorders>
            <w:vAlign w:val="top"/>
          </w:tcPr>
          <w:p w14:paraId="144E4C12">
            <w:pPr>
              <w:spacing w:before="150"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2023-06</w:t>
            </w:r>
          </w:p>
        </w:tc>
        <w:tc>
          <w:tcPr>
            <w:tcW w:w="681" w:type="dxa"/>
            <w:vAlign w:val="top"/>
          </w:tcPr>
          <w:p w14:paraId="1796EBCA">
            <w:pPr>
              <w:spacing w:before="150"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67" w:type="dxa"/>
            <w:vAlign w:val="top"/>
          </w:tcPr>
          <w:p w14:paraId="6712E3C8">
            <w:pPr>
              <w:spacing w:before="150" w:line="195" w:lineRule="auto"/>
              <w:ind w:left="403"/>
              <w:rPr>
                <w:rFonts w:ascii="Times New Roman" w:hAnsi="Times New Roman" w:eastAsia="Times New Roman" w:cs="Times New Roman"/>
                <w:sz w:val="20"/>
                <w:szCs w:val="20"/>
              </w:rPr>
            </w:pPr>
            <w:r>
              <w:rPr>
                <w:rFonts w:ascii="Times New Roman" w:hAnsi="Times New Roman" w:eastAsia="Times New Roman" w:cs="Times New Roman"/>
                <w:sz w:val="20"/>
                <w:szCs w:val="20"/>
              </w:rPr>
              <w:t>8.2</w:t>
            </w:r>
          </w:p>
        </w:tc>
        <w:tc>
          <w:tcPr>
            <w:tcW w:w="1752" w:type="dxa"/>
            <w:vAlign w:val="top"/>
          </w:tcPr>
          <w:p w14:paraId="49305E7E">
            <w:pPr>
              <w:spacing w:before="150" w:line="195" w:lineRule="auto"/>
              <w:ind w:left="7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2.1</w:t>
            </w:r>
          </w:p>
        </w:tc>
        <w:tc>
          <w:tcPr>
            <w:tcW w:w="1522" w:type="dxa"/>
            <w:vAlign w:val="top"/>
          </w:tcPr>
          <w:p w14:paraId="6CF22156">
            <w:pPr>
              <w:spacing w:before="150" w:line="195" w:lineRule="auto"/>
              <w:ind w:left="63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9.0</w:t>
            </w:r>
          </w:p>
        </w:tc>
        <w:tc>
          <w:tcPr>
            <w:tcW w:w="1689" w:type="dxa"/>
            <w:vAlign w:val="top"/>
          </w:tcPr>
          <w:p w14:paraId="6C55CFDA">
            <w:pPr>
              <w:spacing w:before="150"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1338" w:type="dxa"/>
            <w:vAlign w:val="top"/>
          </w:tcPr>
          <w:p w14:paraId="2E90F4CC">
            <w:pPr>
              <w:spacing w:before="150"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0.11</w:t>
            </w:r>
          </w:p>
        </w:tc>
        <w:tc>
          <w:tcPr>
            <w:tcW w:w="886" w:type="dxa"/>
            <w:vAlign w:val="top"/>
          </w:tcPr>
          <w:p w14:paraId="342CADA3">
            <w:pPr>
              <w:spacing w:before="150"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0.050</w:t>
            </w:r>
          </w:p>
        </w:tc>
        <w:tc>
          <w:tcPr>
            <w:tcW w:w="886" w:type="dxa"/>
            <w:vAlign w:val="top"/>
          </w:tcPr>
          <w:p w14:paraId="2D27BC5F">
            <w:pPr>
              <w:spacing w:before="150"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0.034</w:t>
            </w:r>
          </w:p>
        </w:tc>
        <w:tc>
          <w:tcPr>
            <w:tcW w:w="1006" w:type="dxa"/>
            <w:vAlign w:val="top"/>
          </w:tcPr>
          <w:p w14:paraId="4CEC7A05">
            <w:pPr>
              <w:spacing w:before="150"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068" w:type="dxa"/>
            <w:vAlign w:val="top"/>
          </w:tcPr>
          <w:p w14:paraId="4E74E8E9">
            <w:pPr>
              <w:spacing w:before="150"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0.177</w:t>
            </w:r>
          </w:p>
        </w:tc>
        <w:tc>
          <w:tcPr>
            <w:tcW w:w="1021" w:type="dxa"/>
            <w:tcBorders>
              <w:right w:val="single" w:color="000000" w:sz="10" w:space="0"/>
            </w:tcBorders>
            <w:vAlign w:val="top"/>
          </w:tcPr>
          <w:p w14:paraId="59A2DCC5">
            <w:pPr>
              <w:spacing w:before="150"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7D466F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03" w:type="dxa"/>
            <w:tcBorders>
              <w:left w:val="single" w:color="000000" w:sz="10" w:space="0"/>
            </w:tcBorders>
            <w:vAlign w:val="top"/>
          </w:tcPr>
          <w:p w14:paraId="0B303F21">
            <w:pPr>
              <w:spacing w:before="150"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2023-07</w:t>
            </w:r>
          </w:p>
        </w:tc>
        <w:tc>
          <w:tcPr>
            <w:tcW w:w="681" w:type="dxa"/>
            <w:vAlign w:val="top"/>
          </w:tcPr>
          <w:p w14:paraId="4455BE05">
            <w:pPr>
              <w:spacing w:before="150"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67" w:type="dxa"/>
            <w:vAlign w:val="top"/>
          </w:tcPr>
          <w:p w14:paraId="6F91DBAB">
            <w:pPr>
              <w:spacing w:before="150" w:line="195" w:lineRule="auto"/>
              <w:ind w:left="403"/>
              <w:rPr>
                <w:rFonts w:ascii="Times New Roman" w:hAnsi="Times New Roman" w:eastAsia="Times New Roman" w:cs="Times New Roman"/>
                <w:sz w:val="20"/>
                <w:szCs w:val="20"/>
              </w:rPr>
            </w:pPr>
            <w:r>
              <w:rPr>
                <w:rFonts w:ascii="Times New Roman" w:hAnsi="Times New Roman" w:eastAsia="Times New Roman" w:cs="Times New Roman"/>
                <w:sz w:val="20"/>
                <w:szCs w:val="20"/>
              </w:rPr>
              <w:t>8.4</w:t>
            </w:r>
          </w:p>
        </w:tc>
        <w:tc>
          <w:tcPr>
            <w:tcW w:w="1752" w:type="dxa"/>
            <w:vAlign w:val="top"/>
          </w:tcPr>
          <w:p w14:paraId="668347E4">
            <w:pPr>
              <w:spacing w:before="150" w:line="195" w:lineRule="auto"/>
              <w:ind w:left="7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1.9</w:t>
            </w:r>
          </w:p>
        </w:tc>
        <w:tc>
          <w:tcPr>
            <w:tcW w:w="1522" w:type="dxa"/>
            <w:vAlign w:val="top"/>
          </w:tcPr>
          <w:p w14:paraId="27A6FB73">
            <w:pPr>
              <w:spacing w:before="150" w:line="195" w:lineRule="auto"/>
              <w:ind w:left="63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6.0</w:t>
            </w:r>
          </w:p>
        </w:tc>
        <w:tc>
          <w:tcPr>
            <w:tcW w:w="1689" w:type="dxa"/>
            <w:vAlign w:val="top"/>
          </w:tcPr>
          <w:p w14:paraId="3B25E5BD">
            <w:pPr>
              <w:spacing w:before="150"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338" w:type="dxa"/>
            <w:vAlign w:val="top"/>
          </w:tcPr>
          <w:p w14:paraId="449696E7">
            <w:pPr>
              <w:spacing w:before="150"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0.13</w:t>
            </w:r>
          </w:p>
        </w:tc>
        <w:tc>
          <w:tcPr>
            <w:tcW w:w="886" w:type="dxa"/>
            <w:vAlign w:val="top"/>
          </w:tcPr>
          <w:p w14:paraId="2B4A9755">
            <w:pPr>
              <w:spacing w:before="150"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0.050</w:t>
            </w:r>
          </w:p>
        </w:tc>
        <w:tc>
          <w:tcPr>
            <w:tcW w:w="886" w:type="dxa"/>
            <w:vAlign w:val="top"/>
          </w:tcPr>
          <w:p w14:paraId="61A02DCD">
            <w:pPr>
              <w:spacing w:before="150"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1006" w:type="dxa"/>
            <w:vAlign w:val="top"/>
          </w:tcPr>
          <w:p w14:paraId="00A870E6">
            <w:pPr>
              <w:spacing w:before="150"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068" w:type="dxa"/>
            <w:vAlign w:val="top"/>
          </w:tcPr>
          <w:p w14:paraId="04431088">
            <w:pPr>
              <w:spacing w:before="150"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0.187</w:t>
            </w:r>
          </w:p>
        </w:tc>
        <w:tc>
          <w:tcPr>
            <w:tcW w:w="1021" w:type="dxa"/>
            <w:tcBorders>
              <w:right w:val="single" w:color="000000" w:sz="10" w:space="0"/>
            </w:tcBorders>
            <w:vAlign w:val="top"/>
          </w:tcPr>
          <w:p w14:paraId="2CBF9145">
            <w:pPr>
              <w:spacing w:before="150"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3F83E8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03" w:type="dxa"/>
            <w:tcBorders>
              <w:left w:val="single" w:color="000000" w:sz="10" w:space="0"/>
            </w:tcBorders>
            <w:vAlign w:val="top"/>
          </w:tcPr>
          <w:p w14:paraId="15A5208A">
            <w:pPr>
              <w:spacing w:before="152"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2023-08</w:t>
            </w:r>
          </w:p>
        </w:tc>
        <w:tc>
          <w:tcPr>
            <w:tcW w:w="681" w:type="dxa"/>
            <w:vAlign w:val="top"/>
          </w:tcPr>
          <w:p w14:paraId="4FE926F0">
            <w:pPr>
              <w:spacing w:before="155" w:line="192" w:lineRule="auto"/>
              <w:ind w:left="28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067" w:type="dxa"/>
            <w:vAlign w:val="top"/>
          </w:tcPr>
          <w:p w14:paraId="3CB68AC9">
            <w:pPr>
              <w:spacing w:before="152" w:line="195" w:lineRule="auto"/>
              <w:ind w:left="403"/>
              <w:rPr>
                <w:rFonts w:ascii="Times New Roman" w:hAnsi="Times New Roman" w:eastAsia="Times New Roman" w:cs="Times New Roman"/>
                <w:sz w:val="20"/>
                <w:szCs w:val="20"/>
              </w:rPr>
            </w:pPr>
            <w:r>
              <w:rPr>
                <w:rFonts w:ascii="Times New Roman" w:hAnsi="Times New Roman" w:eastAsia="Times New Roman" w:cs="Times New Roman"/>
                <w:sz w:val="20"/>
                <w:szCs w:val="20"/>
              </w:rPr>
              <w:t>8.4</w:t>
            </w:r>
          </w:p>
        </w:tc>
        <w:tc>
          <w:tcPr>
            <w:tcW w:w="1752" w:type="dxa"/>
            <w:vAlign w:val="top"/>
          </w:tcPr>
          <w:p w14:paraId="58AB41D7">
            <w:pPr>
              <w:spacing w:before="152" w:line="195" w:lineRule="auto"/>
              <w:ind w:left="7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1522" w:type="dxa"/>
            <w:vAlign w:val="top"/>
          </w:tcPr>
          <w:p w14:paraId="247BFA3C">
            <w:pPr>
              <w:spacing w:before="152" w:line="195" w:lineRule="auto"/>
              <w:ind w:left="6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689" w:type="dxa"/>
            <w:vAlign w:val="top"/>
          </w:tcPr>
          <w:p w14:paraId="0C0E9C95">
            <w:pPr>
              <w:spacing w:before="152"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0.7</w:t>
            </w:r>
          </w:p>
        </w:tc>
        <w:tc>
          <w:tcPr>
            <w:tcW w:w="1338" w:type="dxa"/>
            <w:vAlign w:val="top"/>
          </w:tcPr>
          <w:p w14:paraId="11A83D08">
            <w:pPr>
              <w:spacing w:before="152"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0.16</w:t>
            </w:r>
          </w:p>
        </w:tc>
        <w:tc>
          <w:tcPr>
            <w:tcW w:w="886" w:type="dxa"/>
            <w:vAlign w:val="top"/>
          </w:tcPr>
          <w:p w14:paraId="7551DF31">
            <w:pPr>
              <w:spacing w:before="152"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0.043</w:t>
            </w:r>
          </w:p>
        </w:tc>
        <w:tc>
          <w:tcPr>
            <w:tcW w:w="886" w:type="dxa"/>
            <w:vAlign w:val="top"/>
          </w:tcPr>
          <w:p w14:paraId="5F9D9445">
            <w:pPr>
              <w:spacing w:before="152"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0.025</w:t>
            </w:r>
          </w:p>
        </w:tc>
        <w:tc>
          <w:tcPr>
            <w:tcW w:w="1006" w:type="dxa"/>
            <w:vAlign w:val="top"/>
          </w:tcPr>
          <w:p w14:paraId="7C758F59">
            <w:pPr>
              <w:spacing w:before="152"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0.009</w:t>
            </w:r>
          </w:p>
        </w:tc>
        <w:tc>
          <w:tcPr>
            <w:tcW w:w="1068" w:type="dxa"/>
            <w:vAlign w:val="top"/>
          </w:tcPr>
          <w:p w14:paraId="08EADC8F">
            <w:pPr>
              <w:spacing w:before="152"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0.171</w:t>
            </w:r>
          </w:p>
        </w:tc>
        <w:tc>
          <w:tcPr>
            <w:tcW w:w="1021" w:type="dxa"/>
            <w:tcBorders>
              <w:right w:val="single" w:color="000000" w:sz="10" w:space="0"/>
            </w:tcBorders>
            <w:vAlign w:val="top"/>
          </w:tcPr>
          <w:p w14:paraId="69A66678">
            <w:pPr>
              <w:spacing w:before="152"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214CCB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1303" w:type="dxa"/>
            <w:tcBorders>
              <w:left w:val="single" w:color="000000" w:sz="10" w:space="0"/>
              <w:bottom w:val="single" w:color="000000" w:sz="10" w:space="0"/>
            </w:tcBorders>
            <w:vAlign w:val="top"/>
          </w:tcPr>
          <w:p w14:paraId="1ACFFCF7">
            <w:pPr>
              <w:spacing w:before="154"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2023-09</w:t>
            </w:r>
          </w:p>
        </w:tc>
        <w:tc>
          <w:tcPr>
            <w:tcW w:w="681" w:type="dxa"/>
            <w:tcBorders>
              <w:bottom w:val="single" w:color="000000" w:sz="10" w:space="0"/>
            </w:tcBorders>
            <w:vAlign w:val="top"/>
          </w:tcPr>
          <w:p w14:paraId="757512E3">
            <w:pPr>
              <w:spacing w:before="157" w:line="192" w:lineRule="auto"/>
              <w:ind w:left="28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067" w:type="dxa"/>
            <w:tcBorders>
              <w:bottom w:val="single" w:color="000000" w:sz="10" w:space="0"/>
            </w:tcBorders>
            <w:vAlign w:val="top"/>
          </w:tcPr>
          <w:p w14:paraId="0A62271A">
            <w:pPr>
              <w:spacing w:before="154" w:line="195" w:lineRule="auto"/>
              <w:ind w:left="403"/>
              <w:rPr>
                <w:rFonts w:ascii="Times New Roman" w:hAnsi="Times New Roman" w:eastAsia="Times New Roman" w:cs="Times New Roman"/>
                <w:sz w:val="20"/>
                <w:szCs w:val="20"/>
              </w:rPr>
            </w:pPr>
            <w:r>
              <w:rPr>
                <w:rFonts w:ascii="Times New Roman" w:hAnsi="Times New Roman" w:eastAsia="Times New Roman" w:cs="Times New Roman"/>
                <w:sz w:val="20"/>
                <w:szCs w:val="20"/>
              </w:rPr>
              <w:t>8.2</w:t>
            </w:r>
          </w:p>
        </w:tc>
        <w:tc>
          <w:tcPr>
            <w:tcW w:w="1752" w:type="dxa"/>
            <w:tcBorders>
              <w:bottom w:val="single" w:color="000000" w:sz="10" w:space="0"/>
            </w:tcBorders>
            <w:vAlign w:val="top"/>
          </w:tcPr>
          <w:p w14:paraId="35142C00">
            <w:pPr>
              <w:spacing w:before="154" w:line="195" w:lineRule="auto"/>
              <w:ind w:left="7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522" w:type="dxa"/>
            <w:tcBorders>
              <w:bottom w:val="single" w:color="000000" w:sz="10" w:space="0"/>
            </w:tcBorders>
            <w:vAlign w:val="top"/>
          </w:tcPr>
          <w:p w14:paraId="561832A9">
            <w:pPr>
              <w:spacing w:before="154" w:line="195" w:lineRule="auto"/>
              <w:ind w:left="63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6.0</w:t>
            </w:r>
          </w:p>
        </w:tc>
        <w:tc>
          <w:tcPr>
            <w:tcW w:w="1689" w:type="dxa"/>
            <w:tcBorders>
              <w:bottom w:val="single" w:color="000000" w:sz="10" w:space="0"/>
            </w:tcBorders>
            <w:vAlign w:val="top"/>
          </w:tcPr>
          <w:p w14:paraId="6A8B0544">
            <w:pPr>
              <w:spacing w:before="154" w:line="195" w:lineRule="auto"/>
              <w:ind w:left="73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338" w:type="dxa"/>
            <w:tcBorders>
              <w:bottom w:val="single" w:color="000000" w:sz="10" w:space="0"/>
            </w:tcBorders>
            <w:vAlign w:val="top"/>
          </w:tcPr>
          <w:p w14:paraId="0A07F63F">
            <w:pPr>
              <w:spacing w:before="154"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0.29</w:t>
            </w:r>
          </w:p>
        </w:tc>
        <w:tc>
          <w:tcPr>
            <w:tcW w:w="886" w:type="dxa"/>
            <w:tcBorders>
              <w:bottom w:val="single" w:color="000000" w:sz="10" w:space="0"/>
            </w:tcBorders>
            <w:vAlign w:val="top"/>
          </w:tcPr>
          <w:p w14:paraId="04BBA031">
            <w:pPr>
              <w:spacing w:before="154"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0.021</w:t>
            </w:r>
          </w:p>
        </w:tc>
        <w:tc>
          <w:tcPr>
            <w:tcW w:w="886" w:type="dxa"/>
            <w:tcBorders>
              <w:bottom w:val="single" w:color="000000" w:sz="10" w:space="0"/>
            </w:tcBorders>
            <w:vAlign w:val="top"/>
          </w:tcPr>
          <w:p w14:paraId="31FB3EBF">
            <w:pPr>
              <w:spacing w:before="154"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0.060</w:t>
            </w:r>
          </w:p>
        </w:tc>
        <w:tc>
          <w:tcPr>
            <w:tcW w:w="1006" w:type="dxa"/>
            <w:tcBorders>
              <w:bottom w:val="single" w:color="000000" w:sz="10" w:space="0"/>
            </w:tcBorders>
            <w:vAlign w:val="top"/>
          </w:tcPr>
          <w:p w14:paraId="4D7E240B">
            <w:pPr>
              <w:spacing w:before="154"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0.030</w:t>
            </w:r>
          </w:p>
        </w:tc>
        <w:tc>
          <w:tcPr>
            <w:tcW w:w="1068" w:type="dxa"/>
            <w:tcBorders>
              <w:bottom w:val="single" w:color="000000" w:sz="10" w:space="0"/>
            </w:tcBorders>
            <w:vAlign w:val="top"/>
          </w:tcPr>
          <w:p w14:paraId="3A363750">
            <w:pPr>
              <w:spacing w:before="154"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0.101</w:t>
            </w:r>
          </w:p>
        </w:tc>
        <w:tc>
          <w:tcPr>
            <w:tcW w:w="1021" w:type="dxa"/>
            <w:tcBorders>
              <w:bottom w:val="single" w:color="000000" w:sz="10" w:space="0"/>
              <w:right w:val="single" w:color="000000" w:sz="10" w:space="0"/>
            </w:tcBorders>
            <w:vAlign w:val="top"/>
          </w:tcPr>
          <w:p w14:paraId="673D7F74">
            <w:pPr>
              <w:spacing w:before="154"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bl>
    <w:p w14:paraId="74F82AEC">
      <w:pPr>
        <w:pStyle w:val="2"/>
      </w:pPr>
    </w:p>
    <w:p w14:paraId="1C5E5F4E">
      <w:pPr>
        <w:sectPr>
          <w:footerReference r:id="rId69" w:type="default"/>
          <w:pgSz w:w="16840" w:h="11907"/>
          <w:pgMar w:top="1132" w:right="1300" w:bottom="1258" w:left="1294" w:header="829" w:footer="1096" w:gutter="0"/>
          <w:cols w:space="720" w:num="1"/>
        </w:sectPr>
      </w:pPr>
    </w:p>
    <w:p w14:paraId="62EECDF4">
      <w:pPr>
        <w:spacing w:before="43"/>
      </w:pPr>
    </w:p>
    <w:p w14:paraId="544D0BE2">
      <w:pPr>
        <w:spacing w:before="42"/>
      </w:pPr>
    </w:p>
    <w:tbl>
      <w:tblPr>
        <w:tblStyle w:val="5"/>
        <w:tblW w:w="1421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03"/>
        <w:gridCol w:w="681"/>
        <w:gridCol w:w="1067"/>
        <w:gridCol w:w="1752"/>
        <w:gridCol w:w="1522"/>
        <w:gridCol w:w="1689"/>
        <w:gridCol w:w="1338"/>
        <w:gridCol w:w="886"/>
        <w:gridCol w:w="886"/>
        <w:gridCol w:w="1006"/>
        <w:gridCol w:w="1068"/>
        <w:gridCol w:w="1021"/>
      </w:tblGrid>
      <w:tr w14:paraId="267E5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303" w:type="dxa"/>
            <w:tcBorders>
              <w:top w:val="single" w:color="000000" w:sz="10" w:space="0"/>
              <w:left w:val="single" w:color="000000" w:sz="10" w:space="0"/>
            </w:tcBorders>
            <w:vAlign w:val="top"/>
          </w:tcPr>
          <w:p w14:paraId="25C37965">
            <w:pPr>
              <w:pStyle w:val="6"/>
              <w:spacing w:before="99" w:line="227" w:lineRule="auto"/>
              <w:ind w:left="221"/>
            </w:pPr>
            <w:r>
              <w:rPr>
                <w:b/>
                <w:bCs/>
                <w:spacing w:val="6"/>
              </w:rPr>
              <w:t>采样时间</w:t>
            </w:r>
          </w:p>
        </w:tc>
        <w:tc>
          <w:tcPr>
            <w:tcW w:w="681" w:type="dxa"/>
            <w:tcBorders>
              <w:top w:val="single" w:color="000000" w:sz="10" w:space="0"/>
            </w:tcBorders>
            <w:vAlign w:val="top"/>
          </w:tcPr>
          <w:p w14:paraId="6D85CFE6">
            <w:pPr>
              <w:spacing w:before="138" w:line="194" w:lineRule="auto"/>
              <w:ind w:left="192"/>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pH</w:t>
            </w:r>
          </w:p>
        </w:tc>
        <w:tc>
          <w:tcPr>
            <w:tcW w:w="1067" w:type="dxa"/>
            <w:tcBorders>
              <w:top w:val="single" w:color="000000" w:sz="10" w:space="0"/>
            </w:tcBorders>
            <w:vAlign w:val="top"/>
          </w:tcPr>
          <w:p w14:paraId="6747EE4B">
            <w:pPr>
              <w:pStyle w:val="6"/>
              <w:spacing w:before="99" w:line="227" w:lineRule="auto"/>
              <w:ind w:left="216"/>
            </w:pPr>
            <w:r>
              <w:rPr>
                <w:b/>
                <w:bCs/>
                <w:spacing w:val="4"/>
              </w:rPr>
              <w:t>溶解氧</w:t>
            </w:r>
          </w:p>
        </w:tc>
        <w:tc>
          <w:tcPr>
            <w:tcW w:w="1752" w:type="dxa"/>
            <w:tcBorders>
              <w:top w:val="single" w:color="000000" w:sz="10" w:space="0"/>
            </w:tcBorders>
            <w:vAlign w:val="top"/>
          </w:tcPr>
          <w:p w14:paraId="49225295">
            <w:pPr>
              <w:pStyle w:val="6"/>
              <w:spacing w:before="99" w:line="228" w:lineRule="auto"/>
              <w:ind w:left="249"/>
            </w:pPr>
            <w:r>
              <w:rPr>
                <w:b/>
                <w:bCs/>
                <w:spacing w:val="6"/>
              </w:rPr>
              <w:t>高锰酸盐指数</w:t>
            </w:r>
          </w:p>
        </w:tc>
        <w:tc>
          <w:tcPr>
            <w:tcW w:w="1522" w:type="dxa"/>
            <w:tcBorders>
              <w:top w:val="single" w:color="000000" w:sz="10" w:space="0"/>
            </w:tcBorders>
            <w:vAlign w:val="top"/>
          </w:tcPr>
          <w:p w14:paraId="0FDED1D7">
            <w:pPr>
              <w:pStyle w:val="6"/>
              <w:spacing w:before="99" w:line="227" w:lineRule="auto"/>
              <w:ind w:left="237"/>
            </w:pPr>
            <w:r>
              <w:rPr>
                <w:b/>
                <w:bCs/>
                <w:spacing w:val="6"/>
              </w:rPr>
              <w:t>化学需氧量</w:t>
            </w:r>
          </w:p>
        </w:tc>
        <w:tc>
          <w:tcPr>
            <w:tcW w:w="1689" w:type="dxa"/>
            <w:tcBorders>
              <w:top w:val="single" w:color="000000" w:sz="10" w:space="0"/>
            </w:tcBorders>
            <w:vAlign w:val="top"/>
          </w:tcPr>
          <w:p w14:paraId="1F3AAC9D">
            <w:pPr>
              <w:pStyle w:val="6"/>
              <w:spacing w:before="99" w:line="227" w:lineRule="auto"/>
              <w:ind w:left="116"/>
            </w:pPr>
            <w:r>
              <w:rPr>
                <w:b/>
                <w:bCs/>
                <w:spacing w:val="6"/>
              </w:rPr>
              <w:t>五日生化需氧量</w:t>
            </w:r>
          </w:p>
        </w:tc>
        <w:tc>
          <w:tcPr>
            <w:tcW w:w="1338" w:type="dxa"/>
            <w:tcBorders>
              <w:top w:val="single" w:color="000000" w:sz="10" w:space="0"/>
            </w:tcBorders>
            <w:vAlign w:val="top"/>
          </w:tcPr>
          <w:p w14:paraId="477CB437">
            <w:pPr>
              <w:pStyle w:val="6"/>
              <w:spacing w:before="99" w:line="227" w:lineRule="auto"/>
              <w:ind w:left="466"/>
            </w:pPr>
            <w:r>
              <w:rPr>
                <w:b/>
                <w:bCs/>
                <w:spacing w:val="3"/>
              </w:rPr>
              <w:t>氨氮</w:t>
            </w:r>
          </w:p>
        </w:tc>
        <w:tc>
          <w:tcPr>
            <w:tcW w:w="886" w:type="dxa"/>
            <w:tcBorders>
              <w:top w:val="single" w:color="000000" w:sz="10" w:space="0"/>
            </w:tcBorders>
            <w:vAlign w:val="top"/>
          </w:tcPr>
          <w:p w14:paraId="564EEDA5">
            <w:pPr>
              <w:pStyle w:val="6"/>
              <w:spacing w:before="99" w:line="228" w:lineRule="auto"/>
              <w:ind w:left="248"/>
            </w:pPr>
            <w:r>
              <w:rPr>
                <w:b/>
                <w:bCs/>
                <w:spacing w:val="1"/>
              </w:rPr>
              <w:t>总磷</w:t>
            </w:r>
          </w:p>
        </w:tc>
        <w:tc>
          <w:tcPr>
            <w:tcW w:w="886" w:type="dxa"/>
            <w:tcBorders>
              <w:top w:val="single" w:color="000000" w:sz="10" w:space="0"/>
            </w:tcBorders>
            <w:vAlign w:val="top"/>
          </w:tcPr>
          <w:p w14:paraId="087F5D57">
            <w:pPr>
              <w:pStyle w:val="6"/>
              <w:spacing w:before="99" w:line="229" w:lineRule="auto"/>
              <w:ind w:left="350"/>
            </w:pPr>
            <w:r>
              <w:rPr>
                <w:b/>
                <w:bCs/>
                <w:spacing w:val="-2"/>
              </w:rPr>
              <w:t>铜</w:t>
            </w:r>
          </w:p>
        </w:tc>
        <w:tc>
          <w:tcPr>
            <w:tcW w:w="1006" w:type="dxa"/>
            <w:tcBorders>
              <w:top w:val="single" w:color="000000" w:sz="10" w:space="0"/>
            </w:tcBorders>
            <w:vAlign w:val="top"/>
          </w:tcPr>
          <w:p w14:paraId="27040122">
            <w:pPr>
              <w:pStyle w:val="6"/>
              <w:spacing w:before="99" w:line="228" w:lineRule="auto"/>
              <w:ind w:left="411"/>
            </w:pPr>
            <w:r>
              <w:rPr>
                <w:b/>
                <w:bCs/>
                <w:spacing w:val="-1"/>
              </w:rPr>
              <w:t>锌</w:t>
            </w:r>
          </w:p>
        </w:tc>
        <w:tc>
          <w:tcPr>
            <w:tcW w:w="1068" w:type="dxa"/>
            <w:tcBorders>
              <w:top w:val="single" w:color="000000" w:sz="10" w:space="0"/>
            </w:tcBorders>
            <w:vAlign w:val="top"/>
          </w:tcPr>
          <w:p w14:paraId="1B0BF325">
            <w:pPr>
              <w:pStyle w:val="6"/>
              <w:spacing w:before="99" w:line="228" w:lineRule="auto"/>
              <w:ind w:left="234"/>
            </w:pPr>
            <w:r>
              <w:rPr>
                <w:b/>
                <w:bCs/>
                <w:spacing w:val="5"/>
              </w:rPr>
              <w:t>氟化物</w:t>
            </w:r>
          </w:p>
        </w:tc>
        <w:tc>
          <w:tcPr>
            <w:tcW w:w="1021" w:type="dxa"/>
            <w:tcBorders>
              <w:top w:val="single" w:color="000000" w:sz="10" w:space="0"/>
              <w:right w:val="single" w:color="000000" w:sz="10" w:space="0"/>
            </w:tcBorders>
            <w:vAlign w:val="top"/>
          </w:tcPr>
          <w:p w14:paraId="090DC8F3">
            <w:pPr>
              <w:pStyle w:val="6"/>
              <w:spacing w:before="98" w:line="231" w:lineRule="auto"/>
              <w:ind w:left="414"/>
            </w:pPr>
            <w:r>
              <w:rPr>
                <w:b/>
                <w:bCs/>
              </w:rPr>
              <w:t>硒</w:t>
            </w:r>
          </w:p>
        </w:tc>
      </w:tr>
      <w:tr w14:paraId="29AAA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03" w:type="dxa"/>
            <w:tcBorders>
              <w:left w:val="single" w:color="000000" w:sz="10" w:space="0"/>
            </w:tcBorders>
            <w:vAlign w:val="top"/>
          </w:tcPr>
          <w:p w14:paraId="2282DF62">
            <w:pPr>
              <w:spacing w:before="130"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2023-10</w:t>
            </w:r>
          </w:p>
        </w:tc>
        <w:tc>
          <w:tcPr>
            <w:tcW w:w="681" w:type="dxa"/>
            <w:vAlign w:val="top"/>
          </w:tcPr>
          <w:p w14:paraId="7551D46D">
            <w:pPr>
              <w:spacing w:before="133" w:line="192" w:lineRule="auto"/>
              <w:ind w:left="28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067" w:type="dxa"/>
            <w:vAlign w:val="top"/>
          </w:tcPr>
          <w:p w14:paraId="0FF000D7">
            <w:pPr>
              <w:spacing w:before="130" w:line="195" w:lineRule="auto"/>
              <w:ind w:left="40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8.1</w:t>
            </w:r>
          </w:p>
        </w:tc>
        <w:tc>
          <w:tcPr>
            <w:tcW w:w="1752" w:type="dxa"/>
            <w:vAlign w:val="top"/>
          </w:tcPr>
          <w:p w14:paraId="5E815597">
            <w:pPr>
              <w:spacing w:before="130" w:line="195" w:lineRule="auto"/>
              <w:ind w:left="7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2.1</w:t>
            </w:r>
          </w:p>
        </w:tc>
        <w:tc>
          <w:tcPr>
            <w:tcW w:w="1522" w:type="dxa"/>
            <w:vAlign w:val="top"/>
          </w:tcPr>
          <w:p w14:paraId="06BDAB2A">
            <w:pPr>
              <w:spacing w:before="130" w:line="195" w:lineRule="auto"/>
              <w:ind w:left="5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11.0</w:t>
            </w:r>
          </w:p>
        </w:tc>
        <w:tc>
          <w:tcPr>
            <w:tcW w:w="1689" w:type="dxa"/>
            <w:vAlign w:val="top"/>
          </w:tcPr>
          <w:p w14:paraId="41A0B63B">
            <w:pPr>
              <w:spacing w:before="130" w:line="195" w:lineRule="auto"/>
              <w:ind w:left="73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338" w:type="dxa"/>
            <w:vAlign w:val="top"/>
          </w:tcPr>
          <w:p w14:paraId="562F1158">
            <w:pPr>
              <w:spacing w:before="130"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0.28</w:t>
            </w:r>
          </w:p>
        </w:tc>
        <w:tc>
          <w:tcPr>
            <w:tcW w:w="886" w:type="dxa"/>
            <w:vAlign w:val="top"/>
          </w:tcPr>
          <w:p w14:paraId="60CE7FCC">
            <w:pPr>
              <w:spacing w:before="130"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0.030</w:t>
            </w:r>
          </w:p>
        </w:tc>
        <w:tc>
          <w:tcPr>
            <w:tcW w:w="886" w:type="dxa"/>
            <w:vAlign w:val="top"/>
          </w:tcPr>
          <w:p w14:paraId="59B7384F">
            <w:pPr>
              <w:spacing w:before="130"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0.041</w:t>
            </w:r>
          </w:p>
        </w:tc>
        <w:tc>
          <w:tcPr>
            <w:tcW w:w="1006" w:type="dxa"/>
            <w:vAlign w:val="top"/>
          </w:tcPr>
          <w:p w14:paraId="180245A8">
            <w:pPr>
              <w:spacing w:before="130"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0.010</w:t>
            </w:r>
          </w:p>
        </w:tc>
        <w:tc>
          <w:tcPr>
            <w:tcW w:w="1068" w:type="dxa"/>
            <w:vAlign w:val="top"/>
          </w:tcPr>
          <w:p w14:paraId="73DC0BA0">
            <w:pPr>
              <w:spacing w:before="130"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0.165</w:t>
            </w:r>
          </w:p>
        </w:tc>
        <w:tc>
          <w:tcPr>
            <w:tcW w:w="1021" w:type="dxa"/>
            <w:tcBorders>
              <w:right w:val="single" w:color="000000" w:sz="10" w:space="0"/>
            </w:tcBorders>
            <w:vAlign w:val="top"/>
          </w:tcPr>
          <w:p w14:paraId="6406C54A">
            <w:pPr>
              <w:spacing w:before="130"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20AAF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03" w:type="dxa"/>
            <w:tcBorders>
              <w:left w:val="single" w:color="000000" w:sz="10" w:space="0"/>
            </w:tcBorders>
            <w:vAlign w:val="top"/>
          </w:tcPr>
          <w:p w14:paraId="13EF56B0">
            <w:pPr>
              <w:spacing w:before="133"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2023-11</w:t>
            </w:r>
          </w:p>
        </w:tc>
        <w:tc>
          <w:tcPr>
            <w:tcW w:w="681" w:type="dxa"/>
            <w:vAlign w:val="top"/>
          </w:tcPr>
          <w:p w14:paraId="0CD7DC25">
            <w:pPr>
              <w:spacing w:before="136" w:line="192" w:lineRule="auto"/>
              <w:ind w:left="28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067" w:type="dxa"/>
            <w:vAlign w:val="top"/>
          </w:tcPr>
          <w:p w14:paraId="5FD5AE73">
            <w:pPr>
              <w:spacing w:before="133" w:line="195" w:lineRule="auto"/>
              <w:ind w:left="403"/>
              <w:rPr>
                <w:rFonts w:ascii="Times New Roman" w:hAnsi="Times New Roman" w:eastAsia="Times New Roman" w:cs="Times New Roman"/>
                <w:sz w:val="20"/>
                <w:szCs w:val="20"/>
              </w:rPr>
            </w:pPr>
            <w:r>
              <w:rPr>
                <w:rFonts w:ascii="Times New Roman" w:hAnsi="Times New Roman" w:eastAsia="Times New Roman" w:cs="Times New Roman"/>
                <w:sz w:val="20"/>
                <w:szCs w:val="20"/>
              </w:rPr>
              <w:t>8.4</w:t>
            </w:r>
          </w:p>
        </w:tc>
        <w:tc>
          <w:tcPr>
            <w:tcW w:w="1752" w:type="dxa"/>
            <w:vAlign w:val="top"/>
          </w:tcPr>
          <w:p w14:paraId="4A62B4DC">
            <w:pPr>
              <w:spacing w:before="133" w:line="195" w:lineRule="auto"/>
              <w:ind w:left="7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522" w:type="dxa"/>
            <w:vAlign w:val="top"/>
          </w:tcPr>
          <w:p w14:paraId="335C2EAC">
            <w:pPr>
              <w:spacing w:before="133" w:line="195" w:lineRule="auto"/>
              <w:ind w:left="5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11.0</w:t>
            </w:r>
          </w:p>
        </w:tc>
        <w:tc>
          <w:tcPr>
            <w:tcW w:w="1689" w:type="dxa"/>
            <w:vAlign w:val="top"/>
          </w:tcPr>
          <w:p w14:paraId="29BEBB67">
            <w:pPr>
              <w:spacing w:before="133" w:line="195" w:lineRule="auto"/>
              <w:ind w:left="73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338" w:type="dxa"/>
            <w:vAlign w:val="top"/>
          </w:tcPr>
          <w:p w14:paraId="018E55FE">
            <w:pPr>
              <w:spacing w:before="133"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w:t>
            </w:r>
          </w:p>
        </w:tc>
        <w:tc>
          <w:tcPr>
            <w:tcW w:w="886" w:type="dxa"/>
            <w:vAlign w:val="top"/>
          </w:tcPr>
          <w:p w14:paraId="2F07CF27">
            <w:pPr>
              <w:spacing w:before="133"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0.020</w:t>
            </w:r>
          </w:p>
        </w:tc>
        <w:tc>
          <w:tcPr>
            <w:tcW w:w="886" w:type="dxa"/>
            <w:vAlign w:val="top"/>
          </w:tcPr>
          <w:p w14:paraId="138AD345">
            <w:pPr>
              <w:spacing w:before="133"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0.043</w:t>
            </w:r>
          </w:p>
        </w:tc>
        <w:tc>
          <w:tcPr>
            <w:tcW w:w="1006" w:type="dxa"/>
            <w:vAlign w:val="top"/>
          </w:tcPr>
          <w:p w14:paraId="58FF3F5A">
            <w:pPr>
              <w:spacing w:before="133"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0.011</w:t>
            </w:r>
          </w:p>
        </w:tc>
        <w:tc>
          <w:tcPr>
            <w:tcW w:w="1068" w:type="dxa"/>
            <w:vAlign w:val="top"/>
          </w:tcPr>
          <w:p w14:paraId="393677FB">
            <w:pPr>
              <w:spacing w:before="133"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0.120</w:t>
            </w:r>
          </w:p>
        </w:tc>
        <w:tc>
          <w:tcPr>
            <w:tcW w:w="1021" w:type="dxa"/>
            <w:tcBorders>
              <w:right w:val="single" w:color="000000" w:sz="10" w:space="0"/>
            </w:tcBorders>
            <w:vAlign w:val="top"/>
          </w:tcPr>
          <w:p w14:paraId="714CE833">
            <w:pPr>
              <w:spacing w:before="133"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73DE8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03" w:type="dxa"/>
            <w:tcBorders>
              <w:left w:val="single" w:color="000000" w:sz="10" w:space="0"/>
            </w:tcBorders>
            <w:vAlign w:val="top"/>
          </w:tcPr>
          <w:p w14:paraId="5F33DB57">
            <w:pPr>
              <w:spacing w:before="133"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2023-12</w:t>
            </w:r>
          </w:p>
        </w:tc>
        <w:tc>
          <w:tcPr>
            <w:tcW w:w="681" w:type="dxa"/>
            <w:vAlign w:val="top"/>
          </w:tcPr>
          <w:p w14:paraId="6B7F2638">
            <w:pPr>
              <w:spacing w:before="136" w:line="192" w:lineRule="auto"/>
              <w:ind w:left="28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067" w:type="dxa"/>
            <w:vAlign w:val="top"/>
          </w:tcPr>
          <w:p w14:paraId="60AB6292">
            <w:pPr>
              <w:spacing w:before="133"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10.1</w:t>
            </w:r>
          </w:p>
        </w:tc>
        <w:tc>
          <w:tcPr>
            <w:tcW w:w="1752" w:type="dxa"/>
            <w:vAlign w:val="top"/>
          </w:tcPr>
          <w:p w14:paraId="3F28A561">
            <w:pPr>
              <w:spacing w:before="133" w:line="195" w:lineRule="auto"/>
              <w:ind w:left="7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1522" w:type="dxa"/>
            <w:vAlign w:val="top"/>
          </w:tcPr>
          <w:p w14:paraId="70D702FB">
            <w:pPr>
              <w:spacing w:before="133" w:line="195" w:lineRule="auto"/>
              <w:ind w:left="634"/>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689" w:type="dxa"/>
            <w:vAlign w:val="top"/>
          </w:tcPr>
          <w:p w14:paraId="3FB96192">
            <w:pPr>
              <w:spacing w:before="133" w:line="195" w:lineRule="auto"/>
              <w:ind w:left="73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338" w:type="dxa"/>
            <w:vAlign w:val="top"/>
          </w:tcPr>
          <w:p w14:paraId="37C8B837">
            <w:pPr>
              <w:spacing w:before="133"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0.12</w:t>
            </w:r>
          </w:p>
        </w:tc>
        <w:tc>
          <w:tcPr>
            <w:tcW w:w="886" w:type="dxa"/>
            <w:vAlign w:val="top"/>
          </w:tcPr>
          <w:p w14:paraId="1DD7B255">
            <w:pPr>
              <w:spacing w:before="133"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0.040</w:t>
            </w:r>
          </w:p>
        </w:tc>
        <w:tc>
          <w:tcPr>
            <w:tcW w:w="886" w:type="dxa"/>
            <w:vAlign w:val="top"/>
          </w:tcPr>
          <w:p w14:paraId="06BD1D52">
            <w:pPr>
              <w:spacing w:before="133"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006" w:type="dxa"/>
            <w:vAlign w:val="top"/>
          </w:tcPr>
          <w:p w14:paraId="6B903F5F">
            <w:pPr>
              <w:spacing w:before="133"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1068" w:type="dxa"/>
            <w:vAlign w:val="top"/>
          </w:tcPr>
          <w:p w14:paraId="68B5733A">
            <w:pPr>
              <w:spacing w:before="133"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0.131</w:t>
            </w:r>
          </w:p>
        </w:tc>
        <w:tc>
          <w:tcPr>
            <w:tcW w:w="1021" w:type="dxa"/>
            <w:tcBorders>
              <w:right w:val="single" w:color="000000" w:sz="10" w:space="0"/>
            </w:tcBorders>
            <w:vAlign w:val="top"/>
          </w:tcPr>
          <w:p w14:paraId="60E94241">
            <w:pPr>
              <w:spacing w:before="133"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164002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03" w:type="dxa"/>
            <w:tcBorders>
              <w:left w:val="single" w:color="000000" w:sz="10" w:space="0"/>
            </w:tcBorders>
            <w:vAlign w:val="top"/>
          </w:tcPr>
          <w:p w14:paraId="49CCC920">
            <w:pPr>
              <w:spacing w:before="135"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2024-01</w:t>
            </w:r>
          </w:p>
        </w:tc>
        <w:tc>
          <w:tcPr>
            <w:tcW w:w="681" w:type="dxa"/>
            <w:vAlign w:val="top"/>
          </w:tcPr>
          <w:p w14:paraId="445C8378">
            <w:pPr>
              <w:spacing w:before="138" w:line="192" w:lineRule="auto"/>
              <w:ind w:left="28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067" w:type="dxa"/>
            <w:vAlign w:val="top"/>
          </w:tcPr>
          <w:p w14:paraId="626EBF7C">
            <w:pPr>
              <w:spacing w:before="135"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10.4</w:t>
            </w:r>
          </w:p>
        </w:tc>
        <w:tc>
          <w:tcPr>
            <w:tcW w:w="1752" w:type="dxa"/>
            <w:vAlign w:val="top"/>
          </w:tcPr>
          <w:p w14:paraId="771CB3E6">
            <w:pPr>
              <w:spacing w:before="135" w:line="195" w:lineRule="auto"/>
              <w:ind w:left="7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522" w:type="dxa"/>
            <w:vAlign w:val="top"/>
          </w:tcPr>
          <w:p w14:paraId="5383841F">
            <w:pPr>
              <w:spacing w:before="135" w:line="195" w:lineRule="auto"/>
              <w:ind w:left="63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9.0</w:t>
            </w:r>
          </w:p>
        </w:tc>
        <w:tc>
          <w:tcPr>
            <w:tcW w:w="1689" w:type="dxa"/>
            <w:vAlign w:val="top"/>
          </w:tcPr>
          <w:p w14:paraId="66132B6A">
            <w:pPr>
              <w:spacing w:before="135"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338" w:type="dxa"/>
            <w:vAlign w:val="top"/>
          </w:tcPr>
          <w:p w14:paraId="261B4F0E">
            <w:pPr>
              <w:spacing w:before="135"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0.16</w:t>
            </w:r>
          </w:p>
        </w:tc>
        <w:tc>
          <w:tcPr>
            <w:tcW w:w="886" w:type="dxa"/>
            <w:vAlign w:val="top"/>
          </w:tcPr>
          <w:p w14:paraId="089534A7">
            <w:pPr>
              <w:spacing w:before="135"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0.020</w:t>
            </w:r>
          </w:p>
        </w:tc>
        <w:tc>
          <w:tcPr>
            <w:tcW w:w="886" w:type="dxa"/>
            <w:vAlign w:val="top"/>
          </w:tcPr>
          <w:p w14:paraId="2C2720B5">
            <w:pPr>
              <w:spacing w:before="135"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0.007</w:t>
            </w:r>
          </w:p>
        </w:tc>
        <w:tc>
          <w:tcPr>
            <w:tcW w:w="1006" w:type="dxa"/>
            <w:vAlign w:val="top"/>
          </w:tcPr>
          <w:p w14:paraId="2D6B9B57">
            <w:pPr>
              <w:spacing w:before="135"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1068" w:type="dxa"/>
            <w:vAlign w:val="top"/>
          </w:tcPr>
          <w:p w14:paraId="4349B61C">
            <w:pPr>
              <w:spacing w:before="135"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0.089</w:t>
            </w:r>
          </w:p>
        </w:tc>
        <w:tc>
          <w:tcPr>
            <w:tcW w:w="1021" w:type="dxa"/>
            <w:tcBorders>
              <w:right w:val="single" w:color="000000" w:sz="10" w:space="0"/>
            </w:tcBorders>
            <w:vAlign w:val="top"/>
          </w:tcPr>
          <w:p w14:paraId="6F5635C9">
            <w:pPr>
              <w:spacing w:before="135"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52476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03" w:type="dxa"/>
            <w:tcBorders>
              <w:left w:val="single" w:color="000000" w:sz="10" w:space="0"/>
            </w:tcBorders>
            <w:vAlign w:val="top"/>
          </w:tcPr>
          <w:p w14:paraId="49179A06">
            <w:pPr>
              <w:spacing w:before="136"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2024-02</w:t>
            </w:r>
          </w:p>
        </w:tc>
        <w:tc>
          <w:tcPr>
            <w:tcW w:w="681" w:type="dxa"/>
            <w:vAlign w:val="top"/>
          </w:tcPr>
          <w:p w14:paraId="7A74595F">
            <w:pPr>
              <w:spacing w:before="139" w:line="192" w:lineRule="auto"/>
              <w:ind w:left="28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067" w:type="dxa"/>
            <w:vAlign w:val="top"/>
          </w:tcPr>
          <w:p w14:paraId="6DEF11C4">
            <w:pPr>
              <w:spacing w:before="136"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11.0</w:t>
            </w:r>
          </w:p>
        </w:tc>
        <w:tc>
          <w:tcPr>
            <w:tcW w:w="1752" w:type="dxa"/>
            <w:vAlign w:val="top"/>
          </w:tcPr>
          <w:p w14:paraId="5271EFA2">
            <w:pPr>
              <w:spacing w:before="136" w:line="195" w:lineRule="auto"/>
              <w:ind w:left="7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3.2</w:t>
            </w:r>
          </w:p>
        </w:tc>
        <w:tc>
          <w:tcPr>
            <w:tcW w:w="1522" w:type="dxa"/>
            <w:vAlign w:val="top"/>
          </w:tcPr>
          <w:p w14:paraId="063E1C07">
            <w:pPr>
              <w:spacing w:before="136" w:line="195" w:lineRule="auto"/>
              <w:ind w:left="5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15.0</w:t>
            </w:r>
          </w:p>
        </w:tc>
        <w:tc>
          <w:tcPr>
            <w:tcW w:w="1689" w:type="dxa"/>
            <w:vAlign w:val="top"/>
          </w:tcPr>
          <w:p w14:paraId="00ED10C9">
            <w:pPr>
              <w:spacing w:before="136" w:line="195" w:lineRule="auto"/>
              <w:ind w:left="73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338" w:type="dxa"/>
            <w:vAlign w:val="top"/>
          </w:tcPr>
          <w:p w14:paraId="1FE3D876">
            <w:pPr>
              <w:spacing w:before="136"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0.16</w:t>
            </w:r>
          </w:p>
        </w:tc>
        <w:tc>
          <w:tcPr>
            <w:tcW w:w="886" w:type="dxa"/>
            <w:vAlign w:val="top"/>
          </w:tcPr>
          <w:p w14:paraId="68D66616">
            <w:pPr>
              <w:spacing w:before="136"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0.040</w:t>
            </w:r>
          </w:p>
        </w:tc>
        <w:tc>
          <w:tcPr>
            <w:tcW w:w="886" w:type="dxa"/>
            <w:vAlign w:val="top"/>
          </w:tcPr>
          <w:p w14:paraId="47D7E18F">
            <w:pPr>
              <w:spacing w:before="136"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006" w:type="dxa"/>
            <w:vAlign w:val="top"/>
          </w:tcPr>
          <w:p w14:paraId="13058C8B">
            <w:pPr>
              <w:spacing w:before="136"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068" w:type="dxa"/>
            <w:vAlign w:val="top"/>
          </w:tcPr>
          <w:p w14:paraId="56BA41E6">
            <w:pPr>
              <w:spacing w:before="136"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0.132</w:t>
            </w:r>
          </w:p>
        </w:tc>
        <w:tc>
          <w:tcPr>
            <w:tcW w:w="1021" w:type="dxa"/>
            <w:tcBorders>
              <w:right w:val="single" w:color="000000" w:sz="10" w:space="0"/>
            </w:tcBorders>
            <w:vAlign w:val="top"/>
          </w:tcPr>
          <w:p w14:paraId="431A4011">
            <w:pPr>
              <w:spacing w:before="136"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71B67A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03" w:type="dxa"/>
            <w:tcBorders>
              <w:left w:val="single" w:color="000000" w:sz="10" w:space="0"/>
            </w:tcBorders>
            <w:vAlign w:val="top"/>
          </w:tcPr>
          <w:p w14:paraId="246725B9">
            <w:pPr>
              <w:spacing w:before="138"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2024-03</w:t>
            </w:r>
          </w:p>
        </w:tc>
        <w:tc>
          <w:tcPr>
            <w:tcW w:w="681" w:type="dxa"/>
            <w:vAlign w:val="top"/>
          </w:tcPr>
          <w:p w14:paraId="62E202E5">
            <w:pPr>
              <w:spacing w:before="141" w:line="192" w:lineRule="auto"/>
              <w:ind w:left="28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067" w:type="dxa"/>
            <w:vAlign w:val="top"/>
          </w:tcPr>
          <w:p w14:paraId="71CA94F6">
            <w:pPr>
              <w:spacing w:before="138"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11.2</w:t>
            </w:r>
          </w:p>
        </w:tc>
        <w:tc>
          <w:tcPr>
            <w:tcW w:w="1752" w:type="dxa"/>
            <w:vAlign w:val="top"/>
          </w:tcPr>
          <w:p w14:paraId="6D2D3B98">
            <w:pPr>
              <w:spacing w:before="138" w:line="195" w:lineRule="auto"/>
              <w:ind w:left="7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3.1</w:t>
            </w:r>
          </w:p>
        </w:tc>
        <w:tc>
          <w:tcPr>
            <w:tcW w:w="1522" w:type="dxa"/>
            <w:vAlign w:val="top"/>
          </w:tcPr>
          <w:p w14:paraId="0E3FCE32">
            <w:pPr>
              <w:spacing w:before="138" w:line="195" w:lineRule="auto"/>
              <w:ind w:left="5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11.0</w:t>
            </w:r>
          </w:p>
        </w:tc>
        <w:tc>
          <w:tcPr>
            <w:tcW w:w="1689" w:type="dxa"/>
            <w:vAlign w:val="top"/>
          </w:tcPr>
          <w:p w14:paraId="6C3B6AD1">
            <w:pPr>
              <w:spacing w:before="138" w:line="195" w:lineRule="auto"/>
              <w:ind w:left="73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338" w:type="dxa"/>
            <w:vAlign w:val="top"/>
          </w:tcPr>
          <w:p w14:paraId="6CB2A1BA">
            <w:pPr>
              <w:spacing w:before="138"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0.12</w:t>
            </w:r>
          </w:p>
        </w:tc>
        <w:tc>
          <w:tcPr>
            <w:tcW w:w="886" w:type="dxa"/>
            <w:vAlign w:val="top"/>
          </w:tcPr>
          <w:p w14:paraId="595EE17B">
            <w:pPr>
              <w:spacing w:before="138"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0.010</w:t>
            </w:r>
          </w:p>
        </w:tc>
        <w:tc>
          <w:tcPr>
            <w:tcW w:w="886" w:type="dxa"/>
            <w:vAlign w:val="top"/>
          </w:tcPr>
          <w:p w14:paraId="1A43B81F">
            <w:pPr>
              <w:spacing w:before="138"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0.006</w:t>
            </w:r>
          </w:p>
        </w:tc>
        <w:tc>
          <w:tcPr>
            <w:tcW w:w="1006" w:type="dxa"/>
            <w:vAlign w:val="top"/>
          </w:tcPr>
          <w:p w14:paraId="22A5F6F4">
            <w:pPr>
              <w:spacing w:before="138"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1068" w:type="dxa"/>
            <w:vAlign w:val="top"/>
          </w:tcPr>
          <w:p w14:paraId="6B479751">
            <w:pPr>
              <w:spacing w:before="138"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0.091</w:t>
            </w:r>
          </w:p>
        </w:tc>
        <w:tc>
          <w:tcPr>
            <w:tcW w:w="1021" w:type="dxa"/>
            <w:tcBorders>
              <w:right w:val="single" w:color="000000" w:sz="10" w:space="0"/>
            </w:tcBorders>
            <w:vAlign w:val="top"/>
          </w:tcPr>
          <w:p w14:paraId="76F46B8D">
            <w:pPr>
              <w:spacing w:before="138"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2E6DD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03" w:type="dxa"/>
            <w:tcBorders>
              <w:left w:val="single" w:color="000000" w:sz="10" w:space="0"/>
            </w:tcBorders>
            <w:vAlign w:val="top"/>
          </w:tcPr>
          <w:p w14:paraId="027F32BF">
            <w:pPr>
              <w:spacing w:before="141"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2024-04</w:t>
            </w:r>
          </w:p>
        </w:tc>
        <w:tc>
          <w:tcPr>
            <w:tcW w:w="681" w:type="dxa"/>
            <w:vAlign w:val="top"/>
          </w:tcPr>
          <w:p w14:paraId="2774531B">
            <w:pPr>
              <w:spacing w:before="144" w:line="192" w:lineRule="auto"/>
              <w:ind w:left="28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067" w:type="dxa"/>
            <w:vAlign w:val="top"/>
          </w:tcPr>
          <w:p w14:paraId="24449B83">
            <w:pPr>
              <w:spacing w:before="141"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10.8</w:t>
            </w:r>
          </w:p>
        </w:tc>
        <w:tc>
          <w:tcPr>
            <w:tcW w:w="1752" w:type="dxa"/>
            <w:vAlign w:val="top"/>
          </w:tcPr>
          <w:p w14:paraId="7D659CA1">
            <w:pPr>
              <w:spacing w:before="141" w:line="195" w:lineRule="auto"/>
              <w:ind w:left="7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522" w:type="dxa"/>
            <w:vAlign w:val="top"/>
          </w:tcPr>
          <w:p w14:paraId="7BE27871">
            <w:pPr>
              <w:spacing w:before="141" w:line="195" w:lineRule="auto"/>
              <w:ind w:left="5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w:t>
            </w:r>
          </w:p>
        </w:tc>
        <w:tc>
          <w:tcPr>
            <w:tcW w:w="1689" w:type="dxa"/>
            <w:vAlign w:val="top"/>
          </w:tcPr>
          <w:p w14:paraId="2EDC772E">
            <w:pPr>
              <w:spacing w:before="141"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0.7</w:t>
            </w:r>
          </w:p>
        </w:tc>
        <w:tc>
          <w:tcPr>
            <w:tcW w:w="1338" w:type="dxa"/>
            <w:vAlign w:val="top"/>
          </w:tcPr>
          <w:p w14:paraId="5482CE65">
            <w:pPr>
              <w:spacing w:before="141"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0.12</w:t>
            </w:r>
          </w:p>
        </w:tc>
        <w:tc>
          <w:tcPr>
            <w:tcW w:w="886" w:type="dxa"/>
            <w:vAlign w:val="top"/>
          </w:tcPr>
          <w:p w14:paraId="65636303">
            <w:pPr>
              <w:spacing w:before="141"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0.050</w:t>
            </w:r>
          </w:p>
        </w:tc>
        <w:tc>
          <w:tcPr>
            <w:tcW w:w="886" w:type="dxa"/>
            <w:vAlign w:val="top"/>
          </w:tcPr>
          <w:p w14:paraId="4714BA0D">
            <w:pPr>
              <w:spacing w:before="141"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0.006</w:t>
            </w:r>
          </w:p>
        </w:tc>
        <w:tc>
          <w:tcPr>
            <w:tcW w:w="1006" w:type="dxa"/>
            <w:vAlign w:val="top"/>
          </w:tcPr>
          <w:p w14:paraId="2D43D2CA">
            <w:pPr>
              <w:spacing w:before="141"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1068" w:type="dxa"/>
            <w:vAlign w:val="top"/>
          </w:tcPr>
          <w:p w14:paraId="056BAC25">
            <w:pPr>
              <w:spacing w:before="141"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0.143</w:t>
            </w:r>
          </w:p>
        </w:tc>
        <w:tc>
          <w:tcPr>
            <w:tcW w:w="1021" w:type="dxa"/>
            <w:tcBorders>
              <w:right w:val="single" w:color="000000" w:sz="10" w:space="0"/>
            </w:tcBorders>
            <w:vAlign w:val="top"/>
          </w:tcPr>
          <w:p w14:paraId="0982E71B">
            <w:pPr>
              <w:spacing w:before="141"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20570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03" w:type="dxa"/>
            <w:tcBorders>
              <w:left w:val="single" w:color="000000" w:sz="10" w:space="0"/>
            </w:tcBorders>
            <w:vAlign w:val="top"/>
          </w:tcPr>
          <w:p w14:paraId="085A82DE">
            <w:pPr>
              <w:spacing w:before="140"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2024-05</w:t>
            </w:r>
          </w:p>
        </w:tc>
        <w:tc>
          <w:tcPr>
            <w:tcW w:w="681" w:type="dxa"/>
            <w:vAlign w:val="top"/>
          </w:tcPr>
          <w:p w14:paraId="67074202">
            <w:pPr>
              <w:spacing w:before="143" w:line="192" w:lineRule="auto"/>
              <w:ind w:left="28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067" w:type="dxa"/>
            <w:vAlign w:val="top"/>
          </w:tcPr>
          <w:p w14:paraId="6F59DCEF">
            <w:pPr>
              <w:spacing w:before="140" w:line="195" w:lineRule="auto"/>
              <w:ind w:left="403"/>
              <w:rPr>
                <w:rFonts w:ascii="Times New Roman" w:hAnsi="Times New Roman" w:eastAsia="Times New Roman" w:cs="Times New Roman"/>
                <w:sz w:val="20"/>
                <w:szCs w:val="20"/>
              </w:rPr>
            </w:pPr>
            <w:r>
              <w:rPr>
                <w:rFonts w:ascii="Times New Roman" w:hAnsi="Times New Roman" w:eastAsia="Times New Roman" w:cs="Times New Roman"/>
                <w:sz w:val="20"/>
                <w:szCs w:val="20"/>
              </w:rPr>
              <w:t>8.9</w:t>
            </w:r>
          </w:p>
        </w:tc>
        <w:tc>
          <w:tcPr>
            <w:tcW w:w="1752" w:type="dxa"/>
            <w:vAlign w:val="top"/>
          </w:tcPr>
          <w:p w14:paraId="6024940B">
            <w:pPr>
              <w:spacing w:before="140" w:line="195" w:lineRule="auto"/>
              <w:ind w:left="7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1.9</w:t>
            </w:r>
          </w:p>
        </w:tc>
        <w:tc>
          <w:tcPr>
            <w:tcW w:w="1522" w:type="dxa"/>
            <w:vAlign w:val="top"/>
          </w:tcPr>
          <w:p w14:paraId="61C7F4B5">
            <w:pPr>
              <w:spacing w:before="140" w:line="195" w:lineRule="auto"/>
              <w:ind w:left="5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14.0</w:t>
            </w:r>
          </w:p>
        </w:tc>
        <w:tc>
          <w:tcPr>
            <w:tcW w:w="1689" w:type="dxa"/>
            <w:vAlign w:val="top"/>
          </w:tcPr>
          <w:p w14:paraId="2BE76C41">
            <w:pPr>
              <w:spacing w:before="140" w:line="195" w:lineRule="auto"/>
              <w:ind w:left="73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338" w:type="dxa"/>
            <w:vAlign w:val="top"/>
          </w:tcPr>
          <w:p w14:paraId="2A05DA5E">
            <w:pPr>
              <w:spacing w:before="140"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0.14</w:t>
            </w:r>
          </w:p>
        </w:tc>
        <w:tc>
          <w:tcPr>
            <w:tcW w:w="886" w:type="dxa"/>
            <w:vAlign w:val="top"/>
          </w:tcPr>
          <w:p w14:paraId="6B1C2B33">
            <w:pPr>
              <w:spacing w:before="140"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0.090</w:t>
            </w:r>
          </w:p>
        </w:tc>
        <w:tc>
          <w:tcPr>
            <w:tcW w:w="886" w:type="dxa"/>
            <w:vAlign w:val="top"/>
          </w:tcPr>
          <w:p w14:paraId="57765197">
            <w:pPr>
              <w:spacing w:before="140"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0.020</w:t>
            </w:r>
          </w:p>
        </w:tc>
        <w:tc>
          <w:tcPr>
            <w:tcW w:w="1006" w:type="dxa"/>
            <w:vAlign w:val="top"/>
          </w:tcPr>
          <w:p w14:paraId="0D13C559">
            <w:pPr>
              <w:spacing w:before="140"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0.0004</w:t>
            </w:r>
          </w:p>
        </w:tc>
        <w:tc>
          <w:tcPr>
            <w:tcW w:w="1068" w:type="dxa"/>
            <w:vAlign w:val="top"/>
          </w:tcPr>
          <w:p w14:paraId="11EE8C77">
            <w:pPr>
              <w:spacing w:before="140"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0.101</w:t>
            </w:r>
          </w:p>
        </w:tc>
        <w:tc>
          <w:tcPr>
            <w:tcW w:w="1021" w:type="dxa"/>
            <w:tcBorders>
              <w:right w:val="single" w:color="000000" w:sz="10" w:space="0"/>
            </w:tcBorders>
            <w:vAlign w:val="top"/>
          </w:tcPr>
          <w:p w14:paraId="673AD013">
            <w:pPr>
              <w:spacing w:before="140"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0118E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03" w:type="dxa"/>
            <w:tcBorders>
              <w:left w:val="single" w:color="000000" w:sz="10" w:space="0"/>
            </w:tcBorders>
            <w:vAlign w:val="top"/>
          </w:tcPr>
          <w:p w14:paraId="138F81F0">
            <w:pPr>
              <w:spacing w:before="142"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2024-06</w:t>
            </w:r>
          </w:p>
        </w:tc>
        <w:tc>
          <w:tcPr>
            <w:tcW w:w="681" w:type="dxa"/>
            <w:vAlign w:val="top"/>
          </w:tcPr>
          <w:p w14:paraId="52B2E5A5">
            <w:pPr>
              <w:spacing w:before="145" w:line="192" w:lineRule="auto"/>
              <w:ind w:left="28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067" w:type="dxa"/>
            <w:vAlign w:val="top"/>
          </w:tcPr>
          <w:p w14:paraId="05A76581">
            <w:pPr>
              <w:spacing w:before="142" w:line="195" w:lineRule="auto"/>
              <w:ind w:left="403"/>
              <w:rPr>
                <w:rFonts w:ascii="Times New Roman" w:hAnsi="Times New Roman" w:eastAsia="Times New Roman" w:cs="Times New Roman"/>
                <w:sz w:val="20"/>
                <w:szCs w:val="20"/>
              </w:rPr>
            </w:pPr>
            <w:r>
              <w:rPr>
                <w:rFonts w:ascii="Times New Roman" w:hAnsi="Times New Roman" w:eastAsia="Times New Roman" w:cs="Times New Roman"/>
                <w:sz w:val="20"/>
                <w:szCs w:val="20"/>
              </w:rPr>
              <w:t>8.2</w:t>
            </w:r>
          </w:p>
        </w:tc>
        <w:tc>
          <w:tcPr>
            <w:tcW w:w="1752" w:type="dxa"/>
            <w:vAlign w:val="top"/>
          </w:tcPr>
          <w:p w14:paraId="290C4D4A">
            <w:pPr>
              <w:spacing w:before="142" w:line="195" w:lineRule="auto"/>
              <w:ind w:left="7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1522" w:type="dxa"/>
            <w:vAlign w:val="top"/>
          </w:tcPr>
          <w:p w14:paraId="5D30A1E5">
            <w:pPr>
              <w:spacing w:before="142" w:line="195" w:lineRule="auto"/>
              <w:ind w:left="5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12.0</w:t>
            </w:r>
          </w:p>
        </w:tc>
        <w:tc>
          <w:tcPr>
            <w:tcW w:w="1689" w:type="dxa"/>
            <w:vAlign w:val="top"/>
          </w:tcPr>
          <w:p w14:paraId="427EDF42">
            <w:pPr>
              <w:spacing w:before="142"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0.9</w:t>
            </w:r>
          </w:p>
        </w:tc>
        <w:tc>
          <w:tcPr>
            <w:tcW w:w="1338" w:type="dxa"/>
            <w:vAlign w:val="top"/>
          </w:tcPr>
          <w:p w14:paraId="0128B6E4">
            <w:pPr>
              <w:spacing w:before="142"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w:t>
            </w:r>
          </w:p>
        </w:tc>
        <w:tc>
          <w:tcPr>
            <w:tcW w:w="886" w:type="dxa"/>
            <w:vAlign w:val="top"/>
          </w:tcPr>
          <w:p w14:paraId="33AE4889">
            <w:pPr>
              <w:spacing w:before="142"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0.036</w:t>
            </w:r>
          </w:p>
        </w:tc>
        <w:tc>
          <w:tcPr>
            <w:tcW w:w="886" w:type="dxa"/>
            <w:vAlign w:val="top"/>
          </w:tcPr>
          <w:p w14:paraId="0EE9BB0F">
            <w:pPr>
              <w:spacing w:before="142"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0.008</w:t>
            </w:r>
          </w:p>
        </w:tc>
        <w:tc>
          <w:tcPr>
            <w:tcW w:w="1006" w:type="dxa"/>
            <w:vAlign w:val="top"/>
          </w:tcPr>
          <w:p w14:paraId="3677F496">
            <w:pPr>
              <w:spacing w:before="142"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1068" w:type="dxa"/>
            <w:vAlign w:val="top"/>
          </w:tcPr>
          <w:p w14:paraId="2A262841">
            <w:pPr>
              <w:spacing w:before="142"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0.153</w:t>
            </w:r>
          </w:p>
        </w:tc>
        <w:tc>
          <w:tcPr>
            <w:tcW w:w="1021" w:type="dxa"/>
            <w:tcBorders>
              <w:right w:val="single" w:color="000000" w:sz="10" w:space="0"/>
            </w:tcBorders>
            <w:vAlign w:val="top"/>
          </w:tcPr>
          <w:p w14:paraId="394E8910">
            <w:pPr>
              <w:spacing w:before="142"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7023F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03" w:type="dxa"/>
            <w:tcBorders>
              <w:left w:val="single" w:color="000000" w:sz="10" w:space="0"/>
            </w:tcBorders>
            <w:vAlign w:val="top"/>
          </w:tcPr>
          <w:p w14:paraId="5ACB2F3A">
            <w:pPr>
              <w:spacing w:before="142"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2024-07</w:t>
            </w:r>
          </w:p>
        </w:tc>
        <w:tc>
          <w:tcPr>
            <w:tcW w:w="681" w:type="dxa"/>
            <w:vAlign w:val="top"/>
          </w:tcPr>
          <w:p w14:paraId="724B233D">
            <w:pPr>
              <w:spacing w:before="142"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67" w:type="dxa"/>
            <w:vAlign w:val="top"/>
          </w:tcPr>
          <w:p w14:paraId="0C1E2072">
            <w:pPr>
              <w:spacing w:before="142" w:line="195" w:lineRule="auto"/>
              <w:ind w:left="403"/>
              <w:rPr>
                <w:rFonts w:ascii="Times New Roman" w:hAnsi="Times New Roman" w:eastAsia="Times New Roman" w:cs="Times New Roman"/>
                <w:sz w:val="20"/>
                <w:szCs w:val="20"/>
              </w:rPr>
            </w:pPr>
            <w:r>
              <w:rPr>
                <w:rFonts w:ascii="Times New Roman" w:hAnsi="Times New Roman" w:eastAsia="Times New Roman" w:cs="Times New Roman"/>
                <w:sz w:val="20"/>
                <w:szCs w:val="20"/>
              </w:rPr>
              <w:t>8.8</w:t>
            </w:r>
          </w:p>
        </w:tc>
        <w:tc>
          <w:tcPr>
            <w:tcW w:w="1752" w:type="dxa"/>
            <w:vAlign w:val="top"/>
          </w:tcPr>
          <w:p w14:paraId="3E6FFDFB">
            <w:pPr>
              <w:spacing w:before="142" w:line="195" w:lineRule="auto"/>
              <w:ind w:left="7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522" w:type="dxa"/>
            <w:vAlign w:val="top"/>
          </w:tcPr>
          <w:p w14:paraId="76F69F04">
            <w:pPr>
              <w:spacing w:before="142" w:line="195" w:lineRule="auto"/>
              <w:ind w:left="63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9.0</w:t>
            </w:r>
          </w:p>
        </w:tc>
        <w:tc>
          <w:tcPr>
            <w:tcW w:w="1689" w:type="dxa"/>
            <w:vAlign w:val="top"/>
          </w:tcPr>
          <w:p w14:paraId="4D0200D5">
            <w:pPr>
              <w:spacing w:before="142"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0.7</w:t>
            </w:r>
          </w:p>
        </w:tc>
        <w:tc>
          <w:tcPr>
            <w:tcW w:w="1338" w:type="dxa"/>
            <w:vAlign w:val="top"/>
          </w:tcPr>
          <w:p w14:paraId="0A568D09">
            <w:pPr>
              <w:spacing w:before="142"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tc>
        <w:tc>
          <w:tcPr>
            <w:tcW w:w="886" w:type="dxa"/>
            <w:vAlign w:val="top"/>
          </w:tcPr>
          <w:p w14:paraId="219E1749">
            <w:pPr>
              <w:spacing w:before="142"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0.090</w:t>
            </w:r>
          </w:p>
        </w:tc>
        <w:tc>
          <w:tcPr>
            <w:tcW w:w="886" w:type="dxa"/>
            <w:vAlign w:val="top"/>
          </w:tcPr>
          <w:p w14:paraId="538045DA">
            <w:pPr>
              <w:spacing w:before="142"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0.008</w:t>
            </w:r>
          </w:p>
        </w:tc>
        <w:tc>
          <w:tcPr>
            <w:tcW w:w="1006" w:type="dxa"/>
            <w:vAlign w:val="top"/>
          </w:tcPr>
          <w:p w14:paraId="341FAFDC">
            <w:pPr>
              <w:spacing w:before="142"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0.015</w:t>
            </w:r>
          </w:p>
        </w:tc>
        <w:tc>
          <w:tcPr>
            <w:tcW w:w="1068" w:type="dxa"/>
            <w:vAlign w:val="top"/>
          </w:tcPr>
          <w:p w14:paraId="3C378F08">
            <w:pPr>
              <w:spacing w:before="142"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0.112</w:t>
            </w:r>
          </w:p>
        </w:tc>
        <w:tc>
          <w:tcPr>
            <w:tcW w:w="1021" w:type="dxa"/>
            <w:tcBorders>
              <w:right w:val="single" w:color="000000" w:sz="10" w:space="0"/>
            </w:tcBorders>
            <w:vAlign w:val="top"/>
          </w:tcPr>
          <w:p w14:paraId="1511C297">
            <w:pPr>
              <w:spacing w:before="142"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08F49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03" w:type="dxa"/>
            <w:tcBorders>
              <w:left w:val="single" w:color="000000" w:sz="10" w:space="0"/>
            </w:tcBorders>
            <w:vAlign w:val="top"/>
          </w:tcPr>
          <w:p w14:paraId="6035DA26">
            <w:pPr>
              <w:spacing w:before="144"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2024-08</w:t>
            </w:r>
          </w:p>
        </w:tc>
        <w:tc>
          <w:tcPr>
            <w:tcW w:w="681" w:type="dxa"/>
            <w:vAlign w:val="top"/>
          </w:tcPr>
          <w:p w14:paraId="5779A093">
            <w:pPr>
              <w:spacing w:before="144"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67" w:type="dxa"/>
            <w:vAlign w:val="top"/>
          </w:tcPr>
          <w:p w14:paraId="64A0FCF4">
            <w:pPr>
              <w:spacing w:before="144"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10.4</w:t>
            </w:r>
          </w:p>
        </w:tc>
        <w:tc>
          <w:tcPr>
            <w:tcW w:w="1752" w:type="dxa"/>
            <w:vAlign w:val="top"/>
          </w:tcPr>
          <w:p w14:paraId="56530408">
            <w:pPr>
              <w:spacing w:before="144" w:line="195" w:lineRule="auto"/>
              <w:ind w:left="7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p>
        </w:tc>
        <w:tc>
          <w:tcPr>
            <w:tcW w:w="1522" w:type="dxa"/>
            <w:vAlign w:val="top"/>
          </w:tcPr>
          <w:p w14:paraId="68CB7F6C">
            <w:pPr>
              <w:spacing w:before="144" w:line="195" w:lineRule="auto"/>
              <w:ind w:left="63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9.0</w:t>
            </w:r>
          </w:p>
        </w:tc>
        <w:tc>
          <w:tcPr>
            <w:tcW w:w="1689" w:type="dxa"/>
            <w:vAlign w:val="top"/>
          </w:tcPr>
          <w:p w14:paraId="131D2613">
            <w:pPr>
              <w:spacing w:before="144" w:line="195" w:lineRule="auto"/>
              <w:ind w:left="73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338" w:type="dxa"/>
            <w:vAlign w:val="top"/>
          </w:tcPr>
          <w:p w14:paraId="41ECA0DA">
            <w:pPr>
              <w:spacing w:before="144"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0.12</w:t>
            </w:r>
          </w:p>
        </w:tc>
        <w:tc>
          <w:tcPr>
            <w:tcW w:w="886" w:type="dxa"/>
            <w:vAlign w:val="top"/>
          </w:tcPr>
          <w:p w14:paraId="3571CA1F">
            <w:pPr>
              <w:spacing w:before="144"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0.040</w:t>
            </w:r>
          </w:p>
        </w:tc>
        <w:tc>
          <w:tcPr>
            <w:tcW w:w="886" w:type="dxa"/>
            <w:vAlign w:val="top"/>
          </w:tcPr>
          <w:p w14:paraId="7D15B016">
            <w:pPr>
              <w:spacing w:before="144"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006" w:type="dxa"/>
            <w:vAlign w:val="top"/>
          </w:tcPr>
          <w:p w14:paraId="47B2D59E">
            <w:pPr>
              <w:spacing w:before="144"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0.015</w:t>
            </w:r>
          </w:p>
        </w:tc>
        <w:tc>
          <w:tcPr>
            <w:tcW w:w="1068" w:type="dxa"/>
            <w:vAlign w:val="top"/>
          </w:tcPr>
          <w:p w14:paraId="50732AFE">
            <w:pPr>
              <w:spacing w:before="144"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0.096</w:t>
            </w:r>
          </w:p>
        </w:tc>
        <w:tc>
          <w:tcPr>
            <w:tcW w:w="1021" w:type="dxa"/>
            <w:tcBorders>
              <w:right w:val="single" w:color="000000" w:sz="10" w:space="0"/>
            </w:tcBorders>
            <w:vAlign w:val="top"/>
          </w:tcPr>
          <w:p w14:paraId="5D33C278">
            <w:pPr>
              <w:spacing w:before="144"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48CFB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03" w:type="dxa"/>
            <w:tcBorders>
              <w:left w:val="single" w:color="000000" w:sz="10" w:space="0"/>
            </w:tcBorders>
            <w:vAlign w:val="top"/>
          </w:tcPr>
          <w:p w14:paraId="310B7D74">
            <w:pPr>
              <w:spacing w:before="147"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2024-09</w:t>
            </w:r>
          </w:p>
        </w:tc>
        <w:tc>
          <w:tcPr>
            <w:tcW w:w="681" w:type="dxa"/>
            <w:vAlign w:val="top"/>
          </w:tcPr>
          <w:p w14:paraId="5712BFCE">
            <w:pPr>
              <w:spacing w:before="147"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67" w:type="dxa"/>
            <w:vAlign w:val="top"/>
          </w:tcPr>
          <w:p w14:paraId="18783171">
            <w:pPr>
              <w:spacing w:before="147"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9.2</w:t>
            </w:r>
          </w:p>
        </w:tc>
        <w:tc>
          <w:tcPr>
            <w:tcW w:w="1752" w:type="dxa"/>
            <w:vAlign w:val="top"/>
          </w:tcPr>
          <w:p w14:paraId="00D7A736">
            <w:pPr>
              <w:spacing w:before="147" w:line="195" w:lineRule="auto"/>
              <w:ind w:left="7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3.3</w:t>
            </w:r>
          </w:p>
        </w:tc>
        <w:tc>
          <w:tcPr>
            <w:tcW w:w="1522" w:type="dxa"/>
            <w:vAlign w:val="top"/>
          </w:tcPr>
          <w:p w14:paraId="3F397F07">
            <w:pPr>
              <w:spacing w:before="147" w:line="195" w:lineRule="auto"/>
              <w:ind w:left="5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w:t>
            </w:r>
          </w:p>
        </w:tc>
        <w:tc>
          <w:tcPr>
            <w:tcW w:w="1689" w:type="dxa"/>
            <w:vAlign w:val="top"/>
          </w:tcPr>
          <w:p w14:paraId="0986B08C">
            <w:pPr>
              <w:spacing w:before="147"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1338" w:type="dxa"/>
            <w:vAlign w:val="top"/>
          </w:tcPr>
          <w:p w14:paraId="79399764">
            <w:pPr>
              <w:spacing w:before="147"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0.13</w:t>
            </w:r>
          </w:p>
        </w:tc>
        <w:tc>
          <w:tcPr>
            <w:tcW w:w="886" w:type="dxa"/>
            <w:vAlign w:val="top"/>
          </w:tcPr>
          <w:p w14:paraId="06DE0ACA">
            <w:pPr>
              <w:spacing w:before="147"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0.040</w:t>
            </w:r>
          </w:p>
        </w:tc>
        <w:tc>
          <w:tcPr>
            <w:tcW w:w="886" w:type="dxa"/>
            <w:vAlign w:val="top"/>
          </w:tcPr>
          <w:p w14:paraId="63A81E86">
            <w:pPr>
              <w:spacing w:before="147"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1006" w:type="dxa"/>
            <w:vAlign w:val="top"/>
          </w:tcPr>
          <w:p w14:paraId="1EFC86CF">
            <w:pPr>
              <w:spacing w:before="147"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068" w:type="dxa"/>
            <w:vAlign w:val="top"/>
          </w:tcPr>
          <w:p w14:paraId="15E5CA46">
            <w:pPr>
              <w:spacing w:before="147"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0.146</w:t>
            </w:r>
          </w:p>
        </w:tc>
        <w:tc>
          <w:tcPr>
            <w:tcW w:w="1021" w:type="dxa"/>
            <w:tcBorders>
              <w:right w:val="single" w:color="000000" w:sz="10" w:space="0"/>
            </w:tcBorders>
            <w:vAlign w:val="top"/>
          </w:tcPr>
          <w:p w14:paraId="627E4F4C">
            <w:pPr>
              <w:spacing w:before="147"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118C35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03" w:type="dxa"/>
            <w:tcBorders>
              <w:left w:val="single" w:color="000000" w:sz="10" w:space="0"/>
            </w:tcBorders>
            <w:vAlign w:val="top"/>
          </w:tcPr>
          <w:p w14:paraId="1E9F0C79">
            <w:pPr>
              <w:spacing w:before="146"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2024-10</w:t>
            </w:r>
          </w:p>
        </w:tc>
        <w:tc>
          <w:tcPr>
            <w:tcW w:w="681" w:type="dxa"/>
            <w:vAlign w:val="top"/>
          </w:tcPr>
          <w:p w14:paraId="1F1E7399">
            <w:pPr>
              <w:spacing w:before="146"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67" w:type="dxa"/>
            <w:vAlign w:val="top"/>
          </w:tcPr>
          <w:p w14:paraId="3CC7E68A">
            <w:pPr>
              <w:spacing w:before="146" w:line="195" w:lineRule="auto"/>
              <w:ind w:left="403"/>
              <w:rPr>
                <w:rFonts w:ascii="Times New Roman" w:hAnsi="Times New Roman" w:eastAsia="Times New Roman" w:cs="Times New Roman"/>
                <w:sz w:val="20"/>
                <w:szCs w:val="20"/>
              </w:rPr>
            </w:pPr>
            <w:r>
              <w:rPr>
                <w:rFonts w:ascii="Times New Roman" w:hAnsi="Times New Roman" w:eastAsia="Times New Roman" w:cs="Times New Roman"/>
                <w:sz w:val="20"/>
                <w:szCs w:val="20"/>
              </w:rPr>
              <w:t>8.0</w:t>
            </w:r>
          </w:p>
        </w:tc>
        <w:tc>
          <w:tcPr>
            <w:tcW w:w="1752" w:type="dxa"/>
            <w:vAlign w:val="top"/>
          </w:tcPr>
          <w:p w14:paraId="1DBB7E8A">
            <w:pPr>
              <w:spacing w:before="146" w:line="195" w:lineRule="auto"/>
              <w:ind w:left="7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2.1</w:t>
            </w:r>
          </w:p>
        </w:tc>
        <w:tc>
          <w:tcPr>
            <w:tcW w:w="1522" w:type="dxa"/>
            <w:vAlign w:val="top"/>
          </w:tcPr>
          <w:p w14:paraId="099DDDE7">
            <w:pPr>
              <w:spacing w:before="146" w:line="195" w:lineRule="auto"/>
              <w:ind w:left="5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11.0</w:t>
            </w:r>
          </w:p>
        </w:tc>
        <w:tc>
          <w:tcPr>
            <w:tcW w:w="1689" w:type="dxa"/>
            <w:vAlign w:val="top"/>
          </w:tcPr>
          <w:p w14:paraId="49C47B44">
            <w:pPr>
              <w:spacing w:before="146"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0.7</w:t>
            </w:r>
          </w:p>
        </w:tc>
        <w:tc>
          <w:tcPr>
            <w:tcW w:w="1338" w:type="dxa"/>
            <w:vAlign w:val="top"/>
          </w:tcPr>
          <w:p w14:paraId="02AA45FC">
            <w:pPr>
              <w:spacing w:before="146"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tc>
        <w:tc>
          <w:tcPr>
            <w:tcW w:w="886" w:type="dxa"/>
            <w:vAlign w:val="top"/>
          </w:tcPr>
          <w:p w14:paraId="6D2837E8">
            <w:pPr>
              <w:spacing w:before="146"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0.040</w:t>
            </w:r>
          </w:p>
        </w:tc>
        <w:tc>
          <w:tcPr>
            <w:tcW w:w="886" w:type="dxa"/>
            <w:vAlign w:val="top"/>
          </w:tcPr>
          <w:p w14:paraId="5BA97C0E">
            <w:pPr>
              <w:spacing w:before="146"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006" w:type="dxa"/>
            <w:vAlign w:val="top"/>
          </w:tcPr>
          <w:p w14:paraId="4C21F077">
            <w:pPr>
              <w:spacing w:before="146"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0.010</w:t>
            </w:r>
          </w:p>
        </w:tc>
        <w:tc>
          <w:tcPr>
            <w:tcW w:w="1068" w:type="dxa"/>
            <w:vAlign w:val="top"/>
          </w:tcPr>
          <w:p w14:paraId="41F4005B">
            <w:pPr>
              <w:spacing w:before="146"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0.158</w:t>
            </w:r>
          </w:p>
        </w:tc>
        <w:tc>
          <w:tcPr>
            <w:tcW w:w="1021" w:type="dxa"/>
            <w:tcBorders>
              <w:right w:val="single" w:color="000000" w:sz="10" w:space="0"/>
            </w:tcBorders>
            <w:vAlign w:val="top"/>
          </w:tcPr>
          <w:p w14:paraId="026859BA">
            <w:pPr>
              <w:spacing w:before="146"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10B2A1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03" w:type="dxa"/>
            <w:tcBorders>
              <w:left w:val="single" w:color="000000" w:sz="10" w:space="0"/>
            </w:tcBorders>
            <w:vAlign w:val="top"/>
          </w:tcPr>
          <w:p w14:paraId="1B188FB5">
            <w:pPr>
              <w:spacing w:before="148"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2024-11</w:t>
            </w:r>
          </w:p>
        </w:tc>
        <w:tc>
          <w:tcPr>
            <w:tcW w:w="681" w:type="dxa"/>
            <w:vAlign w:val="top"/>
          </w:tcPr>
          <w:p w14:paraId="371ED644">
            <w:pPr>
              <w:spacing w:before="151" w:line="192" w:lineRule="auto"/>
              <w:ind w:left="28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067" w:type="dxa"/>
            <w:vAlign w:val="top"/>
          </w:tcPr>
          <w:p w14:paraId="668C78E6">
            <w:pPr>
              <w:spacing w:before="148" w:line="195" w:lineRule="auto"/>
              <w:ind w:left="403"/>
              <w:rPr>
                <w:rFonts w:ascii="Times New Roman" w:hAnsi="Times New Roman" w:eastAsia="Times New Roman" w:cs="Times New Roman"/>
                <w:sz w:val="20"/>
                <w:szCs w:val="20"/>
              </w:rPr>
            </w:pPr>
            <w:r>
              <w:rPr>
                <w:rFonts w:ascii="Times New Roman" w:hAnsi="Times New Roman" w:eastAsia="Times New Roman" w:cs="Times New Roman"/>
                <w:sz w:val="20"/>
                <w:szCs w:val="20"/>
              </w:rPr>
              <w:t>8.7</w:t>
            </w:r>
          </w:p>
        </w:tc>
        <w:tc>
          <w:tcPr>
            <w:tcW w:w="1752" w:type="dxa"/>
            <w:vAlign w:val="top"/>
          </w:tcPr>
          <w:p w14:paraId="7E5F6315">
            <w:pPr>
              <w:spacing w:before="148" w:line="195" w:lineRule="auto"/>
              <w:ind w:left="7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1522" w:type="dxa"/>
            <w:vAlign w:val="top"/>
          </w:tcPr>
          <w:p w14:paraId="590B5F00">
            <w:pPr>
              <w:spacing w:before="148" w:line="195" w:lineRule="auto"/>
              <w:ind w:left="5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14.0</w:t>
            </w:r>
          </w:p>
        </w:tc>
        <w:tc>
          <w:tcPr>
            <w:tcW w:w="1689" w:type="dxa"/>
            <w:vAlign w:val="top"/>
          </w:tcPr>
          <w:p w14:paraId="74912059">
            <w:pPr>
              <w:spacing w:before="148" w:line="195" w:lineRule="auto"/>
              <w:ind w:left="73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p>
        </w:tc>
        <w:tc>
          <w:tcPr>
            <w:tcW w:w="1338" w:type="dxa"/>
            <w:vAlign w:val="top"/>
          </w:tcPr>
          <w:p w14:paraId="7EB86689">
            <w:pPr>
              <w:spacing w:before="148"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886" w:type="dxa"/>
            <w:vAlign w:val="top"/>
          </w:tcPr>
          <w:p w14:paraId="19B595FD">
            <w:pPr>
              <w:spacing w:before="148"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0.050</w:t>
            </w:r>
          </w:p>
        </w:tc>
        <w:tc>
          <w:tcPr>
            <w:tcW w:w="886" w:type="dxa"/>
            <w:vAlign w:val="top"/>
          </w:tcPr>
          <w:p w14:paraId="42AB80E2">
            <w:pPr>
              <w:spacing w:before="148"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006" w:type="dxa"/>
            <w:vAlign w:val="top"/>
          </w:tcPr>
          <w:p w14:paraId="25DBF85F">
            <w:pPr>
              <w:spacing w:before="148"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0.066</w:t>
            </w:r>
          </w:p>
        </w:tc>
        <w:tc>
          <w:tcPr>
            <w:tcW w:w="1068" w:type="dxa"/>
            <w:vAlign w:val="top"/>
          </w:tcPr>
          <w:p w14:paraId="73513F47">
            <w:pPr>
              <w:spacing w:before="148"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0.134</w:t>
            </w:r>
          </w:p>
        </w:tc>
        <w:tc>
          <w:tcPr>
            <w:tcW w:w="1021" w:type="dxa"/>
            <w:tcBorders>
              <w:right w:val="single" w:color="000000" w:sz="10" w:space="0"/>
            </w:tcBorders>
            <w:vAlign w:val="top"/>
          </w:tcPr>
          <w:p w14:paraId="1C5C045B">
            <w:pPr>
              <w:spacing w:before="148"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36264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03" w:type="dxa"/>
            <w:tcBorders>
              <w:left w:val="single" w:color="000000" w:sz="10" w:space="0"/>
            </w:tcBorders>
            <w:vAlign w:val="top"/>
          </w:tcPr>
          <w:p w14:paraId="59C96825">
            <w:pPr>
              <w:spacing w:before="148"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2024-12</w:t>
            </w:r>
          </w:p>
        </w:tc>
        <w:tc>
          <w:tcPr>
            <w:tcW w:w="681" w:type="dxa"/>
            <w:vAlign w:val="top"/>
          </w:tcPr>
          <w:p w14:paraId="69C33516">
            <w:pPr>
              <w:spacing w:before="151" w:line="192" w:lineRule="auto"/>
              <w:ind w:left="282"/>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067" w:type="dxa"/>
            <w:vAlign w:val="top"/>
          </w:tcPr>
          <w:p w14:paraId="19741A1E">
            <w:pPr>
              <w:spacing w:before="148" w:line="195" w:lineRule="auto"/>
              <w:ind w:left="403"/>
              <w:rPr>
                <w:rFonts w:ascii="Times New Roman" w:hAnsi="Times New Roman" w:eastAsia="Times New Roman" w:cs="Times New Roman"/>
                <w:sz w:val="20"/>
                <w:szCs w:val="20"/>
              </w:rPr>
            </w:pPr>
            <w:r>
              <w:rPr>
                <w:rFonts w:ascii="Times New Roman" w:hAnsi="Times New Roman" w:eastAsia="Times New Roman" w:cs="Times New Roman"/>
                <w:sz w:val="20"/>
                <w:szCs w:val="20"/>
              </w:rPr>
              <w:t>8.7</w:t>
            </w:r>
          </w:p>
        </w:tc>
        <w:tc>
          <w:tcPr>
            <w:tcW w:w="1752" w:type="dxa"/>
            <w:vAlign w:val="top"/>
          </w:tcPr>
          <w:p w14:paraId="7CD618B7">
            <w:pPr>
              <w:spacing w:before="148" w:line="195" w:lineRule="auto"/>
              <w:ind w:left="76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1.1</w:t>
            </w:r>
          </w:p>
        </w:tc>
        <w:tc>
          <w:tcPr>
            <w:tcW w:w="1522" w:type="dxa"/>
            <w:vAlign w:val="top"/>
          </w:tcPr>
          <w:p w14:paraId="0B23320E">
            <w:pPr>
              <w:spacing w:before="148" w:line="195" w:lineRule="auto"/>
              <w:ind w:left="5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12.0</w:t>
            </w:r>
          </w:p>
        </w:tc>
        <w:tc>
          <w:tcPr>
            <w:tcW w:w="1689" w:type="dxa"/>
            <w:vAlign w:val="top"/>
          </w:tcPr>
          <w:p w14:paraId="6A437C7D">
            <w:pPr>
              <w:spacing w:before="148"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0.7</w:t>
            </w:r>
          </w:p>
        </w:tc>
        <w:tc>
          <w:tcPr>
            <w:tcW w:w="1338" w:type="dxa"/>
            <w:vAlign w:val="top"/>
          </w:tcPr>
          <w:p w14:paraId="7DDB123D">
            <w:pPr>
              <w:spacing w:before="148"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c>
          <w:tcPr>
            <w:tcW w:w="886" w:type="dxa"/>
            <w:vAlign w:val="top"/>
          </w:tcPr>
          <w:p w14:paraId="338407EA">
            <w:pPr>
              <w:spacing w:before="148"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0.060</w:t>
            </w:r>
          </w:p>
        </w:tc>
        <w:tc>
          <w:tcPr>
            <w:tcW w:w="886" w:type="dxa"/>
            <w:vAlign w:val="top"/>
          </w:tcPr>
          <w:p w14:paraId="6868604E">
            <w:pPr>
              <w:spacing w:before="148"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0.057</w:t>
            </w:r>
          </w:p>
        </w:tc>
        <w:tc>
          <w:tcPr>
            <w:tcW w:w="1006" w:type="dxa"/>
            <w:vAlign w:val="top"/>
          </w:tcPr>
          <w:p w14:paraId="2B36DDAD">
            <w:pPr>
              <w:spacing w:before="148"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0.013</w:t>
            </w:r>
          </w:p>
        </w:tc>
        <w:tc>
          <w:tcPr>
            <w:tcW w:w="1068" w:type="dxa"/>
            <w:vAlign w:val="top"/>
          </w:tcPr>
          <w:p w14:paraId="00F55E30">
            <w:pPr>
              <w:spacing w:before="148"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0.074</w:t>
            </w:r>
          </w:p>
        </w:tc>
        <w:tc>
          <w:tcPr>
            <w:tcW w:w="1021" w:type="dxa"/>
            <w:tcBorders>
              <w:right w:val="single" w:color="000000" w:sz="10" w:space="0"/>
            </w:tcBorders>
            <w:vAlign w:val="top"/>
          </w:tcPr>
          <w:p w14:paraId="24C4DAA3">
            <w:pPr>
              <w:spacing w:before="148"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03CD8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03" w:type="dxa"/>
            <w:tcBorders>
              <w:left w:val="single" w:color="000000" w:sz="10" w:space="0"/>
            </w:tcBorders>
            <w:vAlign w:val="top"/>
          </w:tcPr>
          <w:p w14:paraId="69C079E8">
            <w:pPr>
              <w:spacing w:before="150"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2025-01</w:t>
            </w:r>
          </w:p>
        </w:tc>
        <w:tc>
          <w:tcPr>
            <w:tcW w:w="681" w:type="dxa"/>
            <w:vAlign w:val="top"/>
          </w:tcPr>
          <w:p w14:paraId="59F98DF9">
            <w:pPr>
              <w:spacing w:before="150"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67" w:type="dxa"/>
            <w:vAlign w:val="top"/>
          </w:tcPr>
          <w:p w14:paraId="777574D2">
            <w:pPr>
              <w:spacing w:before="150"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11.2</w:t>
            </w:r>
          </w:p>
        </w:tc>
        <w:tc>
          <w:tcPr>
            <w:tcW w:w="1752" w:type="dxa"/>
            <w:vAlign w:val="top"/>
          </w:tcPr>
          <w:p w14:paraId="5BE2C7C4">
            <w:pPr>
              <w:spacing w:before="150" w:line="195" w:lineRule="auto"/>
              <w:ind w:left="761"/>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1.1</w:t>
            </w:r>
          </w:p>
        </w:tc>
        <w:tc>
          <w:tcPr>
            <w:tcW w:w="1522" w:type="dxa"/>
            <w:vAlign w:val="top"/>
          </w:tcPr>
          <w:p w14:paraId="42AB582F">
            <w:pPr>
              <w:spacing w:before="150" w:line="195" w:lineRule="auto"/>
              <w:ind w:left="5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w:t>
            </w:r>
          </w:p>
        </w:tc>
        <w:tc>
          <w:tcPr>
            <w:tcW w:w="1689" w:type="dxa"/>
            <w:vAlign w:val="top"/>
          </w:tcPr>
          <w:p w14:paraId="51DA6293">
            <w:pPr>
              <w:spacing w:before="150"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1338" w:type="dxa"/>
            <w:vAlign w:val="top"/>
          </w:tcPr>
          <w:p w14:paraId="5F0C8084">
            <w:pPr>
              <w:spacing w:before="150"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c>
          <w:tcPr>
            <w:tcW w:w="886" w:type="dxa"/>
            <w:vAlign w:val="top"/>
          </w:tcPr>
          <w:p w14:paraId="3DAC38E6">
            <w:pPr>
              <w:spacing w:before="150"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0.020</w:t>
            </w:r>
          </w:p>
        </w:tc>
        <w:tc>
          <w:tcPr>
            <w:tcW w:w="886" w:type="dxa"/>
            <w:vAlign w:val="top"/>
          </w:tcPr>
          <w:p w14:paraId="2CD3AA49">
            <w:pPr>
              <w:spacing w:before="150"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006" w:type="dxa"/>
            <w:vAlign w:val="top"/>
          </w:tcPr>
          <w:p w14:paraId="020F82F4">
            <w:pPr>
              <w:spacing w:before="150"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0.014</w:t>
            </w:r>
          </w:p>
        </w:tc>
        <w:tc>
          <w:tcPr>
            <w:tcW w:w="1068" w:type="dxa"/>
            <w:vAlign w:val="top"/>
          </w:tcPr>
          <w:p w14:paraId="53A12A7E">
            <w:pPr>
              <w:spacing w:before="150"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0.134</w:t>
            </w:r>
          </w:p>
        </w:tc>
        <w:tc>
          <w:tcPr>
            <w:tcW w:w="1021" w:type="dxa"/>
            <w:tcBorders>
              <w:right w:val="single" w:color="000000" w:sz="10" w:space="0"/>
            </w:tcBorders>
            <w:vAlign w:val="top"/>
          </w:tcPr>
          <w:p w14:paraId="717BCAE0">
            <w:pPr>
              <w:spacing w:before="150"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23083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03" w:type="dxa"/>
            <w:tcBorders>
              <w:left w:val="single" w:color="000000" w:sz="10" w:space="0"/>
            </w:tcBorders>
            <w:vAlign w:val="top"/>
          </w:tcPr>
          <w:p w14:paraId="41301441">
            <w:pPr>
              <w:spacing w:before="150"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2025-02</w:t>
            </w:r>
          </w:p>
        </w:tc>
        <w:tc>
          <w:tcPr>
            <w:tcW w:w="681" w:type="dxa"/>
            <w:vAlign w:val="top"/>
          </w:tcPr>
          <w:p w14:paraId="4D6C10EB">
            <w:pPr>
              <w:spacing w:before="150"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67" w:type="dxa"/>
            <w:vAlign w:val="top"/>
          </w:tcPr>
          <w:p w14:paraId="6A48DBB9">
            <w:pPr>
              <w:spacing w:before="150"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10.6</w:t>
            </w:r>
          </w:p>
        </w:tc>
        <w:tc>
          <w:tcPr>
            <w:tcW w:w="1752" w:type="dxa"/>
            <w:vAlign w:val="top"/>
          </w:tcPr>
          <w:p w14:paraId="45F0E0B6">
            <w:pPr>
              <w:spacing w:before="150" w:line="195" w:lineRule="auto"/>
              <w:ind w:left="74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1522" w:type="dxa"/>
            <w:vAlign w:val="top"/>
          </w:tcPr>
          <w:p w14:paraId="74AAAC74">
            <w:pPr>
              <w:spacing w:before="150" w:line="195" w:lineRule="auto"/>
              <w:ind w:left="6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689" w:type="dxa"/>
            <w:vAlign w:val="top"/>
          </w:tcPr>
          <w:p w14:paraId="1F5B29EF">
            <w:pPr>
              <w:spacing w:before="150"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338" w:type="dxa"/>
            <w:vAlign w:val="top"/>
          </w:tcPr>
          <w:p w14:paraId="127B84FF">
            <w:pPr>
              <w:spacing w:before="150"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886" w:type="dxa"/>
            <w:vAlign w:val="top"/>
          </w:tcPr>
          <w:p w14:paraId="6F663E9E">
            <w:pPr>
              <w:spacing w:before="150"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0.010</w:t>
            </w:r>
          </w:p>
        </w:tc>
        <w:tc>
          <w:tcPr>
            <w:tcW w:w="886" w:type="dxa"/>
            <w:vAlign w:val="top"/>
          </w:tcPr>
          <w:p w14:paraId="43E97C8E">
            <w:pPr>
              <w:spacing w:before="150"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0.029</w:t>
            </w:r>
          </w:p>
        </w:tc>
        <w:tc>
          <w:tcPr>
            <w:tcW w:w="1006" w:type="dxa"/>
            <w:vAlign w:val="top"/>
          </w:tcPr>
          <w:p w14:paraId="09449866">
            <w:pPr>
              <w:spacing w:before="150"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068" w:type="dxa"/>
            <w:vAlign w:val="top"/>
          </w:tcPr>
          <w:p w14:paraId="0B6CD937">
            <w:pPr>
              <w:spacing w:before="150"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0.126</w:t>
            </w:r>
          </w:p>
        </w:tc>
        <w:tc>
          <w:tcPr>
            <w:tcW w:w="1021" w:type="dxa"/>
            <w:tcBorders>
              <w:right w:val="single" w:color="000000" w:sz="10" w:space="0"/>
            </w:tcBorders>
            <w:vAlign w:val="top"/>
          </w:tcPr>
          <w:p w14:paraId="2AAC3193">
            <w:pPr>
              <w:spacing w:before="150"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13043D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03" w:type="dxa"/>
            <w:tcBorders>
              <w:left w:val="single" w:color="000000" w:sz="10" w:space="0"/>
            </w:tcBorders>
            <w:vAlign w:val="top"/>
          </w:tcPr>
          <w:p w14:paraId="0FFA1BE7">
            <w:pPr>
              <w:spacing w:before="152"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2025-03</w:t>
            </w:r>
          </w:p>
        </w:tc>
        <w:tc>
          <w:tcPr>
            <w:tcW w:w="681" w:type="dxa"/>
            <w:vAlign w:val="top"/>
          </w:tcPr>
          <w:p w14:paraId="747E8E2E">
            <w:pPr>
              <w:spacing w:before="152"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67" w:type="dxa"/>
            <w:vAlign w:val="top"/>
          </w:tcPr>
          <w:p w14:paraId="0C823636">
            <w:pPr>
              <w:spacing w:before="152"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10.2</w:t>
            </w:r>
          </w:p>
        </w:tc>
        <w:tc>
          <w:tcPr>
            <w:tcW w:w="1752" w:type="dxa"/>
            <w:vAlign w:val="top"/>
          </w:tcPr>
          <w:p w14:paraId="3A825DAC">
            <w:pPr>
              <w:spacing w:before="152" w:line="195" w:lineRule="auto"/>
              <w:ind w:left="74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1522" w:type="dxa"/>
            <w:vAlign w:val="top"/>
          </w:tcPr>
          <w:p w14:paraId="2F1B21A2">
            <w:pPr>
              <w:spacing w:before="152" w:line="195" w:lineRule="auto"/>
              <w:ind w:left="634"/>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689" w:type="dxa"/>
            <w:vAlign w:val="top"/>
          </w:tcPr>
          <w:p w14:paraId="13ECF127">
            <w:pPr>
              <w:spacing w:before="152"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338" w:type="dxa"/>
            <w:vAlign w:val="top"/>
          </w:tcPr>
          <w:p w14:paraId="47C36581">
            <w:pPr>
              <w:spacing w:before="152"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0.13</w:t>
            </w:r>
          </w:p>
        </w:tc>
        <w:tc>
          <w:tcPr>
            <w:tcW w:w="886" w:type="dxa"/>
            <w:vAlign w:val="top"/>
          </w:tcPr>
          <w:p w14:paraId="6A66A52B">
            <w:pPr>
              <w:spacing w:before="152"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0.040</w:t>
            </w:r>
          </w:p>
        </w:tc>
        <w:tc>
          <w:tcPr>
            <w:tcW w:w="886" w:type="dxa"/>
            <w:vAlign w:val="top"/>
          </w:tcPr>
          <w:p w14:paraId="0D8603C3">
            <w:pPr>
              <w:spacing w:before="152"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006" w:type="dxa"/>
            <w:vAlign w:val="top"/>
          </w:tcPr>
          <w:p w14:paraId="2057B94B">
            <w:pPr>
              <w:spacing w:before="152"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0.008</w:t>
            </w:r>
          </w:p>
        </w:tc>
        <w:tc>
          <w:tcPr>
            <w:tcW w:w="1068" w:type="dxa"/>
            <w:vAlign w:val="top"/>
          </w:tcPr>
          <w:p w14:paraId="4EF0FA8D">
            <w:pPr>
              <w:spacing w:before="152"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0.986</w:t>
            </w:r>
          </w:p>
        </w:tc>
        <w:tc>
          <w:tcPr>
            <w:tcW w:w="1021" w:type="dxa"/>
            <w:tcBorders>
              <w:right w:val="single" w:color="000000" w:sz="10" w:space="0"/>
            </w:tcBorders>
            <w:vAlign w:val="top"/>
          </w:tcPr>
          <w:p w14:paraId="46E9E178">
            <w:pPr>
              <w:spacing w:before="152"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40D47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303" w:type="dxa"/>
            <w:tcBorders>
              <w:left w:val="single" w:color="000000" w:sz="10" w:space="0"/>
              <w:bottom w:val="single" w:color="000000" w:sz="10" w:space="0"/>
            </w:tcBorders>
            <w:vAlign w:val="top"/>
          </w:tcPr>
          <w:p w14:paraId="2502A1EA">
            <w:pPr>
              <w:spacing w:before="154"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2025-04</w:t>
            </w:r>
          </w:p>
        </w:tc>
        <w:tc>
          <w:tcPr>
            <w:tcW w:w="681" w:type="dxa"/>
            <w:tcBorders>
              <w:bottom w:val="single" w:color="000000" w:sz="10" w:space="0"/>
            </w:tcBorders>
            <w:vAlign w:val="top"/>
          </w:tcPr>
          <w:p w14:paraId="45BAA60D">
            <w:pPr>
              <w:spacing w:before="154" w:line="195"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67" w:type="dxa"/>
            <w:tcBorders>
              <w:bottom w:val="single" w:color="000000" w:sz="10" w:space="0"/>
            </w:tcBorders>
            <w:vAlign w:val="top"/>
          </w:tcPr>
          <w:p w14:paraId="048945FF">
            <w:pPr>
              <w:spacing w:before="154"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10.3</w:t>
            </w:r>
          </w:p>
        </w:tc>
        <w:tc>
          <w:tcPr>
            <w:tcW w:w="1752" w:type="dxa"/>
            <w:tcBorders>
              <w:bottom w:val="single" w:color="000000" w:sz="10" w:space="0"/>
            </w:tcBorders>
            <w:vAlign w:val="top"/>
          </w:tcPr>
          <w:p w14:paraId="564DF507">
            <w:pPr>
              <w:spacing w:before="154" w:line="195" w:lineRule="auto"/>
              <w:ind w:left="74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0.9</w:t>
            </w:r>
          </w:p>
        </w:tc>
        <w:tc>
          <w:tcPr>
            <w:tcW w:w="1522" w:type="dxa"/>
            <w:tcBorders>
              <w:bottom w:val="single" w:color="000000" w:sz="10" w:space="0"/>
            </w:tcBorders>
            <w:vAlign w:val="top"/>
          </w:tcPr>
          <w:p w14:paraId="2AB676F3">
            <w:pPr>
              <w:spacing w:before="154" w:line="195" w:lineRule="auto"/>
              <w:ind w:left="6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689" w:type="dxa"/>
            <w:tcBorders>
              <w:bottom w:val="single" w:color="000000" w:sz="10" w:space="0"/>
            </w:tcBorders>
            <w:vAlign w:val="top"/>
          </w:tcPr>
          <w:p w14:paraId="19452D09">
            <w:pPr>
              <w:spacing w:before="154"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338" w:type="dxa"/>
            <w:tcBorders>
              <w:bottom w:val="single" w:color="000000" w:sz="10" w:space="0"/>
            </w:tcBorders>
            <w:vAlign w:val="top"/>
          </w:tcPr>
          <w:p w14:paraId="61DAF111">
            <w:pPr>
              <w:spacing w:before="154" w:line="195" w:lineRule="auto"/>
              <w:ind w:left="4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c>
          <w:tcPr>
            <w:tcW w:w="886" w:type="dxa"/>
            <w:tcBorders>
              <w:bottom w:val="single" w:color="000000" w:sz="10" w:space="0"/>
            </w:tcBorders>
            <w:vAlign w:val="top"/>
          </w:tcPr>
          <w:p w14:paraId="0565E454">
            <w:pPr>
              <w:spacing w:before="154" w:line="195" w:lineRule="auto"/>
              <w:ind w:left="2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0.020</w:t>
            </w:r>
          </w:p>
        </w:tc>
        <w:tc>
          <w:tcPr>
            <w:tcW w:w="886" w:type="dxa"/>
            <w:tcBorders>
              <w:bottom w:val="single" w:color="000000" w:sz="10" w:space="0"/>
            </w:tcBorders>
            <w:vAlign w:val="top"/>
          </w:tcPr>
          <w:p w14:paraId="33FD0B35">
            <w:pPr>
              <w:spacing w:before="154"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006" w:type="dxa"/>
            <w:tcBorders>
              <w:bottom w:val="single" w:color="000000" w:sz="10" w:space="0"/>
            </w:tcBorders>
            <w:vAlign w:val="top"/>
          </w:tcPr>
          <w:p w14:paraId="30379897">
            <w:pPr>
              <w:spacing w:before="154"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0.007</w:t>
            </w:r>
          </w:p>
        </w:tc>
        <w:tc>
          <w:tcPr>
            <w:tcW w:w="1068" w:type="dxa"/>
            <w:tcBorders>
              <w:bottom w:val="single" w:color="000000" w:sz="10" w:space="0"/>
            </w:tcBorders>
            <w:vAlign w:val="top"/>
          </w:tcPr>
          <w:p w14:paraId="104FA516">
            <w:pPr>
              <w:spacing w:before="154"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0.106</w:t>
            </w:r>
          </w:p>
        </w:tc>
        <w:tc>
          <w:tcPr>
            <w:tcW w:w="1021" w:type="dxa"/>
            <w:tcBorders>
              <w:bottom w:val="single" w:color="000000" w:sz="10" w:space="0"/>
              <w:right w:val="single" w:color="000000" w:sz="10" w:space="0"/>
            </w:tcBorders>
            <w:vAlign w:val="top"/>
          </w:tcPr>
          <w:p w14:paraId="676A9F12">
            <w:pPr>
              <w:spacing w:before="154"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bl>
    <w:p w14:paraId="05C9740A">
      <w:pPr>
        <w:pStyle w:val="2"/>
      </w:pPr>
    </w:p>
    <w:p w14:paraId="482A6D02">
      <w:pPr>
        <w:sectPr>
          <w:footerReference r:id="rId70" w:type="default"/>
          <w:pgSz w:w="16840" w:h="11907"/>
          <w:pgMar w:top="1132" w:right="1300" w:bottom="1258" w:left="1294" w:header="829" w:footer="1096" w:gutter="0"/>
          <w:cols w:space="720" w:num="1"/>
        </w:sectPr>
      </w:pPr>
    </w:p>
    <w:p w14:paraId="12A8766F">
      <w:pPr>
        <w:pStyle w:val="2"/>
        <w:spacing w:line="261" w:lineRule="auto"/>
      </w:pPr>
    </w:p>
    <w:p w14:paraId="363DB2AC">
      <w:pPr>
        <w:pStyle w:val="2"/>
        <w:spacing w:line="261" w:lineRule="auto"/>
      </w:pPr>
    </w:p>
    <w:p w14:paraId="26211315">
      <w:pPr>
        <w:spacing w:before="78" w:line="212" w:lineRule="auto"/>
        <w:ind w:left="2748"/>
        <w:rPr>
          <w:rFonts w:ascii="宋体" w:hAnsi="宋体" w:eastAsia="宋体" w:cs="宋体"/>
          <w:sz w:val="24"/>
          <w:szCs w:val="24"/>
        </w:rPr>
      </w:pPr>
      <w:r>
        <w:rPr>
          <w:rFonts w:ascii="宋体" w:hAnsi="宋体" w:eastAsia="宋体" w:cs="宋体"/>
          <w:b/>
          <w:bCs/>
          <w:spacing w:val="-1"/>
          <w:sz w:val="24"/>
          <w:szCs w:val="24"/>
        </w:rPr>
        <w:t>表</w:t>
      </w:r>
      <w:r>
        <w:rPr>
          <w:rFonts w:ascii="Times New Roman" w:hAnsi="Times New Roman" w:eastAsia="Times New Roman" w:cs="Times New Roman"/>
          <w:b/>
          <w:bCs/>
          <w:spacing w:val="-1"/>
          <w:sz w:val="24"/>
          <w:szCs w:val="24"/>
        </w:rPr>
        <w:t>4.3-5</w:t>
      </w:r>
      <w:r>
        <w:rPr>
          <w:rFonts w:ascii="宋体" w:hAnsi="宋体" w:eastAsia="宋体" w:cs="宋体"/>
          <w:b/>
          <w:bCs/>
          <w:spacing w:val="-1"/>
          <w:sz w:val="24"/>
          <w:szCs w:val="24"/>
        </w:rPr>
        <w:t>隆回县水厂断面监测数据（续表</w:t>
      </w:r>
      <w:r>
        <w:rPr>
          <w:rFonts w:ascii="宋体" w:hAnsi="宋体" w:eastAsia="宋体" w:cs="宋体"/>
          <w:b/>
          <w:bCs/>
          <w:spacing w:val="-16"/>
          <w:sz w:val="24"/>
          <w:szCs w:val="24"/>
        </w:rPr>
        <w:t>）（</w:t>
      </w:r>
      <w:r>
        <w:rPr>
          <w:rFonts w:ascii="Times New Roman" w:hAnsi="Times New Roman" w:eastAsia="Times New Roman" w:cs="Times New Roman"/>
          <w:b/>
          <w:bCs/>
          <w:spacing w:val="-1"/>
          <w:sz w:val="24"/>
          <w:szCs w:val="24"/>
        </w:rPr>
        <w:t>2022</w:t>
      </w:r>
      <w:r>
        <w:rPr>
          <w:rFonts w:ascii="宋体" w:hAnsi="宋体" w:eastAsia="宋体" w:cs="宋体"/>
          <w:b/>
          <w:bCs/>
          <w:spacing w:val="-1"/>
          <w:sz w:val="24"/>
          <w:szCs w:val="24"/>
        </w:rPr>
        <w:t>年</w:t>
      </w:r>
      <w:r>
        <w:rPr>
          <w:rFonts w:ascii="Times New Roman" w:hAnsi="Times New Roman" w:eastAsia="Times New Roman" w:cs="Times New Roman"/>
          <w:b/>
          <w:bCs/>
          <w:spacing w:val="-1"/>
          <w:sz w:val="24"/>
          <w:szCs w:val="24"/>
        </w:rPr>
        <w:t>1</w:t>
      </w:r>
      <w:r>
        <w:rPr>
          <w:rFonts w:ascii="宋体" w:hAnsi="宋体" w:eastAsia="宋体" w:cs="宋体"/>
          <w:b/>
          <w:bCs/>
          <w:spacing w:val="-1"/>
          <w:sz w:val="24"/>
          <w:szCs w:val="24"/>
        </w:rPr>
        <w:t>月</w:t>
      </w:r>
      <w:r>
        <w:rPr>
          <w:rFonts w:ascii="Times New Roman" w:hAnsi="Times New Roman" w:eastAsia="Times New Roman" w:cs="Times New Roman"/>
          <w:b/>
          <w:bCs/>
          <w:spacing w:val="-1"/>
          <w:sz w:val="24"/>
          <w:szCs w:val="24"/>
        </w:rPr>
        <w:t>-2025</w:t>
      </w:r>
      <w:r>
        <w:rPr>
          <w:rFonts w:ascii="宋体" w:hAnsi="宋体" w:eastAsia="宋体" w:cs="宋体"/>
          <w:b/>
          <w:bCs/>
          <w:spacing w:val="-1"/>
          <w:sz w:val="24"/>
          <w:szCs w:val="24"/>
        </w:rPr>
        <w:t>年</w:t>
      </w:r>
      <w:r>
        <w:rPr>
          <w:rFonts w:ascii="Times New Roman" w:hAnsi="Times New Roman" w:eastAsia="Times New Roman" w:cs="Times New Roman"/>
          <w:b/>
          <w:bCs/>
          <w:spacing w:val="-1"/>
          <w:sz w:val="24"/>
          <w:szCs w:val="24"/>
        </w:rPr>
        <w:t>4</w:t>
      </w:r>
      <w:r>
        <w:rPr>
          <w:rFonts w:ascii="宋体" w:hAnsi="宋体" w:eastAsia="宋体" w:cs="宋体"/>
          <w:b/>
          <w:bCs/>
          <w:spacing w:val="-1"/>
          <w:sz w:val="24"/>
          <w:szCs w:val="24"/>
        </w:rPr>
        <w:t>月</w:t>
      </w:r>
      <w:r>
        <w:rPr>
          <w:rFonts w:ascii="宋体" w:hAnsi="宋体" w:eastAsia="宋体" w:cs="宋体"/>
          <w:b/>
          <w:bCs/>
          <w:spacing w:val="-16"/>
          <w:sz w:val="24"/>
          <w:szCs w:val="24"/>
        </w:rPr>
        <w:t>）（</w:t>
      </w:r>
      <w:r>
        <w:rPr>
          <w:rFonts w:ascii="Times New Roman" w:hAnsi="Times New Roman" w:eastAsia="Times New Roman" w:cs="Times New Roman"/>
          <w:b/>
          <w:bCs/>
          <w:spacing w:val="-1"/>
          <w:sz w:val="24"/>
          <w:szCs w:val="24"/>
        </w:rPr>
        <w:t>mg/L</w:t>
      </w:r>
      <w:r>
        <w:rPr>
          <w:rFonts w:ascii="宋体" w:hAnsi="宋体" w:eastAsia="宋体" w:cs="宋体"/>
          <w:b/>
          <w:bCs/>
          <w:spacing w:val="-1"/>
          <w:sz w:val="24"/>
          <w:szCs w:val="24"/>
        </w:rPr>
        <w:t>）</w:t>
      </w:r>
    </w:p>
    <w:p w14:paraId="2320D026">
      <w:pPr>
        <w:spacing w:line="155" w:lineRule="exact"/>
      </w:pPr>
    </w:p>
    <w:tbl>
      <w:tblPr>
        <w:tblStyle w:val="5"/>
        <w:tblW w:w="1421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5"/>
        <w:gridCol w:w="1019"/>
        <w:gridCol w:w="1142"/>
        <w:gridCol w:w="1142"/>
        <w:gridCol w:w="1227"/>
        <w:gridCol w:w="1210"/>
        <w:gridCol w:w="1405"/>
        <w:gridCol w:w="1405"/>
        <w:gridCol w:w="1179"/>
        <w:gridCol w:w="1900"/>
        <w:gridCol w:w="1252"/>
      </w:tblGrid>
      <w:tr w14:paraId="2ABF4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335" w:type="dxa"/>
            <w:tcBorders>
              <w:top w:val="single" w:color="000000" w:sz="10" w:space="0"/>
              <w:left w:val="single" w:color="000000" w:sz="10" w:space="0"/>
            </w:tcBorders>
            <w:vAlign w:val="top"/>
          </w:tcPr>
          <w:p w14:paraId="2D85D287">
            <w:pPr>
              <w:pStyle w:val="6"/>
              <w:spacing w:before="97" w:line="227" w:lineRule="auto"/>
              <w:ind w:left="235"/>
            </w:pPr>
            <w:r>
              <w:rPr>
                <w:b/>
                <w:bCs/>
                <w:spacing w:val="6"/>
              </w:rPr>
              <w:t>采样时间</w:t>
            </w:r>
          </w:p>
        </w:tc>
        <w:tc>
          <w:tcPr>
            <w:tcW w:w="1019" w:type="dxa"/>
            <w:tcBorders>
              <w:top w:val="single" w:color="000000" w:sz="10" w:space="0"/>
            </w:tcBorders>
            <w:vAlign w:val="top"/>
          </w:tcPr>
          <w:p w14:paraId="6E3A6836">
            <w:pPr>
              <w:pStyle w:val="6"/>
              <w:spacing w:before="98" w:line="228" w:lineRule="auto"/>
              <w:ind w:left="398"/>
            </w:pPr>
            <w:r>
              <w:rPr>
                <w:b/>
                <w:bCs/>
                <w:spacing w:val="-1"/>
              </w:rPr>
              <w:t>砷</w:t>
            </w:r>
          </w:p>
        </w:tc>
        <w:tc>
          <w:tcPr>
            <w:tcW w:w="1142" w:type="dxa"/>
            <w:tcBorders>
              <w:top w:val="single" w:color="000000" w:sz="10" w:space="0"/>
            </w:tcBorders>
            <w:vAlign w:val="top"/>
          </w:tcPr>
          <w:p w14:paraId="4D3D0C41">
            <w:pPr>
              <w:pStyle w:val="6"/>
              <w:spacing w:before="98" w:line="228" w:lineRule="auto"/>
              <w:ind w:left="463"/>
            </w:pPr>
            <w:r>
              <w:rPr>
                <w:b/>
                <w:bCs/>
                <w:spacing w:val="-3"/>
              </w:rPr>
              <w:t>汞</w:t>
            </w:r>
          </w:p>
        </w:tc>
        <w:tc>
          <w:tcPr>
            <w:tcW w:w="1142" w:type="dxa"/>
            <w:tcBorders>
              <w:top w:val="single" w:color="000000" w:sz="10" w:space="0"/>
            </w:tcBorders>
            <w:vAlign w:val="top"/>
          </w:tcPr>
          <w:p w14:paraId="501ECADD">
            <w:pPr>
              <w:pStyle w:val="6"/>
              <w:spacing w:before="97" w:line="231" w:lineRule="auto"/>
              <w:ind w:left="464"/>
            </w:pPr>
            <w:r>
              <w:rPr>
                <w:b/>
                <w:bCs/>
              </w:rPr>
              <w:t>镉</w:t>
            </w:r>
          </w:p>
        </w:tc>
        <w:tc>
          <w:tcPr>
            <w:tcW w:w="1227" w:type="dxa"/>
            <w:tcBorders>
              <w:top w:val="single" w:color="000000" w:sz="10" w:space="0"/>
            </w:tcBorders>
            <w:vAlign w:val="top"/>
          </w:tcPr>
          <w:p w14:paraId="4C71F4B3">
            <w:pPr>
              <w:pStyle w:val="6"/>
              <w:spacing w:before="98" w:line="226" w:lineRule="auto"/>
              <w:ind w:left="302"/>
            </w:pPr>
            <w:r>
              <w:rPr>
                <w:b/>
                <w:bCs/>
                <w:spacing w:val="5"/>
              </w:rPr>
              <w:t>六价铬</w:t>
            </w:r>
          </w:p>
        </w:tc>
        <w:tc>
          <w:tcPr>
            <w:tcW w:w="1210" w:type="dxa"/>
            <w:tcBorders>
              <w:top w:val="single" w:color="000000" w:sz="10" w:space="0"/>
            </w:tcBorders>
            <w:vAlign w:val="top"/>
          </w:tcPr>
          <w:p w14:paraId="007CEBBF">
            <w:pPr>
              <w:pStyle w:val="6"/>
              <w:spacing w:before="98" w:line="232" w:lineRule="auto"/>
              <w:ind w:left="503"/>
            </w:pPr>
            <w:r>
              <w:rPr>
                <w:b/>
                <w:bCs/>
                <w:spacing w:val="-2"/>
              </w:rPr>
              <w:t>铅</w:t>
            </w:r>
          </w:p>
        </w:tc>
        <w:tc>
          <w:tcPr>
            <w:tcW w:w="1405" w:type="dxa"/>
            <w:tcBorders>
              <w:top w:val="single" w:color="000000" w:sz="10" w:space="0"/>
            </w:tcBorders>
            <w:vAlign w:val="top"/>
          </w:tcPr>
          <w:p w14:paraId="12DC8098">
            <w:pPr>
              <w:pStyle w:val="6"/>
              <w:spacing w:before="97" w:line="228" w:lineRule="auto"/>
              <w:ind w:left="392"/>
            </w:pPr>
            <w:r>
              <w:rPr>
                <w:b/>
                <w:bCs/>
                <w:spacing w:val="5"/>
              </w:rPr>
              <w:t>氰化物</w:t>
            </w:r>
          </w:p>
        </w:tc>
        <w:tc>
          <w:tcPr>
            <w:tcW w:w="1405" w:type="dxa"/>
            <w:tcBorders>
              <w:top w:val="single" w:color="000000" w:sz="10" w:space="0"/>
            </w:tcBorders>
            <w:vAlign w:val="top"/>
          </w:tcPr>
          <w:p w14:paraId="3ED417AA">
            <w:pPr>
              <w:pStyle w:val="6"/>
              <w:spacing w:before="98" w:line="228" w:lineRule="auto"/>
              <w:ind w:left="396"/>
            </w:pPr>
            <w:r>
              <w:rPr>
                <w:b/>
                <w:bCs/>
                <w:spacing w:val="5"/>
              </w:rPr>
              <w:t>挥发酚</w:t>
            </w:r>
          </w:p>
        </w:tc>
        <w:tc>
          <w:tcPr>
            <w:tcW w:w="1179" w:type="dxa"/>
            <w:tcBorders>
              <w:top w:val="single" w:color="000000" w:sz="10" w:space="0"/>
            </w:tcBorders>
            <w:vAlign w:val="top"/>
          </w:tcPr>
          <w:p w14:paraId="3693AE79">
            <w:pPr>
              <w:pStyle w:val="6"/>
              <w:spacing w:before="97" w:line="228" w:lineRule="auto"/>
              <w:ind w:left="286"/>
            </w:pPr>
            <w:r>
              <w:rPr>
                <w:b/>
                <w:bCs/>
                <w:spacing w:val="5"/>
              </w:rPr>
              <w:t>石油类</w:t>
            </w:r>
          </w:p>
        </w:tc>
        <w:tc>
          <w:tcPr>
            <w:tcW w:w="1900" w:type="dxa"/>
            <w:tcBorders>
              <w:top w:val="single" w:color="000000" w:sz="10" w:space="0"/>
            </w:tcBorders>
            <w:vAlign w:val="top"/>
          </w:tcPr>
          <w:p w14:paraId="726ACBEB">
            <w:pPr>
              <w:pStyle w:val="6"/>
              <w:spacing w:before="97" w:line="227" w:lineRule="auto"/>
              <w:ind w:left="138"/>
            </w:pPr>
            <w:r>
              <w:rPr>
                <w:b/>
                <w:bCs/>
                <w:spacing w:val="5"/>
              </w:rPr>
              <w:t>阴离子表面活性剂</w:t>
            </w:r>
          </w:p>
        </w:tc>
        <w:tc>
          <w:tcPr>
            <w:tcW w:w="1252" w:type="dxa"/>
            <w:tcBorders>
              <w:top w:val="single" w:color="000000" w:sz="10" w:space="0"/>
              <w:right w:val="single" w:color="000000" w:sz="10" w:space="0"/>
            </w:tcBorders>
            <w:vAlign w:val="top"/>
          </w:tcPr>
          <w:p w14:paraId="481355AE">
            <w:pPr>
              <w:pStyle w:val="6"/>
              <w:spacing w:before="98" w:line="229" w:lineRule="auto"/>
              <w:ind w:left="318"/>
            </w:pPr>
            <w:r>
              <w:rPr>
                <w:b/>
                <w:bCs/>
                <w:spacing w:val="5"/>
              </w:rPr>
              <w:t>硫化物</w:t>
            </w:r>
          </w:p>
        </w:tc>
      </w:tr>
      <w:tr w14:paraId="10BF6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35" w:type="dxa"/>
            <w:tcBorders>
              <w:left w:val="single" w:color="000000" w:sz="10" w:space="0"/>
            </w:tcBorders>
            <w:vAlign w:val="top"/>
          </w:tcPr>
          <w:p w14:paraId="1BBA5B3F">
            <w:pPr>
              <w:spacing w:before="129"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2022-01</w:t>
            </w:r>
          </w:p>
        </w:tc>
        <w:tc>
          <w:tcPr>
            <w:tcW w:w="1019" w:type="dxa"/>
            <w:vAlign w:val="top"/>
          </w:tcPr>
          <w:p w14:paraId="450074EE">
            <w:pPr>
              <w:spacing w:before="129"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0.0008</w:t>
            </w:r>
          </w:p>
        </w:tc>
        <w:tc>
          <w:tcPr>
            <w:tcW w:w="1142" w:type="dxa"/>
            <w:vAlign w:val="top"/>
          </w:tcPr>
          <w:p w14:paraId="5E7210F6">
            <w:pPr>
              <w:spacing w:before="129"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42" w:type="dxa"/>
            <w:vAlign w:val="top"/>
          </w:tcPr>
          <w:p w14:paraId="2556972C">
            <w:pPr>
              <w:spacing w:before="129"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227" w:type="dxa"/>
            <w:vAlign w:val="top"/>
          </w:tcPr>
          <w:p w14:paraId="04A720ED">
            <w:pPr>
              <w:spacing w:before="129"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210" w:type="dxa"/>
            <w:vAlign w:val="top"/>
          </w:tcPr>
          <w:p w14:paraId="61A4AB88">
            <w:pPr>
              <w:spacing w:before="129" w:line="195" w:lineRule="auto"/>
              <w:ind w:left="3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w:t>
            </w:r>
          </w:p>
        </w:tc>
        <w:tc>
          <w:tcPr>
            <w:tcW w:w="1405" w:type="dxa"/>
            <w:vAlign w:val="top"/>
          </w:tcPr>
          <w:p w14:paraId="1F83F0F4">
            <w:pPr>
              <w:spacing w:before="129"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405" w:type="dxa"/>
            <w:vAlign w:val="top"/>
          </w:tcPr>
          <w:p w14:paraId="7102A08D">
            <w:pPr>
              <w:spacing w:before="129"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79" w:type="dxa"/>
            <w:vAlign w:val="top"/>
          </w:tcPr>
          <w:p w14:paraId="469194E6">
            <w:pPr>
              <w:spacing w:before="129"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900" w:type="dxa"/>
            <w:vAlign w:val="top"/>
          </w:tcPr>
          <w:p w14:paraId="5BF277C6">
            <w:pPr>
              <w:spacing w:before="129"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252" w:type="dxa"/>
            <w:tcBorders>
              <w:right w:val="single" w:color="000000" w:sz="10" w:space="0"/>
            </w:tcBorders>
            <w:vAlign w:val="top"/>
          </w:tcPr>
          <w:p w14:paraId="68D4D146">
            <w:pPr>
              <w:spacing w:before="129"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r>
      <w:tr w14:paraId="15936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35" w:type="dxa"/>
            <w:tcBorders>
              <w:left w:val="single" w:color="000000" w:sz="10" w:space="0"/>
            </w:tcBorders>
            <w:vAlign w:val="top"/>
          </w:tcPr>
          <w:p w14:paraId="31D9D762">
            <w:pPr>
              <w:spacing w:before="131"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2022-02</w:t>
            </w:r>
          </w:p>
        </w:tc>
        <w:tc>
          <w:tcPr>
            <w:tcW w:w="1019" w:type="dxa"/>
            <w:vAlign w:val="top"/>
          </w:tcPr>
          <w:p w14:paraId="7F9B99A2">
            <w:pPr>
              <w:spacing w:before="131"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0.0012</w:t>
            </w:r>
          </w:p>
        </w:tc>
        <w:tc>
          <w:tcPr>
            <w:tcW w:w="1142" w:type="dxa"/>
            <w:vAlign w:val="top"/>
          </w:tcPr>
          <w:p w14:paraId="69015B64">
            <w:pPr>
              <w:spacing w:before="131"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42" w:type="dxa"/>
            <w:vAlign w:val="top"/>
          </w:tcPr>
          <w:p w14:paraId="46D4264C">
            <w:pPr>
              <w:spacing w:before="131"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227" w:type="dxa"/>
            <w:vAlign w:val="top"/>
          </w:tcPr>
          <w:p w14:paraId="2040238D">
            <w:pPr>
              <w:spacing w:before="131"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210" w:type="dxa"/>
            <w:vAlign w:val="top"/>
          </w:tcPr>
          <w:p w14:paraId="6A2AA360">
            <w:pPr>
              <w:spacing w:before="131" w:line="195" w:lineRule="auto"/>
              <w:ind w:left="3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w:t>
            </w:r>
          </w:p>
        </w:tc>
        <w:tc>
          <w:tcPr>
            <w:tcW w:w="1405" w:type="dxa"/>
            <w:vAlign w:val="top"/>
          </w:tcPr>
          <w:p w14:paraId="0E7195EE">
            <w:pPr>
              <w:spacing w:before="131"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405" w:type="dxa"/>
            <w:vAlign w:val="top"/>
          </w:tcPr>
          <w:p w14:paraId="434F5273">
            <w:pPr>
              <w:spacing w:before="131"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79" w:type="dxa"/>
            <w:vAlign w:val="top"/>
          </w:tcPr>
          <w:p w14:paraId="3FD2FE15">
            <w:pPr>
              <w:spacing w:before="131"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900" w:type="dxa"/>
            <w:vAlign w:val="top"/>
          </w:tcPr>
          <w:p w14:paraId="1955F589">
            <w:pPr>
              <w:spacing w:before="131"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252" w:type="dxa"/>
            <w:tcBorders>
              <w:right w:val="single" w:color="000000" w:sz="10" w:space="0"/>
            </w:tcBorders>
            <w:vAlign w:val="top"/>
          </w:tcPr>
          <w:p w14:paraId="3DDE570E">
            <w:pPr>
              <w:spacing w:before="131"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r>
      <w:tr w14:paraId="7F547E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5" w:type="dxa"/>
            <w:tcBorders>
              <w:left w:val="single" w:color="000000" w:sz="10" w:space="0"/>
            </w:tcBorders>
            <w:vAlign w:val="top"/>
          </w:tcPr>
          <w:p w14:paraId="3D799267">
            <w:pPr>
              <w:spacing w:before="131"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2022-03</w:t>
            </w:r>
          </w:p>
        </w:tc>
        <w:tc>
          <w:tcPr>
            <w:tcW w:w="1019" w:type="dxa"/>
            <w:vAlign w:val="top"/>
          </w:tcPr>
          <w:p w14:paraId="4A5C354B">
            <w:pPr>
              <w:spacing w:before="131"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0.0016</w:t>
            </w:r>
          </w:p>
        </w:tc>
        <w:tc>
          <w:tcPr>
            <w:tcW w:w="1142" w:type="dxa"/>
            <w:vAlign w:val="top"/>
          </w:tcPr>
          <w:p w14:paraId="30E3D84A">
            <w:pPr>
              <w:spacing w:before="131"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42" w:type="dxa"/>
            <w:vAlign w:val="top"/>
          </w:tcPr>
          <w:p w14:paraId="3F1AFB01">
            <w:pPr>
              <w:spacing w:before="131"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227" w:type="dxa"/>
            <w:vAlign w:val="top"/>
          </w:tcPr>
          <w:p w14:paraId="792B8162">
            <w:pPr>
              <w:spacing w:before="131"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210" w:type="dxa"/>
            <w:vAlign w:val="top"/>
          </w:tcPr>
          <w:p w14:paraId="316EE8DF">
            <w:pPr>
              <w:spacing w:before="131"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1405" w:type="dxa"/>
            <w:vAlign w:val="top"/>
          </w:tcPr>
          <w:p w14:paraId="457BC823">
            <w:pPr>
              <w:spacing w:before="131"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405" w:type="dxa"/>
            <w:vAlign w:val="top"/>
          </w:tcPr>
          <w:p w14:paraId="25CC3AC3">
            <w:pPr>
              <w:spacing w:before="131"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79" w:type="dxa"/>
            <w:vAlign w:val="top"/>
          </w:tcPr>
          <w:p w14:paraId="058C8285">
            <w:pPr>
              <w:spacing w:before="131"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900" w:type="dxa"/>
            <w:vAlign w:val="top"/>
          </w:tcPr>
          <w:p w14:paraId="2BCCBAFE">
            <w:pPr>
              <w:spacing w:before="131"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252" w:type="dxa"/>
            <w:tcBorders>
              <w:right w:val="single" w:color="000000" w:sz="10" w:space="0"/>
            </w:tcBorders>
            <w:vAlign w:val="top"/>
          </w:tcPr>
          <w:p w14:paraId="64C5BCCA">
            <w:pPr>
              <w:spacing w:before="131"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2CA9D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35" w:type="dxa"/>
            <w:tcBorders>
              <w:left w:val="single" w:color="000000" w:sz="10" w:space="0"/>
            </w:tcBorders>
            <w:vAlign w:val="top"/>
          </w:tcPr>
          <w:p w14:paraId="799F100B">
            <w:pPr>
              <w:spacing w:before="134"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2022-04</w:t>
            </w:r>
          </w:p>
        </w:tc>
        <w:tc>
          <w:tcPr>
            <w:tcW w:w="1019" w:type="dxa"/>
            <w:vAlign w:val="top"/>
          </w:tcPr>
          <w:p w14:paraId="70E6226A">
            <w:pPr>
              <w:spacing w:before="134"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0.0022</w:t>
            </w:r>
          </w:p>
        </w:tc>
        <w:tc>
          <w:tcPr>
            <w:tcW w:w="1142" w:type="dxa"/>
            <w:vAlign w:val="top"/>
          </w:tcPr>
          <w:p w14:paraId="745BEA1B">
            <w:pPr>
              <w:spacing w:before="134"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42" w:type="dxa"/>
            <w:vAlign w:val="top"/>
          </w:tcPr>
          <w:p w14:paraId="1DAF9236">
            <w:pPr>
              <w:spacing w:before="134"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0.00005</w:t>
            </w:r>
          </w:p>
        </w:tc>
        <w:tc>
          <w:tcPr>
            <w:tcW w:w="1227" w:type="dxa"/>
            <w:vAlign w:val="top"/>
          </w:tcPr>
          <w:p w14:paraId="1D835D32">
            <w:pPr>
              <w:spacing w:before="134"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210" w:type="dxa"/>
            <w:vAlign w:val="top"/>
          </w:tcPr>
          <w:p w14:paraId="0867DB92">
            <w:pPr>
              <w:spacing w:before="134"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1405" w:type="dxa"/>
            <w:vAlign w:val="top"/>
          </w:tcPr>
          <w:p w14:paraId="3AFA4CCC">
            <w:pPr>
              <w:spacing w:before="134"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405" w:type="dxa"/>
            <w:vAlign w:val="top"/>
          </w:tcPr>
          <w:p w14:paraId="31974296">
            <w:pPr>
              <w:spacing w:before="134"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79" w:type="dxa"/>
            <w:vAlign w:val="top"/>
          </w:tcPr>
          <w:p w14:paraId="1F701448">
            <w:pPr>
              <w:spacing w:before="134"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900" w:type="dxa"/>
            <w:vAlign w:val="top"/>
          </w:tcPr>
          <w:p w14:paraId="718BB140">
            <w:pPr>
              <w:spacing w:before="134"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252" w:type="dxa"/>
            <w:tcBorders>
              <w:right w:val="single" w:color="000000" w:sz="10" w:space="0"/>
            </w:tcBorders>
            <w:vAlign w:val="top"/>
          </w:tcPr>
          <w:p w14:paraId="20B4D689">
            <w:pPr>
              <w:spacing w:before="134"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0E3ACC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5" w:type="dxa"/>
            <w:tcBorders>
              <w:left w:val="single" w:color="000000" w:sz="10" w:space="0"/>
            </w:tcBorders>
            <w:vAlign w:val="top"/>
          </w:tcPr>
          <w:p w14:paraId="52DF7727">
            <w:pPr>
              <w:spacing w:before="136"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2022-05</w:t>
            </w:r>
          </w:p>
        </w:tc>
        <w:tc>
          <w:tcPr>
            <w:tcW w:w="1019" w:type="dxa"/>
            <w:vAlign w:val="top"/>
          </w:tcPr>
          <w:p w14:paraId="24F498B7">
            <w:pPr>
              <w:spacing w:before="136"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0.0023</w:t>
            </w:r>
          </w:p>
        </w:tc>
        <w:tc>
          <w:tcPr>
            <w:tcW w:w="1142" w:type="dxa"/>
            <w:vAlign w:val="top"/>
          </w:tcPr>
          <w:p w14:paraId="1C853F11">
            <w:pPr>
              <w:spacing w:before="136"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42" w:type="dxa"/>
            <w:vAlign w:val="top"/>
          </w:tcPr>
          <w:p w14:paraId="582BFCE0">
            <w:pPr>
              <w:spacing w:before="136"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0.00005</w:t>
            </w:r>
          </w:p>
        </w:tc>
        <w:tc>
          <w:tcPr>
            <w:tcW w:w="1227" w:type="dxa"/>
            <w:vAlign w:val="top"/>
          </w:tcPr>
          <w:p w14:paraId="26477AD3">
            <w:pPr>
              <w:spacing w:before="136"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210" w:type="dxa"/>
            <w:vAlign w:val="top"/>
          </w:tcPr>
          <w:p w14:paraId="7584EF36">
            <w:pPr>
              <w:spacing w:before="136"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1405" w:type="dxa"/>
            <w:vAlign w:val="top"/>
          </w:tcPr>
          <w:p w14:paraId="7C7A4CC3">
            <w:pPr>
              <w:spacing w:before="136"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405" w:type="dxa"/>
            <w:vAlign w:val="top"/>
          </w:tcPr>
          <w:p w14:paraId="2020959B">
            <w:pPr>
              <w:spacing w:before="136"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79" w:type="dxa"/>
            <w:vAlign w:val="top"/>
          </w:tcPr>
          <w:p w14:paraId="023B6A5A">
            <w:pPr>
              <w:spacing w:before="136"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900" w:type="dxa"/>
            <w:vAlign w:val="top"/>
          </w:tcPr>
          <w:p w14:paraId="6F919408">
            <w:pPr>
              <w:spacing w:before="136"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252" w:type="dxa"/>
            <w:tcBorders>
              <w:right w:val="single" w:color="000000" w:sz="10" w:space="0"/>
            </w:tcBorders>
            <w:vAlign w:val="top"/>
          </w:tcPr>
          <w:p w14:paraId="42DABE07">
            <w:pPr>
              <w:spacing w:before="136"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79D8D3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35" w:type="dxa"/>
            <w:tcBorders>
              <w:left w:val="single" w:color="000000" w:sz="10" w:space="0"/>
            </w:tcBorders>
            <w:vAlign w:val="top"/>
          </w:tcPr>
          <w:p w14:paraId="595D06C2">
            <w:pPr>
              <w:spacing w:before="136"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2022-06</w:t>
            </w:r>
          </w:p>
        </w:tc>
        <w:tc>
          <w:tcPr>
            <w:tcW w:w="1019" w:type="dxa"/>
            <w:vAlign w:val="top"/>
          </w:tcPr>
          <w:p w14:paraId="19BBD7CC">
            <w:pPr>
              <w:spacing w:before="136"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0.0023</w:t>
            </w:r>
          </w:p>
        </w:tc>
        <w:tc>
          <w:tcPr>
            <w:tcW w:w="1142" w:type="dxa"/>
            <w:vAlign w:val="top"/>
          </w:tcPr>
          <w:p w14:paraId="15E74A36">
            <w:pPr>
              <w:spacing w:before="136"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42" w:type="dxa"/>
            <w:vAlign w:val="top"/>
          </w:tcPr>
          <w:p w14:paraId="46B380A4">
            <w:pPr>
              <w:spacing w:before="136"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0.00005</w:t>
            </w:r>
          </w:p>
        </w:tc>
        <w:tc>
          <w:tcPr>
            <w:tcW w:w="1227" w:type="dxa"/>
            <w:vAlign w:val="top"/>
          </w:tcPr>
          <w:p w14:paraId="62D838B6">
            <w:pPr>
              <w:spacing w:before="136"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210" w:type="dxa"/>
            <w:vAlign w:val="top"/>
          </w:tcPr>
          <w:p w14:paraId="3DEBE063">
            <w:pPr>
              <w:spacing w:before="136"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1405" w:type="dxa"/>
            <w:vAlign w:val="top"/>
          </w:tcPr>
          <w:p w14:paraId="5F6CF5EA">
            <w:pPr>
              <w:spacing w:before="136"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405" w:type="dxa"/>
            <w:vAlign w:val="top"/>
          </w:tcPr>
          <w:p w14:paraId="02DF53D2">
            <w:pPr>
              <w:spacing w:before="136"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79" w:type="dxa"/>
            <w:vAlign w:val="top"/>
          </w:tcPr>
          <w:p w14:paraId="1160FFDA">
            <w:pPr>
              <w:spacing w:before="136"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900" w:type="dxa"/>
            <w:vAlign w:val="top"/>
          </w:tcPr>
          <w:p w14:paraId="79CC7887">
            <w:pPr>
              <w:spacing w:before="136"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252" w:type="dxa"/>
            <w:tcBorders>
              <w:right w:val="single" w:color="000000" w:sz="10" w:space="0"/>
            </w:tcBorders>
            <w:vAlign w:val="top"/>
          </w:tcPr>
          <w:p w14:paraId="67835189">
            <w:pPr>
              <w:spacing w:before="136"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0D872D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35" w:type="dxa"/>
            <w:tcBorders>
              <w:left w:val="single" w:color="000000" w:sz="10" w:space="0"/>
            </w:tcBorders>
            <w:vAlign w:val="top"/>
          </w:tcPr>
          <w:p w14:paraId="6A327745">
            <w:pPr>
              <w:spacing w:before="138"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2022-07</w:t>
            </w:r>
          </w:p>
        </w:tc>
        <w:tc>
          <w:tcPr>
            <w:tcW w:w="1019" w:type="dxa"/>
            <w:vAlign w:val="top"/>
          </w:tcPr>
          <w:p w14:paraId="05B681BB">
            <w:pPr>
              <w:spacing w:before="138"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0.0022</w:t>
            </w:r>
          </w:p>
        </w:tc>
        <w:tc>
          <w:tcPr>
            <w:tcW w:w="1142" w:type="dxa"/>
            <w:vAlign w:val="top"/>
          </w:tcPr>
          <w:p w14:paraId="1D65F464">
            <w:pPr>
              <w:spacing w:before="138"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42" w:type="dxa"/>
            <w:vAlign w:val="top"/>
          </w:tcPr>
          <w:p w14:paraId="4D0F7E19">
            <w:pPr>
              <w:spacing w:before="138"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0.00005</w:t>
            </w:r>
          </w:p>
        </w:tc>
        <w:tc>
          <w:tcPr>
            <w:tcW w:w="1227" w:type="dxa"/>
            <w:vAlign w:val="top"/>
          </w:tcPr>
          <w:p w14:paraId="383B93B3">
            <w:pPr>
              <w:spacing w:before="138"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210" w:type="dxa"/>
            <w:vAlign w:val="top"/>
          </w:tcPr>
          <w:p w14:paraId="65BD2969">
            <w:pPr>
              <w:spacing w:before="138"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1405" w:type="dxa"/>
            <w:vAlign w:val="top"/>
          </w:tcPr>
          <w:p w14:paraId="3483CC45">
            <w:pPr>
              <w:spacing w:before="138"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405" w:type="dxa"/>
            <w:vAlign w:val="top"/>
          </w:tcPr>
          <w:p w14:paraId="3184252E">
            <w:pPr>
              <w:spacing w:before="138"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79" w:type="dxa"/>
            <w:vAlign w:val="top"/>
          </w:tcPr>
          <w:p w14:paraId="719989CE">
            <w:pPr>
              <w:spacing w:before="138"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900" w:type="dxa"/>
            <w:vAlign w:val="top"/>
          </w:tcPr>
          <w:p w14:paraId="3A3DC2AB">
            <w:pPr>
              <w:spacing w:before="138"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252" w:type="dxa"/>
            <w:tcBorders>
              <w:right w:val="single" w:color="000000" w:sz="10" w:space="0"/>
            </w:tcBorders>
            <w:vAlign w:val="top"/>
          </w:tcPr>
          <w:p w14:paraId="333042CA">
            <w:pPr>
              <w:spacing w:before="138"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5D11A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35" w:type="dxa"/>
            <w:tcBorders>
              <w:left w:val="single" w:color="000000" w:sz="10" w:space="0"/>
            </w:tcBorders>
            <w:vAlign w:val="top"/>
          </w:tcPr>
          <w:p w14:paraId="5FE43504">
            <w:pPr>
              <w:spacing w:before="138"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2022-08</w:t>
            </w:r>
          </w:p>
        </w:tc>
        <w:tc>
          <w:tcPr>
            <w:tcW w:w="1019" w:type="dxa"/>
            <w:vAlign w:val="top"/>
          </w:tcPr>
          <w:p w14:paraId="0253EE32">
            <w:pPr>
              <w:spacing w:before="138"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0.0025</w:t>
            </w:r>
          </w:p>
        </w:tc>
        <w:tc>
          <w:tcPr>
            <w:tcW w:w="1142" w:type="dxa"/>
            <w:vAlign w:val="top"/>
          </w:tcPr>
          <w:p w14:paraId="5B39893A">
            <w:pPr>
              <w:spacing w:before="138"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42" w:type="dxa"/>
            <w:vAlign w:val="top"/>
          </w:tcPr>
          <w:p w14:paraId="7C4D83EC">
            <w:pPr>
              <w:spacing w:before="138"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0.00005</w:t>
            </w:r>
          </w:p>
        </w:tc>
        <w:tc>
          <w:tcPr>
            <w:tcW w:w="1227" w:type="dxa"/>
            <w:vAlign w:val="top"/>
          </w:tcPr>
          <w:p w14:paraId="415AACF6">
            <w:pPr>
              <w:spacing w:before="138"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210" w:type="dxa"/>
            <w:vAlign w:val="top"/>
          </w:tcPr>
          <w:p w14:paraId="67DACC01">
            <w:pPr>
              <w:spacing w:before="138"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1405" w:type="dxa"/>
            <w:vAlign w:val="top"/>
          </w:tcPr>
          <w:p w14:paraId="5A8D02E3">
            <w:pPr>
              <w:spacing w:before="138"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405" w:type="dxa"/>
            <w:vAlign w:val="top"/>
          </w:tcPr>
          <w:p w14:paraId="2EE123BA">
            <w:pPr>
              <w:spacing w:before="138"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79" w:type="dxa"/>
            <w:vAlign w:val="top"/>
          </w:tcPr>
          <w:p w14:paraId="216F0380">
            <w:pPr>
              <w:spacing w:before="138"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900" w:type="dxa"/>
            <w:vAlign w:val="top"/>
          </w:tcPr>
          <w:p w14:paraId="3EF81093">
            <w:pPr>
              <w:spacing w:before="138"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252" w:type="dxa"/>
            <w:tcBorders>
              <w:right w:val="single" w:color="000000" w:sz="10" w:space="0"/>
            </w:tcBorders>
            <w:vAlign w:val="top"/>
          </w:tcPr>
          <w:p w14:paraId="2A488E88">
            <w:pPr>
              <w:spacing w:before="138"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7BE271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35" w:type="dxa"/>
            <w:tcBorders>
              <w:left w:val="single" w:color="000000" w:sz="10" w:space="0"/>
            </w:tcBorders>
            <w:vAlign w:val="top"/>
          </w:tcPr>
          <w:p w14:paraId="1DCD6814">
            <w:pPr>
              <w:spacing w:before="140"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2022-09</w:t>
            </w:r>
          </w:p>
        </w:tc>
        <w:tc>
          <w:tcPr>
            <w:tcW w:w="1019" w:type="dxa"/>
            <w:vAlign w:val="top"/>
          </w:tcPr>
          <w:p w14:paraId="6F52B1C1">
            <w:pPr>
              <w:spacing w:before="140"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0.0007</w:t>
            </w:r>
          </w:p>
        </w:tc>
        <w:tc>
          <w:tcPr>
            <w:tcW w:w="1142" w:type="dxa"/>
            <w:vAlign w:val="top"/>
          </w:tcPr>
          <w:p w14:paraId="658A15DA">
            <w:pPr>
              <w:spacing w:before="140"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42" w:type="dxa"/>
            <w:vAlign w:val="top"/>
          </w:tcPr>
          <w:p w14:paraId="36A8DDCE">
            <w:pPr>
              <w:spacing w:before="140"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0.00005</w:t>
            </w:r>
          </w:p>
        </w:tc>
        <w:tc>
          <w:tcPr>
            <w:tcW w:w="1227" w:type="dxa"/>
            <w:vAlign w:val="top"/>
          </w:tcPr>
          <w:p w14:paraId="0E872DC3">
            <w:pPr>
              <w:spacing w:before="140"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210" w:type="dxa"/>
            <w:vAlign w:val="top"/>
          </w:tcPr>
          <w:p w14:paraId="45D9FDD7">
            <w:pPr>
              <w:spacing w:before="140"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1405" w:type="dxa"/>
            <w:vAlign w:val="top"/>
          </w:tcPr>
          <w:p w14:paraId="1B063AA5">
            <w:pPr>
              <w:spacing w:before="140"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405" w:type="dxa"/>
            <w:vAlign w:val="top"/>
          </w:tcPr>
          <w:p w14:paraId="51513690">
            <w:pPr>
              <w:spacing w:before="140"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79" w:type="dxa"/>
            <w:vAlign w:val="top"/>
          </w:tcPr>
          <w:p w14:paraId="4DFD0C06">
            <w:pPr>
              <w:spacing w:before="140"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900" w:type="dxa"/>
            <w:vAlign w:val="top"/>
          </w:tcPr>
          <w:p w14:paraId="57FA748B">
            <w:pPr>
              <w:spacing w:before="140"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252" w:type="dxa"/>
            <w:tcBorders>
              <w:right w:val="single" w:color="000000" w:sz="10" w:space="0"/>
            </w:tcBorders>
            <w:vAlign w:val="top"/>
          </w:tcPr>
          <w:p w14:paraId="49BAFC70">
            <w:pPr>
              <w:spacing w:before="140"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3F31DD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5" w:type="dxa"/>
            <w:tcBorders>
              <w:left w:val="single" w:color="000000" w:sz="10" w:space="0"/>
            </w:tcBorders>
            <w:vAlign w:val="top"/>
          </w:tcPr>
          <w:p w14:paraId="08A53D91">
            <w:pPr>
              <w:spacing w:before="142"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2022-10</w:t>
            </w:r>
          </w:p>
        </w:tc>
        <w:tc>
          <w:tcPr>
            <w:tcW w:w="1019" w:type="dxa"/>
            <w:vAlign w:val="top"/>
          </w:tcPr>
          <w:p w14:paraId="0E173D20">
            <w:pPr>
              <w:spacing w:before="142"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0.0017</w:t>
            </w:r>
          </w:p>
        </w:tc>
        <w:tc>
          <w:tcPr>
            <w:tcW w:w="1142" w:type="dxa"/>
            <w:vAlign w:val="top"/>
          </w:tcPr>
          <w:p w14:paraId="401DF638">
            <w:pPr>
              <w:spacing w:before="142"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42" w:type="dxa"/>
            <w:vAlign w:val="top"/>
          </w:tcPr>
          <w:p w14:paraId="7B23322F">
            <w:pPr>
              <w:spacing w:before="142"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0.00005</w:t>
            </w:r>
          </w:p>
        </w:tc>
        <w:tc>
          <w:tcPr>
            <w:tcW w:w="1227" w:type="dxa"/>
            <w:vAlign w:val="top"/>
          </w:tcPr>
          <w:p w14:paraId="56A282B4">
            <w:pPr>
              <w:spacing w:before="142"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210" w:type="dxa"/>
            <w:vAlign w:val="top"/>
          </w:tcPr>
          <w:p w14:paraId="7EA246DF">
            <w:pPr>
              <w:spacing w:before="142"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1405" w:type="dxa"/>
            <w:vAlign w:val="top"/>
          </w:tcPr>
          <w:p w14:paraId="7BB4C35B">
            <w:pPr>
              <w:spacing w:before="142"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405" w:type="dxa"/>
            <w:vAlign w:val="top"/>
          </w:tcPr>
          <w:p w14:paraId="328EAD6D">
            <w:pPr>
              <w:spacing w:before="142"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79" w:type="dxa"/>
            <w:vAlign w:val="top"/>
          </w:tcPr>
          <w:p w14:paraId="4281F442">
            <w:pPr>
              <w:spacing w:before="142"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900" w:type="dxa"/>
            <w:vAlign w:val="top"/>
          </w:tcPr>
          <w:p w14:paraId="7E34D425">
            <w:pPr>
              <w:spacing w:before="142"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252" w:type="dxa"/>
            <w:tcBorders>
              <w:right w:val="single" w:color="000000" w:sz="10" w:space="0"/>
            </w:tcBorders>
            <w:vAlign w:val="top"/>
          </w:tcPr>
          <w:p w14:paraId="09A91D3E">
            <w:pPr>
              <w:spacing w:before="142"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5CB58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35" w:type="dxa"/>
            <w:tcBorders>
              <w:left w:val="single" w:color="000000" w:sz="10" w:space="0"/>
            </w:tcBorders>
            <w:vAlign w:val="top"/>
          </w:tcPr>
          <w:p w14:paraId="2199B3EB">
            <w:pPr>
              <w:spacing w:before="142"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2022-11</w:t>
            </w:r>
          </w:p>
        </w:tc>
        <w:tc>
          <w:tcPr>
            <w:tcW w:w="1019" w:type="dxa"/>
            <w:vAlign w:val="top"/>
          </w:tcPr>
          <w:p w14:paraId="5AB66978">
            <w:pPr>
              <w:spacing w:before="142"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0.0017</w:t>
            </w:r>
          </w:p>
        </w:tc>
        <w:tc>
          <w:tcPr>
            <w:tcW w:w="1142" w:type="dxa"/>
            <w:vAlign w:val="top"/>
          </w:tcPr>
          <w:p w14:paraId="7C0309D1">
            <w:pPr>
              <w:spacing w:before="142"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42" w:type="dxa"/>
            <w:vAlign w:val="top"/>
          </w:tcPr>
          <w:p w14:paraId="33DC0309">
            <w:pPr>
              <w:spacing w:before="142"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0.00005</w:t>
            </w:r>
          </w:p>
        </w:tc>
        <w:tc>
          <w:tcPr>
            <w:tcW w:w="1227" w:type="dxa"/>
            <w:vAlign w:val="top"/>
          </w:tcPr>
          <w:p w14:paraId="00C05F1E">
            <w:pPr>
              <w:spacing w:before="142"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210" w:type="dxa"/>
            <w:vAlign w:val="top"/>
          </w:tcPr>
          <w:p w14:paraId="11C8F591">
            <w:pPr>
              <w:spacing w:before="142" w:line="195" w:lineRule="auto"/>
              <w:ind w:left="3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0.0001</w:t>
            </w:r>
          </w:p>
        </w:tc>
        <w:tc>
          <w:tcPr>
            <w:tcW w:w="1405" w:type="dxa"/>
            <w:vAlign w:val="top"/>
          </w:tcPr>
          <w:p w14:paraId="66328A2C">
            <w:pPr>
              <w:spacing w:before="142"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405" w:type="dxa"/>
            <w:vAlign w:val="top"/>
          </w:tcPr>
          <w:p w14:paraId="3449F625">
            <w:pPr>
              <w:spacing w:before="142"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79" w:type="dxa"/>
            <w:vAlign w:val="top"/>
          </w:tcPr>
          <w:p w14:paraId="1694F900">
            <w:pPr>
              <w:spacing w:before="142"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900" w:type="dxa"/>
            <w:vAlign w:val="top"/>
          </w:tcPr>
          <w:p w14:paraId="61D26A34">
            <w:pPr>
              <w:spacing w:before="142"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252" w:type="dxa"/>
            <w:tcBorders>
              <w:right w:val="single" w:color="000000" w:sz="10" w:space="0"/>
            </w:tcBorders>
            <w:vAlign w:val="top"/>
          </w:tcPr>
          <w:p w14:paraId="1CAC22C5">
            <w:pPr>
              <w:spacing w:before="142"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33474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35" w:type="dxa"/>
            <w:tcBorders>
              <w:left w:val="single" w:color="000000" w:sz="10" w:space="0"/>
            </w:tcBorders>
            <w:vAlign w:val="top"/>
          </w:tcPr>
          <w:p w14:paraId="2694F0FF">
            <w:pPr>
              <w:spacing w:before="144"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2022-12</w:t>
            </w:r>
          </w:p>
        </w:tc>
        <w:tc>
          <w:tcPr>
            <w:tcW w:w="1019" w:type="dxa"/>
            <w:vAlign w:val="top"/>
          </w:tcPr>
          <w:p w14:paraId="1561CDFE">
            <w:pPr>
              <w:spacing w:before="144"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0.0012</w:t>
            </w:r>
          </w:p>
        </w:tc>
        <w:tc>
          <w:tcPr>
            <w:tcW w:w="1142" w:type="dxa"/>
            <w:vAlign w:val="top"/>
          </w:tcPr>
          <w:p w14:paraId="30BF5C11">
            <w:pPr>
              <w:spacing w:before="144"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42" w:type="dxa"/>
            <w:vAlign w:val="top"/>
          </w:tcPr>
          <w:p w14:paraId="58889C4A">
            <w:pPr>
              <w:spacing w:before="144"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0.00005</w:t>
            </w:r>
          </w:p>
        </w:tc>
        <w:tc>
          <w:tcPr>
            <w:tcW w:w="1227" w:type="dxa"/>
            <w:vAlign w:val="top"/>
          </w:tcPr>
          <w:p w14:paraId="25FC7883">
            <w:pPr>
              <w:spacing w:before="144"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210" w:type="dxa"/>
            <w:vAlign w:val="top"/>
          </w:tcPr>
          <w:p w14:paraId="2495DFAA">
            <w:pPr>
              <w:spacing w:before="144" w:line="195" w:lineRule="auto"/>
              <w:ind w:left="3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0.0001</w:t>
            </w:r>
          </w:p>
        </w:tc>
        <w:tc>
          <w:tcPr>
            <w:tcW w:w="1405" w:type="dxa"/>
            <w:vAlign w:val="top"/>
          </w:tcPr>
          <w:p w14:paraId="4B63D45B">
            <w:pPr>
              <w:spacing w:before="144"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405" w:type="dxa"/>
            <w:vAlign w:val="top"/>
          </w:tcPr>
          <w:p w14:paraId="5D012964">
            <w:pPr>
              <w:spacing w:before="144"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79" w:type="dxa"/>
            <w:vAlign w:val="top"/>
          </w:tcPr>
          <w:p w14:paraId="379986D8">
            <w:pPr>
              <w:spacing w:before="144"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900" w:type="dxa"/>
            <w:vAlign w:val="top"/>
          </w:tcPr>
          <w:p w14:paraId="17B3CC1A">
            <w:pPr>
              <w:spacing w:before="144"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252" w:type="dxa"/>
            <w:tcBorders>
              <w:right w:val="single" w:color="000000" w:sz="10" w:space="0"/>
            </w:tcBorders>
            <w:vAlign w:val="top"/>
          </w:tcPr>
          <w:p w14:paraId="2A49B76D">
            <w:pPr>
              <w:spacing w:before="144"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5B6F4B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35" w:type="dxa"/>
            <w:tcBorders>
              <w:left w:val="single" w:color="000000" w:sz="10" w:space="0"/>
            </w:tcBorders>
            <w:vAlign w:val="top"/>
          </w:tcPr>
          <w:p w14:paraId="0EA7C1E4">
            <w:pPr>
              <w:spacing w:before="144"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2023-01</w:t>
            </w:r>
          </w:p>
        </w:tc>
        <w:tc>
          <w:tcPr>
            <w:tcW w:w="1019" w:type="dxa"/>
            <w:vAlign w:val="top"/>
          </w:tcPr>
          <w:p w14:paraId="632011B2">
            <w:pPr>
              <w:spacing w:before="144"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0.0012</w:t>
            </w:r>
          </w:p>
        </w:tc>
        <w:tc>
          <w:tcPr>
            <w:tcW w:w="1142" w:type="dxa"/>
            <w:vAlign w:val="top"/>
          </w:tcPr>
          <w:p w14:paraId="58E0E5BE">
            <w:pPr>
              <w:spacing w:before="144"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42" w:type="dxa"/>
            <w:vAlign w:val="top"/>
          </w:tcPr>
          <w:p w14:paraId="2F532761">
            <w:pPr>
              <w:spacing w:before="144"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0.00005</w:t>
            </w:r>
          </w:p>
        </w:tc>
        <w:tc>
          <w:tcPr>
            <w:tcW w:w="1227" w:type="dxa"/>
            <w:vAlign w:val="top"/>
          </w:tcPr>
          <w:p w14:paraId="1DA7E10A">
            <w:pPr>
              <w:spacing w:before="144"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210" w:type="dxa"/>
            <w:vAlign w:val="top"/>
          </w:tcPr>
          <w:p w14:paraId="00288958">
            <w:pPr>
              <w:spacing w:before="144" w:line="195" w:lineRule="auto"/>
              <w:ind w:left="3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0.0001</w:t>
            </w:r>
          </w:p>
        </w:tc>
        <w:tc>
          <w:tcPr>
            <w:tcW w:w="1405" w:type="dxa"/>
            <w:vAlign w:val="top"/>
          </w:tcPr>
          <w:p w14:paraId="20CC1D8A">
            <w:pPr>
              <w:spacing w:before="144"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405" w:type="dxa"/>
            <w:vAlign w:val="top"/>
          </w:tcPr>
          <w:p w14:paraId="6EE2FEBF">
            <w:pPr>
              <w:spacing w:before="144"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79" w:type="dxa"/>
            <w:vAlign w:val="top"/>
          </w:tcPr>
          <w:p w14:paraId="674BE40C">
            <w:pPr>
              <w:spacing w:before="144"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900" w:type="dxa"/>
            <w:vAlign w:val="top"/>
          </w:tcPr>
          <w:p w14:paraId="6B9663D0">
            <w:pPr>
              <w:spacing w:before="144"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252" w:type="dxa"/>
            <w:tcBorders>
              <w:right w:val="single" w:color="000000" w:sz="10" w:space="0"/>
            </w:tcBorders>
            <w:vAlign w:val="top"/>
          </w:tcPr>
          <w:p w14:paraId="4DC41757">
            <w:pPr>
              <w:spacing w:before="144"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0C17FF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5" w:type="dxa"/>
            <w:tcBorders>
              <w:left w:val="single" w:color="000000" w:sz="10" w:space="0"/>
            </w:tcBorders>
            <w:vAlign w:val="top"/>
          </w:tcPr>
          <w:p w14:paraId="1E19EC60">
            <w:pPr>
              <w:spacing w:before="146"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2023-02</w:t>
            </w:r>
          </w:p>
        </w:tc>
        <w:tc>
          <w:tcPr>
            <w:tcW w:w="1019" w:type="dxa"/>
            <w:vAlign w:val="top"/>
          </w:tcPr>
          <w:p w14:paraId="19472D4D">
            <w:pPr>
              <w:spacing w:before="146"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42" w:type="dxa"/>
            <w:vAlign w:val="top"/>
          </w:tcPr>
          <w:p w14:paraId="75B0F7E0">
            <w:pPr>
              <w:spacing w:before="146"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42" w:type="dxa"/>
            <w:vAlign w:val="top"/>
          </w:tcPr>
          <w:p w14:paraId="0B610B47">
            <w:pPr>
              <w:spacing w:before="146"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0.00005</w:t>
            </w:r>
          </w:p>
        </w:tc>
        <w:tc>
          <w:tcPr>
            <w:tcW w:w="1227" w:type="dxa"/>
            <w:vAlign w:val="top"/>
          </w:tcPr>
          <w:p w14:paraId="1A32E0A9">
            <w:pPr>
              <w:spacing w:before="146"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210" w:type="dxa"/>
            <w:vAlign w:val="top"/>
          </w:tcPr>
          <w:p w14:paraId="124BC0B5">
            <w:pPr>
              <w:spacing w:before="146"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1405" w:type="dxa"/>
            <w:vAlign w:val="top"/>
          </w:tcPr>
          <w:p w14:paraId="4AB873BD">
            <w:pPr>
              <w:spacing w:before="146"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405" w:type="dxa"/>
            <w:vAlign w:val="top"/>
          </w:tcPr>
          <w:p w14:paraId="09D2BD56">
            <w:pPr>
              <w:spacing w:before="146"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79" w:type="dxa"/>
            <w:vAlign w:val="top"/>
          </w:tcPr>
          <w:p w14:paraId="49A35616">
            <w:pPr>
              <w:spacing w:before="146"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900" w:type="dxa"/>
            <w:vAlign w:val="top"/>
          </w:tcPr>
          <w:p w14:paraId="50894FB2">
            <w:pPr>
              <w:spacing w:before="146"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252" w:type="dxa"/>
            <w:tcBorders>
              <w:right w:val="single" w:color="000000" w:sz="10" w:space="0"/>
            </w:tcBorders>
            <w:vAlign w:val="top"/>
          </w:tcPr>
          <w:p w14:paraId="155C1B65">
            <w:pPr>
              <w:spacing w:before="146"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558B8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35" w:type="dxa"/>
            <w:tcBorders>
              <w:left w:val="single" w:color="000000" w:sz="10" w:space="0"/>
            </w:tcBorders>
            <w:vAlign w:val="top"/>
          </w:tcPr>
          <w:p w14:paraId="01275C58">
            <w:pPr>
              <w:spacing w:before="147"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2023-03</w:t>
            </w:r>
          </w:p>
        </w:tc>
        <w:tc>
          <w:tcPr>
            <w:tcW w:w="1019" w:type="dxa"/>
            <w:vAlign w:val="top"/>
          </w:tcPr>
          <w:p w14:paraId="59583DC9">
            <w:pPr>
              <w:spacing w:before="147"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42" w:type="dxa"/>
            <w:vAlign w:val="top"/>
          </w:tcPr>
          <w:p w14:paraId="648E1BCD">
            <w:pPr>
              <w:spacing w:before="147"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42" w:type="dxa"/>
            <w:vAlign w:val="top"/>
          </w:tcPr>
          <w:p w14:paraId="410F84FC">
            <w:pPr>
              <w:spacing w:before="147"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227" w:type="dxa"/>
            <w:vAlign w:val="top"/>
          </w:tcPr>
          <w:p w14:paraId="39C58A09">
            <w:pPr>
              <w:spacing w:before="147"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210" w:type="dxa"/>
            <w:vAlign w:val="top"/>
          </w:tcPr>
          <w:p w14:paraId="2BEB9A20">
            <w:pPr>
              <w:spacing w:before="147"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1405" w:type="dxa"/>
            <w:vAlign w:val="top"/>
          </w:tcPr>
          <w:p w14:paraId="03586E37">
            <w:pPr>
              <w:spacing w:before="147"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405" w:type="dxa"/>
            <w:vAlign w:val="top"/>
          </w:tcPr>
          <w:p w14:paraId="79D7459A">
            <w:pPr>
              <w:spacing w:before="147"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79" w:type="dxa"/>
            <w:vAlign w:val="top"/>
          </w:tcPr>
          <w:p w14:paraId="0F5B38F1">
            <w:pPr>
              <w:spacing w:before="147"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900" w:type="dxa"/>
            <w:vAlign w:val="top"/>
          </w:tcPr>
          <w:p w14:paraId="5D7C52AA">
            <w:pPr>
              <w:spacing w:before="147"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252" w:type="dxa"/>
            <w:tcBorders>
              <w:right w:val="single" w:color="000000" w:sz="10" w:space="0"/>
            </w:tcBorders>
            <w:vAlign w:val="top"/>
          </w:tcPr>
          <w:p w14:paraId="2961ABFD">
            <w:pPr>
              <w:spacing w:before="147"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153F6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5" w:type="dxa"/>
            <w:tcBorders>
              <w:left w:val="single" w:color="000000" w:sz="10" w:space="0"/>
            </w:tcBorders>
            <w:vAlign w:val="top"/>
          </w:tcPr>
          <w:p w14:paraId="7462BE27">
            <w:pPr>
              <w:spacing w:before="149"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2023-04</w:t>
            </w:r>
          </w:p>
        </w:tc>
        <w:tc>
          <w:tcPr>
            <w:tcW w:w="1019" w:type="dxa"/>
            <w:vAlign w:val="top"/>
          </w:tcPr>
          <w:p w14:paraId="099C47CE">
            <w:pPr>
              <w:spacing w:before="149"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42" w:type="dxa"/>
            <w:vAlign w:val="top"/>
          </w:tcPr>
          <w:p w14:paraId="63D6C07D">
            <w:pPr>
              <w:spacing w:before="149"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42" w:type="dxa"/>
            <w:vAlign w:val="top"/>
          </w:tcPr>
          <w:p w14:paraId="4E9F3111">
            <w:pPr>
              <w:spacing w:before="149"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227" w:type="dxa"/>
            <w:vAlign w:val="top"/>
          </w:tcPr>
          <w:p w14:paraId="3A3E91E3">
            <w:pPr>
              <w:spacing w:before="149"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210" w:type="dxa"/>
            <w:vAlign w:val="top"/>
          </w:tcPr>
          <w:p w14:paraId="632E7DEA">
            <w:pPr>
              <w:spacing w:before="149" w:line="195" w:lineRule="auto"/>
              <w:ind w:left="3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05" w:type="dxa"/>
            <w:vAlign w:val="top"/>
          </w:tcPr>
          <w:p w14:paraId="4D125C3F">
            <w:pPr>
              <w:spacing w:before="149"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405" w:type="dxa"/>
            <w:vAlign w:val="top"/>
          </w:tcPr>
          <w:p w14:paraId="4A773858">
            <w:pPr>
              <w:spacing w:before="149"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79" w:type="dxa"/>
            <w:vAlign w:val="top"/>
          </w:tcPr>
          <w:p w14:paraId="674770BA">
            <w:pPr>
              <w:spacing w:before="149"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900" w:type="dxa"/>
            <w:vAlign w:val="top"/>
          </w:tcPr>
          <w:p w14:paraId="24DC280F">
            <w:pPr>
              <w:spacing w:before="149"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252" w:type="dxa"/>
            <w:tcBorders>
              <w:right w:val="single" w:color="000000" w:sz="10" w:space="0"/>
            </w:tcBorders>
            <w:vAlign w:val="top"/>
          </w:tcPr>
          <w:p w14:paraId="35F58CCC">
            <w:pPr>
              <w:spacing w:before="149"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3EDB12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35" w:type="dxa"/>
            <w:tcBorders>
              <w:left w:val="single" w:color="000000" w:sz="10" w:space="0"/>
            </w:tcBorders>
            <w:vAlign w:val="top"/>
          </w:tcPr>
          <w:p w14:paraId="57C2F1C9">
            <w:pPr>
              <w:spacing w:before="152"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2023-05</w:t>
            </w:r>
          </w:p>
        </w:tc>
        <w:tc>
          <w:tcPr>
            <w:tcW w:w="1019" w:type="dxa"/>
            <w:vAlign w:val="top"/>
          </w:tcPr>
          <w:p w14:paraId="2B8D5B8B">
            <w:pPr>
              <w:spacing w:before="152"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0.0008</w:t>
            </w:r>
          </w:p>
        </w:tc>
        <w:tc>
          <w:tcPr>
            <w:tcW w:w="1142" w:type="dxa"/>
            <w:vAlign w:val="top"/>
          </w:tcPr>
          <w:p w14:paraId="4F27AD04">
            <w:pPr>
              <w:spacing w:before="152"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42" w:type="dxa"/>
            <w:vAlign w:val="top"/>
          </w:tcPr>
          <w:p w14:paraId="4ECDDC66">
            <w:pPr>
              <w:spacing w:before="152"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227" w:type="dxa"/>
            <w:vAlign w:val="top"/>
          </w:tcPr>
          <w:p w14:paraId="24208816">
            <w:pPr>
              <w:spacing w:before="152"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210" w:type="dxa"/>
            <w:vAlign w:val="top"/>
          </w:tcPr>
          <w:p w14:paraId="0AADB0D3">
            <w:pPr>
              <w:spacing w:before="152" w:line="195" w:lineRule="auto"/>
              <w:ind w:left="3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0.0001</w:t>
            </w:r>
          </w:p>
        </w:tc>
        <w:tc>
          <w:tcPr>
            <w:tcW w:w="1405" w:type="dxa"/>
            <w:vAlign w:val="top"/>
          </w:tcPr>
          <w:p w14:paraId="0A196129">
            <w:pPr>
              <w:spacing w:before="152"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405" w:type="dxa"/>
            <w:vAlign w:val="top"/>
          </w:tcPr>
          <w:p w14:paraId="1895479C">
            <w:pPr>
              <w:spacing w:before="152"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79" w:type="dxa"/>
            <w:vAlign w:val="top"/>
          </w:tcPr>
          <w:p w14:paraId="37BAFC16">
            <w:pPr>
              <w:spacing w:before="152"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900" w:type="dxa"/>
            <w:vAlign w:val="top"/>
          </w:tcPr>
          <w:p w14:paraId="2125ECD3">
            <w:pPr>
              <w:spacing w:before="152"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252" w:type="dxa"/>
            <w:tcBorders>
              <w:right w:val="single" w:color="000000" w:sz="10" w:space="0"/>
            </w:tcBorders>
            <w:vAlign w:val="top"/>
          </w:tcPr>
          <w:p w14:paraId="2DA4BD24">
            <w:pPr>
              <w:spacing w:before="152"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22840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1335" w:type="dxa"/>
            <w:tcBorders>
              <w:left w:val="single" w:color="000000" w:sz="10" w:space="0"/>
              <w:bottom w:val="single" w:color="000000" w:sz="10" w:space="0"/>
            </w:tcBorders>
            <w:vAlign w:val="top"/>
          </w:tcPr>
          <w:p w14:paraId="1E5E55A8">
            <w:pPr>
              <w:spacing w:before="151"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2023-06</w:t>
            </w:r>
          </w:p>
        </w:tc>
        <w:tc>
          <w:tcPr>
            <w:tcW w:w="1019" w:type="dxa"/>
            <w:tcBorders>
              <w:bottom w:val="single" w:color="000000" w:sz="10" w:space="0"/>
            </w:tcBorders>
            <w:vAlign w:val="top"/>
          </w:tcPr>
          <w:p w14:paraId="7CD16A99">
            <w:pPr>
              <w:spacing w:before="151"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0.0015</w:t>
            </w:r>
          </w:p>
        </w:tc>
        <w:tc>
          <w:tcPr>
            <w:tcW w:w="1142" w:type="dxa"/>
            <w:tcBorders>
              <w:bottom w:val="single" w:color="000000" w:sz="10" w:space="0"/>
            </w:tcBorders>
            <w:vAlign w:val="top"/>
          </w:tcPr>
          <w:p w14:paraId="4BF70997">
            <w:pPr>
              <w:spacing w:before="151"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42" w:type="dxa"/>
            <w:tcBorders>
              <w:bottom w:val="single" w:color="000000" w:sz="10" w:space="0"/>
            </w:tcBorders>
            <w:vAlign w:val="top"/>
          </w:tcPr>
          <w:p w14:paraId="74D04C0E">
            <w:pPr>
              <w:spacing w:before="151"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227" w:type="dxa"/>
            <w:tcBorders>
              <w:bottom w:val="single" w:color="000000" w:sz="10" w:space="0"/>
            </w:tcBorders>
            <w:vAlign w:val="top"/>
          </w:tcPr>
          <w:p w14:paraId="1B6FDC45">
            <w:pPr>
              <w:spacing w:before="151"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210" w:type="dxa"/>
            <w:tcBorders>
              <w:bottom w:val="single" w:color="000000" w:sz="10" w:space="0"/>
            </w:tcBorders>
            <w:vAlign w:val="top"/>
          </w:tcPr>
          <w:p w14:paraId="516ABC0B">
            <w:pPr>
              <w:spacing w:before="151"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1405" w:type="dxa"/>
            <w:tcBorders>
              <w:bottom w:val="single" w:color="000000" w:sz="10" w:space="0"/>
            </w:tcBorders>
            <w:vAlign w:val="top"/>
          </w:tcPr>
          <w:p w14:paraId="4BB6C73F">
            <w:pPr>
              <w:spacing w:before="151"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405" w:type="dxa"/>
            <w:tcBorders>
              <w:bottom w:val="single" w:color="000000" w:sz="10" w:space="0"/>
            </w:tcBorders>
            <w:vAlign w:val="top"/>
          </w:tcPr>
          <w:p w14:paraId="66371D4F">
            <w:pPr>
              <w:spacing w:before="151"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79" w:type="dxa"/>
            <w:tcBorders>
              <w:bottom w:val="single" w:color="000000" w:sz="10" w:space="0"/>
            </w:tcBorders>
            <w:vAlign w:val="top"/>
          </w:tcPr>
          <w:p w14:paraId="672A0CF1">
            <w:pPr>
              <w:spacing w:before="151"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900" w:type="dxa"/>
            <w:tcBorders>
              <w:bottom w:val="single" w:color="000000" w:sz="10" w:space="0"/>
            </w:tcBorders>
            <w:vAlign w:val="top"/>
          </w:tcPr>
          <w:p w14:paraId="63B773C6">
            <w:pPr>
              <w:spacing w:before="151"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252" w:type="dxa"/>
            <w:tcBorders>
              <w:bottom w:val="single" w:color="000000" w:sz="10" w:space="0"/>
              <w:right w:val="single" w:color="000000" w:sz="10" w:space="0"/>
            </w:tcBorders>
            <w:vAlign w:val="top"/>
          </w:tcPr>
          <w:p w14:paraId="409F6B7D">
            <w:pPr>
              <w:spacing w:before="151"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bl>
    <w:p w14:paraId="19C8D61D">
      <w:pPr>
        <w:pStyle w:val="2"/>
      </w:pPr>
    </w:p>
    <w:p w14:paraId="4554BEC8">
      <w:pPr>
        <w:sectPr>
          <w:headerReference r:id="rId71" w:type="default"/>
          <w:footerReference r:id="rId72" w:type="default"/>
          <w:pgSz w:w="16840" w:h="11907"/>
          <w:pgMar w:top="1132" w:right="1303" w:bottom="1258" w:left="1294" w:header="829" w:footer="1095" w:gutter="0"/>
          <w:cols w:space="720" w:num="1"/>
        </w:sectPr>
      </w:pPr>
    </w:p>
    <w:p w14:paraId="039829B9">
      <w:pPr>
        <w:spacing w:before="43"/>
      </w:pPr>
    </w:p>
    <w:p w14:paraId="07F7F7CF">
      <w:pPr>
        <w:spacing w:before="42"/>
      </w:pPr>
    </w:p>
    <w:tbl>
      <w:tblPr>
        <w:tblStyle w:val="5"/>
        <w:tblW w:w="1421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5"/>
        <w:gridCol w:w="1019"/>
        <w:gridCol w:w="1142"/>
        <w:gridCol w:w="1142"/>
        <w:gridCol w:w="1227"/>
        <w:gridCol w:w="1210"/>
        <w:gridCol w:w="1405"/>
        <w:gridCol w:w="1405"/>
        <w:gridCol w:w="1179"/>
        <w:gridCol w:w="1900"/>
        <w:gridCol w:w="1252"/>
      </w:tblGrid>
      <w:tr w14:paraId="5F55D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335" w:type="dxa"/>
            <w:tcBorders>
              <w:top w:val="single" w:color="000000" w:sz="10" w:space="0"/>
              <w:left w:val="single" w:color="000000" w:sz="10" w:space="0"/>
            </w:tcBorders>
            <w:vAlign w:val="top"/>
          </w:tcPr>
          <w:p w14:paraId="545E2532">
            <w:pPr>
              <w:pStyle w:val="6"/>
              <w:spacing w:before="99" w:line="227" w:lineRule="auto"/>
              <w:ind w:left="235"/>
            </w:pPr>
            <w:r>
              <w:rPr>
                <w:b/>
                <w:bCs/>
                <w:spacing w:val="6"/>
              </w:rPr>
              <w:t>采样时间</w:t>
            </w:r>
          </w:p>
        </w:tc>
        <w:tc>
          <w:tcPr>
            <w:tcW w:w="1019" w:type="dxa"/>
            <w:tcBorders>
              <w:top w:val="single" w:color="000000" w:sz="10" w:space="0"/>
            </w:tcBorders>
            <w:vAlign w:val="top"/>
          </w:tcPr>
          <w:p w14:paraId="15014178">
            <w:pPr>
              <w:pStyle w:val="6"/>
              <w:spacing w:before="99" w:line="228" w:lineRule="auto"/>
              <w:ind w:left="398"/>
            </w:pPr>
            <w:r>
              <w:rPr>
                <w:b/>
                <w:bCs/>
                <w:spacing w:val="-1"/>
              </w:rPr>
              <w:t>砷</w:t>
            </w:r>
          </w:p>
        </w:tc>
        <w:tc>
          <w:tcPr>
            <w:tcW w:w="1142" w:type="dxa"/>
            <w:tcBorders>
              <w:top w:val="single" w:color="000000" w:sz="10" w:space="0"/>
            </w:tcBorders>
            <w:vAlign w:val="top"/>
          </w:tcPr>
          <w:p w14:paraId="6855CE86">
            <w:pPr>
              <w:pStyle w:val="6"/>
              <w:spacing w:before="99" w:line="228" w:lineRule="auto"/>
              <w:ind w:left="463"/>
            </w:pPr>
            <w:r>
              <w:rPr>
                <w:b/>
                <w:bCs/>
                <w:spacing w:val="-3"/>
              </w:rPr>
              <w:t>汞</w:t>
            </w:r>
          </w:p>
        </w:tc>
        <w:tc>
          <w:tcPr>
            <w:tcW w:w="1142" w:type="dxa"/>
            <w:tcBorders>
              <w:top w:val="single" w:color="000000" w:sz="10" w:space="0"/>
            </w:tcBorders>
            <w:vAlign w:val="top"/>
          </w:tcPr>
          <w:p w14:paraId="565D8F2F">
            <w:pPr>
              <w:pStyle w:val="6"/>
              <w:spacing w:before="98" w:line="231" w:lineRule="auto"/>
              <w:ind w:left="464"/>
            </w:pPr>
            <w:r>
              <w:rPr>
                <w:b/>
                <w:bCs/>
              </w:rPr>
              <w:t>镉</w:t>
            </w:r>
          </w:p>
        </w:tc>
        <w:tc>
          <w:tcPr>
            <w:tcW w:w="1227" w:type="dxa"/>
            <w:tcBorders>
              <w:top w:val="single" w:color="000000" w:sz="10" w:space="0"/>
            </w:tcBorders>
            <w:vAlign w:val="top"/>
          </w:tcPr>
          <w:p w14:paraId="27323FDC">
            <w:pPr>
              <w:pStyle w:val="6"/>
              <w:spacing w:before="99" w:line="226" w:lineRule="auto"/>
              <w:ind w:left="302"/>
            </w:pPr>
            <w:r>
              <w:rPr>
                <w:b/>
                <w:bCs/>
                <w:spacing w:val="5"/>
              </w:rPr>
              <w:t>六价铬</w:t>
            </w:r>
          </w:p>
        </w:tc>
        <w:tc>
          <w:tcPr>
            <w:tcW w:w="1210" w:type="dxa"/>
            <w:tcBorders>
              <w:top w:val="single" w:color="000000" w:sz="10" w:space="0"/>
            </w:tcBorders>
            <w:vAlign w:val="top"/>
          </w:tcPr>
          <w:p w14:paraId="5201FAA9">
            <w:pPr>
              <w:pStyle w:val="6"/>
              <w:spacing w:before="99" w:line="232" w:lineRule="auto"/>
              <w:ind w:left="503"/>
            </w:pPr>
            <w:r>
              <w:rPr>
                <w:b/>
                <w:bCs/>
                <w:spacing w:val="-2"/>
              </w:rPr>
              <w:t>铅</w:t>
            </w:r>
          </w:p>
        </w:tc>
        <w:tc>
          <w:tcPr>
            <w:tcW w:w="1405" w:type="dxa"/>
            <w:tcBorders>
              <w:top w:val="single" w:color="000000" w:sz="10" w:space="0"/>
            </w:tcBorders>
            <w:vAlign w:val="top"/>
          </w:tcPr>
          <w:p w14:paraId="337F2097">
            <w:pPr>
              <w:pStyle w:val="6"/>
              <w:spacing w:before="99" w:line="228" w:lineRule="auto"/>
              <w:ind w:left="392"/>
            </w:pPr>
            <w:r>
              <w:rPr>
                <w:b/>
                <w:bCs/>
                <w:spacing w:val="5"/>
              </w:rPr>
              <w:t>氰化物</w:t>
            </w:r>
          </w:p>
        </w:tc>
        <w:tc>
          <w:tcPr>
            <w:tcW w:w="1405" w:type="dxa"/>
            <w:tcBorders>
              <w:top w:val="single" w:color="000000" w:sz="10" w:space="0"/>
            </w:tcBorders>
            <w:vAlign w:val="top"/>
          </w:tcPr>
          <w:p w14:paraId="5D98FFFA">
            <w:pPr>
              <w:pStyle w:val="6"/>
              <w:spacing w:before="99" w:line="228" w:lineRule="auto"/>
              <w:ind w:left="396"/>
            </w:pPr>
            <w:r>
              <w:rPr>
                <w:b/>
                <w:bCs/>
                <w:spacing w:val="5"/>
              </w:rPr>
              <w:t>挥发酚</w:t>
            </w:r>
          </w:p>
        </w:tc>
        <w:tc>
          <w:tcPr>
            <w:tcW w:w="1179" w:type="dxa"/>
            <w:tcBorders>
              <w:top w:val="single" w:color="000000" w:sz="10" w:space="0"/>
            </w:tcBorders>
            <w:vAlign w:val="top"/>
          </w:tcPr>
          <w:p w14:paraId="4971AAE2">
            <w:pPr>
              <w:pStyle w:val="6"/>
              <w:spacing w:before="99" w:line="228" w:lineRule="auto"/>
              <w:ind w:left="286"/>
            </w:pPr>
            <w:r>
              <w:rPr>
                <w:b/>
                <w:bCs/>
                <w:spacing w:val="5"/>
              </w:rPr>
              <w:t>石油类</w:t>
            </w:r>
          </w:p>
        </w:tc>
        <w:tc>
          <w:tcPr>
            <w:tcW w:w="1900" w:type="dxa"/>
            <w:tcBorders>
              <w:top w:val="single" w:color="000000" w:sz="10" w:space="0"/>
            </w:tcBorders>
            <w:vAlign w:val="top"/>
          </w:tcPr>
          <w:p w14:paraId="1C3D90FA">
            <w:pPr>
              <w:pStyle w:val="6"/>
              <w:spacing w:before="99" w:line="227" w:lineRule="auto"/>
              <w:ind w:left="138"/>
            </w:pPr>
            <w:r>
              <w:rPr>
                <w:b/>
                <w:bCs/>
                <w:spacing w:val="5"/>
              </w:rPr>
              <w:t>阴离子表面活性剂</w:t>
            </w:r>
          </w:p>
        </w:tc>
        <w:tc>
          <w:tcPr>
            <w:tcW w:w="1252" w:type="dxa"/>
            <w:tcBorders>
              <w:top w:val="single" w:color="000000" w:sz="10" w:space="0"/>
              <w:right w:val="single" w:color="000000" w:sz="10" w:space="0"/>
            </w:tcBorders>
            <w:vAlign w:val="top"/>
          </w:tcPr>
          <w:p w14:paraId="70F74424">
            <w:pPr>
              <w:pStyle w:val="6"/>
              <w:spacing w:before="99" w:line="229" w:lineRule="auto"/>
              <w:ind w:left="318"/>
            </w:pPr>
            <w:r>
              <w:rPr>
                <w:b/>
                <w:bCs/>
                <w:spacing w:val="5"/>
              </w:rPr>
              <w:t>硫化物</w:t>
            </w:r>
          </w:p>
        </w:tc>
      </w:tr>
      <w:tr w14:paraId="44A7A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5" w:type="dxa"/>
            <w:tcBorders>
              <w:left w:val="single" w:color="000000" w:sz="10" w:space="0"/>
            </w:tcBorders>
            <w:vAlign w:val="top"/>
          </w:tcPr>
          <w:p w14:paraId="793F8FCF">
            <w:pPr>
              <w:spacing w:before="130"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2023-07</w:t>
            </w:r>
          </w:p>
        </w:tc>
        <w:tc>
          <w:tcPr>
            <w:tcW w:w="1019" w:type="dxa"/>
            <w:vAlign w:val="top"/>
          </w:tcPr>
          <w:p w14:paraId="295F6EBC">
            <w:pPr>
              <w:spacing w:before="130"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0.0007</w:t>
            </w:r>
          </w:p>
        </w:tc>
        <w:tc>
          <w:tcPr>
            <w:tcW w:w="1142" w:type="dxa"/>
            <w:vAlign w:val="top"/>
          </w:tcPr>
          <w:p w14:paraId="54D446C0">
            <w:pPr>
              <w:spacing w:before="130"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42" w:type="dxa"/>
            <w:vAlign w:val="top"/>
          </w:tcPr>
          <w:p w14:paraId="21CBDE52">
            <w:pPr>
              <w:spacing w:before="130"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227" w:type="dxa"/>
            <w:vAlign w:val="top"/>
          </w:tcPr>
          <w:p w14:paraId="185AA1D6">
            <w:pPr>
              <w:spacing w:before="130"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210" w:type="dxa"/>
            <w:vAlign w:val="top"/>
          </w:tcPr>
          <w:p w14:paraId="2DEC99CA">
            <w:pPr>
              <w:spacing w:before="130"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1405" w:type="dxa"/>
            <w:vAlign w:val="top"/>
          </w:tcPr>
          <w:p w14:paraId="54E01102">
            <w:pPr>
              <w:spacing w:before="130"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405" w:type="dxa"/>
            <w:vAlign w:val="top"/>
          </w:tcPr>
          <w:p w14:paraId="6DA6C46F">
            <w:pPr>
              <w:spacing w:before="130"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79" w:type="dxa"/>
            <w:vAlign w:val="top"/>
          </w:tcPr>
          <w:p w14:paraId="015FD5BA">
            <w:pPr>
              <w:spacing w:before="130"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900" w:type="dxa"/>
            <w:vAlign w:val="top"/>
          </w:tcPr>
          <w:p w14:paraId="3514FAAA">
            <w:pPr>
              <w:spacing w:before="130"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252" w:type="dxa"/>
            <w:tcBorders>
              <w:right w:val="single" w:color="000000" w:sz="10" w:space="0"/>
            </w:tcBorders>
            <w:vAlign w:val="top"/>
          </w:tcPr>
          <w:p w14:paraId="2F831BD7">
            <w:pPr>
              <w:spacing w:before="130"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1B044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35" w:type="dxa"/>
            <w:tcBorders>
              <w:left w:val="single" w:color="000000" w:sz="10" w:space="0"/>
            </w:tcBorders>
            <w:vAlign w:val="top"/>
          </w:tcPr>
          <w:p w14:paraId="7CB6A451">
            <w:pPr>
              <w:spacing w:before="133"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2023-08</w:t>
            </w:r>
          </w:p>
        </w:tc>
        <w:tc>
          <w:tcPr>
            <w:tcW w:w="1019" w:type="dxa"/>
            <w:vAlign w:val="top"/>
          </w:tcPr>
          <w:p w14:paraId="49903305">
            <w:pPr>
              <w:spacing w:before="133"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0.0009</w:t>
            </w:r>
          </w:p>
        </w:tc>
        <w:tc>
          <w:tcPr>
            <w:tcW w:w="1142" w:type="dxa"/>
            <w:vAlign w:val="top"/>
          </w:tcPr>
          <w:p w14:paraId="656124AA">
            <w:pPr>
              <w:spacing w:before="133"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42" w:type="dxa"/>
            <w:vAlign w:val="top"/>
          </w:tcPr>
          <w:p w14:paraId="6903FE69">
            <w:pPr>
              <w:spacing w:before="133"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227" w:type="dxa"/>
            <w:vAlign w:val="top"/>
          </w:tcPr>
          <w:p w14:paraId="2DF2C74A">
            <w:pPr>
              <w:spacing w:before="133"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210" w:type="dxa"/>
            <w:vAlign w:val="top"/>
          </w:tcPr>
          <w:p w14:paraId="7FE07730">
            <w:pPr>
              <w:spacing w:before="133"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1405" w:type="dxa"/>
            <w:vAlign w:val="top"/>
          </w:tcPr>
          <w:p w14:paraId="05A53197">
            <w:pPr>
              <w:spacing w:before="133"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405" w:type="dxa"/>
            <w:vAlign w:val="top"/>
          </w:tcPr>
          <w:p w14:paraId="222B914F">
            <w:pPr>
              <w:spacing w:before="133"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79" w:type="dxa"/>
            <w:vAlign w:val="top"/>
          </w:tcPr>
          <w:p w14:paraId="68406EDA">
            <w:pPr>
              <w:spacing w:before="133"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900" w:type="dxa"/>
            <w:vAlign w:val="top"/>
          </w:tcPr>
          <w:p w14:paraId="3C02979E">
            <w:pPr>
              <w:spacing w:before="133"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252" w:type="dxa"/>
            <w:tcBorders>
              <w:right w:val="single" w:color="000000" w:sz="10" w:space="0"/>
            </w:tcBorders>
            <w:vAlign w:val="top"/>
          </w:tcPr>
          <w:p w14:paraId="724E2214">
            <w:pPr>
              <w:spacing w:before="133"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61E7F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35" w:type="dxa"/>
            <w:tcBorders>
              <w:left w:val="single" w:color="000000" w:sz="10" w:space="0"/>
            </w:tcBorders>
            <w:vAlign w:val="top"/>
          </w:tcPr>
          <w:p w14:paraId="2E3C713A">
            <w:pPr>
              <w:spacing w:before="133"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2023-09</w:t>
            </w:r>
          </w:p>
        </w:tc>
        <w:tc>
          <w:tcPr>
            <w:tcW w:w="1019" w:type="dxa"/>
            <w:vAlign w:val="top"/>
          </w:tcPr>
          <w:p w14:paraId="23FCBA96">
            <w:pPr>
              <w:spacing w:before="133"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0.0008</w:t>
            </w:r>
          </w:p>
        </w:tc>
        <w:tc>
          <w:tcPr>
            <w:tcW w:w="1142" w:type="dxa"/>
            <w:vAlign w:val="top"/>
          </w:tcPr>
          <w:p w14:paraId="725E66D8">
            <w:pPr>
              <w:spacing w:before="133"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42" w:type="dxa"/>
            <w:vAlign w:val="top"/>
          </w:tcPr>
          <w:p w14:paraId="0E5868CB">
            <w:pPr>
              <w:spacing w:before="133"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227" w:type="dxa"/>
            <w:vAlign w:val="top"/>
          </w:tcPr>
          <w:p w14:paraId="620DD9F3">
            <w:pPr>
              <w:spacing w:before="133"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210" w:type="dxa"/>
            <w:vAlign w:val="top"/>
          </w:tcPr>
          <w:p w14:paraId="55763DE8">
            <w:pPr>
              <w:spacing w:before="133"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1405" w:type="dxa"/>
            <w:vAlign w:val="top"/>
          </w:tcPr>
          <w:p w14:paraId="7C818D3F">
            <w:pPr>
              <w:spacing w:before="133"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405" w:type="dxa"/>
            <w:vAlign w:val="top"/>
          </w:tcPr>
          <w:p w14:paraId="7D717B40">
            <w:pPr>
              <w:spacing w:before="133"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79" w:type="dxa"/>
            <w:vAlign w:val="top"/>
          </w:tcPr>
          <w:p w14:paraId="07310383">
            <w:pPr>
              <w:spacing w:before="133"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900" w:type="dxa"/>
            <w:vAlign w:val="top"/>
          </w:tcPr>
          <w:p w14:paraId="5D96A3FD">
            <w:pPr>
              <w:spacing w:before="133"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252" w:type="dxa"/>
            <w:tcBorders>
              <w:right w:val="single" w:color="000000" w:sz="10" w:space="0"/>
            </w:tcBorders>
            <w:vAlign w:val="top"/>
          </w:tcPr>
          <w:p w14:paraId="3DBA3C67">
            <w:pPr>
              <w:spacing w:before="133"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682613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5" w:type="dxa"/>
            <w:tcBorders>
              <w:left w:val="single" w:color="000000" w:sz="10" w:space="0"/>
            </w:tcBorders>
            <w:vAlign w:val="top"/>
          </w:tcPr>
          <w:p w14:paraId="36C61DB0">
            <w:pPr>
              <w:spacing w:before="135"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2023-10</w:t>
            </w:r>
          </w:p>
        </w:tc>
        <w:tc>
          <w:tcPr>
            <w:tcW w:w="1019" w:type="dxa"/>
            <w:vAlign w:val="top"/>
          </w:tcPr>
          <w:p w14:paraId="60AFB47E">
            <w:pPr>
              <w:spacing w:before="135"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0.0016</w:t>
            </w:r>
          </w:p>
        </w:tc>
        <w:tc>
          <w:tcPr>
            <w:tcW w:w="1142" w:type="dxa"/>
            <w:vAlign w:val="top"/>
          </w:tcPr>
          <w:p w14:paraId="3D9F958D">
            <w:pPr>
              <w:spacing w:before="135"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42" w:type="dxa"/>
            <w:vAlign w:val="top"/>
          </w:tcPr>
          <w:p w14:paraId="33476A27">
            <w:pPr>
              <w:spacing w:before="135"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227" w:type="dxa"/>
            <w:vAlign w:val="top"/>
          </w:tcPr>
          <w:p w14:paraId="4FB7922E">
            <w:pPr>
              <w:spacing w:before="135"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210" w:type="dxa"/>
            <w:vAlign w:val="top"/>
          </w:tcPr>
          <w:p w14:paraId="5F86130F">
            <w:pPr>
              <w:spacing w:before="135"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1405" w:type="dxa"/>
            <w:vAlign w:val="top"/>
          </w:tcPr>
          <w:p w14:paraId="5325A54A">
            <w:pPr>
              <w:spacing w:before="135"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405" w:type="dxa"/>
            <w:vAlign w:val="top"/>
          </w:tcPr>
          <w:p w14:paraId="6A37CE4D">
            <w:pPr>
              <w:spacing w:before="135"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79" w:type="dxa"/>
            <w:vAlign w:val="top"/>
          </w:tcPr>
          <w:p w14:paraId="453C4FBD">
            <w:pPr>
              <w:spacing w:before="135"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900" w:type="dxa"/>
            <w:vAlign w:val="top"/>
          </w:tcPr>
          <w:p w14:paraId="5A8E0CDB">
            <w:pPr>
              <w:spacing w:before="135"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252" w:type="dxa"/>
            <w:tcBorders>
              <w:right w:val="single" w:color="000000" w:sz="10" w:space="0"/>
            </w:tcBorders>
            <w:vAlign w:val="top"/>
          </w:tcPr>
          <w:p w14:paraId="305A7850">
            <w:pPr>
              <w:spacing w:before="135"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2D6DA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35" w:type="dxa"/>
            <w:tcBorders>
              <w:left w:val="single" w:color="000000" w:sz="10" w:space="0"/>
            </w:tcBorders>
            <w:vAlign w:val="top"/>
          </w:tcPr>
          <w:p w14:paraId="7829D110">
            <w:pPr>
              <w:spacing w:before="136"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2023-11</w:t>
            </w:r>
          </w:p>
        </w:tc>
        <w:tc>
          <w:tcPr>
            <w:tcW w:w="1019" w:type="dxa"/>
            <w:vAlign w:val="top"/>
          </w:tcPr>
          <w:p w14:paraId="7A6BF854">
            <w:pPr>
              <w:spacing w:before="136"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0.0008</w:t>
            </w:r>
          </w:p>
        </w:tc>
        <w:tc>
          <w:tcPr>
            <w:tcW w:w="1142" w:type="dxa"/>
            <w:vAlign w:val="top"/>
          </w:tcPr>
          <w:p w14:paraId="61776382">
            <w:pPr>
              <w:spacing w:before="136"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42" w:type="dxa"/>
            <w:vAlign w:val="top"/>
          </w:tcPr>
          <w:p w14:paraId="37FABCCC">
            <w:pPr>
              <w:spacing w:before="136"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227" w:type="dxa"/>
            <w:vAlign w:val="top"/>
          </w:tcPr>
          <w:p w14:paraId="6616530A">
            <w:pPr>
              <w:spacing w:before="136"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210" w:type="dxa"/>
            <w:vAlign w:val="top"/>
          </w:tcPr>
          <w:p w14:paraId="3A5FC547">
            <w:pPr>
              <w:spacing w:before="136"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1405" w:type="dxa"/>
            <w:vAlign w:val="top"/>
          </w:tcPr>
          <w:p w14:paraId="58962DE7">
            <w:pPr>
              <w:spacing w:before="136"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405" w:type="dxa"/>
            <w:vAlign w:val="top"/>
          </w:tcPr>
          <w:p w14:paraId="148E15A8">
            <w:pPr>
              <w:spacing w:before="136"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79" w:type="dxa"/>
            <w:vAlign w:val="top"/>
          </w:tcPr>
          <w:p w14:paraId="2E04A133">
            <w:pPr>
              <w:spacing w:before="136"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900" w:type="dxa"/>
            <w:vAlign w:val="top"/>
          </w:tcPr>
          <w:p w14:paraId="75C16611">
            <w:pPr>
              <w:spacing w:before="136"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252" w:type="dxa"/>
            <w:tcBorders>
              <w:right w:val="single" w:color="000000" w:sz="10" w:space="0"/>
            </w:tcBorders>
            <w:vAlign w:val="top"/>
          </w:tcPr>
          <w:p w14:paraId="400569B7">
            <w:pPr>
              <w:spacing w:before="136"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6C257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5" w:type="dxa"/>
            <w:tcBorders>
              <w:left w:val="single" w:color="000000" w:sz="10" w:space="0"/>
            </w:tcBorders>
            <w:vAlign w:val="top"/>
          </w:tcPr>
          <w:p w14:paraId="642F3C73">
            <w:pPr>
              <w:spacing w:before="138"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2023-12</w:t>
            </w:r>
          </w:p>
        </w:tc>
        <w:tc>
          <w:tcPr>
            <w:tcW w:w="1019" w:type="dxa"/>
            <w:vAlign w:val="top"/>
          </w:tcPr>
          <w:p w14:paraId="56CFBC20">
            <w:pPr>
              <w:spacing w:before="138"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0.0006</w:t>
            </w:r>
          </w:p>
        </w:tc>
        <w:tc>
          <w:tcPr>
            <w:tcW w:w="1142" w:type="dxa"/>
            <w:vAlign w:val="top"/>
          </w:tcPr>
          <w:p w14:paraId="72C747CB">
            <w:pPr>
              <w:spacing w:before="138"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42" w:type="dxa"/>
            <w:vAlign w:val="top"/>
          </w:tcPr>
          <w:p w14:paraId="1FEB85EA">
            <w:pPr>
              <w:spacing w:before="138"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227" w:type="dxa"/>
            <w:vAlign w:val="top"/>
          </w:tcPr>
          <w:p w14:paraId="51C5747A">
            <w:pPr>
              <w:spacing w:before="138"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210" w:type="dxa"/>
            <w:vAlign w:val="top"/>
          </w:tcPr>
          <w:p w14:paraId="5F177497">
            <w:pPr>
              <w:spacing w:before="13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1405" w:type="dxa"/>
            <w:vAlign w:val="top"/>
          </w:tcPr>
          <w:p w14:paraId="583FCCCE">
            <w:pPr>
              <w:spacing w:before="138"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405" w:type="dxa"/>
            <w:vAlign w:val="top"/>
          </w:tcPr>
          <w:p w14:paraId="78FC8E0E">
            <w:pPr>
              <w:spacing w:before="138"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79" w:type="dxa"/>
            <w:vAlign w:val="top"/>
          </w:tcPr>
          <w:p w14:paraId="62D6E0E1">
            <w:pPr>
              <w:spacing w:before="138"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900" w:type="dxa"/>
            <w:vAlign w:val="top"/>
          </w:tcPr>
          <w:p w14:paraId="1043F7B7">
            <w:pPr>
              <w:spacing w:before="138"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252" w:type="dxa"/>
            <w:tcBorders>
              <w:right w:val="single" w:color="000000" w:sz="10" w:space="0"/>
            </w:tcBorders>
            <w:vAlign w:val="top"/>
          </w:tcPr>
          <w:p w14:paraId="7D9AF092">
            <w:pPr>
              <w:spacing w:before="138"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79871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35" w:type="dxa"/>
            <w:tcBorders>
              <w:left w:val="single" w:color="000000" w:sz="10" w:space="0"/>
            </w:tcBorders>
            <w:vAlign w:val="top"/>
          </w:tcPr>
          <w:p w14:paraId="755B0E98">
            <w:pPr>
              <w:spacing w:before="141"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2024-01</w:t>
            </w:r>
          </w:p>
        </w:tc>
        <w:tc>
          <w:tcPr>
            <w:tcW w:w="1019" w:type="dxa"/>
            <w:vAlign w:val="top"/>
          </w:tcPr>
          <w:p w14:paraId="3A7959CC">
            <w:pPr>
              <w:spacing w:before="141"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0.0011</w:t>
            </w:r>
          </w:p>
        </w:tc>
        <w:tc>
          <w:tcPr>
            <w:tcW w:w="1142" w:type="dxa"/>
            <w:vAlign w:val="top"/>
          </w:tcPr>
          <w:p w14:paraId="4C421455">
            <w:pPr>
              <w:spacing w:before="141"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42" w:type="dxa"/>
            <w:vAlign w:val="top"/>
          </w:tcPr>
          <w:p w14:paraId="43FB5E73">
            <w:pPr>
              <w:spacing w:before="141"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227" w:type="dxa"/>
            <w:vAlign w:val="top"/>
          </w:tcPr>
          <w:p w14:paraId="2D68A95C">
            <w:pPr>
              <w:spacing w:before="141"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210" w:type="dxa"/>
            <w:vAlign w:val="top"/>
          </w:tcPr>
          <w:p w14:paraId="02D8B7EA">
            <w:pPr>
              <w:spacing w:before="141"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1405" w:type="dxa"/>
            <w:vAlign w:val="top"/>
          </w:tcPr>
          <w:p w14:paraId="55433148">
            <w:pPr>
              <w:spacing w:before="141"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405" w:type="dxa"/>
            <w:vAlign w:val="top"/>
          </w:tcPr>
          <w:p w14:paraId="6CDC215E">
            <w:pPr>
              <w:spacing w:before="141"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79" w:type="dxa"/>
            <w:vAlign w:val="top"/>
          </w:tcPr>
          <w:p w14:paraId="2A109AA1">
            <w:pPr>
              <w:spacing w:before="141"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900" w:type="dxa"/>
            <w:vAlign w:val="top"/>
          </w:tcPr>
          <w:p w14:paraId="6D6D790D">
            <w:pPr>
              <w:spacing w:before="141"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252" w:type="dxa"/>
            <w:tcBorders>
              <w:right w:val="single" w:color="000000" w:sz="10" w:space="0"/>
            </w:tcBorders>
            <w:vAlign w:val="top"/>
          </w:tcPr>
          <w:p w14:paraId="71F2EA85">
            <w:pPr>
              <w:spacing w:before="141"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4524E4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35" w:type="dxa"/>
            <w:tcBorders>
              <w:left w:val="single" w:color="000000" w:sz="10" w:space="0"/>
            </w:tcBorders>
            <w:vAlign w:val="top"/>
          </w:tcPr>
          <w:p w14:paraId="70ADD838">
            <w:pPr>
              <w:spacing w:before="140"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2024-02</w:t>
            </w:r>
          </w:p>
        </w:tc>
        <w:tc>
          <w:tcPr>
            <w:tcW w:w="1019" w:type="dxa"/>
            <w:vAlign w:val="top"/>
          </w:tcPr>
          <w:p w14:paraId="197ABE61">
            <w:pPr>
              <w:spacing w:before="140"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0.0004</w:t>
            </w:r>
          </w:p>
        </w:tc>
        <w:tc>
          <w:tcPr>
            <w:tcW w:w="1142" w:type="dxa"/>
            <w:vAlign w:val="top"/>
          </w:tcPr>
          <w:p w14:paraId="23C9EF5B">
            <w:pPr>
              <w:spacing w:before="140"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42" w:type="dxa"/>
            <w:vAlign w:val="top"/>
          </w:tcPr>
          <w:p w14:paraId="1B7F9C3A">
            <w:pPr>
              <w:spacing w:before="140"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227" w:type="dxa"/>
            <w:vAlign w:val="top"/>
          </w:tcPr>
          <w:p w14:paraId="400FCD00">
            <w:pPr>
              <w:spacing w:before="140"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210" w:type="dxa"/>
            <w:vAlign w:val="top"/>
          </w:tcPr>
          <w:p w14:paraId="01C47282">
            <w:pPr>
              <w:spacing w:before="140"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1405" w:type="dxa"/>
            <w:vAlign w:val="top"/>
          </w:tcPr>
          <w:p w14:paraId="326145C7">
            <w:pPr>
              <w:spacing w:before="140"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405" w:type="dxa"/>
            <w:vAlign w:val="top"/>
          </w:tcPr>
          <w:p w14:paraId="0EAFFEB6">
            <w:pPr>
              <w:spacing w:before="140"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79" w:type="dxa"/>
            <w:vAlign w:val="top"/>
          </w:tcPr>
          <w:p w14:paraId="2718E82D">
            <w:pPr>
              <w:spacing w:before="140"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900" w:type="dxa"/>
            <w:vAlign w:val="top"/>
          </w:tcPr>
          <w:p w14:paraId="31D68096">
            <w:pPr>
              <w:spacing w:before="140"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252" w:type="dxa"/>
            <w:tcBorders>
              <w:right w:val="single" w:color="000000" w:sz="10" w:space="0"/>
            </w:tcBorders>
            <w:vAlign w:val="top"/>
          </w:tcPr>
          <w:p w14:paraId="720B11AA">
            <w:pPr>
              <w:spacing w:before="140"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40F0A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35" w:type="dxa"/>
            <w:tcBorders>
              <w:left w:val="single" w:color="000000" w:sz="10" w:space="0"/>
            </w:tcBorders>
            <w:vAlign w:val="top"/>
          </w:tcPr>
          <w:p w14:paraId="6BD247FE">
            <w:pPr>
              <w:spacing w:before="142"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2024-03</w:t>
            </w:r>
          </w:p>
        </w:tc>
        <w:tc>
          <w:tcPr>
            <w:tcW w:w="1019" w:type="dxa"/>
            <w:vAlign w:val="top"/>
          </w:tcPr>
          <w:p w14:paraId="556EA9C9">
            <w:pPr>
              <w:spacing w:before="142"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42" w:type="dxa"/>
            <w:vAlign w:val="top"/>
          </w:tcPr>
          <w:p w14:paraId="5FE5DBBC">
            <w:pPr>
              <w:spacing w:before="142"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42" w:type="dxa"/>
            <w:vAlign w:val="top"/>
          </w:tcPr>
          <w:p w14:paraId="59B38C46">
            <w:pPr>
              <w:spacing w:before="142"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227" w:type="dxa"/>
            <w:vAlign w:val="top"/>
          </w:tcPr>
          <w:p w14:paraId="3597B8DE">
            <w:pPr>
              <w:spacing w:before="142"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210" w:type="dxa"/>
            <w:vAlign w:val="top"/>
          </w:tcPr>
          <w:p w14:paraId="09437727">
            <w:pPr>
              <w:spacing w:before="142" w:line="195" w:lineRule="auto"/>
              <w:ind w:left="3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0.0004</w:t>
            </w:r>
          </w:p>
        </w:tc>
        <w:tc>
          <w:tcPr>
            <w:tcW w:w="1405" w:type="dxa"/>
            <w:vAlign w:val="top"/>
          </w:tcPr>
          <w:p w14:paraId="066B8E5A">
            <w:pPr>
              <w:spacing w:before="142"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405" w:type="dxa"/>
            <w:vAlign w:val="top"/>
          </w:tcPr>
          <w:p w14:paraId="65542FA7">
            <w:pPr>
              <w:spacing w:before="142"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79" w:type="dxa"/>
            <w:vAlign w:val="top"/>
          </w:tcPr>
          <w:p w14:paraId="43219E48">
            <w:pPr>
              <w:spacing w:before="142"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900" w:type="dxa"/>
            <w:vAlign w:val="top"/>
          </w:tcPr>
          <w:p w14:paraId="20257ADC">
            <w:pPr>
              <w:spacing w:before="142"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252" w:type="dxa"/>
            <w:tcBorders>
              <w:right w:val="single" w:color="000000" w:sz="10" w:space="0"/>
            </w:tcBorders>
            <w:vAlign w:val="top"/>
          </w:tcPr>
          <w:p w14:paraId="527B55AE">
            <w:pPr>
              <w:spacing w:before="142"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6B0A8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35" w:type="dxa"/>
            <w:tcBorders>
              <w:left w:val="single" w:color="000000" w:sz="10" w:space="0"/>
            </w:tcBorders>
            <w:vAlign w:val="top"/>
          </w:tcPr>
          <w:p w14:paraId="4E076DDB">
            <w:pPr>
              <w:spacing w:before="142"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2024-04</w:t>
            </w:r>
          </w:p>
        </w:tc>
        <w:tc>
          <w:tcPr>
            <w:tcW w:w="1019" w:type="dxa"/>
            <w:vAlign w:val="top"/>
          </w:tcPr>
          <w:p w14:paraId="7E72B94E">
            <w:pPr>
              <w:spacing w:before="142"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42" w:type="dxa"/>
            <w:vAlign w:val="top"/>
          </w:tcPr>
          <w:p w14:paraId="6F95E722">
            <w:pPr>
              <w:spacing w:before="142"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42" w:type="dxa"/>
            <w:vAlign w:val="top"/>
          </w:tcPr>
          <w:p w14:paraId="28330E19">
            <w:pPr>
              <w:spacing w:before="142"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227" w:type="dxa"/>
            <w:vAlign w:val="top"/>
          </w:tcPr>
          <w:p w14:paraId="13A4ACB6">
            <w:pPr>
              <w:spacing w:before="142"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210" w:type="dxa"/>
            <w:vAlign w:val="top"/>
          </w:tcPr>
          <w:p w14:paraId="7925CC9D">
            <w:pPr>
              <w:spacing w:before="142" w:line="195" w:lineRule="auto"/>
              <w:ind w:left="3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05" w:type="dxa"/>
            <w:vAlign w:val="top"/>
          </w:tcPr>
          <w:p w14:paraId="1BA65C3D">
            <w:pPr>
              <w:spacing w:before="142"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405" w:type="dxa"/>
            <w:vAlign w:val="top"/>
          </w:tcPr>
          <w:p w14:paraId="37BBF632">
            <w:pPr>
              <w:spacing w:before="142"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79" w:type="dxa"/>
            <w:vAlign w:val="top"/>
          </w:tcPr>
          <w:p w14:paraId="76683C1A">
            <w:pPr>
              <w:spacing w:before="142"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900" w:type="dxa"/>
            <w:vAlign w:val="top"/>
          </w:tcPr>
          <w:p w14:paraId="586E9C80">
            <w:pPr>
              <w:spacing w:before="142"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252" w:type="dxa"/>
            <w:tcBorders>
              <w:right w:val="single" w:color="000000" w:sz="10" w:space="0"/>
            </w:tcBorders>
            <w:vAlign w:val="top"/>
          </w:tcPr>
          <w:p w14:paraId="39DAACF6">
            <w:pPr>
              <w:spacing w:before="142"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265CF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5" w:type="dxa"/>
            <w:tcBorders>
              <w:left w:val="single" w:color="000000" w:sz="10" w:space="0"/>
            </w:tcBorders>
            <w:vAlign w:val="top"/>
          </w:tcPr>
          <w:p w14:paraId="77B1E055">
            <w:pPr>
              <w:spacing w:before="144"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2024-05</w:t>
            </w:r>
          </w:p>
        </w:tc>
        <w:tc>
          <w:tcPr>
            <w:tcW w:w="1019" w:type="dxa"/>
            <w:vAlign w:val="top"/>
          </w:tcPr>
          <w:p w14:paraId="657FB24F">
            <w:pPr>
              <w:spacing w:before="144"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w:t>
            </w:r>
          </w:p>
        </w:tc>
        <w:tc>
          <w:tcPr>
            <w:tcW w:w="1142" w:type="dxa"/>
            <w:vAlign w:val="top"/>
          </w:tcPr>
          <w:p w14:paraId="418FB341">
            <w:pPr>
              <w:spacing w:before="144"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42" w:type="dxa"/>
            <w:vAlign w:val="top"/>
          </w:tcPr>
          <w:p w14:paraId="487787EE">
            <w:pPr>
              <w:spacing w:before="144"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227" w:type="dxa"/>
            <w:vAlign w:val="top"/>
          </w:tcPr>
          <w:p w14:paraId="18CA4B8A">
            <w:pPr>
              <w:spacing w:before="144"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210" w:type="dxa"/>
            <w:vAlign w:val="top"/>
          </w:tcPr>
          <w:p w14:paraId="73E1A09C">
            <w:pPr>
              <w:spacing w:before="144" w:line="195" w:lineRule="auto"/>
              <w:ind w:left="3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05" w:type="dxa"/>
            <w:vAlign w:val="top"/>
          </w:tcPr>
          <w:p w14:paraId="6E36538E">
            <w:pPr>
              <w:spacing w:before="144"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405" w:type="dxa"/>
            <w:vAlign w:val="top"/>
          </w:tcPr>
          <w:p w14:paraId="17EAC7C1">
            <w:pPr>
              <w:spacing w:before="144"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79" w:type="dxa"/>
            <w:vAlign w:val="top"/>
          </w:tcPr>
          <w:p w14:paraId="613B20D1">
            <w:pPr>
              <w:spacing w:before="144"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900" w:type="dxa"/>
            <w:vAlign w:val="top"/>
          </w:tcPr>
          <w:p w14:paraId="05631203">
            <w:pPr>
              <w:spacing w:before="144"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252" w:type="dxa"/>
            <w:tcBorders>
              <w:right w:val="single" w:color="000000" w:sz="10" w:space="0"/>
            </w:tcBorders>
            <w:vAlign w:val="top"/>
          </w:tcPr>
          <w:p w14:paraId="5CB290BC">
            <w:pPr>
              <w:spacing w:before="144"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769FC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35" w:type="dxa"/>
            <w:tcBorders>
              <w:left w:val="single" w:color="000000" w:sz="10" w:space="0"/>
            </w:tcBorders>
            <w:vAlign w:val="top"/>
          </w:tcPr>
          <w:p w14:paraId="3A7D3B80">
            <w:pPr>
              <w:spacing w:before="147"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2024-06</w:t>
            </w:r>
          </w:p>
        </w:tc>
        <w:tc>
          <w:tcPr>
            <w:tcW w:w="1019" w:type="dxa"/>
            <w:vAlign w:val="top"/>
          </w:tcPr>
          <w:p w14:paraId="6FB0E09D">
            <w:pPr>
              <w:spacing w:before="147"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0.0008</w:t>
            </w:r>
          </w:p>
        </w:tc>
        <w:tc>
          <w:tcPr>
            <w:tcW w:w="1142" w:type="dxa"/>
            <w:vAlign w:val="top"/>
          </w:tcPr>
          <w:p w14:paraId="27697931">
            <w:pPr>
              <w:spacing w:before="147"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42" w:type="dxa"/>
            <w:vAlign w:val="top"/>
          </w:tcPr>
          <w:p w14:paraId="63DA6165">
            <w:pPr>
              <w:spacing w:before="147"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227" w:type="dxa"/>
            <w:vAlign w:val="top"/>
          </w:tcPr>
          <w:p w14:paraId="2A949EA6">
            <w:pPr>
              <w:spacing w:before="147"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210" w:type="dxa"/>
            <w:vAlign w:val="top"/>
          </w:tcPr>
          <w:p w14:paraId="08F62F75">
            <w:pPr>
              <w:spacing w:before="147"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1405" w:type="dxa"/>
            <w:vAlign w:val="top"/>
          </w:tcPr>
          <w:p w14:paraId="2A1A6D2A">
            <w:pPr>
              <w:spacing w:before="147"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405" w:type="dxa"/>
            <w:vAlign w:val="top"/>
          </w:tcPr>
          <w:p w14:paraId="7FE14AB6">
            <w:pPr>
              <w:spacing w:before="147"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79" w:type="dxa"/>
            <w:vAlign w:val="top"/>
          </w:tcPr>
          <w:p w14:paraId="732E683E">
            <w:pPr>
              <w:spacing w:before="147"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900" w:type="dxa"/>
            <w:vAlign w:val="top"/>
          </w:tcPr>
          <w:p w14:paraId="268EA1DB">
            <w:pPr>
              <w:spacing w:before="147"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252" w:type="dxa"/>
            <w:tcBorders>
              <w:right w:val="single" w:color="000000" w:sz="10" w:space="0"/>
            </w:tcBorders>
            <w:vAlign w:val="top"/>
          </w:tcPr>
          <w:p w14:paraId="73D8BD0A">
            <w:pPr>
              <w:spacing w:before="147"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68B0D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35" w:type="dxa"/>
            <w:tcBorders>
              <w:left w:val="single" w:color="000000" w:sz="10" w:space="0"/>
            </w:tcBorders>
            <w:vAlign w:val="top"/>
          </w:tcPr>
          <w:p w14:paraId="3EAC02CB">
            <w:pPr>
              <w:spacing w:before="146"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2024-07</w:t>
            </w:r>
          </w:p>
        </w:tc>
        <w:tc>
          <w:tcPr>
            <w:tcW w:w="1019" w:type="dxa"/>
            <w:vAlign w:val="top"/>
          </w:tcPr>
          <w:p w14:paraId="0748A755">
            <w:pPr>
              <w:spacing w:before="146"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0.0007</w:t>
            </w:r>
          </w:p>
        </w:tc>
        <w:tc>
          <w:tcPr>
            <w:tcW w:w="1142" w:type="dxa"/>
            <w:vAlign w:val="top"/>
          </w:tcPr>
          <w:p w14:paraId="62186B5E">
            <w:pPr>
              <w:spacing w:before="146"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42" w:type="dxa"/>
            <w:vAlign w:val="top"/>
          </w:tcPr>
          <w:p w14:paraId="1B373189">
            <w:pPr>
              <w:spacing w:before="146"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227" w:type="dxa"/>
            <w:vAlign w:val="top"/>
          </w:tcPr>
          <w:p w14:paraId="236EA901">
            <w:pPr>
              <w:spacing w:before="146"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210" w:type="dxa"/>
            <w:vAlign w:val="top"/>
          </w:tcPr>
          <w:p w14:paraId="101905BD">
            <w:pPr>
              <w:spacing w:before="146"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1405" w:type="dxa"/>
            <w:vAlign w:val="top"/>
          </w:tcPr>
          <w:p w14:paraId="4A225CE4">
            <w:pPr>
              <w:spacing w:before="146"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405" w:type="dxa"/>
            <w:vAlign w:val="top"/>
          </w:tcPr>
          <w:p w14:paraId="09B32DB2">
            <w:pPr>
              <w:spacing w:before="146"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79" w:type="dxa"/>
            <w:vAlign w:val="top"/>
          </w:tcPr>
          <w:p w14:paraId="6EDFB8CA">
            <w:pPr>
              <w:spacing w:before="146"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900" w:type="dxa"/>
            <w:vAlign w:val="top"/>
          </w:tcPr>
          <w:p w14:paraId="06484185">
            <w:pPr>
              <w:spacing w:before="146"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252" w:type="dxa"/>
            <w:tcBorders>
              <w:right w:val="single" w:color="000000" w:sz="10" w:space="0"/>
            </w:tcBorders>
            <w:vAlign w:val="top"/>
          </w:tcPr>
          <w:p w14:paraId="7762B63D">
            <w:pPr>
              <w:spacing w:before="146"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7C7603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35" w:type="dxa"/>
            <w:tcBorders>
              <w:left w:val="single" w:color="000000" w:sz="10" w:space="0"/>
            </w:tcBorders>
            <w:vAlign w:val="top"/>
          </w:tcPr>
          <w:p w14:paraId="45767AF6">
            <w:pPr>
              <w:spacing w:before="148"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2024-08</w:t>
            </w:r>
          </w:p>
        </w:tc>
        <w:tc>
          <w:tcPr>
            <w:tcW w:w="1019" w:type="dxa"/>
            <w:vAlign w:val="top"/>
          </w:tcPr>
          <w:p w14:paraId="7D298CA6">
            <w:pPr>
              <w:spacing w:before="148"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0.0024</w:t>
            </w:r>
          </w:p>
        </w:tc>
        <w:tc>
          <w:tcPr>
            <w:tcW w:w="1142" w:type="dxa"/>
            <w:vAlign w:val="top"/>
          </w:tcPr>
          <w:p w14:paraId="23EB5BBB">
            <w:pPr>
              <w:spacing w:before="148"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42" w:type="dxa"/>
            <w:vAlign w:val="top"/>
          </w:tcPr>
          <w:p w14:paraId="485914C6">
            <w:pPr>
              <w:spacing w:before="148"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227" w:type="dxa"/>
            <w:vAlign w:val="top"/>
          </w:tcPr>
          <w:p w14:paraId="490EBDD6">
            <w:pPr>
              <w:spacing w:before="148"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210" w:type="dxa"/>
            <w:vAlign w:val="top"/>
          </w:tcPr>
          <w:p w14:paraId="37875C62">
            <w:pPr>
              <w:spacing w:before="14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1405" w:type="dxa"/>
            <w:vAlign w:val="top"/>
          </w:tcPr>
          <w:p w14:paraId="04502E32">
            <w:pPr>
              <w:spacing w:before="148"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405" w:type="dxa"/>
            <w:vAlign w:val="top"/>
          </w:tcPr>
          <w:p w14:paraId="78D7E310">
            <w:pPr>
              <w:spacing w:before="148"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79" w:type="dxa"/>
            <w:vAlign w:val="top"/>
          </w:tcPr>
          <w:p w14:paraId="2BE3544F">
            <w:pPr>
              <w:spacing w:before="148"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900" w:type="dxa"/>
            <w:vAlign w:val="top"/>
          </w:tcPr>
          <w:p w14:paraId="14D53374">
            <w:pPr>
              <w:spacing w:before="148"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252" w:type="dxa"/>
            <w:tcBorders>
              <w:right w:val="single" w:color="000000" w:sz="10" w:space="0"/>
            </w:tcBorders>
            <w:vAlign w:val="top"/>
          </w:tcPr>
          <w:p w14:paraId="65C86310">
            <w:pPr>
              <w:spacing w:before="148"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70F9B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35" w:type="dxa"/>
            <w:tcBorders>
              <w:left w:val="single" w:color="000000" w:sz="10" w:space="0"/>
            </w:tcBorders>
            <w:vAlign w:val="top"/>
          </w:tcPr>
          <w:p w14:paraId="22B510E3">
            <w:pPr>
              <w:spacing w:before="148"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2024-09</w:t>
            </w:r>
          </w:p>
        </w:tc>
        <w:tc>
          <w:tcPr>
            <w:tcW w:w="1019" w:type="dxa"/>
            <w:vAlign w:val="top"/>
          </w:tcPr>
          <w:p w14:paraId="64E49C6F">
            <w:pPr>
              <w:spacing w:before="148"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0.0026</w:t>
            </w:r>
          </w:p>
        </w:tc>
        <w:tc>
          <w:tcPr>
            <w:tcW w:w="1142" w:type="dxa"/>
            <w:vAlign w:val="top"/>
          </w:tcPr>
          <w:p w14:paraId="0573E432">
            <w:pPr>
              <w:spacing w:before="148"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42" w:type="dxa"/>
            <w:vAlign w:val="top"/>
          </w:tcPr>
          <w:p w14:paraId="71C6849A">
            <w:pPr>
              <w:spacing w:before="148"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227" w:type="dxa"/>
            <w:vAlign w:val="top"/>
          </w:tcPr>
          <w:p w14:paraId="3554A776">
            <w:pPr>
              <w:spacing w:before="148"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210" w:type="dxa"/>
            <w:vAlign w:val="top"/>
          </w:tcPr>
          <w:p w14:paraId="5020F40F">
            <w:pPr>
              <w:spacing w:before="14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1405" w:type="dxa"/>
            <w:vAlign w:val="top"/>
          </w:tcPr>
          <w:p w14:paraId="67B8E56E">
            <w:pPr>
              <w:spacing w:before="148"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405" w:type="dxa"/>
            <w:vAlign w:val="top"/>
          </w:tcPr>
          <w:p w14:paraId="6B6661F0">
            <w:pPr>
              <w:spacing w:before="148"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79" w:type="dxa"/>
            <w:vAlign w:val="top"/>
          </w:tcPr>
          <w:p w14:paraId="4FECAB42">
            <w:pPr>
              <w:spacing w:before="148"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900" w:type="dxa"/>
            <w:vAlign w:val="top"/>
          </w:tcPr>
          <w:p w14:paraId="3F433924">
            <w:pPr>
              <w:spacing w:before="148"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252" w:type="dxa"/>
            <w:tcBorders>
              <w:right w:val="single" w:color="000000" w:sz="10" w:space="0"/>
            </w:tcBorders>
            <w:vAlign w:val="top"/>
          </w:tcPr>
          <w:p w14:paraId="19410561">
            <w:pPr>
              <w:spacing w:before="148"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542973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35" w:type="dxa"/>
            <w:tcBorders>
              <w:left w:val="single" w:color="000000" w:sz="10" w:space="0"/>
            </w:tcBorders>
            <w:vAlign w:val="top"/>
          </w:tcPr>
          <w:p w14:paraId="4575C236">
            <w:pPr>
              <w:spacing w:before="150"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2024-10</w:t>
            </w:r>
          </w:p>
        </w:tc>
        <w:tc>
          <w:tcPr>
            <w:tcW w:w="1019" w:type="dxa"/>
            <w:vAlign w:val="top"/>
          </w:tcPr>
          <w:p w14:paraId="2F05769C">
            <w:pPr>
              <w:spacing w:before="150"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0.0022</w:t>
            </w:r>
          </w:p>
        </w:tc>
        <w:tc>
          <w:tcPr>
            <w:tcW w:w="1142" w:type="dxa"/>
            <w:vAlign w:val="top"/>
          </w:tcPr>
          <w:p w14:paraId="42127469">
            <w:pPr>
              <w:spacing w:before="150"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42" w:type="dxa"/>
            <w:vAlign w:val="top"/>
          </w:tcPr>
          <w:p w14:paraId="22764B17">
            <w:pPr>
              <w:spacing w:before="150"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227" w:type="dxa"/>
            <w:vAlign w:val="top"/>
          </w:tcPr>
          <w:p w14:paraId="1DE403C4">
            <w:pPr>
              <w:spacing w:before="150"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210" w:type="dxa"/>
            <w:vAlign w:val="top"/>
          </w:tcPr>
          <w:p w14:paraId="228378F5">
            <w:pPr>
              <w:spacing w:before="150"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1405" w:type="dxa"/>
            <w:vAlign w:val="top"/>
          </w:tcPr>
          <w:p w14:paraId="40A291EA">
            <w:pPr>
              <w:spacing w:before="150"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405" w:type="dxa"/>
            <w:vAlign w:val="top"/>
          </w:tcPr>
          <w:p w14:paraId="4F6F70A5">
            <w:pPr>
              <w:spacing w:before="150"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79" w:type="dxa"/>
            <w:vAlign w:val="top"/>
          </w:tcPr>
          <w:p w14:paraId="14DFF992">
            <w:pPr>
              <w:spacing w:before="150"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900" w:type="dxa"/>
            <w:vAlign w:val="top"/>
          </w:tcPr>
          <w:p w14:paraId="1E8824A0">
            <w:pPr>
              <w:spacing w:before="150"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252" w:type="dxa"/>
            <w:tcBorders>
              <w:right w:val="single" w:color="000000" w:sz="10" w:space="0"/>
            </w:tcBorders>
            <w:vAlign w:val="top"/>
          </w:tcPr>
          <w:p w14:paraId="06719F98">
            <w:pPr>
              <w:spacing w:before="150"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69637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35" w:type="dxa"/>
            <w:tcBorders>
              <w:left w:val="single" w:color="000000" w:sz="10" w:space="0"/>
            </w:tcBorders>
            <w:vAlign w:val="top"/>
          </w:tcPr>
          <w:p w14:paraId="5B021039">
            <w:pPr>
              <w:spacing w:before="150"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2024-11</w:t>
            </w:r>
          </w:p>
        </w:tc>
        <w:tc>
          <w:tcPr>
            <w:tcW w:w="1019" w:type="dxa"/>
            <w:vAlign w:val="top"/>
          </w:tcPr>
          <w:p w14:paraId="3565577C">
            <w:pPr>
              <w:spacing w:before="150"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0.0024</w:t>
            </w:r>
          </w:p>
        </w:tc>
        <w:tc>
          <w:tcPr>
            <w:tcW w:w="1142" w:type="dxa"/>
            <w:vAlign w:val="top"/>
          </w:tcPr>
          <w:p w14:paraId="08255F4E">
            <w:pPr>
              <w:spacing w:before="150"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42" w:type="dxa"/>
            <w:vAlign w:val="top"/>
          </w:tcPr>
          <w:p w14:paraId="231150A8">
            <w:pPr>
              <w:spacing w:before="150"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227" w:type="dxa"/>
            <w:vAlign w:val="top"/>
          </w:tcPr>
          <w:p w14:paraId="20B3AED0">
            <w:pPr>
              <w:spacing w:before="150"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210" w:type="dxa"/>
            <w:vAlign w:val="top"/>
          </w:tcPr>
          <w:p w14:paraId="112EC651">
            <w:pPr>
              <w:spacing w:before="150" w:line="195" w:lineRule="auto"/>
              <w:ind w:left="3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0.0001</w:t>
            </w:r>
          </w:p>
        </w:tc>
        <w:tc>
          <w:tcPr>
            <w:tcW w:w="1405" w:type="dxa"/>
            <w:vAlign w:val="top"/>
          </w:tcPr>
          <w:p w14:paraId="49DC228A">
            <w:pPr>
              <w:spacing w:before="150"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405" w:type="dxa"/>
            <w:vAlign w:val="top"/>
          </w:tcPr>
          <w:p w14:paraId="55050041">
            <w:pPr>
              <w:spacing w:before="150"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79" w:type="dxa"/>
            <w:vAlign w:val="top"/>
          </w:tcPr>
          <w:p w14:paraId="38342542">
            <w:pPr>
              <w:spacing w:before="150"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900" w:type="dxa"/>
            <w:vAlign w:val="top"/>
          </w:tcPr>
          <w:p w14:paraId="6DA01989">
            <w:pPr>
              <w:spacing w:before="150"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252" w:type="dxa"/>
            <w:tcBorders>
              <w:right w:val="single" w:color="000000" w:sz="10" w:space="0"/>
            </w:tcBorders>
            <w:vAlign w:val="top"/>
          </w:tcPr>
          <w:p w14:paraId="2FEEB1A9">
            <w:pPr>
              <w:spacing w:before="150"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4E143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35" w:type="dxa"/>
            <w:tcBorders>
              <w:left w:val="single" w:color="000000" w:sz="10" w:space="0"/>
            </w:tcBorders>
            <w:vAlign w:val="top"/>
          </w:tcPr>
          <w:p w14:paraId="32B5EAAA">
            <w:pPr>
              <w:spacing w:before="152"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2024-12</w:t>
            </w:r>
          </w:p>
        </w:tc>
        <w:tc>
          <w:tcPr>
            <w:tcW w:w="1019" w:type="dxa"/>
            <w:vAlign w:val="top"/>
          </w:tcPr>
          <w:p w14:paraId="5ECCD621">
            <w:pPr>
              <w:spacing w:before="152"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0.0009</w:t>
            </w:r>
          </w:p>
        </w:tc>
        <w:tc>
          <w:tcPr>
            <w:tcW w:w="1142" w:type="dxa"/>
            <w:vAlign w:val="top"/>
          </w:tcPr>
          <w:p w14:paraId="3D6A3A7A">
            <w:pPr>
              <w:spacing w:before="152"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42" w:type="dxa"/>
            <w:vAlign w:val="top"/>
          </w:tcPr>
          <w:p w14:paraId="7A1132B6">
            <w:pPr>
              <w:spacing w:before="152"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227" w:type="dxa"/>
            <w:vAlign w:val="top"/>
          </w:tcPr>
          <w:p w14:paraId="0EE22226">
            <w:pPr>
              <w:spacing w:before="152"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210" w:type="dxa"/>
            <w:vAlign w:val="top"/>
          </w:tcPr>
          <w:p w14:paraId="64D7D01D">
            <w:pPr>
              <w:spacing w:before="152" w:line="195" w:lineRule="auto"/>
              <w:ind w:left="3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05" w:type="dxa"/>
            <w:vAlign w:val="top"/>
          </w:tcPr>
          <w:p w14:paraId="417B9E1A">
            <w:pPr>
              <w:spacing w:before="152"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405" w:type="dxa"/>
            <w:vAlign w:val="top"/>
          </w:tcPr>
          <w:p w14:paraId="57548181">
            <w:pPr>
              <w:spacing w:before="152"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79" w:type="dxa"/>
            <w:vAlign w:val="top"/>
          </w:tcPr>
          <w:p w14:paraId="32D7ABB6">
            <w:pPr>
              <w:spacing w:before="152"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900" w:type="dxa"/>
            <w:vAlign w:val="top"/>
          </w:tcPr>
          <w:p w14:paraId="5C672449">
            <w:pPr>
              <w:spacing w:before="152"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252" w:type="dxa"/>
            <w:tcBorders>
              <w:right w:val="single" w:color="000000" w:sz="10" w:space="0"/>
            </w:tcBorders>
            <w:vAlign w:val="top"/>
          </w:tcPr>
          <w:p w14:paraId="3BBEBB29">
            <w:pPr>
              <w:spacing w:before="152"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14AB5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1335" w:type="dxa"/>
            <w:tcBorders>
              <w:left w:val="single" w:color="000000" w:sz="10" w:space="0"/>
              <w:bottom w:val="single" w:color="000000" w:sz="10" w:space="0"/>
            </w:tcBorders>
            <w:vAlign w:val="top"/>
          </w:tcPr>
          <w:p w14:paraId="126908BC">
            <w:pPr>
              <w:spacing w:before="154"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2025-01</w:t>
            </w:r>
          </w:p>
        </w:tc>
        <w:tc>
          <w:tcPr>
            <w:tcW w:w="1019" w:type="dxa"/>
            <w:tcBorders>
              <w:bottom w:val="single" w:color="000000" w:sz="10" w:space="0"/>
            </w:tcBorders>
            <w:vAlign w:val="top"/>
          </w:tcPr>
          <w:p w14:paraId="60AB1D26">
            <w:pPr>
              <w:spacing w:before="154"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0.0034</w:t>
            </w:r>
          </w:p>
        </w:tc>
        <w:tc>
          <w:tcPr>
            <w:tcW w:w="1142" w:type="dxa"/>
            <w:tcBorders>
              <w:bottom w:val="single" w:color="000000" w:sz="10" w:space="0"/>
            </w:tcBorders>
            <w:vAlign w:val="top"/>
          </w:tcPr>
          <w:p w14:paraId="7097591D">
            <w:pPr>
              <w:spacing w:before="154"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42" w:type="dxa"/>
            <w:tcBorders>
              <w:bottom w:val="single" w:color="000000" w:sz="10" w:space="0"/>
            </w:tcBorders>
            <w:vAlign w:val="top"/>
          </w:tcPr>
          <w:p w14:paraId="3722A9F1">
            <w:pPr>
              <w:spacing w:before="154"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227" w:type="dxa"/>
            <w:tcBorders>
              <w:bottom w:val="single" w:color="000000" w:sz="10" w:space="0"/>
            </w:tcBorders>
            <w:vAlign w:val="top"/>
          </w:tcPr>
          <w:p w14:paraId="7B2EAF9A">
            <w:pPr>
              <w:spacing w:before="154"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210" w:type="dxa"/>
            <w:tcBorders>
              <w:bottom w:val="single" w:color="000000" w:sz="10" w:space="0"/>
            </w:tcBorders>
            <w:vAlign w:val="top"/>
          </w:tcPr>
          <w:p w14:paraId="41BD9AA7">
            <w:pPr>
              <w:spacing w:before="154"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1405" w:type="dxa"/>
            <w:tcBorders>
              <w:bottom w:val="single" w:color="000000" w:sz="10" w:space="0"/>
            </w:tcBorders>
            <w:vAlign w:val="top"/>
          </w:tcPr>
          <w:p w14:paraId="7B2992A0">
            <w:pPr>
              <w:spacing w:before="154"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405" w:type="dxa"/>
            <w:tcBorders>
              <w:bottom w:val="single" w:color="000000" w:sz="10" w:space="0"/>
            </w:tcBorders>
            <w:vAlign w:val="top"/>
          </w:tcPr>
          <w:p w14:paraId="63D2A1B2">
            <w:pPr>
              <w:spacing w:before="154"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79" w:type="dxa"/>
            <w:tcBorders>
              <w:bottom w:val="single" w:color="000000" w:sz="10" w:space="0"/>
            </w:tcBorders>
            <w:vAlign w:val="top"/>
          </w:tcPr>
          <w:p w14:paraId="12D56C75">
            <w:pPr>
              <w:spacing w:before="154"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900" w:type="dxa"/>
            <w:tcBorders>
              <w:bottom w:val="single" w:color="000000" w:sz="10" w:space="0"/>
            </w:tcBorders>
            <w:vAlign w:val="top"/>
          </w:tcPr>
          <w:p w14:paraId="48459F68">
            <w:pPr>
              <w:spacing w:before="154"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252" w:type="dxa"/>
            <w:tcBorders>
              <w:bottom w:val="single" w:color="000000" w:sz="10" w:space="0"/>
              <w:right w:val="single" w:color="000000" w:sz="10" w:space="0"/>
            </w:tcBorders>
            <w:vAlign w:val="top"/>
          </w:tcPr>
          <w:p w14:paraId="09D8C00B">
            <w:pPr>
              <w:spacing w:before="154"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bl>
    <w:p w14:paraId="72C9256B">
      <w:pPr>
        <w:pStyle w:val="2"/>
      </w:pPr>
    </w:p>
    <w:p w14:paraId="516D7881">
      <w:pPr>
        <w:sectPr>
          <w:footerReference r:id="rId73" w:type="default"/>
          <w:pgSz w:w="16840" w:h="11907"/>
          <w:pgMar w:top="1132" w:right="1303" w:bottom="1258" w:left="1294" w:header="829" w:footer="1095" w:gutter="0"/>
          <w:cols w:space="720" w:num="1"/>
        </w:sectPr>
      </w:pPr>
    </w:p>
    <w:p w14:paraId="373E8DC6">
      <w:pPr>
        <w:spacing w:before="43"/>
      </w:pPr>
    </w:p>
    <w:p w14:paraId="42393319">
      <w:pPr>
        <w:spacing w:before="42"/>
      </w:pPr>
    </w:p>
    <w:tbl>
      <w:tblPr>
        <w:tblStyle w:val="5"/>
        <w:tblW w:w="1421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5"/>
        <w:gridCol w:w="1019"/>
        <w:gridCol w:w="1142"/>
        <w:gridCol w:w="1142"/>
        <w:gridCol w:w="1227"/>
        <w:gridCol w:w="1210"/>
        <w:gridCol w:w="1405"/>
        <w:gridCol w:w="1405"/>
        <w:gridCol w:w="1179"/>
        <w:gridCol w:w="1900"/>
        <w:gridCol w:w="1252"/>
      </w:tblGrid>
      <w:tr w14:paraId="484EB0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35" w:type="dxa"/>
            <w:tcBorders>
              <w:top w:val="single" w:color="000000" w:sz="10" w:space="0"/>
              <w:left w:val="single" w:color="000000" w:sz="10" w:space="0"/>
            </w:tcBorders>
            <w:vAlign w:val="top"/>
          </w:tcPr>
          <w:p w14:paraId="7BDD484B">
            <w:pPr>
              <w:pStyle w:val="6"/>
              <w:spacing w:before="99" w:line="227" w:lineRule="auto"/>
              <w:ind w:left="235"/>
            </w:pPr>
            <w:r>
              <w:rPr>
                <w:b/>
                <w:bCs/>
                <w:spacing w:val="6"/>
              </w:rPr>
              <w:t>采样时间</w:t>
            </w:r>
          </w:p>
        </w:tc>
        <w:tc>
          <w:tcPr>
            <w:tcW w:w="1019" w:type="dxa"/>
            <w:tcBorders>
              <w:top w:val="single" w:color="000000" w:sz="10" w:space="0"/>
            </w:tcBorders>
            <w:vAlign w:val="top"/>
          </w:tcPr>
          <w:p w14:paraId="3E71259B">
            <w:pPr>
              <w:pStyle w:val="6"/>
              <w:spacing w:before="99" w:line="228" w:lineRule="auto"/>
              <w:ind w:left="398"/>
            </w:pPr>
            <w:r>
              <w:rPr>
                <w:b/>
                <w:bCs/>
                <w:spacing w:val="-1"/>
              </w:rPr>
              <w:t>砷</w:t>
            </w:r>
          </w:p>
        </w:tc>
        <w:tc>
          <w:tcPr>
            <w:tcW w:w="1142" w:type="dxa"/>
            <w:tcBorders>
              <w:top w:val="single" w:color="000000" w:sz="10" w:space="0"/>
            </w:tcBorders>
            <w:vAlign w:val="top"/>
          </w:tcPr>
          <w:p w14:paraId="091BF618">
            <w:pPr>
              <w:pStyle w:val="6"/>
              <w:spacing w:before="99" w:line="228" w:lineRule="auto"/>
              <w:ind w:left="463"/>
            </w:pPr>
            <w:r>
              <w:rPr>
                <w:b/>
                <w:bCs/>
                <w:spacing w:val="-3"/>
              </w:rPr>
              <w:t>汞</w:t>
            </w:r>
          </w:p>
        </w:tc>
        <w:tc>
          <w:tcPr>
            <w:tcW w:w="1142" w:type="dxa"/>
            <w:tcBorders>
              <w:top w:val="single" w:color="000000" w:sz="10" w:space="0"/>
            </w:tcBorders>
            <w:vAlign w:val="top"/>
          </w:tcPr>
          <w:p w14:paraId="56004D83">
            <w:pPr>
              <w:pStyle w:val="6"/>
              <w:spacing w:before="98" w:line="231" w:lineRule="auto"/>
              <w:ind w:left="464"/>
            </w:pPr>
            <w:r>
              <w:rPr>
                <w:b/>
                <w:bCs/>
              </w:rPr>
              <w:t>镉</w:t>
            </w:r>
          </w:p>
        </w:tc>
        <w:tc>
          <w:tcPr>
            <w:tcW w:w="1227" w:type="dxa"/>
            <w:tcBorders>
              <w:top w:val="single" w:color="000000" w:sz="10" w:space="0"/>
            </w:tcBorders>
            <w:vAlign w:val="top"/>
          </w:tcPr>
          <w:p w14:paraId="05DA76B5">
            <w:pPr>
              <w:pStyle w:val="6"/>
              <w:spacing w:before="99" w:line="226" w:lineRule="auto"/>
              <w:ind w:left="302"/>
            </w:pPr>
            <w:r>
              <w:rPr>
                <w:b/>
                <w:bCs/>
                <w:spacing w:val="5"/>
              </w:rPr>
              <w:t>六价铬</w:t>
            </w:r>
          </w:p>
        </w:tc>
        <w:tc>
          <w:tcPr>
            <w:tcW w:w="1210" w:type="dxa"/>
            <w:tcBorders>
              <w:top w:val="single" w:color="000000" w:sz="10" w:space="0"/>
            </w:tcBorders>
            <w:vAlign w:val="top"/>
          </w:tcPr>
          <w:p w14:paraId="1D1D8BA8">
            <w:pPr>
              <w:pStyle w:val="6"/>
              <w:spacing w:before="99" w:line="232" w:lineRule="auto"/>
              <w:ind w:left="503"/>
            </w:pPr>
            <w:r>
              <w:rPr>
                <w:b/>
                <w:bCs/>
                <w:spacing w:val="-2"/>
              </w:rPr>
              <w:t>铅</w:t>
            </w:r>
          </w:p>
        </w:tc>
        <w:tc>
          <w:tcPr>
            <w:tcW w:w="1405" w:type="dxa"/>
            <w:tcBorders>
              <w:top w:val="single" w:color="000000" w:sz="10" w:space="0"/>
            </w:tcBorders>
            <w:vAlign w:val="top"/>
          </w:tcPr>
          <w:p w14:paraId="72A9363C">
            <w:pPr>
              <w:pStyle w:val="6"/>
              <w:spacing w:before="99" w:line="228" w:lineRule="auto"/>
              <w:ind w:left="392"/>
            </w:pPr>
            <w:r>
              <w:rPr>
                <w:b/>
                <w:bCs/>
                <w:spacing w:val="5"/>
              </w:rPr>
              <w:t>氰化物</w:t>
            </w:r>
          </w:p>
        </w:tc>
        <w:tc>
          <w:tcPr>
            <w:tcW w:w="1405" w:type="dxa"/>
            <w:tcBorders>
              <w:top w:val="single" w:color="000000" w:sz="10" w:space="0"/>
            </w:tcBorders>
            <w:vAlign w:val="top"/>
          </w:tcPr>
          <w:p w14:paraId="7345C6AD">
            <w:pPr>
              <w:pStyle w:val="6"/>
              <w:spacing w:before="99" w:line="228" w:lineRule="auto"/>
              <w:ind w:left="396"/>
            </w:pPr>
            <w:r>
              <w:rPr>
                <w:b/>
                <w:bCs/>
                <w:spacing w:val="5"/>
              </w:rPr>
              <w:t>挥发酚</w:t>
            </w:r>
          </w:p>
        </w:tc>
        <w:tc>
          <w:tcPr>
            <w:tcW w:w="1179" w:type="dxa"/>
            <w:tcBorders>
              <w:top w:val="single" w:color="000000" w:sz="10" w:space="0"/>
            </w:tcBorders>
            <w:vAlign w:val="top"/>
          </w:tcPr>
          <w:p w14:paraId="15E9D612">
            <w:pPr>
              <w:pStyle w:val="6"/>
              <w:spacing w:before="99" w:line="228" w:lineRule="auto"/>
              <w:ind w:left="286"/>
            </w:pPr>
            <w:r>
              <w:rPr>
                <w:b/>
                <w:bCs/>
                <w:spacing w:val="5"/>
              </w:rPr>
              <w:t>石油类</w:t>
            </w:r>
          </w:p>
        </w:tc>
        <w:tc>
          <w:tcPr>
            <w:tcW w:w="1900" w:type="dxa"/>
            <w:tcBorders>
              <w:top w:val="single" w:color="000000" w:sz="10" w:space="0"/>
            </w:tcBorders>
            <w:vAlign w:val="top"/>
          </w:tcPr>
          <w:p w14:paraId="5DE0E9E9">
            <w:pPr>
              <w:pStyle w:val="6"/>
              <w:spacing w:before="99" w:line="227" w:lineRule="auto"/>
              <w:ind w:left="138"/>
            </w:pPr>
            <w:r>
              <w:rPr>
                <w:b/>
                <w:bCs/>
                <w:spacing w:val="5"/>
              </w:rPr>
              <w:t>阴离子表面活性剂</w:t>
            </w:r>
          </w:p>
        </w:tc>
        <w:tc>
          <w:tcPr>
            <w:tcW w:w="1252" w:type="dxa"/>
            <w:tcBorders>
              <w:top w:val="single" w:color="000000" w:sz="10" w:space="0"/>
              <w:right w:val="single" w:color="000000" w:sz="10" w:space="0"/>
            </w:tcBorders>
            <w:vAlign w:val="top"/>
          </w:tcPr>
          <w:p w14:paraId="37ED4364">
            <w:pPr>
              <w:pStyle w:val="6"/>
              <w:spacing w:before="99" w:line="229" w:lineRule="auto"/>
              <w:ind w:left="318"/>
            </w:pPr>
            <w:r>
              <w:rPr>
                <w:b/>
                <w:bCs/>
                <w:spacing w:val="5"/>
              </w:rPr>
              <w:t>硫化物</w:t>
            </w:r>
          </w:p>
        </w:tc>
      </w:tr>
      <w:tr w14:paraId="31C1B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335" w:type="dxa"/>
            <w:tcBorders>
              <w:left w:val="single" w:color="000000" w:sz="10" w:space="0"/>
            </w:tcBorders>
            <w:vAlign w:val="top"/>
          </w:tcPr>
          <w:p w14:paraId="018F72B1">
            <w:pPr>
              <w:spacing w:before="135"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2025-02</w:t>
            </w:r>
          </w:p>
        </w:tc>
        <w:tc>
          <w:tcPr>
            <w:tcW w:w="1019" w:type="dxa"/>
            <w:vAlign w:val="top"/>
          </w:tcPr>
          <w:p w14:paraId="5F8B2E6B">
            <w:pPr>
              <w:spacing w:before="135"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0.0007</w:t>
            </w:r>
          </w:p>
        </w:tc>
        <w:tc>
          <w:tcPr>
            <w:tcW w:w="1142" w:type="dxa"/>
            <w:vAlign w:val="top"/>
          </w:tcPr>
          <w:p w14:paraId="1830709D">
            <w:pPr>
              <w:spacing w:before="135"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42" w:type="dxa"/>
            <w:vAlign w:val="top"/>
          </w:tcPr>
          <w:p w14:paraId="321CA8A1">
            <w:pPr>
              <w:spacing w:before="135"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227" w:type="dxa"/>
            <w:vAlign w:val="top"/>
          </w:tcPr>
          <w:p w14:paraId="49A40D98">
            <w:pPr>
              <w:spacing w:before="135"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210" w:type="dxa"/>
            <w:vAlign w:val="top"/>
          </w:tcPr>
          <w:p w14:paraId="7F030A77">
            <w:pPr>
              <w:spacing w:before="135" w:line="195" w:lineRule="auto"/>
              <w:ind w:left="3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w:t>
            </w:r>
          </w:p>
        </w:tc>
        <w:tc>
          <w:tcPr>
            <w:tcW w:w="1405" w:type="dxa"/>
            <w:vAlign w:val="top"/>
          </w:tcPr>
          <w:p w14:paraId="7CCB4D54">
            <w:pPr>
              <w:spacing w:before="135"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405" w:type="dxa"/>
            <w:vAlign w:val="top"/>
          </w:tcPr>
          <w:p w14:paraId="54E0BCBC">
            <w:pPr>
              <w:spacing w:before="135"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79" w:type="dxa"/>
            <w:vAlign w:val="top"/>
          </w:tcPr>
          <w:p w14:paraId="2ED4B890">
            <w:pPr>
              <w:spacing w:before="135"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900" w:type="dxa"/>
            <w:vAlign w:val="top"/>
          </w:tcPr>
          <w:p w14:paraId="3B24EC55">
            <w:pPr>
              <w:spacing w:before="135"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252" w:type="dxa"/>
            <w:tcBorders>
              <w:right w:val="single" w:color="000000" w:sz="10" w:space="0"/>
            </w:tcBorders>
            <w:vAlign w:val="top"/>
          </w:tcPr>
          <w:p w14:paraId="0A6CE730">
            <w:pPr>
              <w:spacing w:before="135"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3EC36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335" w:type="dxa"/>
            <w:tcBorders>
              <w:left w:val="single" w:color="000000" w:sz="10" w:space="0"/>
            </w:tcBorders>
            <w:vAlign w:val="top"/>
          </w:tcPr>
          <w:p w14:paraId="75FB12BD">
            <w:pPr>
              <w:spacing w:before="142"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2025-03</w:t>
            </w:r>
          </w:p>
        </w:tc>
        <w:tc>
          <w:tcPr>
            <w:tcW w:w="1019" w:type="dxa"/>
            <w:vAlign w:val="top"/>
          </w:tcPr>
          <w:p w14:paraId="1651DEC4">
            <w:pPr>
              <w:spacing w:before="142"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0.0010</w:t>
            </w:r>
          </w:p>
        </w:tc>
        <w:tc>
          <w:tcPr>
            <w:tcW w:w="1142" w:type="dxa"/>
            <w:vAlign w:val="top"/>
          </w:tcPr>
          <w:p w14:paraId="787DAAFA">
            <w:pPr>
              <w:spacing w:before="142"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42" w:type="dxa"/>
            <w:vAlign w:val="top"/>
          </w:tcPr>
          <w:p w14:paraId="51A1DC37">
            <w:pPr>
              <w:spacing w:before="142"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227" w:type="dxa"/>
            <w:vAlign w:val="top"/>
          </w:tcPr>
          <w:p w14:paraId="16780D0F">
            <w:pPr>
              <w:spacing w:before="142"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210" w:type="dxa"/>
            <w:vAlign w:val="top"/>
          </w:tcPr>
          <w:p w14:paraId="1E0AF78A">
            <w:pPr>
              <w:spacing w:before="142" w:line="195" w:lineRule="auto"/>
              <w:ind w:left="3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05" w:type="dxa"/>
            <w:vAlign w:val="top"/>
          </w:tcPr>
          <w:p w14:paraId="599E5395">
            <w:pPr>
              <w:spacing w:before="142"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405" w:type="dxa"/>
            <w:vAlign w:val="top"/>
          </w:tcPr>
          <w:p w14:paraId="29DE03A7">
            <w:pPr>
              <w:spacing w:before="142"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79" w:type="dxa"/>
            <w:vAlign w:val="top"/>
          </w:tcPr>
          <w:p w14:paraId="6774C85A">
            <w:pPr>
              <w:spacing w:before="142"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900" w:type="dxa"/>
            <w:vAlign w:val="top"/>
          </w:tcPr>
          <w:p w14:paraId="74C8A9D3">
            <w:pPr>
              <w:spacing w:before="142"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252" w:type="dxa"/>
            <w:tcBorders>
              <w:right w:val="single" w:color="000000" w:sz="10" w:space="0"/>
            </w:tcBorders>
            <w:vAlign w:val="top"/>
          </w:tcPr>
          <w:p w14:paraId="71DDEEEC">
            <w:pPr>
              <w:spacing w:before="142"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68A74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1335" w:type="dxa"/>
            <w:tcBorders>
              <w:left w:val="single" w:color="000000" w:sz="10" w:space="0"/>
              <w:bottom w:val="single" w:color="000000" w:sz="10" w:space="0"/>
            </w:tcBorders>
            <w:vAlign w:val="top"/>
          </w:tcPr>
          <w:p w14:paraId="2B454C3C">
            <w:pPr>
              <w:spacing w:before="147"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2025-04</w:t>
            </w:r>
          </w:p>
        </w:tc>
        <w:tc>
          <w:tcPr>
            <w:tcW w:w="1019" w:type="dxa"/>
            <w:tcBorders>
              <w:bottom w:val="single" w:color="000000" w:sz="10" w:space="0"/>
            </w:tcBorders>
            <w:vAlign w:val="top"/>
          </w:tcPr>
          <w:p w14:paraId="5B7AF386">
            <w:pPr>
              <w:spacing w:before="147"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0.0011</w:t>
            </w:r>
          </w:p>
        </w:tc>
        <w:tc>
          <w:tcPr>
            <w:tcW w:w="1142" w:type="dxa"/>
            <w:tcBorders>
              <w:bottom w:val="single" w:color="000000" w:sz="10" w:space="0"/>
            </w:tcBorders>
            <w:vAlign w:val="top"/>
          </w:tcPr>
          <w:p w14:paraId="12C7C6A5">
            <w:pPr>
              <w:spacing w:before="147"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42" w:type="dxa"/>
            <w:tcBorders>
              <w:bottom w:val="single" w:color="000000" w:sz="10" w:space="0"/>
            </w:tcBorders>
            <w:vAlign w:val="top"/>
          </w:tcPr>
          <w:p w14:paraId="547D485D">
            <w:pPr>
              <w:spacing w:before="147"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227" w:type="dxa"/>
            <w:tcBorders>
              <w:bottom w:val="single" w:color="000000" w:sz="10" w:space="0"/>
            </w:tcBorders>
            <w:vAlign w:val="top"/>
          </w:tcPr>
          <w:p w14:paraId="0E5CFBB2">
            <w:pPr>
              <w:spacing w:before="147"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210" w:type="dxa"/>
            <w:tcBorders>
              <w:bottom w:val="single" w:color="000000" w:sz="10" w:space="0"/>
            </w:tcBorders>
            <w:vAlign w:val="top"/>
          </w:tcPr>
          <w:p w14:paraId="7E78D36C">
            <w:pPr>
              <w:spacing w:before="147"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1405" w:type="dxa"/>
            <w:tcBorders>
              <w:bottom w:val="single" w:color="000000" w:sz="10" w:space="0"/>
            </w:tcBorders>
            <w:vAlign w:val="top"/>
          </w:tcPr>
          <w:p w14:paraId="20BE088E">
            <w:pPr>
              <w:spacing w:before="147"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405" w:type="dxa"/>
            <w:tcBorders>
              <w:bottom w:val="single" w:color="000000" w:sz="10" w:space="0"/>
            </w:tcBorders>
            <w:vAlign w:val="top"/>
          </w:tcPr>
          <w:p w14:paraId="0B30E45D">
            <w:pPr>
              <w:spacing w:before="147"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79" w:type="dxa"/>
            <w:tcBorders>
              <w:bottom w:val="single" w:color="000000" w:sz="10" w:space="0"/>
            </w:tcBorders>
            <w:vAlign w:val="top"/>
          </w:tcPr>
          <w:p w14:paraId="7125E441">
            <w:pPr>
              <w:spacing w:before="147"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900" w:type="dxa"/>
            <w:tcBorders>
              <w:bottom w:val="single" w:color="000000" w:sz="10" w:space="0"/>
            </w:tcBorders>
            <w:vAlign w:val="top"/>
          </w:tcPr>
          <w:p w14:paraId="76C9A0E0">
            <w:pPr>
              <w:spacing w:before="147" w:line="195" w:lineRule="auto"/>
              <w:ind w:left="7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252" w:type="dxa"/>
            <w:tcBorders>
              <w:bottom w:val="single" w:color="000000" w:sz="10" w:space="0"/>
              <w:right w:val="single" w:color="000000" w:sz="10" w:space="0"/>
            </w:tcBorders>
            <w:vAlign w:val="top"/>
          </w:tcPr>
          <w:p w14:paraId="67138474">
            <w:pPr>
              <w:spacing w:before="147"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bl>
    <w:p w14:paraId="33BE181E">
      <w:pPr>
        <w:spacing w:before="156" w:line="212" w:lineRule="auto"/>
        <w:ind w:left="3470"/>
        <w:rPr>
          <w:rFonts w:ascii="宋体" w:hAnsi="宋体" w:eastAsia="宋体" w:cs="宋体"/>
          <w:sz w:val="24"/>
          <w:szCs w:val="24"/>
        </w:rPr>
      </w:pPr>
      <w:r>
        <w:rPr>
          <w:rFonts w:ascii="宋体" w:hAnsi="宋体" w:eastAsia="宋体" w:cs="宋体"/>
          <w:b/>
          <w:bCs/>
          <w:spacing w:val="-2"/>
          <w:sz w:val="24"/>
          <w:szCs w:val="24"/>
        </w:rPr>
        <w:t>表</w:t>
      </w:r>
      <w:r>
        <w:rPr>
          <w:rFonts w:ascii="Times New Roman" w:hAnsi="Times New Roman" w:eastAsia="Times New Roman" w:cs="Times New Roman"/>
          <w:b/>
          <w:bCs/>
          <w:spacing w:val="-2"/>
          <w:sz w:val="24"/>
          <w:szCs w:val="24"/>
        </w:rPr>
        <w:t>4.3-6</w:t>
      </w:r>
      <w:r>
        <w:rPr>
          <w:rFonts w:ascii="宋体" w:hAnsi="宋体" w:eastAsia="宋体" w:cs="宋体"/>
          <w:b/>
          <w:bCs/>
          <w:spacing w:val="-2"/>
          <w:sz w:val="24"/>
          <w:szCs w:val="24"/>
        </w:rPr>
        <w:t>元木山断面监测数据（</w:t>
      </w:r>
      <w:r>
        <w:rPr>
          <w:rFonts w:ascii="Times New Roman" w:hAnsi="Times New Roman" w:eastAsia="Times New Roman" w:cs="Times New Roman"/>
          <w:b/>
          <w:bCs/>
          <w:spacing w:val="-2"/>
          <w:sz w:val="24"/>
          <w:szCs w:val="24"/>
        </w:rPr>
        <w:t>2022</w:t>
      </w:r>
      <w:r>
        <w:rPr>
          <w:rFonts w:ascii="宋体" w:hAnsi="宋体" w:eastAsia="宋体" w:cs="宋体"/>
          <w:b/>
          <w:bCs/>
          <w:spacing w:val="-2"/>
          <w:sz w:val="24"/>
          <w:szCs w:val="24"/>
        </w:rPr>
        <w:t>年</w:t>
      </w:r>
      <w:r>
        <w:rPr>
          <w:rFonts w:ascii="Times New Roman" w:hAnsi="Times New Roman" w:eastAsia="Times New Roman" w:cs="Times New Roman"/>
          <w:b/>
          <w:bCs/>
          <w:spacing w:val="-2"/>
          <w:sz w:val="24"/>
          <w:szCs w:val="24"/>
        </w:rPr>
        <w:t>1</w:t>
      </w:r>
      <w:r>
        <w:rPr>
          <w:rFonts w:ascii="宋体" w:hAnsi="宋体" w:eastAsia="宋体" w:cs="宋体"/>
          <w:b/>
          <w:bCs/>
          <w:spacing w:val="-2"/>
          <w:sz w:val="24"/>
          <w:szCs w:val="24"/>
        </w:rPr>
        <w:t>月</w:t>
      </w:r>
      <w:r>
        <w:rPr>
          <w:rFonts w:ascii="Times New Roman" w:hAnsi="Times New Roman" w:eastAsia="Times New Roman" w:cs="Times New Roman"/>
          <w:b/>
          <w:bCs/>
          <w:spacing w:val="-2"/>
          <w:sz w:val="24"/>
          <w:szCs w:val="24"/>
        </w:rPr>
        <w:t>-2025</w:t>
      </w:r>
      <w:r>
        <w:rPr>
          <w:rFonts w:ascii="宋体" w:hAnsi="宋体" w:eastAsia="宋体" w:cs="宋体"/>
          <w:b/>
          <w:bCs/>
          <w:spacing w:val="-2"/>
          <w:sz w:val="24"/>
          <w:szCs w:val="24"/>
        </w:rPr>
        <w:t>年</w:t>
      </w:r>
      <w:r>
        <w:rPr>
          <w:rFonts w:ascii="Times New Roman" w:hAnsi="Times New Roman" w:eastAsia="Times New Roman" w:cs="Times New Roman"/>
          <w:b/>
          <w:bCs/>
          <w:spacing w:val="-2"/>
          <w:sz w:val="24"/>
          <w:szCs w:val="24"/>
        </w:rPr>
        <w:t>4</w:t>
      </w:r>
      <w:r>
        <w:rPr>
          <w:rFonts w:ascii="宋体" w:hAnsi="宋体" w:eastAsia="宋体" w:cs="宋体"/>
          <w:b/>
          <w:bCs/>
          <w:spacing w:val="-2"/>
          <w:sz w:val="24"/>
          <w:szCs w:val="24"/>
        </w:rPr>
        <w:t>月</w:t>
      </w:r>
      <w:r>
        <w:rPr>
          <w:rFonts w:ascii="宋体" w:hAnsi="宋体" w:eastAsia="宋体" w:cs="宋体"/>
          <w:b/>
          <w:bCs/>
          <w:spacing w:val="-7"/>
          <w:sz w:val="24"/>
          <w:szCs w:val="24"/>
        </w:rPr>
        <w:t>）（</w:t>
      </w:r>
      <w:r>
        <w:rPr>
          <w:rFonts w:ascii="Times New Roman" w:hAnsi="Times New Roman" w:eastAsia="Times New Roman" w:cs="Times New Roman"/>
          <w:b/>
          <w:bCs/>
          <w:spacing w:val="-2"/>
          <w:sz w:val="24"/>
          <w:szCs w:val="24"/>
        </w:rPr>
        <w:t>mg/L</w:t>
      </w:r>
      <w:r>
        <w:rPr>
          <w:rFonts w:ascii="宋体" w:hAnsi="宋体" w:eastAsia="宋体" w:cs="宋体"/>
          <w:b/>
          <w:bCs/>
          <w:spacing w:val="-2"/>
          <w:sz w:val="24"/>
          <w:szCs w:val="24"/>
        </w:rPr>
        <w:t>）</w:t>
      </w:r>
    </w:p>
    <w:p w14:paraId="50576D32">
      <w:pPr>
        <w:spacing w:line="156" w:lineRule="exact"/>
      </w:pPr>
    </w:p>
    <w:tbl>
      <w:tblPr>
        <w:tblStyle w:val="5"/>
        <w:tblW w:w="1421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20"/>
        <w:gridCol w:w="611"/>
        <w:gridCol w:w="1045"/>
        <w:gridCol w:w="1827"/>
        <w:gridCol w:w="1568"/>
        <w:gridCol w:w="2087"/>
        <w:gridCol w:w="787"/>
        <w:gridCol w:w="849"/>
        <w:gridCol w:w="1108"/>
        <w:gridCol w:w="977"/>
        <w:gridCol w:w="1045"/>
        <w:gridCol w:w="992"/>
      </w:tblGrid>
      <w:tr w14:paraId="02228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320" w:type="dxa"/>
            <w:tcBorders>
              <w:top w:val="single" w:color="000000" w:sz="10" w:space="0"/>
              <w:left w:val="single" w:color="000000" w:sz="10" w:space="0"/>
            </w:tcBorders>
            <w:vAlign w:val="top"/>
          </w:tcPr>
          <w:p w14:paraId="7B1E3DE2">
            <w:pPr>
              <w:pStyle w:val="6"/>
              <w:spacing w:before="97" w:line="227" w:lineRule="auto"/>
              <w:ind w:left="228"/>
            </w:pPr>
            <w:r>
              <w:rPr>
                <w:b/>
                <w:bCs/>
                <w:spacing w:val="6"/>
              </w:rPr>
              <w:t>采样时间</w:t>
            </w:r>
          </w:p>
        </w:tc>
        <w:tc>
          <w:tcPr>
            <w:tcW w:w="611" w:type="dxa"/>
            <w:tcBorders>
              <w:top w:val="single" w:color="000000" w:sz="10" w:space="0"/>
            </w:tcBorders>
            <w:vAlign w:val="top"/>
          </w:tcPr>
          <w:p w14:paraId="7E8D8D45">
            <w:pPr>
              <w:spacing w:before="136" w:line="194" w:lineRule="auto"/>
              <w:ind w:left="158"/>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pH</w:t>
            </w:r>
          </w:p>
        </w:tc>
        <w:tc>
          <w:tcPr>
            <w:tcW w:w="1045" w:type="dxa"/>
            <w:tcBorders>
              <w:top w:val="single" w:color="000000" w:sz="10" w:space="0"/>
            </w:tcBorders>
            <w:vAlign w:val="top"/>
          </w:tcPr>
          <w:p w14:paraId="216A1D36">
            <w:pPr>
              <w:pStyle w:val="6"/>
              <w:spacing w:before="97" w:line="227" w:lineRule="auto"/>
              <w:ind w:left="206"/>
            </w:pPr>
            <w:r>
              <w:rPr>
                <w:b/>
                <w:bCs/>
                <w:spacing w:val="4"/>
              </w:rPr>
              <w:t>溶解氧</w:t>
            </w:r>
          </w:p>
        </w:tc>
        <w:tc>
          <w:tcPr>
            <w:tcW w:w="1827" w:type="dxa"/>
            <w:tcBorders>
              <w:top w:val="single" w:color="000000" w:sz="10" w:space="0"/>
            </w:tcBorders>
            <w:vAlign w:val="top"/>
          </w:tcPr>
          <w:p w14:paraId="6F7B866C">
            <w:pPr>
              <w:pStyle w:val="6"/>
              <w:spacing w:before="97" w:line="228" w:lineRule="auto"/>
              <w:ind w:left="285"/>
            </w:pPr>
            <w:r>
              <w:rPr>
                <w:b/>
                <w:bCs/>
                <w:spacing w:val="6"/>
              </w:rPr>
              <w:t>高锰酸盐指数</w:t>
            </w:r>
          </w:p>
        </w:tc>
        <w:tc>
          <w:tcPr>
            <w:tcW w:w="1568" w:type="dxa"/>
            <w:tcBorders>
              <w:top w:val="single" w:color="000000" w:sz="10" w:space="0"/>
            </w:tcBorders>
            <w:vAlign w:val="top"/>
          </w:tcPr>
          <w:p w14:paraId="1DC61EB3">
            <w:pPr>
              <w:pStyle w:val="6"/>
              <w:spacing w:before="97" w:line="227" w:lineRule="auto"/>
              <w:ind w:left="261"/>
            </w:pPr>
            <w:r>
              <w:rPr>
                <w:b/>
                <w:bCs/>
                <w:spacing w:val="6"/>
              </w:rPr>
              <w:t>化学需氧量</w:t>
            </w:r>
          </w:p>
        </w:tc>
        <w:tc>
          <w:tcPr>
            <w:tcW w:w="2087" w:type="dxa"/>
            <w:tcBorders>
              <w:top w:val="single" w:color="000000" w:sz="10" w:space="0"/>
            </w:tcBorders>
            <w:vAlign w:val="top"/>
          </w:tcPr>
          <w:p w14:paraId="49312E5E">
            <w:pPr>
              <w:pStyle w:val="6"/>
              <w:spacing w:before="97" w:line="227" w:lineRule="auto"/>
              <w:ind w:left="315"/>
            </w:pPr>
            <w:r>
              <w:rPr>
                <w:b/>
                <w:bCs/>
                <w:spacing w:val="6"/>
              </w:rPr>
              <w:t>五日生化需氧量</w:t>
            </w:r>
          </w:p>
        </w:tc>
        <w:tc>
          <w:tcPr>
            <w:tcW w:w="787" w:type="dxa"/>
            <w:tcBorders>
              <w:top w:val="single" w:color="000000" w:sz="10" w:space="0"/>
            </w:tcBorders>
            <w:vAlign w:val="top"/>
          </w:tcPr>
          <w:p w14:paraId="31971053">
            <w:pPr>
              <w:pStyle w:val="6"/>
              <w:spacing w:before="97" w:line="227" w:lineRule="auto"/>
              <w:ind w:left="190"/>
            </w:pPr>
            <w:r>
              <w:rPr>
                <w:b/>
                <w:bCs/>
                <w:spacing w:val="3"/>
              </w:rPr>
              <w:t>氨氮</w:t>
            </w:r>
          </w:p>
        </w:tc>
        <w:tc>
          <w:tcPr>
            <w:tcW w:w="849" w:type="dxa"/>
            <w:tcBorders>
              <w:top w:val="single" w:color="000000" w:sz="10" w:space="0"/>
            </w:tcBorders>
            <w:vAlign w:val="top"/>
          </w:tcPr>
          <w:p w14:paraId="7D63F9EA">
            <w:pPr>
              <w:pStyle w:val="6"/>
              <w:spacing w:before="97" w:line="228" w:lineRule="auto"/>
              <w:ind w:left="227"/>
            </w:pPr>
            <w:r>
              <w:rPr>
                <w:b/>
                <w:bCs/>
                <w:spacing w:val="1"/>
              </w:rPr>
              <w:t>总磷</w:t>
            </w:r>
          </w:p>
        </w:tc>
        <w:tc>
          <w:tcPr>
            <w:tcW w:w="1108" w:type="dxa"/>
            <w:tcBorders>
              <w:top w:val="single" w:color="000000" w:sz="10" w:space="0"/>
            </w:tcBorders>
            <w:vAlign w:val="top"/>
          </w:tcPr>
          <w:p w14:paraId="6652A9AE">
            <w:pPr>
              <w:pStyle w:val="6"/>
              <w:spacing w:before="97" w:line="229" w:lineRule="auto"/>
              <w:ind w:left="460"/>
            </w:pPr>
            <w:r>
              <w:rPr>
                <w:b/>
                <w:bCs/>
                <w:spacing w:val="-2"/>
              </w:rPr>
              <w:t>铜</w:t>
            </w:r>
          </w:p>
        </w:tc>
        <w:tc>
          <w:tcPr>
            <w:tcW w:w="977" w:type="dxa"/>
            <w:tcBorders>
              <w:top w:val="single" w:color="000000" w:sz="10" w:space="0"/>
            </w:tcBorders>
            <w:vAlign w:val="top"/>
          </w:tcPr>
          <w:p w14:paraId="2FF09647">
            <w:pPr>
              <w:pStyle w:val="6"/>
              <w:spacing w:before="98" w:line="228" w:lineRule="auto"/>
              <w:ind w:left="395"/>
            </w:pPr>
            <w:r>
              <w:rPr>
                <w:b/>
                <w:bCs/>
                <w:spacing w:val="-1"/>
              </w:rPr>
              <w:t>锌</w:t>
            </w:r>
          </w:p>
        </w:tc>
        <w:tc>
          <w:tcPr>
            <w:tcW w:w="1045" w:type="dxa"/>
            <w:tcBorders>
              <w:top w:val="single" w:color="000000" w:sz="10" w:space="0"/>
            </w:tcBorders>
            <w:vAlign w:val="top"/>
          </w:tcPr>
          <w:p w14:paraId="21726662">
            <w:pPr>
              <w:pStyle w:val="6"/>
              <w:spacing w:before="97" w:line="228" w:lineRule="auto"/>
              <w:ind w:left="224"/>
            </w:pPr>
            <w:r>
              <w:rPr>
                <w:b/>
                <w:bCs/>
                <w:spacing w:val="5"/>
              </w:rPr>
              <w:t>氟化物</w:t>
            </w:r>
          </w:p>
        </w:tc>
        <w:tc>
          <w:tcPr>
            <w:tcW w:w="992" w:type="dxa"/>
            <w:tcBorders>
              <w:top w:val="single" w:color="000000" w:sz="10" w:space="0"/>
              <w:right w:val="single" w:color="000000" w:sz="10" w:space="0"/>
            </w:tcBorders>
            <w:vAlign w:val="top"/>
          </w:tcPr>
          <w:p w14:paraId="5BEB585C">
            <w:pPr>
              <w:pStyle w:val="6"/>
              <w:spacing w:before="97" w:line="231" w:lineRule="auto"/>
              <w:ind w:left="400"/>
            </w:pPr>
            <w:r>
              <w:rPr>
                <w:b/>
                <w:bCs/>
              </w:rPr>
              <w:t>硒</w:t>
            </w:r>
          </w:p>
        </w:tc>
      </w:tr>
      <w:tr w14:paraId="12390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20" w:type="dxa"/>
            <w:tcBorders>
              <w:left w:val="single" w:color="000000" w:sz="10" w:space="0"/>
            </w:tcBorders>
            <w:vAlign w:val="top"/>
          </w:tcPr>
          <w:p w14:paraId="7ACB6AFB">
            <w:pPr>
              <w:spacing w:before="129"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2022-01</w:t>
            </w:r>
          </w:p>
        </w:tc>
        <w:tc>
          <w:tcPr>
            <w:tcW w:w="611" w:type="dxa"/>
            <w:vAlign w:val="top"/>
          </w:tcPr>
          <w:p w14:paraId="334DEA1F">
            <w:pPr>
              <w:spacing w:before="129" w:line="195"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45" w:type="dxa"/>
            <w:vAlign w:val="top"/>
          </w:tcPr>
          <w:p w14:paraId="4D1C6A51">
            <w:pPr>
              <w:spacing w:before="129" w:line="195"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9.6</w:t>
            </w:r>
          </w:p>
        </w:tc>
        <w:tc>
          <w:tcPr>
            <w:tcW w:w="1827" w:type="dxa"/>
            <w:vAlign w:val="top"/>
          </w:tcPr>
          <w:p w14:paraId="75B5866A">
            <w:pPr>
              <w:spacing w:before="129" w:line="195" w:lineRule="auto"/>
              <w:ind w:left="7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568" w:type="dxa"/>
            <w:vAlign w:val="top"/>
          </w:tcPr>
          <w:p w14:paraId="60BB8222">
            <w:pPr>
              <w:spacing w:before="129" w:line="195" w:lineRule="auto"/>
              <w:ind w:left="658"/>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2087" w:type="dxa"/>
            <w:vAlign w:val="top"/>
          </w:tcPr>
          <w:p w14:paraId="26AC4D83">
            <w:pPr>
              <w:spacing w:before="129" w:line="195" w:lineRule="auto"/>
              <w:ind w:left="9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787" w:type="dxa"/>
            <w:vAlign w:val="top"/>
          </w:tcPr>
          <w:p w14:paraId="5D7E1F19">
            <w:pPr>
              <w:spacing w:before="129"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0.32</w:t>
            </w:r>
          </w:p>
        </w:tc>
        <w:tc>
          <w:tcPr>
            <w:tcW w:w="849" w:type="dxa"/>
            <w:vAlign w:val="top"/>
          </w:tcPr>
          <w:p w14:paraId="0C90687E">
            <w:pPr>
              <w:spacing w:before="129"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0.050</w:t>
            </w:r>
          </w:p>
        </w:tc>
        <w:tc>
          <w:tcPr>
            <w:tcW w:w="1108" w:type="dxa"/>
            <w:vAlign w:val="top"/>
          </w:tcPr>
          <w:p w14:paraId="3C6034E8">
            <w:pPr>
              <w:spacing w:before="129"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977" w:type="dxa"/>
            <w:vAlign w:val="top"/>
          </w:tcPr>
          <w:p w14:paraId="688E44F8">
            <w:pPr>
              <w:spacing w:before="129"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w:t>
            </w:r>
          </w:p>
        </w:tc>
        <w:tc>
          <w:tcPr>
            <w:tcW w:w="1045" w:type="dxa"/>
            <w:vAlign w:val="top"/>
          </w:tcPr>
          <w:p w14:paraId="45F2C834">
            <w:pPr>
              <w:spacing w:before="129"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0.124</w:t>
            </w:r>
          </w:p>
        </w:tc>
        <w:tc>
          <w:tcPr>
            <w:tcW w:w="992" w:type="dxa"/>
            <w:tcBorders>
              <w:right w:val="single" w:color="000000" w:sz="10" w:space="0"/>
            </w:tcBorders>
            <w:vAlign w:val="top"/>
          </w:tcPr>
          <w:p w14:paraId="54A5F8E7">
            <w:pPr>
              <w:spacing w:before="129"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2E09D4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20" w:type="dxa"/>
            <w:tcBorders>
              <w:left w:val="single" w:color="000000" w:sz="10" w:space="0"/>
            </w:tcBorders>
            <w:vAlign w:val="top"/>
          </w:tcPr>
          <w:p w14:paraId="5C91E25E">
            <w:pPr>
              <w:spacing w:before="132"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2022-02</w:t>
            </w:r>
          </w:p>
        </w:tc>
        <w:tc>
          <w:tcPr>
            <w:tcW w:w="611" w:type="dxa"/>
            <w:vAlign w:val="top"/>
          </w:tcPr>
          <w:p w14:paraId="41DADF14">
            <w:pPr>
              <w:spacing w:before="132" w:line="195"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45" w:type="dxa"/>
            <w:vAlign w:val="top"/>
          </w:tcPr>
          <w:p w14:paraId="4DD95E52">
            <w:pPr>
              <w:spacing w:before="132" w:line="195"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10.2</w:t>
            </w:r>
          </w:p>
        </w:tc>
        <w:tc>
          <w:tcPr>
            <w:tcW w:w="1827" w:type="dxa"/>
            <w:vAlign w:val="top"/>
          </w:tcPr>
          <w:p w14:paraId="2FF5C53A">
            <w:pPr>
              <w:spacing w:before="132" w:line="195" w:lineRule="auto"/>
              <w:ind w:left="7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1568" w:type="dxa"/>
            <w:vAlign w:val="top"/>
          </w:tcPr>
          <w:p w14:paraId="68089900">
            <w:pPr>
              <w:spacing w:before="132" w:line="195" w:lineRule="auto"/>
              <w:ind w:left="660"/>
              <w:rPr>
                <w:rFonts w:ascii="Times New Roman" w:hAnsi="Times New Roman" w:eastAsia="Times New Roman" w:cs="Times New Roman"/>
                <w:sz w:val="20"/>
                <w:szCs w:val="20"/>
              </w:rPr>
            </w:pPr>
            <w:r>
              <w:rPr>
                <w:rFonts w:ascii="Times New Roman" w:hAnsi="Times New Roman" w:eastAsia="Times New Roman" w:cs="Times New Roman"/>
                <w:sz w:val="20"/>
                <w:szCs w:val="20"/>
              </w:rPr>
              <w:t>8.0</w:t>
            </w:r>
          </w:p>
        </w:tc>
        <w:tc>
          <w:tcPr>
            <w:tcW w:w="2087" w:type="dxa"/>
            <w:vAlign w:val="top"/>
          </w:tcPr>
          <w:p w14:paraId="535C3821">
            <w:pPr>
              <w:spacing w:before="132" w:line="195" w:lineRule="auto"/>
              <w:ind w:left="9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787" w:type="dxa"/>
            <w:vAlign w:val="top"/>
          </w:tcPr>
          <w:p w14:paraId="378D3CB3">
            <w:pPr>
              <w:spacing w:before="132"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0.29</w:t>
            </w:r>
          </w:p>
        </w:tc>
        <w:tc>
          <w:tcPr>
            <w:tcW w:w="849" w:type="dxa"/>
            <w:vAlign w:val="top"/>
          </w:tcPr>
          <w:p w14:paraId="36AF25D3">
            <w:pPr>
              <w:spacing w:before="132"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0.030</w:t>
            </w:r>
          </w:p>
        </w:tc>
        <w:tc>
          <w:tcPr>
            <w:tcW w:w="1108" w:type="dxa"/>
            <w:vAlign w:val="top"/>
          </w:tcPr>
          <w:p w14:paraId="5DC0BD96">
            <w:pPr>
              <w:spacing w:before="132"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977" w:type="dxa"/>
            <w:vAlign w:val="top"/>
          </w:tcPr>
          <w:p w14:paraId="44307C23">
            <w:pPr>
              <w:spacing w:before="132"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w:t>
            </w:r>
          </w:p>
        </w:tc>
        <w:tc>
          <w:tcPr>
            <w:tcW w:w="1045" w:type="dxa"/>
            <w:vAlign w:val="top"/>
          </w:tcPr>
          <w:p w14:paraId="5DD9D3D1">
            <w:pPr>
              <w:spacing w:before="132"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0.129</w:t>
            </w:r>
          </w:p>
        </w:tc>
        <w:tc>
          <w:tcPr>
            <w:tcW w:w="992" w:type="dxa"/>
            <w:tcBorders>
              <w:right w:val="single" w:color="000000" w:sz="10" w:space="0"/>
            </w:tcBorders>
            <w:vAlign w:val="top"/>
          </w:tcPr>
          <w:p w14:paraId="2536DA1E">
            <w:pPr>
              <w:spacing w:before="132"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109FA0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20" w:type="dxa"/>
            <w:tcBorders>
              <w:left w:val="single" w:color="000000" w:sz="10" w:space="0"/>
            </w:tcBorders>
            <w:vAlign w:val="top"/>
          </w:tcPr>
          <w:p w14:paraId="76BCE28D">
            <w:pPr>
              <w:spacing w:before="135"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2022-03</w:t>
            </w:r>
          </w:p>
        </w:tc>
        <w:tc>
          <w:tcPr>
            <w:tcW w:w="611" w:type="dxa"/>
            <w:vAlign w:val="top"/>
          </w:tcPr>
          <w:p w14:paraId="6F318D64">
            <w:pPr>
              <w:spacing w:before="135" w:line="195"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45" w:type="dxa"/>
            <w:vAlign w:val="top"/>
          </w:tcPr>
          <w:p w14:paraId="4DD7EAF7">
            <w:pPr>
              <w:spacing w:before="135" w:line="195"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w:t>
            </w:r>
          </w:p>
        </w:tc>
        <w:tc>
          <w:tcPr>
            <w:tcW w:w="1827" w:type="dxa"/>
            <w:vAlign w:val="top"/>
          </w:tcPr>
          <w:p w14:paraId="6156DC96">
            <w:pPr>
              <w:spacing w:before="135" w:line="195" w:lineRule="auto"/>
              <w:ind w:left="7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568" w:type="dxa"/>
            <w:vAlign w:val="top"/>
          </w:tcPr>
          <w:p w14:paraId="2F1D4C7C">
            <w:pPr>
              <w:spacing w:before="135" w:line="195" w:lineRule="auto"/>
              <w:ind w:left="6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9.0</w:t>
            </w:r>
          </w:p>
        </w:tc>
        <w:tc>
          <w:tcPr>
            <w:tcW w:w="2087" w:type="dxa"/>
            <w:vAlign w:val="top"/>
          </w:tcPr>
          <w:p w14:paraId="6A6AD471">
            <w:pPr>
              <w:spacing w:before="135" w:line="195" w:lineRule="auto"/>
              <w:ind w:left="9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787" w:type="dxa"/>
            <w:vAlign w:val="top"/>
          </w:tcPr>
          <w:p w14:paraId="40495AAE">
            <w:pPr>
              <w:spacing w:before="135"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0.26</w:t>
            </w:r>
          </w:p>
        </w:tc>
        <w:tc>
          <w:tcPr>
            <w:tcW w:w="849" w:type="dxa"/>
            <w:vAlign w:val="top"/>
          </w:tcPr>
          <w:p w14:paraId="50EDF5CB">
            <w:pPr>
              <w:spacing w:before="135"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0.070</w:t>
            </w:r>
          </w:p>
        </w:tc>
        <w:tc>
          <w:tcPr>
            <w:tcW w:w="1108" w:type="dxa"/>
            <w:vAlign w:val="top"/>
          </w:tcPr>
          <w:p w14:paraId="3D3B6B65">
            <w:pPr>
              <w:spacing w:before="135"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977" w:type="dxa"/>
            <w:vAlign w:val="top"/>
          </w:tcPr>
          <w:p w14:paraId="77D90891">
            <w:pPr>
              <w:spacing w:before="135"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w:t>
            </w:r>
          </w:p>
        </w:tc>
        <w:tc>
          <w:tcPr>
            <w:tcW w:w="1045" w:type="dxa"/>
            <w:vAlign w:val="top"/>
          </w:tcPr>
          <w:p w14:paraId="07C9B5AE">
            <w:pPr>
              <w:spacing w:before="135"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0.112</w:t>
            </w:r>
          </w:p>
        </w:tc>
        <w:tc>
          <w:tcPr>
            <w:tcW w:w="992" w:type="dxa"/>
            <w:tcBorders>
              <w:right w:val="single" w:color="000000" w:sz="10" w:space="0"/>
            </w:tcBorders>
            <w:vAlign w:val="top"/>
          </w:tcPr>
          <w:p w14:paraId="2771FDD9">
            <w:pPr>
              <w:spacing w:before="135"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70A5F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20" w:type="dxa"/>
            <w:tcBorders>
              <w:left w:val="single" w:color="000000" w:sz="10" w:space="0"/>
            </w:tcBorders>
            <w:vAlign w:val="top"/>
          </w:tcPr>
          <w:p w14:paraId="7E17E905">
            <w:pPr>
              <w:spacing w:before="135"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2022-04</w:t>
            </w:r>
          </w:p>
        </w:tc>
        <w:tc>
          <w:tcPr>
            <w:tcW w:w="611" w:type="dxa"/>
            <w:vAlign w:val="top"/>
          </w:tcPr>
          <w:p w14:paraId="681BEB54">
            <w:pPr>
              <w:spacing w:before="135" w:line="195"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45" w:type="dxa"/>
            <w:vAlign w:val="top"/>
          </w:tcPr>
          <w:p w14:paraId="2FDF2CE9">
            <w:pPr>
              <w:spacing w:before="135" w:line="195"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9.7</w:t>
            </w:r>
          </w:p>
        </w:tc>
        <w:tc>
          <w:tcPr>
            <w:tcW w:w="1827" w:type="dxa"/>
            <w:vAlign w:val="top"/>
          </w:tcPr>
          <w:p w14:paraId="525E76E2">
            <w:pPr>
              <w:spacing w:before="135"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1568" w:type="dxa"/>
            <w:vAlign w:val="top"/>
          </w:tcPr>
          <w:p w14:paraId="484D794F">
            <w:pPr>
              <w:spacing w:before="135"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2087" w:type="dxa"/>
            <w:vAlign w:val="top"/>
          </w:tcPr>
          <w:p w14:paraId="69563150">
            <w:pPr>
              <w:spacing w:before="135" w:line="195" w:lineRule="auto"/>
              <w:ind w:left="9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787" w:type="dxa"/>
            <w:vAlign w:val="top"/>
          </w:tcPr>
          <w:p w14:paraId="36BB1D68">
            <w:pPr>
              <w:spacing w:before="135"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0.18</w:t>
            </w:r>
          </w:p>
        </w:tc>
        <w:tc>
          <w:tcPr>
            <w:tcW w:w="849" w:type="dxa"/>
            <w:vAlign w:val="top"/>
          </w:tcPr>
          <w:p w14:paraId="074F43B8">
            <w:pPr>
              <w:spacing w:before="135"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0.090</w:t>
            </w:r>
          </w:p>
        </w:tc>
        <w:tc>
          <w:tcPr>
            <w:tcW w:w="1108" w:type="dxa"/>
            <w:vAlign w:val="top"/>
          </w:tcPr>
          <w:p w14:paraId="52EF1EDC">
            <w:pPr>
              <w:spacing w:before="135"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977" w:type="dxa"/>
            <w:vAlign w:val="top"/>
          </w:tcPr>
          <w:p w14:paraId="43BE3813">
            <w:pPr>
              <w:spacing w:before="135"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w:t>
            </w:r>
          </w:p>
        </w:tc>
        <w:tc>
          <w:tcPr>
            <w:tcW w:w="1045" w:type="dxa"/>
            <w:vAlign w:val="top"/>
          </w:tcPr>
          <w:p w14:paraId="2313AFAF">
            <w:pPr>
              <w:spacing w:before="135"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0.133</w:t>
            </w:r>
          </w:p>
        </w:tc>
        <w:tc>
          <w:tcPr>
            <w:tcW w:w="992" w:type="dxa"/>
            <w:tcBorders>
              <w:right w:val="single" w:color="000000" w:sz="10" w:space="0"/>
            </w:tcBorders>
            <w:vAlign w:val="top"/>
          </w:tcPr>
          <w:p w14:paraId="1AFC2001">
            <w:pPr>
              <w:spacing w:before="135"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08573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20" w:type="dxa"/>
            <w:tcBorders>
              <w:left w:val="single" w:color="000000" w:sz="10" w:space="0"/>
            </w:tcBorders>
            <w:vAlign w:val="top"/>
          </w:tcPr>
          <w:p w14:paraId="4F83247D">
            <w:pPr>
              <w:spacing w:before="138"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2022-05</w:t>
            </w:r>
          </w:p>
        </w:tc>
        <w:tc>
          <w:tcPr>
            <w:tcW w:w="611" w:type="dxa"/>
            <w:vAlign w:val="top"/>
          </w:tcPr>
          <w:p w14:paraId="334DFD79">
            <w:pPr>
              <w:spacing w:before="138" w:line="195"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45" w:type="dxa"/>
            <w:vAlign w:val="top"/>
          </w:tcPr>
          <w:p w14:paraId="2DE09E5F">
            <w:pPr>
              <w:spacing w:before="138" w:line="195" w:lineRule="auto"/>
              <w:ind w:left="393"/>
              <w:rPr>
                <w:rFonts w:ascii="Times New Roman" w:hAnsi="Times New Roman" w:eastAsia="Times New Roman" w:cs="Times New Roman"/>
                <w:sz w:val="20"/>
                <w:szCs w:val="20"/>
              </w:rPr>
            </w:pPr>
            <w:r>
              <w:rPr>
                <w:rFonts w:ascii="Times New Roman" w:hAnsi="Times New Roman" w:eastAsia="Times New Roman" w:cs="Times New Roman"/>
                <w:sz w:val="20"/>
                <w:szCs w:val="20"/>
              </w:rPr>
              <w:t>8.8</w:t>
            </w:r>
          </w:p>
        </w:tc>
        <w:tc>
          <w:tcPr>
            <w:tcW w:w="1827" w:type="dxa"/>
            <w:vAlign w:val="top"/>
          </w:tcPr>
          <w:p w14:paraId="709953E5">
            <w:pPr>
              <w:spacing w:before="138"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1568" w:type="dxa"/>
            <w:vAlign w:val="top"/>
          </w:tcPr>
          <w:p w14:paraId="7EA42404">
            <w:pPr>
              <w:spacing w:before="138"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14.0</w:t>
            </w:r>
          </w:p>
        </w:tc>
        <w:tc>
          <w:tcPr>
            <w:tcW w:w="2087" w:type="dxa"/>
            <w:vAlign w:val="top"/>
          </w:tcPr>
          <w:p w14:paraId="7895D4DD">
            <w:pPr>
              <w:spacing w:before="138" w:line="195" w:lineRule="auto"/>
              <w:ind w:left="918"/>
              <w:rPr>
                <w:rFonts w:ascii="Times New Roman" w:hAnsi="Times New Roman" w:eastAsia="Times New Roman" w:cs="Times New Roman"/>
                <w:sz w:val="20"/>
                <w:szCs w:val="20"/>
              </w:rPr>
            </w:pPr>
            <w:r>
              <w:rPr>
                <w:rFonts w:ascii="Times New Roman" w:hAnsi="Times New Roman" w:eastAsia="Times New Roman" w:cs="Times New Roman"/>
                <w:sz w:val="20"/>
                <w:szCs w:val="20"/>
              </w:rPr>
              <w:t>0.1</w:t>
            </w:r>
          </w:p>
        </w:tc>
        <w:tc>
          <w:tcPr>
            <w:tcW w:w="787" w:type="dxa"/>
            <w:vAlign w:val="top"/>
          </w:tcPr>
          <w:p w14:paraId="4AA9810A">
            <w:pPr>
              <w:spacing w:before="138"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tc>
        <w:tc>
          <w:tcPr>
            <w:tcW w:w="849" w:type="dxa"/>
            <w:vAlign w:val="top"/>
          </w:tcPr>
          <w:p w14:paraId="13B10C56">
            <w:pPr>
              <w:spacing w:before="138"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0.080</w:t>
            </w:r>
          </w:p>
        </w:tc>
        <w:tc>
          <w:tcPr>
            <w:tcW w:w="1108" w:type="dxa"/>
            <w:vAlign w:val="top"/>
          </w:tcPr>
          <w:p w14:paraId="04BB67CE">
            <w:pPr>
              <w:spacing w:before="138"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977" w:type="dxa"/>
            <w:vAlign w:val="top"/>
          </w:tcPr>
          <w:p w14:paraId="7738A1B4">
            <w:pPr>
              <w:spacing w:before="138"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w:t>
            </w:r>
          </w:p>
        </w:tc>
        <w:tc>
          <w:tcPr>
            <w:tcW w:w="1045" w:type="dxa"/>
            <w:vAlign w:val="top"/>
          </w:tcPr>
          <w:p w14:paraId="572C18C8">
            <w:pPr>
              <w:spacing w:before="138"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0.133</w:t>
            </w:r>
          </w:p>
        </w:tc>
        <w:tc>
          <w:tcPr>
            <w:tcW w:w="992" w:type="dxa"/>
            <w:tcBorders>
              <w:right w:val="single" w:color="000000" w:sz="10" w:space="0"/>
            </w:tcBorders>
            <w:vAlign w:val="top"/>
          </w:tcPr>
          <w:p w14:paraId="0D936D6A">
            <w:pPr>
              <w:spacing w:before="138"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20515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20" w:type="dxa"/>
            <w:tcBorders>
              <w:left w:val="single" w:color="000000" w:sz="10" w:space="0"/>
            </w:tcBorders>
            <w:vAlign w:val="top"/>
          </w:tcPr>
          <w:p w14:paraId="38705769">
            <w:pPr>
              <w:spacing w:before="139"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2022-06</w:t>
            </w:r>
          </w:p>
        </w:tc>
        <w:tc>
          <w:tcPr>
            <w:tcW w:w="611" w:type="dxa"/>
            <w:vAlign w:val="top"/>
          </w:tcPr>
          <w:p w14:paraId="12B64BD8">
            <w:pPr>
              <w:spacing w:before="139" w:line="195"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45" w:type="dxa"/>
            <w:vAlign w:val="top"/>
          </w:tcPr>
          <w:p w14:paraId="491F361C">
            <w:pPr>
              <w:spacing w:before="139" w:line="195" w:lineRule="auto"/>
              <w:ind w:left="393"/>
              <w:rPr>
                <w:rFonts w:ascii="Times New Roman" w:hAnsi="Times New Roman" w:eastAsia="Times New Roman" w:cs="Times New Roman"/>
                <w:sz w:val="20"/>
                <w:szCs w:val="20"/>
              </w:rPr>
            </w:pPr>
            <w:r>
              <w:rPr>
                <w:rFonts w:ascii="Times New Roman" w:hAnsi="Times New Roman" w:eastAsia="Times New Roman" w:cs="Times New Roman"/>
                <w:sz w:val="20"/>
                <w:szCs w:val="20"/>
              </w:rPr>
              <w:t>8.8</w:t>
            </w:r>
          </w:p>
        </w:tc>
        <w:tc>
          <w:tcPr>
            <w:tcW w:w="1827" w:type="dxa"/>
            <w:vAlign w:val="top"/>
          </w:tcPr>
          <w:p w14:paraId="57FE6179">
            <w:pPr>
              <w:spacing w:before="139" w:line="195" w:lineRule="auto"/>
              <w:ind w:left="7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1568" w:type="dxa"/>
            <w:vAlign w:val="top"/>
          </w:tcPr>
          <w:p w14:paraId="53B864CB">
            <w:pPr>
              <w:spacing w:before="139" w:line="195" w:lineRule="auto"/>
              <w:ind w:left="660"/>
              <w:rPr>
                <w:rFonts w:ascii="Times New Roman" w:hAnsi="Times New Roman" w:eastAsia="Times New Roman" w:cs="Times New Roman"/>
                <w:sz w:val="20"/>
                <w:szCs w:val="20"/>
              </w:rPr>
            </w:pPr>
            <w:r>
              <w:rPr>
                <w:rFonts w:ascii="Times New Roman" w:hAnsi="Times New Roman" w:eastAsia="Times New Roman" w:cs="Times New Roman"/>
                <w:sz w:val="20"/>
                <w:szCs w:val="20"/>
              </w:rPr>
              <w:t>8.0</w:t>
            </w:r>
          </w:p>
        </w:tc>
        <w:tc>
          <w:tcPr>
            <w:tcW w:w="2087" w:type="dxa"/>
            <w:vAlign w:val="top"/>
          </w:tcPr>
          <w:p w14:paraId="179BB7CE">
            <w:pPr>
              <w:spacing w:before="139" w:line="195" w:lineRule="auto"/>
              <w:ind w:left="9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787" w:type="dxa"/>
            <w:vAlign w:val="top"/>
          </w:tcPr>
          <w:p w14:paraId="0FC7A610">
            <w:pPr>
              <w:spacing w:before="139"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tc>
        <w:tc>
          <w:tcPr>
            <w:tcW w:w="849" w:type="dxa"/>
            <w:vAlign w:val="top"/>
          </w:tcPr>
          <w:p w14:paraId="547121DA">
            <w:pPr>
              <w:spacing w:before="139"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0.040</w:t>
            </w:r>
          </w:p>
        </w:tc>
        <w:tc>
          <w:tcPr>
            <w:tcW w:w="1108" w:type="dxa"/>
            <w:vAlign w:val="top"/>
          </w:tcPr>
          <w:p w14:paraId="656DF967">
            <w:pPr>
              <w:spacing w:before="139"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977" w:type="dxa"/>
            <w:vAlign w:val="top"/>
          </w:tcPr>
          <w:p w14:paraId="00817F2C">
            <w:pPr>
              <w:spacing w:before="139"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w:t>
            </w:r>
          </w:p>
        </w:tc>
        <w:tc>
          <w:tcPr>
            <w:tcW w:w="1045" w:type="dxa"/>
            <w:vAlign w:val="top"/>
          </w:tcPr>
          <w:p w14:paraId="69D9E4FA">
            <w:pPr>
              <w:spacing w:before="139"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0.133</w:t>
            </w:r>
          </w:p>
        </w:tc>
        <w:tc>
          <w:tcPr>
            <w:tcW w:w="992" w:type="dxa"/>
            <w:tcBorders>
              <w:right w:val="single" w:color="000000" w:sz="10" w:space="0"/>
            </w:tcBorders>
            <w:vAlign w:val="top"/>
          </w:tcPr>
          <w:p w14:paraId="2875C251">
            <w:pPr>
              <w:spacing w:before="139"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4E68A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20" w:type="dxa"/>
            <w:tcBorders>
              <w:left w:val="single" w:color="000000" w:sz="10" w:space="0"/>
            </w:tcBorders>
            <w:vAlign w:val="top"/>
          </w:tcPr>
          <w:p w14:paraId="04D0EE64">
            <w:pPr>
              <w:spacing w:before="142"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2022-07</w:t>
            </w:r>
          </w:p>
        </w:tc>
        <w:tc>
          <w:tcPr>
            <w:tcW w:w="611" w:type="dxa"/>
            <w:vAlign w:val="top"/>
          </w:tcPr>
          <w:p w14:paraId="7190F43D">
            <w:pPr>
              <w:spacing w:before="142" w:line="195"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45" w:type="dxa"/>
            <w:vAlign w:val="top"/>
          </w:tcPr>
          <w:p w14:paraId="14AF6027">
            <w:pPr>
              <w:spacing w:before="142" w:line="195"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6.2</w:t>
            </w:r>
          </w:p>
        </w:tc>
        <w:tc>
          <w:tcPr>
            <w:tcW w:w="1827" w:type="dxa"/>
            <w:vAlign w:val="top"/>
          </w:tcPr>
          <w:p w14:paraId="1673C58D">
            <w:pPr>
              <w:spacing w:before="142" w:line="195" w:lineRule="auto"/>
              <w:ind w:left="78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3.3</w:t>
            </w:r>
          </w:p>
        </w:tc>
        <w:tc>
          <w:tcPr>
            <w:tcW w:w="1568" w:type="dxa"/>
            <w:vAlign w:val="top"/>
          </w:tcPr>
          <w:p w14:paraId="67ADDA08">
            <w:pPr>
              <w:spacing w:before="142"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c>
          <w:tcPr>
            <w:tcW w:w="2087" w:type="dxa"/>
            <w:vAlign w:val="top"/>
          </w:tcPr>
          <w:p w14:paraId="18FBFB2A">
            <w:pPr>
              <w:spacing w:before="142" w:line="195" w:lineRule="auto"/>
              <w:ind w:left="93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787" w:type="dxa"/>
            <w:vAlign w:val="top"/>
          </w:tcPr>
          <w:p w14:paraId="5763305A">
            <w:pPr>
              <w:spacing w:before="142"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w:t>
            </w:r>
          </w:p>
        </w:tc>
        <w:tc>
          <w:tcPr>
            <w:tcW w:w="849" w:type="dxa"/>
            <w:vAlign w:val="top"/>
          </w:tcPr>
          <w:p w14:paraId="3F216A8B">
            <w:pPr>
              <w:spacing w:before="142"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0.050</w:t>
            </w:r>
          </w:p>
        </w:tc>
        <w:tc>
          <w:tcPr>
            <w:tcW w:w="1108" w:type="dxa"/>
            <w:vAlign w:val="top"/>
          </w:tcPr>
          <w:p w14:paraId="1F89CB0E">
            <w:pPr>
              <w:spacing w:before="142"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977" w:type="dxa"/>
            <w:vAlign w:val="top"/>
          </w:tcPr>
          <w:p w14:paraId="391114AE">
            <w:pPr>
              <w:spacing w:before="142"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w:t>
            </w:r>
          </w:p>
        </w:tc>
        <w:tc>
          <w:tcPr>
            <w:tcW w:w="1045" w:type="dxa"/>
            <w:vAlign w:val="top"/>
          </w:tcPr>
          <w:p w14:paraId="29DD49D9">
            <w:pPr>
              <w:spacing w:before="142"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0.133</w:t>
            </w:r>
          </w:p>
        </w:tc>
        <w:tc>
          <w:tcPr>
            <w:tcW w:w="992" w:type="dxa"/>
            <w:tcBorders>
              <w:right w:val="single" w:color="000000" w:sz="10" w:space="0"/>
            </w:tcBorders>
            <w:vAlign w:val="top"/>
          </w:tcPr>
          <w:p w14:paraId="55B2C063">
            <w:pPr>
              <w:spacing w:before="142"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3D47F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20" w:type="dxa"/>
            <w:tcBorders>
              <w:left w:val="single" w:color="000000" w:sz="10" w:space="0"/>
            </w:tcBorders>
            <w:vAlign w:val="top"/>
          </w:tcPr>
          <w:p w14:paraId="05E8D1D4">
            <w:pPr>
              <w:spacing w:before="145"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2022-08</w:t>
            </w:r>
          </w:p>
        </w:tc>
        <w:tc>
          <w:tcPr>
            <w:tcW w:w="611" w:type="dxa"/>
            <w:vAlign w:val="top"/>
          </w:tcPr>
          <w:p w14:paraId="1EBA9F12">
            <w:pPr>
              <w:spacing w:before="145" w:line="195"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45" w:type="dxa"/>
            <w:vAlign w:val="top"/>
          </w:tcPr>
          <w:p w14:paraId="4F1A55AE">
            <w:pPr>
              <w:spacing w:before="145"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7.3</w:t>
            </w:r>
          </w:p>
        </w:tc>
        <w:tc>
          <w:tcPr>
            <w:tcW w:w="1827" w:type="dxa"/>
            <w:vAlign w:val="top"/>
          </w:tcPr>
          <w:p w14:paraId="5B4BBEE8">
            <w:pPr>
              <w:spacing w:before="145" w:line="195" w:lineRule="auto"/>
              <w:ind w:left="7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p>
        </w:tc>
        <w:tc>
          <w:tcPr>
            <w:tcW w:w="1568" w:type="dxa"/>
            <w:vAlign w:val="top"/>
          </w:tcPr>
          <w:p w14:paraId="0D4170F4">
            <w:pPr>
              <w:spacing w:before="145"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c>
          <w:tcPr>
            <w:tcW w:w="2087" w:type="dxa"/>
            <w:vAlign w:val="top"/>
          </w:tcPr>
          <w:p w14:paraId="773A7029">
            <w:pPr>
              <w:spacing w:before="145" w:line="195" w:lineRule="auto"/>
              <w:ind w:left="9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787" w:type="dxa"/>
            <w:vAlign w:val="top"/>
          </w:tcPr>
          <w:p w14:paraId="101B6E43">
            <w:pPr>
              <w:spacing w:before="145"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w:t>
            </w:r>
          </w:p>
        </w:tc>
        <w:tc>
          <w:tcPr>
            <w:tcW w:w="849" w:type="dxa"/>
            <w:vAlign w:val="top"/>
          </w:tcPr>
          <w:p w14:paraId="1F2A016F">
            <w:pPr>
              <w:spacing w:before="145"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0.040</w:t>
            </w:r>
          </w:p>
        </w:tc>
        <w:tc>
          <w:tcPr>
            <w:tcW w:w="1108" w:type="dxa"/>
            <w:vAlign w:val="top"/>
          </w:tcPr>
          <w:p w14:paraId="17E6EF69">
            <w:pPr>
              <w:spacing w:before="145"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977" w:type="dxa"/>
            <w:vAlign w:val="top"/>
          </w:tcPr>
          <w:p w14:paraId="23626A73">
            <w:pPr>
              <w:spacing w:before="145"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w:t>
            </w:r>
          </w:p>
        </w:tc>
        <w:tc>
          <w:tcPr>
            <w:tcW w:w="1045" w:type="dxa"/>
            <w:vAlign w:val="top"/>
          </w:tcPr>
          <w:p w14:paraId="074ED106">
            <w:pPr>
              <w:spacing w:before="145"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0.136</w:t>
            </w:r>
          </w:p>
        </w:tc>
        <w:tc>
          <w:tcPr>
            <w:tcW w:w="992" w:type="dxa"/>
            <w:tcBorders>
              <w:right w:val="single" w:color="000000" w:sz="10" w:space="0"/>
            </w:tcBorders>
            <w:vAlign w:val="top"/>
          </w:tcPr>
          <w:p w14:paraId="3EEBBD2C">
            <w:pPr>
              <w:spacing w:before="145"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5734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20" w:type="dxa"/>
            <w:tcBorders>
              <w:left w:val="single" w:color="000000" w:sz="10" w:space="0"/>
            </w:tcBorders>
            <w:vAlign w:val="top"/>
          </w:tcPr>
          <w:p w14:paraId="275E2B77">
            <w:pPr>
              <w:spacing w:before="144"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2022-09</w:t>
            </w:r>
          </w:p>
        </w:tc>
        <w:tc>
          <w:tcPr>
            <w:tcW w:w="611" w:type="dxa"/>
            <w:vAlign w:val="top"/>
          </w:tcPr>
          <w:p w14:paraId="22955DEE">
            <w:pPr>
              <w:spacing w:before="144" w:line="195"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45" w:type="dxa"/>
            <w:vAlign w:val="top"/>
          </w:tcPr>
          <w:p w14:paraId="39CDAA2F">
            <w:pPr>
              <w:spacing w:before="144" w:line="195" w:lineRule="auto"/>
              <w:ind w:left="393"/>
              <w:rPr>
                <w:rFonts w:ascii="Times New Roman" w:hAnsi="Times New Roman" w:eastAsia="Times New Roman" w:cs="Times New Roman"/>
                <w:sz w:val="20"/>
                <w:szCs w:val="20"/>
              </w:rPr>
            </w:pPr>
            <w:r>
              <w:rPr>
                <w:rFonts w:ascii="Times New Roman" w:hAnsi="Times New Roman" w:eastAsia="Times New Roman" w:cs="Times New Roman"/>
                <w:sz w:val="20"/>
                <w:szCs w:val="20"/>
              </w:rPr>
              <w:t>8.0</w:t>
            </w:r>
          </w:p>
        </w:tc>
        <w:tc>
          <w:tcPr>
            <w:tcW w:w="1827" w:type="dxa"/>
            <w:vAlign w:val="top"/>
          </w:tcPr>
          <w:p w14:paraId="5A6BAAA2">
            <w:pPr>
              <w:spacing w:before="144"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1568" w:type="dxa"/>
            <w:vAlign w:val="top"/>
          </w:tcPr>
          <w:p w14:paraId="0AEB9929">
            <w:pPr>
              <w:spacing w:before="144"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13.0</w:t>
            </w:r>
          </w:p>
        </w:tc>
        <w:tc>
          <w:tcPr>
            <w:tcW w:w="2087" w:type="dxa"/>
            <w:vAlign w:val="top"/>
          </w:tcPr>
          <w:p w14:paraId="0FECEA59">
            <w:pPr>
              <w:spacing w:before="144" w:line="195" w:lineRule="auto"/>
              <w:ind w:left="9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0.9</w:t>
            </w:r>
          </w:p>
        </w:tc>
        <w:tc>
          <w:tcPr>
            <w:tcW w:w="787" w:type="dxa"/>
            <w:vAlign w:val="top"/>
          </w:tcPr>
          <w:p w14:paraId="2B308E74">
            <w:pPr>
              <w:spacing w:before="144"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0.14</w:t>
            </w:r>
          </w:p>
        </w:tc>
        <w:tc>
          <w:tcPr>
            <w:tcW w:w="849" w:type="dxa"/>
            <w:vAlign w:val="top"/>
          </w:tcPr>
          <w:p w14:paraId="21AB6385">
            <w:pPr>
              <w:spacing w:before="144"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0.010</w:t>
            </w:r>
          </w:p>
        </w:tc>
        <w:tc>
          <w:tcPr>
            <w:tcW w:w="1108" w:type="dxa"/>
            <w:vAlign w:val="top"/>
          </w:tcPr>
          <w:p w14:paraId="2DD56D77">
            <w:pPr>
              <w:spacing w:before="144"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977" w:type="dxa"/>
            <w:vAlign w:val="top"/>
          </w:tcPr>
          <w:p w14:paraId="3025AEB1">
            <w:pPr>
              <w:spacing w:before="144"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w:t>
            </w:r>
          </w:p>
        </w:tc>
        <w:tc>
          <w:tcPr>
            <w:tcW w:w="1045" w:type="dxa"/>
            <w:vAlign w:val="top"/>
          </w:tcPr>
          <w:p w14:paraId="44218ED4">
            <w:pPr>
              <w:spacing w:before="144"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0.136</w:t>
            </w:r>
          </w:p>
        </w:tc>
        <w:tc>
          <w:tcPr>
            <w:tcW w:w="992" w:type="dxa"/>
            <w:tcBorders>
              <w:right w:val="single" w:color="000000" w:sz="10" w:space="0"/>
            </w:tcBorders>
            <w:vAlign w:val="top"/>
          </w:tcPr>
          <w:p w14:paraId="418DF558">
            <w:pPr>
              <w:spacing w:before="144"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15844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20" w:type="dxa"/>
            <w:tcBorders>
              <w:left w:val="single" w:color="000000" w:sz="10" w:space="0"/>
            </w:tcBorders>
            <w:vAlign w:val="top"/>
          </w:tcPr>
          <w:p w14:paraId="3C7158C9">
            <w:pPr>
              <w:spacing w:before="146"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2022-10</w:t>
            </w:r>
          </w:p>
        </w:tc>
        <w:tc>
          <w:tcPr>
            <w:tcW w:w="611" w:type="dxa"/>
            <w:vAlign w:val="top"/>
          </w:tcPr>
          <w:p w14:paraId="7F53D78B">
            <w:pPr>
              <w:spacing w:before="146" w:line="195"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45" w:type="dxa"/>
            <w:vAlign w:val="top"/>
          </w:tcPr>
          <w:p w14:paraId="6C5FEA24">
            <w:pPr>
              <w:spacing w:before="146" w:line="195"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6.2</w:t>
            </w:r>
          </w:p>
        </w:tc>
        <w:tc>
          <w:tcPr>
            <w:tcW w:w="1827" w:type="dxa"/>
            <w:vAlign w:val="top"/>
          </w:tcPr>
          <w:p w14:paraId="3C4290DF">
            <w:pPr>
              <w:spacing w:before="146" w:line="195" w:lineRule="auto"/>
              <w:ind w:left="7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1.9</w:t>
            </w:r>
          </w:p>
        </w:tc>
        <w:tc>
          <w:tcPr>
            <w:tcW w:w="1568" w:type="dxa"/>
            <w:vAlign w:val="top"/>
          </w:tcPr>
          <w:p w14:paraId="2FEE6440">
            <w:pPr>
              <w:spacing w:before="146"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11.0</w:t>
            </w:r>
          </w:p>
        </w:tc>
        <w:tc>
          <w:tcPr>
            <w:tcW w:w="2087" w:type="dxa"/>
            <w:vAlign w:val="top"/>
          </w:tcPr>
          <w:p w14:paraId="1E03861A">
            <w:pPr>
              <w:spacing w:before="146" w:line="195" w:lineRule="auto"/>
              <w:ind w:left="93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787" w:type="dxa"/>
            <w:vAlign w:val="top"/>
          </w:tcPr>
          <w:p w14:paraId="5B5E1A6B">
            <w:pPr>
              <w:spacing w:before="146"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0.16</w:t>
            </w:r>
          </w:p>
        </w:tc>
        <w:tc>
          <w:tcPr>
            <w:tcW w:w="849" w:type="dxa"/>
            <w:vAlign w:val="top"/>
          </w:tcPr>
          <w:p w14:paraId="167D26C2">
            <w:pPr>
              <w:spacing w:before="146"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0.030</w:t>
            </w:r>
          </w:p>
        </w:tc>
        <w:tc>
          <w:tcPr>
            <w:tcW w:w="1108" w:type="dxa"/>
            <w:vAlign w:val="top"/>
          </w:tcPr>
          <w:p w14:paraId="6C45A744">
            <w:pPr>
              <w:spacing w:before="146"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977" w:type="dxa"/>
            <w:vAlign w:val="top"/>
          </w:tcPr>
          <w:p w14:paraId="6264D786">
            <w:pPr>
              <w:spacing w:before="146"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w:t>
            </w:r>
          </w:p>
        </w:tc>
        <w:tc>
          <w:tcPr>
            <w:tcW w:w="1045" w:type="dxa"/>
            <w:vAlign w:val="top"/>
          </w:tcPr>
          <w:p w14:paraId="3B005EB6">
            <w:pPr>
              <w:spacing w:before="146"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0.136</w:t>
            </w:r>
          </w:p>
        </w:tc>
        <w:tc>
          <w:tcPr>
            <w:tcW w:w="992" w:type="dxa"/>
            <w:tcBorders>
              <w:right w:val="single" w:color="000000" w:sz="10" w:space="0"/>
            </w:tcBorders>
            <w:vAlign w:val="top"/>
          </w:tcPr>
          <w:p w14:paraId="28BD37C2">
            <w:pPr>
              <w:spacing w:before="146"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4D5D8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20" w:type="dxa"/>
            <w:tcBorders>
              <w:left w:val="single" w:color="000000" w:sz="10" w:space="0"/>
            </w:tcBorders>
            <w:vAlign w:val="top"/>
          </w:tcPr>
          <w:p w14:paraId="413D3640">
            <w:pPr>
              <w:spacing w:before="147"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2022-11</w:t>
            </w:r>
          </w:p>
        </w:tc>
        <w:tc>
          <w:tcPr>
            <w:tcW w:w="611" w:type="dxa"/>
            <w:vAlign w:val="top"/>
          </w:tcPr>
          <w:p w14:paraId="70F02CAC">
            <w:pPr>
              <w:spacing w:before="147" w:line="195"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45" w:type="dxa"/>
            <w:vAlign w:val="top"/>
          </w:tcPr>
          <w:p w14:paraId="33D528FE">
            <w:pPr>
              <w:spacing w:before="147" w:line="195" w:lineRule="auto"/>
              <w:ind w:left="393"/>
              <w:rPr>
                <w:rFonts w:ascii="Times New Roman" w:hAnsi="Times New Roman" w:eastAsia="Times New Roman" w:cs="Times New Roman"/>
                <w:sz w:val="20"/>
                <w:szCs w:val="20"/>
              </w:rPr>
            </w:pPr>
            <w:r>
              <w:rPr>
                <w:rFonts w:ascii="Times New Roman" w:hAnsi="Times New Roman" w:eastAsia="Times New Roman" w:cs="Times New Roman"/>
                <w:sz w:val="20"/>
                <w:szCs w:val="20"/>
              </w:rPr>
              <w:t>8.7</w:t>
            </w:r>
          </w:p>
        </w:tc>
        <w:tc>
          <w:tcPr>
            <w:tcW w:w="1827" w:type="dxa"/>
            <w:vAlign w:val="top"/>
          </w:tcPr>
          <w:p w14:paraId="63489CFD">
            <w:pPr>
              <w:spacing w:before="147" w:line="195" w:lineRule="auto"/>
              <w:ind w:left="7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1568" w:type="dxa"/>
            <w:vAlign w:val="top"/>
          </w:tcPr>
          <w:p w14:paraId="7303149E">
            <w:pPr>
              <w:spacing w:before="147"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2087" w:type="dxa"/>
            <w:vAlign w:val="top"/>
          </w:tcPr>
          <w:p w14:paraId="31C527F7">
            <w:pPr>
              <w:spacing w:before="147" w:line="195" w:lineRule="auto"/>
              <w:ind w:left="9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787" w:type="dxa"/>
            <w:vAlign w:val="top"/>
          </w:tcPr>
          <w:p w14:paraId="5CD265D1">
            <w:pPr>
              <w:spacing w:before="147"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0.14</w:t>
            </w:r>
          </w:p>
        </w:tc>
        <w:tc>
          <w:tcPr>
            <w:tcW w:w="849" w:type="dxa"/>
            <w:vAlign w:val="top"/>
          </w:tcPr>
          <w:p w14:paraId="53A94F1F">
            <w:pPr>
              <w:spacing w:before="147"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0.030</w:t>
            </w:r>
          </w:p>
        </w:tc>
        <w:tc>
          <w:tcPr>
            <w:tcW w:w="1108" w:type="dxa"/>
            <w:vAlign w:val="top"/>
          </w:tcPr>
          <w:p w14:paraId="35E895A1">
            <w:pPr>
              <w:spacing w:before="147"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977" w:type="dxa"/>
            <w:vAlign w:val="top"/>
          </w:tcPr>
          <w:p w14:paraId="0BAF3B1D">
            <w:pPr>
              <w:spacing w:before="147"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w:t>
            </w:r>
          </w:p>
        </w:tc>
        <w:tc>
          <w:tcPr>
            <w:tcW w:w="1045" w:type="dxa"/>
            <w:vAlign w:val="top"/>
          </w:tcPr>
          <w:p w14:paraId="1C7B1F55">
            <w:pPr>
              <w:spacing w:before="147"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0.136</w:t>
            </w:r>
          </w:p>
        </w:tc>
        <w:tc>
          <w:tcPr>
            <w:tcW w:w="992" w:type="dxa"/>
            <w:tcBorders>
              <w:right w:val="single" w:color="000000" w:sz="10" w:space="0"/>
            </w:tcBorders>
            <w:vAlign w:val="top"/>
          </w:tcPr>
          <w:p w14:paraId="1FCBE68D">
            <w:pPr>
              <w:spacing w:before="147"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27B0B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20" w:type="dxa"/>
            <w:tcBorders>
              <w:left w:val="single" w:color="000000" w:sz="10" w:space="0"/>
            </w:tcBorders>
            <w:vAlign w:val="top"/>
          </w:tcPr>
          <w:p w14:paraId="18CB1AE7">
            <w:pPr>
              <w:spacing w:before="149"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2022-12</w:t>
            </w:r>
          </w:p>
        </w:tc>
        <w:tc>
          <w:tcPr>
            <w:tcW w:w="611" w:type="dxa"/>
            <w:vAlign w:val="top"/>
          </w:tcPr>
          <w:p w14:paraId="4D8A0E8F">
            <w:pPr>
              <w:spacing w:before="149" w:line="195"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45" w:type="dxa"/>
            <w:vAlign w:val="top"/>
          </w:tcPr>
          <w:p w14:paraId="3DCCFCE8">
            <w:pPr>
              <w:spacing w:before="149" w:line="195"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w:t>
            </w:r>
          </w:p>
        </w:tc>
        <w:tc>
          <w:tcPr>
            <w:tcW w:w="1827" w:type="dxa"/>
            <w:vAlign w:val="top"/>
          </w:tcPr>
          <w:p w14:paraId="766EE16C">
            <w:pPr>
              <w:spacing w:before="149" w:line="195" w:lineRule="auto"/>
              <w:ind w:left="7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1568" w:type="dxa"/>
            <w:vAlign w:val="top"/>
          </w:tcPr>
          <w:p w14:paraId="1145E13C">
            <w:pPr>
              <w:spacing w:before="149" w:line="195" w:lineRule="auto"/>
              <w:ind w:left="660"/>
              <w:rPr>
                <w:rFonts w:ascii="Times New Roman" w:hAnsi="Times New Roman" w:eastAsia="Times New Roman" w:cs="Times New Roman"/>
                <w:sz w:val="20"/>
                <w:szCs w:val="20"/>
              </w:rPr>
            </w:pPr>
            <w:r>
              <w:rPr>
                <w:rFonts w:ascii="Times New Roman" w:hAnsi="Times New Roman" w:eastAsia="Times New Roman" w:cs="Times New Roman"/>
                <w:sz w:val="20"/>
                <w:szCs w:val="20"/>
              </w:rPr>
              <w:t>8.0</w:t>
            </w:r>
          </w:p>
        </w:tc>
        <w:tc>
          <w:tcPr>
            <w:tcW w:w="2087" w:type="dxa"/>
            <w:vAlign w:val="top"/>
          </w:tcPr>
          <w:p w14:paraId="20944AF0">
            <w:pPr>
              <w:spacing w:before="149" w:line="195" w:lineRule="auto"/>
              <w:ind w:left="9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0.9</w:t>
            </w:r>
          </w:p>
        </w:tc>
        <w:tc>
          <w:tcPr>
            <w:tcW w:w="787" w:type="dxa"/>
            <w:vAlign w:val="top"/>
          </w:tcPr>
          <w:p w14:paraId="5FC49EBF">
            <w:pPr>
              <w:spacing w:before="149"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0.12</w:t>
            </w:r>
          </w:p>
        </w:tc>
        <w:tc>
          <w:tcPr>
            <w:tcW w:w="849" w:type="dxa"/>
            <w:vAlign w:val="top"/>
          </w:tcPr>
          <w:p w14:paraId="0162A30B">
            <w:pPr>
              <w:spacing w:before="149"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108" w:type="dxa"/>
            <w:vAlign w:val="top"/>
          </w:tcPr>
          <w:p w14:paraId="6B5C4A20">
            <w:pPr>
              <w:spacing w:before="149"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977" w:type="dxa"/>
            <w:vAlign w:val="top"/>
          </w:tcPr>
          <w:p w14:paraId="331576D1">
            <w:pPr>
              <w:spacing w:before="149"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w:t>
            </w:r>
          </w:p>
        </w:tc>
        <w:tc>
          <w:tcPr>
            <w:tcW w:w="1045" w:type="dxa"/>
            <w:vAlign w:val="top"/>
          </w:tcPr>
          <w:p w14:paraId="13E2F41F">
            <w:pPr>
              <w:spacing w:before="149"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0.120</w:t>
            </w:r>
          </w:p>
        </w:tc>
        <w:tc>
          <w:tcPr>
            <w:tcW w:w="992" w:type="dxa"/>
            <w:tcBorders>
              <w:right w:val="single" w:color="000000" w:sz="10" w:space="0"/>
            </w:tcBorders>
            <w:vAlign w:val="top"/>
          </w:tcPr>
          <w:p w14:paraId="348D4262">
            <w:pPr>
              <w:spacing w:before="149"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164F4E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20" w:type="dxa"/>
            <w:tcBorders>
              <w:left w:val="single" w:color="000000" w:sz="10" w:space="0"/>
            </w:tcBorders>
            <w:vAlign w:val="top"/>
          </w:tcPr>
          <w:p w14:paraId="61A9C1E3">
            <w:pPr>
              <w:spacing w:before="150"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2023-01</w:t>
            </w:r>
          </w:p>
        </w:tc>
        <w:tc>
          <w:tcPr>
            <w:tcW w:w="611" w:type="dxa"/>
            <w:vAlign w:val="top"/>
          </w:tcPr>
          <w:p w14:paraId="297E7C4D">
            <w:pPr>
              <w:spacing w:before="150" w:line="195"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45" w:type="dxa"/>
            <w:vAlign w:val="top"/>
          </w:tcPr>
          <w:p w14:paraId="08007F79">
            <w:pPr>
              <w:spacing w:before="150" w:line="195"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9.8</w:t>
            </w:r>
          </w:p>
        </w:tc>
        <w:tc>
          <w:tcPr>
            <w:tcW w:w="1827" w:type="dxa"/>
            <w:vAlign w:val="top"/>
          </w:tcPr>
          <w:p w14:paraId="2DD06877">
            <w:pPr>
              <w:spacing w:before="150" w:line="195" w:lineRule="auto"/>
              <w:ind w:left="7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1568" w:type="dxa"/>
            <w:vAlign w:val="top"/>
          </w:tcPr>
          <w:p w14:paraId="4BF1C196">
            <w:pPr>
              <w:spacing w:before="150" w:line="195" w:lineRule="auto"/>
              <w:ind w:left="65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2087" w:type="dxa"/>
            <w:vAlign w:val="top"/>
          </w:tcPr>
          <w:p w14:paraId="10FE4C6A">
            <w:pPr>
              <w:spacing w:before="150" w:line="195" w:lineRule="auto"/>
              <w:ind w:left="9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787" w:type="dxa"/>
            <w:vAlign w:val="top"/>
          </w:tcPr>
          <w:p w14:paraId="32B18539">
            <w:pPr>
              <w:spacing w:before="150"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0.18</w:t>
            </w:r>
          </w:p>
        </w:tc>
        <w:tc>
          <w:tcPr>
            <w:tcW w:w="849" w:type="dxa"/>
            <w:vAlign w:val="top"/>
          </w:tcPr>
          <w:p w14:paraId="2D72EA49">
            <w:pPr>
              <w:spacing w:before="150"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0.090</w:t>
            </w:r>
          </w:p>
        </w:tc>
        <w:tc>
          <w:tcPr>
            <w:tcW w:w="1108" w:type="dxa"/>
            <w:vAlign w:val="top"/>
          </w:tcPr>
          <w:p w14:paraId="3875BE41">
            <w:pPr>
              <w:spacing w:before="150"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977" w:type="dxa"/>
            <w:vAlign w:val="top"/>
          </w:tcPr>
          <w:p w14:paraId="21EA6B7B">
            <w:pPr>
              <w:spacing w:before="150"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w:t>
            </w:r>
          </w:p>
        </w:tc>
        <w:tc>
          <w:tcPr>
            <w:tcW w:w="1045" w:type="dxa"/>
            <w:vAlign w:val="top"/>
          </w:tcPr>
          <w:p w14:paraId="58289C6B">
            <w:pPr>
              <w:spacing w:before="150"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0.120</w:t>
            </w:r>
          </w:p>
        </w:tc>
        <w:tc>
          <w:tcPr>
            <w:tcW w:w="992" w:type="dxa"/>
            <w:tcBorders>
              <w:right w:val="single" w:color="000000" w:sz="10" w:space="0"/>
            </w:tcBorders>
            <w:vAlign w:val="top"/>
          </w:tcPr>
          <w:p w14:paraId="6D9F15EF">
            <w:pPr>
              <w:spacing w:before="150"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4FEFD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1320" w:type="dxa"/>
            <w:tcBorders>
              <w:left w:val="single" w:color="000000" w:sz="10" w:space="0"/>
              <w:bottom w:val="single" w:color="000000" w:sz="10" w:space="0"/>
            </w:tcBorders>
            <w:vAlign w:val="top"/>
          </w:tcPr>
          <w:p w14:paraId="74C13F7B">
            <w:pPr>
              <w:spacing w:before="152"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2023-02</w:t>
            </w:r>
          </w:p>
        </w:tc>
        <w:tc>
          <w:tcPr>
            <w:tcW w:w="611" w:type="dxa"/>
            <w:tcBorders>
              <w:bottom w:val="single" w:color="000000" w:sz="10" w:space="0"/>
            </w:tcBorders>
            <w:vAlign w:val="top"/>
          </w:tcPr>
          <w:p w14:paraId="2609BDF3">
            <w:pPr>
              <w:spacing w:before="152" w:line="195"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45" w:type="dxa"/>
            <w:tcBorders>
              <w:bottom w:val="single" w:color="000000" w:sz="10" w:space="0"/>
            </w:tcBorders>
            <w:vAlign w:val="top"/>
          </w:tcPr>
          <w:p w14:paraId="796990F4">
            <w:pPr>
              <w:spacing w:before="152" w:line="195"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11.2</w:t>
            </w:r>
          </w:p>
        </w:tc>
        <w:tc>
          <w:tcPr>
            <w:tcW w:w="1827" w:type="dxa"/>
            <w:tcBorders>
              <w:bottom w:val="single" w:color="000000" w:sz="10" w:space="0"/>
            </w:tcBorders>
            <w:vAlign w:val="top"/>
          </w:tcPr>
          <w:p w14:paraId="2C664F0D">
            <w:pPr>
              <w:spacing w:before="152"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2.1</w:t>
            </w:r>
          </w:p>
        </w:tc>
        <w:tc>
          <w:tcPr>
            <w:tcW w:w="1568" w:type="dxa"/>
            <w:tcBorders>
              <w:bottom w:val="single" w:color="000000" w:sz="10" w:space="0"/>
            </w:tcBorders>
            <w:vAlign w:val="top"/>
          </w:tcPr>
          <w:p w14:paraId="5EAE976F">
            <w:pPr>
              <w:spacing w:before="152" w:line="195" w:lineRule="auto"/>
              <w:ind w:left="660"/>
              <w:rPr>
                <w:rFonts w:ascii="Times New Roman" w:hAnsi="Times New Roman" w:eastAsia="Times New Roman" w:cs="Times New Roman"/>
                <w:sz w:val="20"/>
                <w:szCs w:val="20"/>
              </w:rPr>
            </w:pPr>
            <w:r>
              <w:rPr>
                <w:rFonts w:ascii="Times New Roman" w:hAnsi="Times New Roman" w:eastAsia="Times New Roman" w:cs="Times New Roman"/>
                <w:sz w:val="20"/>
                <w:szCs w:val="20"/>
              </w:rPr>
              <w:t>8.0</w:t>
            </w:r>
          </w:p>
        </w:tc>
        <w:tc>
          <w:tcPr>
            <w:tcW w:w="2087" w:type="dxa"/>
            <w:tcBorders>
              <w:bottom w:val="single" w:color="000000" w:sz="10" w:space="0"/>
            </w:tcBorders>
            <w:vAlign w:val="top"/>
          </w:tcPr>
          <w:p w14:paraId="7EDE267E">
            <w:pPr>
              <w:spacing w:before="152" w:line="195" w:lineRule="auto"/>
              <w:ind w:left="9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787" w:type="dxa"/>
            <w:tcBorders>
              <w:bottom w:val="single" w:color="000000" w:sz="10" w:space="0"/>
            </w:tcBorders>
            <w:vAlign w:val="top"/>
          </w:tcPr>
          <w:p w14:paraId="1C432687">
            <w:pPr>
              <w:spacing w:before="152"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c>
          <w:tcPr>
            <w:tcW w:w="849" w:type="dxa"/>
            <w:tcBorders>
              <w:bottom w:val="single" w:color="000000" w:sz="10" w:space="0"/>
            </w:tcBorders>
            <w:vAlign w:val="top"/>
          </w:tcPr>
          <w:p w14:paraId="17A85B38">
            <w:pPr>
              <w:spacing w:before="152"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108" w:type="dxa"/>
            <w:tcBorders>
              <w:bottom w:val="single" w:color="000000" w:sz="10" w:space="0"/>
            </w:tcBorders>
            <w:vAlign w:val="top"/>
          </w:tcPr>
          <w:p w14:paraId="7F1E003A">
            <w:pPr>
              <w:spacing w:before="152"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977" w:type="dxa"/>
            <w:tcBorders>
              <w:bottom w:val="single" w:color="000000" w:sz="10" w:space="0"/>
            </w:tcBorders>
            <w:vAlign w:val="top"/>
          </w:tcPr>
          <w:p w14:paraId="426B88E8">
            <w:pPr>
              <w:spacing w:before="152"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w:t>
            </w:r>
          </w:p>
        </w:tc>
        <w:tc>
          <w:tcPr>
            <w:tcW w:w="1045" w:type="dxa"/>
            <w:tcBorders>
              <w:bottom w:val="single" w:color="000000" w:sz="10" w:space="0"/>
            </w:tcBorders>
            <w:vAlign w:val="top"/>
          </w:tcPr>
          <w:p w14:paraId="1FB824B1">
            <w:pPr>
              <w:spacing w:before="152"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0.136</w:t>
            </w:r>
          </w:p>
        </w:tc>
        <w:tc>
          <w:tcPr>
            <w:tcW w:w="992" w:type="dxa"/>
            <w:tcBorders>
              <w:bottom w:val="single" w:color="000000" w:sz="10" w:space="0"/>
              <w:right w:val="single" w:color="000000" w:sz="10" w:space="0"/>
            </w:tcBorders>
            <w:vAlign w:val="top"/>
          </w:tcPr>
          <w:p w14:paraId="0CB080CC">
            <w:pPr>
              <w:spacing w:before="152"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bl>
    <w:p w14:paraId="32D8CDFC">
      <w:pPr>
        <w:pStyle w:val="2"/>
      </w:pPr>
    </w:p>
    <w:p w14:paraId="22B816B5">
      <w:pPr>
        <w:sectPr>
          <w:footerReference r:id="rId74" w:type="default"/>
          <w:pgSz w:w="16840" w:h="11907"/>
          <w:pgMar w:top="1132" w:right="1303" w:bottom="1258" w:left="1294" w:header="829" w:footer="1096" w:gutter="0"/>
          <w:cols w:space="720" w:num="1"/>
        </w:sectPr>
      </w:pPr>
    </w:p>
    <w:p w14:paraId="47F19D61">
      <w:pPr>
        <w:spacing w:before="43"/>
      </w:pPr>
    </w:p>
    <w:p w14:paraId="5F97FAA3">
      <w:pPr>
        <w:spacing w:before="42"/>
      </w:pPr>
    </w:p>
    <w:tbl>
      <w:tblPr>
        <w:tblStyle w:val="5"/>
        <w:tblW w:w="1421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20"/>
        <w:gridCol w:w="611"/>
        <w:gridCol w:w="1045"/>
        <w:gridCol w:w="1827"/>
        <w:gridCol w:w="1568"/>
        <w:gridCol w:w="2087"/>
        <w:gridCol w:w="787"/>
        <w:gridCol w:w="849"/>
        <w:gridCol w:w="1108"/>
        <w:gridCol w:w="977"/>
        <w:gridCol w:w="1045"/>
        <w:gridCol w:w="992"/>
      </w:tblGrid>
      <w:tr w14:paraId="2EBBF8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320" w:type="dxa"/>
            <w:tcBorders>
              <w:top w:val="single" w:color="000000" w:sz="10" w:space="0"/>
              <w:left w:val="single" w:color="000000" w:sz="10" w:space="0"/>
            </w:tcBorders>
            <w:vAlign w:val="top"/>
          </w:tcPr>
          <w:p w14:paraId="5EA79B1D">
            <w:pPr>
              <w:pStyle w:val="6"/>
              <w:spacing w:before="99" w:line="227" w:lineRule="auto"/>
              <w:ind w:left="228"/>
            </w:pPr>
            <w:r>
              <w:rPr>
                <w:b/>
                <w:bCs/>
                <w:spacing w:val="6"/>
              </w:rPr>
              <w:t>采样时间</w:t>
            </w:r>
          </w:p>
        </w:tc>
        <w:tc>
          <w:tcPr>
            <w:tcW w:w="611" w:type="dxa"/>
            <w:tcBorders>
              <w:top w:val="single" w:color="000000" w:sz="10" w:space="0"/>
            </w:tcBorders>
            <w:vAlign w:val="top"/>
          </w:tcPr>
          <w:p w14:paraId="47AA40D6">
            <w:pPr>
              <w:spacing w:before="138" w:line="194" w:lineRule="auto"/>
              <w:ind w:left="158"/>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pH</w:t>
            </w:r>
          </w:p>
        </w:tc>
        <w:tc>
          <w:tcPr>
            <w:tcW w:w="1045" w:type="dxa"/>
            <w:tcBorders>
              <w:top w:val="single" w:color="000000" w:sz="10" w:space="0"/>
            </w:tcBorders>
            <w:vAlign w:val="top"/>
          </w:tcPr>
          <w:p w14:paraId="4309C053">
            <w:pPr>
              <w:pStyle w:val="6"/>
              <w:spacing w:before="99" w:line="227" w:lineRule="auto"/>
              <w:ind w:left="206"/>
            </w:pPr>
            <w:r>
              <w:rPr>
                <w:b/>
                <w:bCs/>
                <w:spacing w:val="4"/>
              </w:rPr>
              <w:t>溶解氧</w:t>
            </w:r>
          </w:p>
        </w:tc>
        <w:tc>
          <w:tcPr>
            <w:tcW w:w="1827" w:type="dxa"/>
            <w:tcBorders>
              <w:top w:val="single" w:color="000000" w:sz="10" w:space="0"/>
            </w:tcBorders>
            <w:vAlign w:val="top"/>
          </w:tcPr>
          <w:p w14:paraId="2408619D">
            <w:pPr>
              <w:pStyle w:val="6"/>
              <w:spacing w:before="99" w:line="228" w:lineRule="auto"/>
              <w:ind w:left="285"/>
            </w:pPr>
            <w:r>
              <w:rPr>
                <w:b/>
                <w:bCs/>
                <w:spacing w:val="6"/>
              </w:rPr>
              <w:t>高锰酸盐指数</w:t>
            </w:r>
          </w:p>
        </w:tc>
        <w:tc>
          <w:tcPr>
            <w:tcW w:w="1568" w:type="dxa"/>
            <w:tcBorders>
              <w:top w:val="single" w:color="000000" w:sz="10" w:space="0"/>
            </w:tcBorders>
            <w:vAlign w:val="top"/>
          </w:tcPr>
          <w:p w14:paraId="27A34A28">
            <w:pPr>
              <w:pStyle w:val="6"/>
              <w:spacing w:before="99" w:line="227" w:lineRule="auto"/>
              <w:ind w:left="261"/>
            </w:pPr>
            <w:r>
              <w:rPr>
                <w:b/>
                <w:bCs/>
                <w:spacing w:val="6"/>
              </w:rPr>
              <w:t>化学需氧量</w:t>
            </w:r>
          </w:p>
        </w:tc>
        <w:tc>
          <w:tcPr>
            <w:tcW w:w="2087" w:type="dxa"/>
            <w:tcBorders>
              <w:top w:val="single" w:color="000000" w:sz="10" w:space="0"/>
            </w:tcBorders>
            <w:vAlign w:val="top"/>
          </w:tcPr>
          <w:p w14:paraId="3D894DA2">
            <w:pPr>
              <w:pStyle w:val="6"/>
              <w:spacing w:before="99" w:line="227" w:lineRule="auto"/>
              <w:ind w:left="315"/>
            </w:pPr>
            <w:r>
              <w:rPr>
                <w:b/>
                <w:bCs/>
                <w:spacing w:val="6"/>
              </w:rPr>
              <w:t>五日生化需氧量</w:t>
            </w:r>
          </w:p>
        </w:tc>
        <w:tc>
          <w:tcPr>
            <w:tcW w:w="787" w:type="dxa"/>
            <w:tcBorders>
              <w:top w:val="single" w:color="000000" w:sz="10" w:space="0"/>
            </w:tcBorders>
            <w:vAlign w:val="top"/>
          </w:tcPr>
          <w:p w14:paraId="30E6FCB8">
            <w:pPr>
              <w:pStyle w:val="6"/>
              <w:spacing w:before="99" w:line="227" w:lineRule="auto"/>
              <w:ind w:left="190"/>
            </w:pPr>
            <w:r>
              <w:rPr>
                <w:b/>
                <w:bCs/>
                <w:spacing w:val="3"/>
              </w:rPr>
              <w:t>氨氮</w:t>
            </w:r>
          </w:p>
        </w:tc>
        <w:tc>
          <w:tcPr>
            <w:tcW w:w="849" w:type="dxa"/>
            <w:tcBorders>
              <w:top w:val="single" w:color="000000" w:sz="10" w:space="0"/>
            </w:tcBorders>
            <w:vAlign w:val="top"/>
          </w:tcPr>
          <w:p w14:paraId="177DA909">
            <w:pPr>
              <w:pStyle w:val="6"/>
              <w:spacing w:before="99" w:line="228" w:lineRule="auto"/>
              <w:ind w:left="227"/>
            </w:pPr>
            <w:r>
              <w:rPr>
                <w:b/>
                <w:bCs/>
                <w:spacing w:val="1"/>
              </w:rPr>
              <w:t>总磷</w:t>
            </w:r>
          </w:p>
        </w:tc>
        <w:tc>
          <w:tcPr>
            <w:tcW w:w="1108" w:type="dxa"/>
            <w:tcBorders>
              <w:top w:val="single" w:color="000000" w:sz="10" w:space="0"/>
            </w:tcBorders>
            <w:vAlign w:val="top"/>
          </w:tcPr>
          <w:p w14:paraId="50EAF11E">
            <w:pPr>
              <w:pStyle w:val="6"/>
              <w:spacing w:before="99" w:line="229" w:lineRule="auto"/>
              <w:ind w:left="460"/>
            </w:pPr>
            <w:r>
              <w:rPr>
                <w:b/>
                <w:bCs/>
                <w:spacing w:val="-2"/>
              </w:rPr>
              <w:t>铜</w:t>
            </w:r>
          </w:p>
        </w:tc>
        <w:tc>
          <w:tcPr>
            <w:tcW w:w="977" w:type="dxa"/>
            <w:tcBorders>
              <w:top w:val="single" w:color="000000" w:sz="10" w:space="0"/>
            </w:tcBorders>
            <w:vAlign w:val="top"/>
          </w:tcPr>
          <w:p w14:paraId="226E1E29">
            <w:pPr>
              <w:pStyle w:val="6"/>
              <w:spacing w:before="99" w:line="228" w:lineRule="auto"/>
              <w:ind w:left="395"/>
            </w:pPr>
            <w:r>
              <w:rPr>
                <w:b/>
                <w:bCs/>
                <w:spacing w:val="-1"/>
              </w:rPr>
              <w:t>锌</w:t>
            </w:r>
          </w:p>
        </w:tc>
        <w:tc>
          <w:tcPr>
            <w:tcW w:w="1045" w:type="dxa"/>
            <w:tcBorders>
              <w:top w:val="single" w:color="000000" w:sz="10" w:space="0"/>
            </w:tcBorders>
            <w:vAlign w:val="top"/>
          </w:tcPr>
          <w:p w14:paraId="710BA966">
            <w:pPr>
              <w:pStyle w:val="6"/>
              <w:spacing w:before="99" w:line="228" w:lineRule="auto"/>
              <w:ind w:left="224"/>
            </w:pPr>
            <w:r>
              <w:rPr>
                <w:b/>
                <w:bCs/>
                <w:spacing w:val="5"/>
              </w:rPr>
              <w:t>氟化物</w:t>
            </w:r>
          </w:p>
        </w:tc>
        <w:tc>
          <w:tcPr>
            <w:tcW w:w="992" w:type="dxa"/>
            <w:tcBorders>
              <w:top w:val="single" w:color="000000" w:sz="10" w:space="0"/>
              <w:right w:val="single" w:color="000000" w:sz="10" w:space="0"/>
            </w:tcBorders>
            <w:vAlign w:val="top"/>
          </w:tcPr>
          <w:p w14:paraId="7C5B258E">
            <w:pPr>
              <w:pStyle w:val="6"/>
              <w:spacing w:before="98" w:line="231" w:lineRule="auto"/>
              <w:ind w:left="400"/>
            </w:pPr>
            <w:r>
              <w:rPr>
                <w:b/>
                <w:bCs/>
              </w:rPr>
              <w:t>硒</w:t>
            </w:r>
          </w:p>
        </w:tc>
      </w:tr>
      <w:tr w14:paraId="2B687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20" w:type="dxa"/>
            <w:tcBorders>
              <w:left w:val="single" w:color="000000" w:sz="10" w:space="0"/>
            </w:tcBorders>
            <w:vAlign w:val="top"/>
          </w:tcPr>
          <w:p w14:paraId="0E2728E8">
            <w:pPr>
              <w:spacing w:before="130"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2023-03</w:t>
            </w:r>
          </w:p>
        </w:tc>
        <w:tc>
          <w:tcPr>
            <w:tcW w:w="611" w:type="dxa"/>
            <w:vAlign w:val="top"/>
          </w:tcPr>
          <w:p w14:paraId="7FC3552B">
            <w:pPr>
              <w:spacing w:before="130" w:line="195"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45" w:type="dxa"/>
            <w:vAlign w:val="top"/>
          </w:tcPr>
          <w:p w14:paraId="58DA4BB3">
            <w:pPr>
              <w:spacing w:before="130" w:line="195"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10.1</w:t>
            </w:r>
          </w:p>
        </w:tc>
        <w:tc>
          <w:tcPr>
            <w:tcW w:w="1827" w:type="dxa"/>
            <w:vAlign w:val="top"/>
          </w:tcPr>
          <w:p w14:paraId="6BFE681E">
            <w:pPr>
              <w:spacing w:before="130" w:line="195" w:lineRule="auto"/>
              <w:ind w:left="78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3.7</w:t>
            </w:r>
          </w:p>
        </w:tc>
        <w:tc>
          <w:tcPr>
            <w:tcW w:w="1568" w:type="dxa"/>
            <w:vAlign w:val="top"/>
          </w:tcPr>
          <w:p w14:paraId="4AE665BB">
            <w:pPr>
              <w:spacing w:before="130"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2087" w:type="dxa"/>
            <w:vAlign w:val="top"/>
          </w:tcPr>
          <w:p w14:paraId="6CCEBA23">
            <w:pPr>
              <w:spacing w:before="130" w:line="195" w:lineRule="auto"/>
              <w:ind w:left="9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787" w:type="dxa"/>
            <w:vAlign w:val="top"/>
          </w:tcPr>
          <w:p w14:paraId="75D2763D">
            <w:pPr>
              <w:spacing w:before="130"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0.22</w:t>
            </w:r>
          </w:p>
        </w:tc>
        <w:tc>
          <w:tcPr>
            <w:tcW w:w="849" w:type="dxa"/>
            <w:vAlign w:val="top"/>
          </w:tcPr>
          <w:p w14:paraId="5DF94E70">
            <w:pPr>
              <w:spacing w:before="130"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0.020</w:t>
            </w:r>
          </w:p>
        </w:tc>
        <w:tc>
          <w:tcPr>
            <w:tcW w:w="1108" w:type="dxa"/>
            <w:vAlign w:val="top"/>
          </w:tcPr>
          <w:p w14:paraId="41C11541">
            <w:pPr>
              <w:spacing w:before="130"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0.017</w:t>
            </w:r>
          </w:p>
        </w:tc>
        <w:tc>
          <w:tcPr>
            <w:tcW w:w="977" w:type="dxa"/>
            <w:vAlign w:val="top"/>
          </w:tcPr>
          <w:p w14:paraId="04EF7D94">
            <w:pPr>
              <w:spacing w:before="130"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w:t>
            </w:r>
          </w:p>
        </w:tc>
        <w:tc>
          <w:tcPr>
            <w:tcW w:w="1045" w:type="dxa"/>
            <w:vAlign w:val="top"/>
          </w:tcPr>
          <w:p w14:paraId="6EEC3448">
            <w:pPr>
              <w:spacing w:before="130"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0.118</w:t>
            </w:r>
          </w:p>
        </w:tc>
        <w:tc>
          <w:tcPr>
            <w:tcW w:w="992" w:type="dxa"/>
            <w:tcBorders>
              <w:right w:val="single" w:color="000000" w:sz="10" w:space="0"/>
            </w:tcBorders>
            <w:vAlign w:val="top"/>
          </w:tcPr>
          <w:p w14:paraId="20B2D971">
            <w:pPr>
              <w:spacing w:before="130"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406C5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20" w:type="dxa"/>
            <w:tcBorders>
              <w:left w:val="single" w:color="000000" w:sz="10" w:space="0"/>
            </w:tcBorders>
            <w:vAlign w:val="top"/>
          </w:tcPr>
          <w:p w14:paraId="658F7AAE">
            <w:pPr>
              <w:spacing w:before="133"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2023-04</w:t>
            </w:r>
          </w:p>
        </w:tc>
        <w:tc>
          <w:tcPr>
            <w:tcW w:w="611" w:type="dxa"/>
            <w:vAlign w:val="top"/>
          </w:tcPr>
          <w:p w14:paraId="2B7CE90D">
            <w:pPr>
              <w:spacing w:before="133" w:line="195"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45" w:type="dxa"/>
            <w:vAlign w:val="top"/>
          </w:tcPr>
          <w:p w14:paraId="00A17662">
            <w:pPr>
              <w:spacing w:before="133" w:line="195"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10.1</w:t>
            </w:r>
          </w:p>
        </w:tc>
        <w:tc>
          <w:tcPr>
            <w:tcW w:w="1827" w:type="dxa"/>
            <w:vAlign w:val="top"/>
          </w:tcPr>
          <w:p w14:paraId="7D57F0F8">
            <w:pPr>
              <w:spacing w:before="133"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1568" w:type="dxa"/>
            <w:vAlign w:val="top"/>
          </w:tcPr>
          <w:p w14:paraId="275D931C">
            <w:pPr>
              <w:spacing w:before="133"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14.0</w:t>
            </w:r>
          </w:p>
        </w:tc>
        <w:tc>
          <w:tcPr>
            <w:tcW w:w="2087" w:type="dxa"/>
            <w:vAlign w:val="top"/>
          </w:tcPr>
          <w:p w14:paraId="195B98EF">
            <w:pPr>
              <w:spacing w:before="133" w:line="195" w:lineRule="auto"/>
              <w:ind w:left="93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787" w:type="dxa"/>
            <w:vAlign w:val="top"/>
          </w:tcPr>
          <w:p w14:paraId="5697FF71">
            <w:pPr>
              <w:spacing w:before="133"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0.49</w:t>
            </w:r>
          </w:p>
        </w:tc>
        <w:tc>
          <w:tcPr>
            <w:tcW w:w="849" w:type="dxa"/>
            <w:vAlign w:val="top"/>
          </w:tcPr>
          <w:p w14:paraId="22FC47BF">
            <w:pPr>
              <w:spacing w:before="133"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0.030</w:t>
            </w:r>
          </w:p>
        </w:tc>
        <w:tc>
          <w:tcPr>
            <w:tcW w:w="1108" w:type="dxa"/>
            <w:vAlign w:val="top"/>
          </w:tcPr>
          <w:p w14:paraId="53B3AE1E">
            <w:pPr>
              <w:spacing w:before="133"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977" w:type="dxa"/>
            <w:vAlign w:val="top"/>
          </w:tcPr>
          <w:p w14:paraId="624AD497">
            <w:pPr>
              <w:spacing w:before="133"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w:t>
            </w:r>
          </w:p>
        </w:tc>
        <w:tc>
          <w:tcPr>
            <w:tcW w:w="1045" w:type="dxa"/>
            <w:vAlign w:val="top"/>
          </w:tcPr>
          <w:p w14:paraId="7EE328C1">
            <w:pPr>
              <w:spacing w:before="133"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0.129</w:t>
            </w:r>
          </w:p>
        </w:tc>
        <w:tc>
          <w:tcPr>
            <w:tcW w:w="992" w:type="dxa"/>
            <w:tcBorders>
              <w:right w:val="single" w:color="000000" w:sz="10" w:space="0"/>
            </w:tcBorders>
            <w:vAlign w:val="top"/>
          </w:tcPr>
          <w:p w14:paraId="3AED3AB7">
            <w:pPr>
              <w:spacing w:before="133"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68DB95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20" w:type="dxa"/>
            <w:tcBorders>
              <w:left w:val="single" w:color="000000" w:sz="10" w:space="0"/>
            </w:tcBorders>
            <w:vAlign w:val="top"/>
          </w:tcPr>
          <w:p w14:paraId="6261BFAC">
            <w:pPr>
              <w:spacing w:before="133"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2023-05</w:t>
            </w:r>
          </w:p>
        </w:tc>
        <w:tc>
          <w:tcPr>
            <w:tcW w:w="611" w:type="dxa"/>
            <w:vAlign w:val="top"/>
          </w:tcPr>
          <w:p w14:paraId="274F8407">
            <w:pPr>
              <w:spacing w:before="133" w:line="195"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45" w:type="dxa"/>
            <w:vAlign w:val="top"/>
          </w:tcPr>
          <w:p w14:paraId="5FCE4623">
            <w:pPr>
              <w:spacing w:before="133" w:line="195"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9.1</w:t>
            </w:r>
          </w:p>
        </w:tc>
        <w:tc>
          <w:tcPr>
            <w:tcW w:w="1827" w:type="dxa"/>
            <w:vAlign w:val="top"/>
          </w:tcPr>
          <w:p w14:paraId="3CADF7C3">
            <w:pPr>
              <w:spacing w:before="133"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568" w:type="dxa"/>
            <w:vAlign w:val="top"/>
          </w:tcPr>
          <w:p w14:paraId="30D0F000">
            <w:pPr>
              <w:spacing w:before="133"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c>
          <w:tcPr>
            <w:tcW w:w="2087" w:type="dxa"/>
            <w:vAlign w:val="top"/>
          </w:tcPr>
          <w:p w14:paraId="7C726B5F">
            <w:pPr>
              <w:spacing w:before="133" w:line="195" w:lineRule="auto"/>
              <w:ind w:left="9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0.9</w:t>
            </w:r>
          </w:p>
        </w:tc>
        <w:tc>
          <w:tcPr>
            <w:tcW w:w="787" w:type="dxa"/>
            <w:vAlign w:val="top"/>
          </w:tcPr>
          <w:p w14:paraId="691FE2A8">
            <w:pPr>
              <w:spacing w:before="133"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0.18</w:t>
            </w:r>
          </w:p>
        </w:tc>
        <w:tc>
          <w:tcPr>
            <w:tcW w:w="849" w:type="dxa"/>
            <w:vAlign w:val="top"/>
          </w:tcPr>
          <w:p w14:paraId="63769E7F">
            <w:pPr>
              <w:spacing w:before="133"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0.040</w:t>
            </w:r>
          </w:p>
        </w:tc>
        <w:tc>
          <w:tcPr>
            <w:tcW w:w="1108" w:type="dxa"/>
            <w:vAlign w:val="top"/>
          </w:tcPr>
          <w:p w14:paraId="5003BD2A">
            <w:pPr>
              <w:spacing w:before="133"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977" w:type="dxa"/>
            <w:vAlign w:val="top"/>
          </w:tcPr>
          <w:p w14:paraId="6AF22934">
            <w:pPr>
              <w:spacing w:before="133"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w:t>
            </w:r>
          </w:p>
        </w:tc>
        <w:tc>
          <w:tcPr>
            <w:tcW w:w="1045" w:type="dxa"/>
            <w:vAlign w:val="top"/>
          </w:tcPr>
          <w:p w14:paraId="46F90651">
            <w:pPr>
              <w:spacing w:before="133"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0.129</w:t>
            </w:r>
          </w:p>
        </w:tc>
        <w:tc>
          <w:tcPr>
            <w:tcW w:w="992" w:type="dxa"/>
            <w:tcBorders>
              <w:right w:val="single" w:color="000000" w:sz="10" w:space="0"/>
            </w:tcBorders>
            <w:vAlign w:val="top"/>
          </w:tcPr>
          <w:p w14:paraId="5D6E82CC">
            <w:pPr>
              <w:spacing w:before="133"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5A369C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20" w:type="dxa"/>
            <w:tcBorders>
              <w:left w:val="single" w:color="000000" w:sz="10" w:space="0"/>
            </w:tcBorders>
            <w:vAlign w:val="top"/>
          </w:tcPr>
          <w:p w14:paraId="5F9BAE7E">
            <w:pPr>
              <w:spacing w:before="135"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2023-06</w:t>
            </w:r>
          </w:p>
        </w:tc>
        <w:tc>
          <w:tcPr>
            <w:tcW w:w="611" w:type="dxa"/>
            <w:vAlign w:val="top"/>
          </w:tcPr>
          <w:p w14:paraId="1CFA32B1">
            <w:pPr>
              <w:spacing w:before="135" w:line="195"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45" w:type="dxa"/>
            <w:vAlign w:val="top"/>
          </w:tcPr>
          <w:p w14:paraId="2ABAC613">
            <w:pPr>
              <w:spacing w:before="135" w:line="195"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9.2</w:t>
            </w:r>
          </w:p>
        </w:tc>
        <w:tc>
          <w:tcPr>
            <w:tcW w:w="1827" w:type="dxa"/>
            <w:vAlign w:val="top"/>
          </w:tcPr>
          <w:p w14:paraId="5CAD0EB3">
            <w:pPr>
              <w:spacing w:before="135"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1568" w:type="dxa"/>
            <w:vAlign w:val="top"/>
          </w:tcPr>
          <w:p w14:paraId="2F568010">
            <w:pPr>
              <w:spacing w:before="135"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2087" w:type="dxa"/>
            <w:vAlign w:val="top"/>
          </w:tcPr>
          <w:p w14:paraId="03A6FEEE">
            <w:pPr>
              <w:spacing w:before="135" w:line="195" w:lineRule="auto"/>
              <w:ind w:left="9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787" w:type="dxa"/>
            <w:vAlign w:val="top"/>
          </w:tcPr>
          <w:p w14:paraId="5C18326A">
            <w:pPr>
              <w:spacing w:before="135"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0.74</w:t>
            </w:r>
          </w:p>
        </w:tc>
        <w:tc>
          <w:tcPr>
            <w:tcW w:w="849" w:type="dxa"/>
            <w:vAlign w:val="top"/>
          </w:tcPr>
          <w:p w14:paraId="460B17C2">
            <w:pPr>
              <w:spacing w:before="135"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0.060</w:t>
            </w:r>
          </w:p>
        </w:tc>
        <w:tc>
          <w:tcPr>
            <w:tcW w:w="1108" w:type="dxa"/>
            <w:vAlign w:val="top"/>
          </w:tcPr>
          <w:p w14:paraId="135DA646">
            <w:pPr>
              <w:spacing w:before="135"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977" w:type="dxa"/>
            <w:vAlign w:val="top"/>
          </w:tcPr>
          <w:p w14:paraId="529B8E64">
            <w:pPr>
              <w:spacing w:before="135"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w:t>
            </w:r>
          </w:p>
        </w:tc>
        <w:tc>
          <w:tcPr>
            <w:tcW w:w="1045" w:type="dxa"/>
            <w:vAlign w:val="top"/>
          </w:tcPr>
          <w:p w14:paraId="33D8D575">
            <w:pPr>
              <w:spacing w:before="135"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0.185</w:t>
            </w:r>
          </w:p>
        </w:tc>
        <w:tc>
          <w:tcPr>
            <w:tcW w:w="992" w:type="dxa"/>
            <w:tcBorders>
              <w:right w:val="single" w:color="000000" w:sz="10" w:space="0"/>
            </w:tcBorders>
            <w:vAlign w:val="top"/>
          </w:tcPr>
          <w:p w14:paraId="0C1C22A5">
            <w:pPr>
              <w:spacing w:before="135"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7B89F9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20" w:type="dxa"/>
            <w:tcBorders>
              <w:left w:val="single" w:color="000000" w:sz="10" w:space="0"/>
            </w:tcBorders>
            <w:vAlign w:val="top"/>
          </w:tcPr>
          <w:p w14:paraId="11BFA34D">
            <w:pPr>
              <w:spacing w:before="136"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2023-07</w:t>
            </w:r>
          </w:p>
        </w:tc>
        <w:tc>
          <w:tcPr>
            <w:tcW w:w="611" w:type="dxa"/>
            <w:vAlign w:val="top"/>
          </w:tcPr>
          <w:p w14:paraId="5BF00EC9">
            <w:pPr>
              <w:spacing w:before="136" w:line="195"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45" w:type="dxa"/>
            <w:vAlign w:val="top"/>
          </w:tcPr>
          <w:p w14:paraId="18388434">
            <w:pPr>
              <w:spacing w:before="136" w:line="195" w:lineRule="auto"/>
              <w:ind w:left="393"/>
              <w:rPr>
                <w:rFonts w:ascii="Times New Roman" w:hAnsi="Times New Roman" w:eastAsia="Times New Roman" w:cs="Times New Roman"/>
                <w:sz w:val="20"/>
                <w:szCs w:val="20"/>
              </w:rPr>
            </w:pPr>
            <w:r>
              <w:rPr>
                <w:rFonts w:ascii="Times New Roman" w:hAnsi="Times New Roman" w:eastAsia="Times New Roman" w:cs="Times New Roman"/>
                <w:sz w:val="20"/>
                <w:szCs w:val="20"/>
              </w:rPr>
              <w:t>8.3</w:t>
            </w:r>
          </w:p>
        </w:tc>
        <w:tc>
          <w:tcPr>
            <w:tcW w:w="1827" w:type="dxa"/>
            <w:vAlign w:val="top"/>
          </w:tcPr>
          <w:p w14:paraId="5EF1FB09">
            <w:pPr>
              <w:spacing w:before="136" w:line="195" w:lineRule="auto"/>
              <w:ind w:left="7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1568" w:type="dxa"/>
            <w:vAlign w:val="top"/>
          </w:tcPr>
          <w:p w14:paraId="6833DE6D">
            <w:pPr>
              <w:spacing w:before="136" w:line="195" w:lineRule="auto"/>
              <w:ind w:left="65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6.0</w:t>
            </w:r>
          </w:p>
        </w:tc>
        <w:tc>
          <w:tcPr>
            <w:tcW w:w="2087" w:type="dxa"/>
            <w:vAlign w:val="top"/>
          </w:tcPr>
          <w:p w14:paraId="59D31665">
            <w:pPr>
              <w:spacing w:before="136" w:line="195" w:lineRule="auto"/>
              <w:ind w:left="93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787" w:type="dxa"/>
            <w:vAlign w:val="top"/>
          </w:tcPr>
          <w:p w14:paraId="28FCF0A0">
            <w:pPr>
              <w:spacing w:before="136"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0.44</w:t>
            </w:r>
          </w:p>
        </w:tc>
        <w:tc>
          <w:tcPr>
            <w:tcW w:w="849" w:type="dxa"/>
            <w:vAlign w:val="top"/>
          </w:tcPr>
          <w:p w14:paraId="7875EED3">
            <w:pPr>
              <w:spacing w:before="136"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0.050</w:t>
            </w:r>
          </w:p>
        </w:tc>
        <w:tc>
          <w:tcPr>
            <w:tcW w:w="1108" w:type="dxa"/>
            <w:vAlign w:val="top"/>
          </w:tcPr>
          <w:p w14:paraId="1F0FB05C">
            <w:pPr>
              <w:spacing w:before="136"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977" w:type="dxa"/>
            <w:vAlign w:val="top"/>
          </w:tcPr>
          <w:p w14:paraId="0CC366BE">
            <w:pPr>
              <w:spacing w:before="136"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w:t>
            </w:r>
          </w:p>
        </w:tc>
        <w:tc>
          <w:tcPr>
            <w:tcW w:w="1045" w:type="dxa"/>
            <w:vAlign w:val="top"/>
          </w:tcPr>
          <w:p w14:paraId="11E68310">
            <w:pPr>
              <w:spacing w:before="136"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0.187</w:t>
            </w:r>
          </w:p>
        </w:tc>
        <w:tc>
          <w:tcPr>
            <w:tcW w:w="992" w:type="dxa"/>
            <w:tcBorders>
              <w:right w:val="single" w:color="000000" w:sz="10" w:space="0"/>
            </w:tcBorders>
            <w:vAlign w:val="top"/>
          </w:tcPr>
          <w:p w14:paraId="0319A41C">
            <w:pPr>
              <w:spacing w:before="136"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5A0D83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20" w:type="dxa"/>
            <w:tcBorders>
              <w:left w:val="single" w:color="000000" w:sz="10" w:space="0"/>
            </w:tcBorders>
            <w:vAlign w:val="top"/>
          </w:tcPr>
          <w:p w14:paraId="6BD979C9">
            <w:pPr>
              <w:spacing w:before="138"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2023-08</w:t>
            </w:r>
          </w:p>
        </w:tc>
        <w:tc>
          <w:tcPr>
            <w:tcW w:w="611" w:type="dxa"/>
            <w:vAlign w:val="top"/>
          </w:tcPr>
          <w:p w14:paraId="23F5219C">
            <w:pPr>
              <w:spacing w:before="138" w:line="195"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45" w:type="dxa"/>
            <w:vAlign w:val="top"/>
          </w:tcPr>
          <w:p w14:paraId="0E887D23">
            <w:pPr>
              <w:spacing w:before="138"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8.1</w:t>
            </w:r>
          </w:p>
        </w:tc>
        <w:tc>
          <w:tcPr>
            <w:tcW w:w="1827" w:type="dxa"/>
            <w:vAlign w:val="top"/>
          </w:tcPr>
          <w:p w14:paraId="6F457EFD">
            <w:pPr>
              <w:spacing w:before="138"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568" w:type="dxa"/>
            <w:vAlign w:val="top"/>
          </w:tcPr>
          <w:p w14:paraId="3587F3F1">
            <w:pPr>
              <w:spacing w:before="138"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11.0</w:t>
            </w:r>
          </w:p>
        </w:tc>
        <w:tc>
          <w:tcPr>
            <w:tcW w:w="2087" w:type="dxa"/>
            <w:vAlign w:val="top"/>
          </w:tcPr>
          <w:p w14:paraId="354BA584">
            <w:pPr>
              <w:spacing w:before="138" w:line="195" w:lineRule="auto"/>
              <w:ind w:left="9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787" w:type="dxa"/>
            <w:vAlign w:val="top"/>
          </w:tcPr>
          <w:p w14:paraId="27532A5D">
            <w:pPr>
              <w:spacing w:before="138"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0.44</w:t>
            </w:r>
          </w:p>
        </w:tc>
        <w:tc>
          <w:tcPr>
            <w:tcW w:w="849" w:type="dxa"/>
            <w:vAlign w:val="top"/>
          </w:tcPr>
          <w:p w14:paraId="30BB5C5D">
            <w:pPr>
              <w:spacing w:before="138"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0.028</w:t>
            </w:r>
          </w:p>
        </w:tc>
        <w:tc>
          <w:tcPr>
            <w:tcW w:w="1108" w:type="dxa"/>
            <w:vAlign w:val="top"/>
          </w:tcPr>
          <w:p w14:paraId="5AA0BDBF">
            <w:pPr>
              <w:spacing w:before="138"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0.038</w:t>
            </w:r>
          </w:p>
        </w:tc>
        <w:tc>
          <w:tcPr>
            <w:tcW w:w="977" w:type="dxa"/>
            <w:vAlign w:val="top"/>
          </w:tcPr>
          <w:p w14:paraId="3905223D">
            <w:pPr>
              <w:spacing w:before="138"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0.013</w:t>
            </w:r>
          </w:p>
        </w:tc>
        <w:tc>
          <w:tcPr>
            <w:tcW w:w="1045" w:type="dxa"/>
            <w:vAlign w:val="top"/>
          </w:tcPr>
          <w:p w14:paraId="2C0EEEF8">
            <w:pPr>
              <w:spacing w:before="138"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0.215</w:t>
            </w:r>
          </w:p>
        </w:tc>
        <w:tc>
          <w:tcPr>
            <w:tcW w:w="992" w:type="dxa"/>
            <w:tcBorders>
              <w:right w:val="single" w:color="000000" w:sz="10" w:space="0"/>
            </w:tcBorders>
            <w:vAlign w:val="top"/>
          </w:tcPr>
          <w:p w14:paraId="0C26C090">
            <w:pPr>
              <w:spacing w:before="138"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390AE4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20" w:type="dxa"/>
            <w:tcBorders>
              <w:left w:val="single" w:color="000000" w:sz="10" w:space="0"/>
            </w:tcBorders>
            <w:vAlign w:val="top"/>
          </w:tcPr>
          <w:p w14:paraId="22C13103">
            <w:pPr>
              <w:spacing w:before="141"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2023-09</w:t>
            </w:r>
          </w:p>
        </w:tc>
        <w:tc>
          <w:tcPr>
            <w:tcW w:w="611" w:type="dxa"/>
            <w:vAlign w:val="top"/>
          </w:tcPr>
          <w:p w14:paraId="6E7ABAAE">
            <w:pPr>
              <w:spacing w:before="144" w:line="192" w:lineRule="auto"/>
              <w:ind w:left="24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045" w:type="dxa"/>
            <w:vAlign w:val="top"/>
          </w:tcPr>
          <w:p w14:paraId="43FBD1C5">
            <w:pPr>
              <w:spacing w:before="141"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827" w:type="dxa"/>
            <w:vAlign w:val="top"/>
          </w:tcPr>
          <w:p w14:paraId="3C4AF5B2">
            <w:pPr>
              <w:spacing w:before="141"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1568" w:type="dxa"/>
            <w:vAlign w:val="top"/>
          </w:tcPr>
          <w:p w14:paraId="4900E2D3">
            <w:pPr>
              <w:spacing w:before="141"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2087" w:type="dxa"/>
            <w:vAlign w:val="top"/>
          </w:tcPr>
          <w:p w14:paraId="137A4281">
            <w:pPr>
              <w:spacing w:before="141" w:line="195" w:lineRule="auto"/>
              <w:ind w:left="93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787" w:type="dxa"/>
            <w:vAlign w:val="top"/>
          </w:tcPr>
          <w:p w14:paraId="453B182F">
            <w:pPr>
              <w:spacing w:before="141"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w:t>
            </w:r>
          </w:p>
        </w:tc>
        <w:tc>
          <w:tcPr>
            <w:tcW w:w="849" w:type="dxa"/>
            <w:vAlign w:val="top"/>
          </w:tcPr>
          <w:p w14:paraId="6C8B70E0">
            <w:pPr>
              <w:spacing w:before="141"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0.034</w:t>
            </w:r>
          </w:p>
        </w:tc>
        <w:tc>
          <w:tcPr>
            <w:tcW w:w="1108" w:type="dxa"/>
            <w:vAlign w:val="top"/>
          </w:tcPr>
          <w:p w14:paraId="2D7CEE4E">
            <w:pPr>
              <w:spacing w:before="141"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0.035</w:t>
            </w:r>
          </w:p>
        </w:tc>
        <w:tc>
          <w:tcPr>
            <w:tcW w:w="977" w:type="dxa"/>
            <w:vAlign w:val="top"/>
          </w:tcPr>
          <w:p w14:paraId="2B45AE68">
            <w:pPr>
              <w:spacing w:before="141"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0.017</w:t>
            </w:r>
          </w:p>
        </w:tc>
        <w:tc>
          <w:tcPr>
            <w:tcW w:w="1045" w:type="dxa"/>
            <w:vAlign w:val="top"/>
          </w:tcPr>
          <w:p w14:paraId="454B947A">
            <w:pPr>
              <w:spacing w:before="141"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0.178</w:t>
            </w:r>
          </w:p>
        </w:tc>
        <w:tc>
          <w:tcPr>
            <w:tcW w:w="992" w:type="dxa"/>
            <w:tcBorders>
              <w:right w:val="single" w:color="000000" w:sz="10" w:space="0"/>
            </w:tcBorders>
            <w:vAlign w:val="top"/>
          </w:tcPr>
          <w:p w14:paraId="09A10CDC">
            <w:pPr>
              <w:spacing w:before="141"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75ECF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20" w:type="dxa"/>
            <w:tcBorders>
              <w:left w:val="single" w:color="000000" w:sz="10" w:space="0"/>
            </w:tcBorders>
            <w:vAlign w:val="top"/>
          </w:tcPr>
          <w:p w14:paraId="128DF839">
            <w:pPr>
              <w:spacing w:before="140"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2023-10</w:t>
            </w:r>
          </w:p>
        </w:tc>
        <w:tc>
          <w:tcPr>
            <w:tcW w:w="611" w:type="dxa"/>
            <w:vAlign w:val="top"/>
          </w:tcPr>
          <w:p w14:paraId="6C982CF1">
            <w:pPr>
              <w:spacing w:before="143" w:line="192" w:lineRule="auto"/>
              <w:ind w:left="24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045" w:type="dxa"/>
            <w:vAlign w:val="top"/>
          </w:tcPr>
          <w:p w14:paraId="108B210D">
            <w:pPr>
              <w:spacing w:before="140" w:line="195"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6.8</w:t>
            </w:r>
          </w:p>
        </w:tc>
        <w:tc>
          <w:tcPr>
            <w:tcW w:w="1827" w:type="dxa"/>
            <w:vAlign w:val="top"/>
          </w:tcPr>
          <w:p w14:paraId="3EBD2724">
            <w:pPr>
              <w:spacing w:before="140"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568" w:type="dxa"/>
            <w:vAlign w:val="top"/>
          </w:tcPr>
          <w:p w14:paraId="1195EB11">
            <w:pPr>
              <w:spacing w:before="140"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2087" w:type="dxa"/>
            <w:vAlign w:val="top"/>
          </w:tcPr>
          <w:p w14:paraId="3AC3EC17">
            <w:pPr>
              <w:spacing w:before="140" w:line="195" w:lineRule="auto"/>
              <w:ind w:left="93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787" w:type="dxa"/>
            <w:vAlign w:val="top"/>
          </w:tcPr>
          <w:p w14:paraId="73CFAAE1">
            <w:pPr>
              <w:spacing w:before="140"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w:t>
            </w:r>
          </w:p>
        </w:tc>
        <w:tc>
          <w:tcPr>
            <w:tcW w:w="849" w:type="dxa"/>
            <w:vAlign w:val="top"/>
          </w:tcPr>
          <w:p w14:paraId="6AEC38D2">
            <w:pPr>
              <w:spacing w:before="140"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0.050</w:t>
            </w:r>
          </w:p>
        </w:tc>
        <w:tc>
          <w:tcPr>
            <w:tcW w:w="1108" w:type="dxa"/>
            <w:vAlign w:val="top"/>
          </w:tcPr>
          <w:p w14:paraId="593B8E40">
            <w:pPr>
              <w:spacing w:before="140"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0.028</w:t>
            </w:r>
          </w:p>
        </w:tc>
        <w:tc>
          <w:tcPr>
            <w:tcW w:w="977" w:type="dxa"/>
            <w:vAlign w:val="top"/>
          </w:tcPr>
          <w:p w14:paraId="0A8B7A91">
            <w:pPr>
              <w:spacing w:before="140"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045" w:type="dxa"/>
            <w:vAlign w:val="top"/>
          </w:tcPr>
          <w:p w14:paraId="30B02316">
            <w:pPr>
              <w:spacing w:before="140"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0.173</w:t>
            </w:r>
          </w:p>
        </w:tc>
        <w:tc>
          <w:tcPr>
            <w:tcW w:w="992" w:type="dxa"/>
            <w:tcBorders>
              <w:right w:val="single" w:color="000000" w:sz="10" w:space="0"/>
            </w:tcBorders>
            <w:vAlign w:val="top"/>
          </w:tcPr>
          <w:p w14:paraId="5FB71A4C">
            <w:pPr>
              <w:spacing w:before="140"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068579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20" w:type="dxa"/>
            <w:tcBorders>
              <w:left w:val="single" w:color="000000" w:sz="10" w:space="0"/>
            </w:tcBorders>
            <w:vAlign w:val="top"/>
          </w:tcPr>
          <w:p w14:paraId="65D41F11">
            <w:pPr>
              <w:spacing w:before="142"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2023-11</w:t>
            </w:r>
          </w:p>
        </w:tc>
        <w:tc>
          <w:tcPr>
            <w:tcW w:w="611" w:type="dxa"/>
            <w:vAlign w:val="top"/>
          </w:tcPr>
          <w:p w14:paraId="23EE1976">
            <w:pPr>
              <w:spacing w:before="145" w:line="192" w:lineRule="auto"/>
              <w:ind w:left="24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045" w:type="dxa"/>
            <w:vAlign w:val="top"/>
          </w:tcPr>
          <w:p w14:paraId="1725A268">
            <w:pPr>
              <w:spacing w:before="142"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tc>
        <w:tc>
          <w:tcPr>
            <w:tcW w:w="1827" w:type="dxa"/>
            <w:vAlign w:val="top"/>
          </w:tcPr>
          <w:p w14:paraId="11E381DF">
            <w:pPr>
              <w:spacing w:before="142"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1568" w:type="dxa"/>
            <w:vAlign w:val="top"/>
          </w:tcPr>
          <w:p w14:paraId="7265AF55">
            <w:pPr>
              <w:spacing w:before="142"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14.0</w:t>
            </w:r>
          </w:p>
        </w:tc>
        <w:tc>
          <w:tcPr>
            <w:tcW w:w="2087" w:type="dxa"/>
            <w:vAlign w:val="top"/>
          </w:tcPr>
          <w:p w14:paraId="444B8FDD">
            <w:pPr>
              <w:spacing w:before="142" w:line="195" w:lineRule="auto"/>
              <w:ind w:left="93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787" w:type="dxa"/>
            <w:vAlign w:val="top"/>
          </w:tcPr>
          <w:p w14:paraId="075DF23C">
            <w:pPr>
              <w:spacing w:before="142"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0.38</w:t>
            </w:r>
          </w:p>
        </w:tc>
        <w:tc>
          <w:tcPr>
            <w:tcW w:w="849" w:type="dxa"/>
            <w:vAlign w:val="top"/>
          </w:tcPr>
          <w:p w14:paraId="10EDB763">
            <w:pPr>
              <w:spacing w:before="142"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0.030</w:t>
            </w:r>
          </w:p>
        </w:tc>
        <w:tc>
          <w:tcPr>
            <w:tcW w:w="1108" w:type="dxa"/>
            <w:vAlign w:val="top"/>
          </w:tcPr>
          <w:p w14:paraId="4C90DBE0">
            <w:pPr>
              <w:spacing w:before="142"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977" w:type="dxa"/>
            <w:vAlign w:val="top"/>
          </w:tcPr>
          <w:p w14:paraId="1ACEECA5">
            <w:pPr>
              <w:spacing w:before="142"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0.015</w:t>
            </w:r>
          </w:p>
        </w:tc>
        <w:tc>
          <w:tcPr>
            <w:tcW w:w="1045" w:type="dxa"/>
            <w:vAlign w:val="top"/>
          </w:tcPr>
          <w:p w14:paraId="2A1DF8CF">
            <w:pPr>
              <w:spacing w:before="142"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0.162</w:t>
            </w:r>
          </w:p>
        </w:tc>
        <w:tc>
          <w:tcPr>
            <w:tcW w:w="992" w:type="dxa"/>
            <w:tcBorders>
              <w:right w:val="single" w:color="000000" w:sz="10" w:space="0"/>
            </w:tcBorders>
            <w:vAlign w:val="top"/>
          </w:tcPr>
          <w:p w14:paraId="2C2893F1">
            <w:pPr>
              <w:spacing w:before="142"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1DB40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20" w:type="dxa"/>
            <w:tcBorders>
              <w:left w:val="single" w:color="000000" w:sz="10" w:space="0"/>
            </w:tcBorders>
            <w:vAlign w:val="top"/>
          </w:tcPr>
          <w:p w14:paraId="06FC4F7D">
            <w:pPr>
              <w:spacing w:before="142"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2023-12</w:t>
            </w:r>
          </w:p>
        </w:tc>
        <w:tc>
          <w:tcPr>
            <w:tcW w:w="611" w:type="dxa"/>
            <w:vAlign w:val="top"/>
          </w:tcPr>
          <w:p w14:paraId="241DFCA0">
            <w:pPr>
              <w:spacing w:before="145" w:line="192" w:lineRule="auto"/>
              <w:ind w:left="24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045" w:type="dxa"/>
            <w:vAlign w:val="top"/>
          </w:tcPr>
          <w:p w14:paraId="62C8085F">
            <w:pPr>
              <w:spacing w:before="142" w:line="195"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9.4</w:t>
            </w:r>
          </w:p>
        </w:tc>
        <w:tc>
          <w:tcPr>
            <w:tcW w:w="1827" w:type="dxa"/>
            <w:vAlign w:val="top"/>
          </w:tcPr>
          <w:p w14:paraId="1CAADA3C">
            <w:pPr>
              <w:spacing w:before="142"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1568" w:type="dxa"/>
            <w:vAlign w:val="top"/>
          </w:tcPr>
          <w:p w14:paraId="66F11B45">
            <w:pPr>
              <w:spacing w:before="142"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2087" w:type="dxa"/>
            <w:vAlign w:val="top"/>
          </w:tcPr>
          <w:p w14:paraId="06399C24">
            <w:pPr>
              <w:spacing w:before="142" w:line="195" w:lineRule="auto"/>
              <w:ind w:left="93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787" w:type="dxa"/>
            <w:vAlign w:val="top"/>
          </w:tcPr>
          <w:p w14:paraId="6CBCD1C7">
            <w:pPr>
              <w:spacing w:before="142"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0.11</w:t>
            </w:r>
          </w:p>
        </w:tc>
        <w:tc>
          <w:tcPr>
            <w:tcW w:w="849" w:type="dxa"/>
            <w:vAlign w:val="top"/>
          </w:tcPr>
          <w:p w14:paraId="7618E2CD">
            <w:pPr>
              <w:spacing w:before="142"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0.040</w:t>
            </w:r>
          </w:p>
        </w:tc>
        <w:tc>
          <w:tcPr>
            <w:tcW w:w="1108" w:type="dxa"/>
            <w:vAlign w:val="top"/>
          </w:tcPr>
          <w:p w14:paraId="7939CBD9">
            <w:pPr>
              <w:spacing w:before="142"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0.025</w:t>
            </w:r>
          </w:p>
        </w:tc>
        <w:tc>
          <w:tcPr>
            <w:tcW w:w="977" w:type="dxa"/>
            <w:vAlign w:val="top"/>
          </w:tcPr>
          <w:p w14:paraId="747E80EC">
            <w:pPr>
              <w:spacing w:before="142"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w:t>
            </w:r>
          </w:p>
        </w:tc>
        <w:tc>
          <w:tcPr>
            <w:tcW w:w="1045" w:type="dxa"/>
            <w:vAlign w:val="top"/>
          </w:tcPr>
          <w:p w14:paraId="380697A8">
            <w:pPr>
              <w:spacing w:before="142"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0.166</w:t>
            </w:r>
          </w:p>
        </w:tc>
        <w:tc>
          <w:tcPr>
            <w:tcW w:w="992" w:type="dxa"/>
            <w:tcBorders>
              <w:right w:val="single" w:color="000000" w:sz="10" w:space="0"/>
            </w:tcBorders>
            <w:vAlign w:val="top"/>
          </w:tcPr>
          <w:p w14:paraId="38A283A6">
            <w:pPr>
              <w:spacing w:before="142"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1768D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20" w:type="dxa"/>
            <w:tcBorders>
              <w:left w:val="single" w:color="000000" w:sz="10" w:space="0"/>
            </w:tcBorders>
            <w:vAlign w:val="top"/>
          </w:tcPr>
          <w:p w14:paraId="42E54525">
            <w:pPr>
              <w:spacing w:before="144"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2024-01</w:t>
            </w:r>
          </w:p>
        </w:tc>
        <w:tc>
          <w:tcPr>
            <w:tcW w:w="611" w:type="dxa"/>
            <w:vAlign w:val="top"/>
          </w:tcPr>
          <w:p w14:paraId="2C3EC5F2">
            <w:pPr>
              <w:spacing w:before="147" w:line="192" w:lineRule="auto"/>
              <w:ind w:left="24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045" w:type="dxa"/>
            <w:vAlign w:val="top"/>
          </w:tcPr>
          <w:p w14:paraId="53AB7940">
            <w:pPr>
              <w:spacing w:before="144" w:line="195"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9.7</w:t>
            </w:r>
          </w:p>
        </w:tc>
        <w:tc>
          <w:tcPr>
            <w:tcW w:w="1827" w:type="dxa"/>
            <w:vAlign w:val="top"/>
          </w:tcPr>
          <w:p w14:paraId="1B560147">
            <w:pPr>
              <w:spacing w:before="144" w:line="195" w:lineRule="auto"/>
              <w:ind w:left="798"/>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1.1</w:t>
            </w:r>
          </w:p>
        </w:tc>
        <w:tc>
          <w:tcPr>
            <w:tcW w:w="1568" w:type="dxa"/>
            <w:vAlign w:val="top"/>
          </w:tcPr>
          <w:p w14:paraId="042ACCAE">
            <w:pPr>
              <w:spacing w:before="144" w:line="195" w:lineRule="auto"/>
              <w:ind w:left="660"/>
              <w:rPr>
                <w:rFonts w:ascii="Times New Roman" w:hAnsi="Times New Roman" w:eastAsia="Times New Roman" w:cs="Times New Roman"/>
                <w:sz w:val="20"/>
                <w:szCs w:val="20"/>
              </w:rPr>
            </w:pPr>
            <w:r>
              <w:rPr>
                <w:rFonts w:ascii="Times New Roman" w:hAnsi="Times New Roman" w:eastAsia="Times New Roman" w:cs="Times New Roman"/>
                <w:sz w:val="20"/>
                <w:szCs w:val="20"/>
              </w:rPr>
              <w:t>8.0</w:t>
            </w:r>
          </w:p>
        </w:tc>
        <w:tc>
          <w:tcPr>
            <w:tcW w:w="2087" w:type="dxa"/>
            <w:vAlign w:val="top"/>
          </w:tcPr>
          <w:p w14:paraId="1841DD2B">
            <w:pPr>
              <w:spacing w:before="144" w:line="195" w:lineRule="auto"/>
              <w:ind w:left="9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0.7</w:t>
            </w:r>
          </w:p>
        </w:tc>
        <w:tc>
          <w:tcPr>
            <w:tcW w:w="787" w:type="dxa"/>
            <w:vAlign w:val="top"/>
          </w:tcPr>
          <w:p w14:paraId="0436238A">
            <w:pPr>
              <w:spacing w:before="144"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0.37</w:t>
            </w:r>
          </w:p>
        </w:tc>
        <w:tc>
          <w:tcPr>
            <w:tcW w:w="849" w:type="dxa"/>
            <w:vAlign w:val="top"/>
          </w:tcPr>
          <w:p w14:paraId="304468EA">
            <w:pPr>
              <w:spacing w:before="144"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0.050</w:t>
            </w:r>
          </w:p>
        </w:tc>
        <w:tc>
          <w:tcPr>
            <w:tcW w:w="1108" w:type="dxa"/>
            <w:vAlign w:val="top"/>
          </w:tcPr>
          <w:p w14:paraId="72E26187">
            <w:pPr>
              <w:spacing w:before="144"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977" w:type="dxa"/>
            <w:vAlign w:val="top"/>
          </w:tcPr>
          <w:p w14:paraId="5B17372A">
            <w:pPr>
              <w:spacing w:before="144"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w:t>
            </w:r>
          </w:p>
        </w:tc>
        <w:tc>
          <w:tcPr>
            <w:tcW w:w="1045" w:type="dxa"/>
            <w:vAlign w:val="top"/>
          </w:tcPr>
          <w:p w14:paraId="6330A0D3">
            <w:pPr>
              <w:spacing w:before="144"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0.168</w:t>
            </w:r>
          </w:p>
        </w:tc>
        <w:tc>
          <w:tcPr>
            <w:tcW w:w="992" w:type="dxa"/>
            <w:tcBorders>
              <w:right w:val="single" w:color="000000" w:sz="10" w:space="0"/>
            </w:tcBorders>
            <w:vAlign w:val="top"/>
          </w:tcPr>
          <w:p w14:paraId="02522DA7">
            <w:pPr>
              <w:spacing w:before="144"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1D878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20" w:type="dxa"/>
            <w:tcBorders>
              <w:left w:val="single" w:color="000000" w:sz="10" w:space="0"/>
            </w:tcBorders>
            <w:vAlign w:val="top"/>
          </w:tcPr>
          <w:p w14:paraId="3DC42719">
            <w:pPr>
              <w:spacing w:before="147"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2024-02</w:t>
            </w:r>
          </w:p>
        </w:tc>
        <w:tc>
          <w:tcPr>
            <w:tcW w:w="611" w:type="dxa"/>
            <w:vAlign w:val="top"/>
          </w:tcPr>
          <w:p w14:paraId="4EF198C1">
            <w:pPr>
              <w:spacing w:before="150" w:line="192" w:lineRule="auto"/>
              <w:ind w:left="24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045" w:type="dxa"/>
            <w:vAlign w:val="top"/>
          </w:tcPr>
          <w:p w14:paraId="2A9EEBBE">
            <w:pPr>
              <w:spacing w:before="147" w:line="195"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10.2</w:t>
            </w:r>
          </w:p>
        </w:tc>
        <w:tc>
          <w:tcPr>
            <w:tcW w:w="1827" w:type="dxa"/>
            <w:vAlign w:val="top"/>
          </w:tcPr>
          <w:p w14:paraId="7624C80B">
            <w:pPr>
              <w:spacing w:before="147" w:line="195" w:lineRule="auto"/>
              <w:ind w:left="7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568" w:type="dxa"/>
            <w:vAlign w:val="top"/>
          </w:tcPr>
          <w:p w14:paraId="2949A089">
            <w:pPr>
              <w:spacing w:before="147" w:line="195" w:lineRule="auto"/>
              <w:ind w:left="65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2087" w:type="dxa"/>
            <w:vAlign w:val="top"/>
          </w:tcPr>
          <w:p w14:paraId="6CAEBB91">
            <w:pPr>
              <w:spacing w:before="147" w:line="195" w:lineRule="auto"/>
              <w:ind w:left="9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0.7</w:t>
            </w:r>
          </w:p>
        </w:tc>
        <w:tc>
          <w:tcPr>
            <w:tcW w:w="787" w:type="dxa"/>
            <w:vAlign w:val="top"/>
          </w:tcPr>
          <w:p w14:paraId="5CEEEB39">
            <w:pPr>
              <w:spacing w:before="147"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0.37</w:t>
            </w:r>
          </w:p>
        </w:tc>
        <w:tc>
          <w:tcPr>
            <w:tcW w:w="849" w:type="dxa"/>
            <w:vAlign w:val="top"/>
          </w:tcPr>
          <w:p w14:paraId="5DE34177">
            <w:pPr>
              <w:spacing w:before="147"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0.040</w:t>
            </w:r>
          </w:p>
        </w:tc>
        <w:tc>
          <w:tcPr>
            <w:tcW w:w="1108" w:type="dxa"/>
            <w:vAlign w:val="top"/>
          </w:tcPr>
          <w:p w14:paraId="27D1468F">
            <w:pPr>
              <w:spacing w:before="147"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0.015</w:t>
            </w:r>
          </w:p>
        </w:tc>
        <w:tc>
          <w:tcPr>
            <w:tcW w:w="977" w:type="dxa"/>
            <w:vAlign w:val="top"/>
          </w:tcPr>
          <w:p w14:paraId="08B2839E">
            <w:pPr>
              <w:spacing w:before="147"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045" w:type="dxa"/>
            <w:vAlign w:val="top"/>
          </w:tcPr>
          <w:p w14:paraId="68A80DC9">
            <w:pPr>
              <w:spacing w:before="147"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0.131</w:t>
            </w:r>
          </w:p>
        </w:tc>
        <w:tc>
          <w:tcPr>
            <w:tcW w:w="992" w:type="dxa"/>
            <w:tcBorders>
              <w:right w:val="single" w:color="000000" w:sz="10" w:space="0"/>
            </w:tcBorders>
            <w:vAlign w:val="top"/>
          </w:tcPr>
          <w:p w14:paraId="50F30EF4">
            <w:pPr>
              <w:spacing w:before="147"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03BFF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20" w:type="dxa"/>
            <w:tcBorders>
              <w:left w:val="single" w:color="000000" w:sz="10" w:space="0"/>
            </w:tcBorders>
            <w:vAlign w:val="top"/>
          </w:tcPr>
          <w:p w14:paraId="7C84B52E">
            <w:pPr>
              <w:spacing w:before="146"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2024-03</w:t>
            </w:r>
          </w:p>
        </w:tc>
        <w:tc>
          <w:tcPr>
            <w:tcW w:w="611" w:type="dxa"/>
            <w:vAlign w:val="top"/>
          </w:tcPr>
          <w:p w14:paraId="3342F1AB">
            <w:pPr>
              <w:spacing w:before="149" w:line="192" w:lineRule="auto"/>
              <w:ind w:left="24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045" w:type="dxa"/>
            <w:vAlign w:val="top"/>
          </w:tcPr>
          <w:p w14:paraId="64B897AC">
            <w:pPr>
              <w:spacing w:before="146" w:line="195"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9.9</w:t>
            </w:r>
          </w:p>
        </w:tc>
        <w:tc>
          <w:tcPr>
            <w:tcW w:w="1827" w:type="dxa"/>
            <w:vAlign w:val="top"/>
          </w:tcPr>
          <w:p w14:paraId="5EBC095B">
            <w:pPr>
              <w:spacing w:before="146" w:line="195" w:lineRule="auto"/>
              <w:ind w:left="7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568" w:type="dxa"/>
            <w:vAlign w:val="top"/>
          </w:tcPr>
          <w:p w14:paraId="2A1FE355">
            <w:pPr>
              <w:spacing w:before="146"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11.0</w:t>
            </w:r>
          </w:p>
        </w:tc>
        <w:tc>
          <w:tcPr>
            <w:tcW w:w="2087" w:type="dxa"/>
            <w:vAlign w:val="top"/>
          </w:tcPr>
          <w:p w14:paraId="33BB66A1">
            <w:pPr>
              <w:spacing w:before="146" w:line="195" w:lineRule="auto"/>
              <w:ind w:left="9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0.9</w:t>
            </w:r>
          </w:p>
        </w:tc>
        <w:tc>
          <w:tcPr>
            <w:tcW w:w="787" w:type="dxa"/>
            <w:vAlign w:val="top"/>
          </w:tcPr>
          <w:p w14:paraId="57C0DA34">
            <w:pPr>
              <w:spacing w:before="146"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0.23</w:t>
            </w:r>
          </w:p>
        </w:tc>
        <w:tc>
          <w:tcPr>
            <w:tcW w:w="849" w:type="dxa"/>
            <w:vAlign w:val="top"/>
          </w:tcPr>
          <w:p w14:paraId="4CCC82D7">
            <w:pPr>
              <w:spacing w:before="146"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1108" w:type="dxa"/>
            <w:vAlign w:val="top"/>
          </w:tcPr>
          <w:p w14:paraId="1317FFF7">
            <w:pPr>
              <w:spacing w:before="146"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977" w:type="dxa"/>
            <w:vAlign w:val="top"/>
          </w:tcPr>
          <w:p w14:paraId="2D7E138C">
            <w:pPr>
              <w:spacing w:before="146"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0.022</w:t>
            </w:r>
          </w:p>
        </w:tc>
        <w:tc>
          <w:tcPr>
            <w:tcW w:w="1045" w:type="dxa"/>
            <w:vAlign w:val="top"/>
          </w:tcPr>
          <w:p w14:paraId="2D7D96E9">
            <w:pPr>
              <w:spacing w:before="146"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0.155</w:t>
            </w:r>
          </w:p>
        </w:tc>
        <w:tc>
          <w:tcPr>
            <w:tcW w:w="992" w:type="dxa"/>
            <w:tcBorders>
              <w:right w:val="single" w:color="000000" w:sz="10" w:space="0"/>
            </w:tcBorders>
            <w:vAlign w:val="top"/>
          </w:tcPr>
          <w:p w14:paraId="3AC1BF88">
            <w:pPr>
              <w:spacing w:before="146"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7131D4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20" w:type="dxa"/>
            <w:tcBorders>
              <w:left w:val="single" w:color="000000" w:sz="10" w:space="0"/>
            </w:tcBorders>
            <w:vAlign w:val="top"/>
          </w:tcPr>
          <w:p w14:paraId="6EF40E98">
            <w:pPr>
              <w:spacing w:before="148"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2024-04</w:t>
            </w:r>
          </w:p>
        </w:tc>
        <w:tc>
          <w:tcPr>
            <w:tcW w:w="611" w:type="dxa"/>
            <w:vAlign w:val="top"/>
          </w:tcPr>
          <w:p w14:paraId="604FA83A">
            <w:pPr>
              <w:spacing w:before="151" w:line="192" w:lineRule="auto"/>
              <w:ind w:left="24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045" w:type="dxa"/>
            <w:vAlign w:val="top"/>
          </w:tcPr>
          <w:p w14:paraId="53382EAB">
            <w:pPr>
              <w:spacing w:before="148" w:line="195"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9.2</w:t>
            </w:r>
          </w:p>
        </w:tc>
        <w:tc>
          <w:tcPr>
            <w:tcW w:w="1827" w:type="dxa"/>
            <w:vAlign w:val="top"/>
          </w:tcPr>
          <w:p w14:paraId="0A08D8AB">
            <w:pPr>
              <w:spacing w:before="148" w:line="195" w:lineRule="auto"/>
              <w:ind w:left="7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p>
        </w:tc>
        <w:tc>
          <w:tcPr>
            <w:tcW w:w="1568" w:type="dxa"/>
            <w:vAlign w:val="top"/>
          </w:tcPr>
          <w:p w14:paraId="16B1B0E9">
            <w:pPr>
              <w:spacing w:before="148"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c>
          <w:tcPr>
            <w:tcW w:w="2087" w:type="dxa"/>
            <w:vAlign w:val="top"/>
          </w:tcPr>
          <w:p w14:paraId="726C1D6F">
            <w:pPr>
              <w:spacing w:before="148" w:line="195" w:lineRule="auto"/>
              <w:ind w:left="9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0.9</w:t>
            </w:r>
          </w:p>
        </w:tc>
        <w:tc>
          <w:tcPr>
            <w:tcW w:w="787" w:type="dxa"/>
            <w:vAlign w:val="top"/>
          </w:tcPr>
          <w:p w14:paraId="1CEF838C">
            <w:pPr>
              <w:spacing w:before="148"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0.33</w:t>
            </w:r>
          </w:p>
        </w:tc>
        <w:tc>
          <w:tcPr>
            <w:tcW w:w="849" w:type="dxa"/>
            <w:vAlign w:val="top"/>
          </w:tcPr>
          <w:p w14:paraId="4FF4E830">
            <w:pPr>
              <w:spacing w:before="148"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0.020</w:t>
            </w:r>
          </w:p>
        </w:tc>
        <w:tc>
          <w:tcPr>
            <w:tcW w:w="1108" w:type="dxa"/>
            <w:vAlign w:val="top"/>
          </w:tcPr>
          <w:p w14:paraId="6F5D3DB9">
            <w:pPr>
              <w:spacing w:before="148"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0.012</w:t>
            </w:r>
          </w:p>
        </w:tc>
        <w:tc>
          <w:tcPr>
            <w:tcW w:w="977" w:type="dxa"/>
            <w:vAlign w:val="top"/>
          </w:tcPr>
          <w:p w14:paraId="314AD7EC">
            <w:pPr>
              <w:spacing w:before="148"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w:t>
            </w:r>
          </w:p>
        </w:tc>
        <w:tc>
          <w:tcPr>
            <w:tcW w:w="1045" w:type="dxa"/>
            <w:vAlign w:val="top"/>
          </w:tcPr>
          <w:p w14:paraId="1ABF7593">
            <w:pPr>
              <w:spacing w:before="148"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0.171</w:t>
            </w:r>
          </w:p>
        </w:tc>
        <w:tc>
          <w:tcPr>
            <w:tcW w:w="992" w:type="dxa"/>
            <w:tcBorders>
              <w:right w:val="single" w:color="000000" w:sz="10" w:space="0"/>
            </w:tcBorders>
            <w:vAlign w:val="top"/>
          </w:tcPr>
          <w:p w14:paraId="0F8720EC">
            <w:pPr>
              <w:spacing w:before="148"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5FAB4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20" w:type="dxa"/>
            <w:tcBorders>
              <w:left w:val="single" w:color="000000" w:sz="10" w:space="0"/>
            </w:tcBorders>
            <w:vAlign w:val="top"/>
          </w:tcPr>
          <w:p w14:paraId="13D3D7D7">
            <w:pPr>
              <w:spacing w:before="148"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2024-05</w:t>
            </w:r>
          </w:p>
        </w:tc>
        <w:tc>
          <w:tcPr>
            <w:tcW w:w="611" w:type="dxa"/>
            <w:vAlign w:val="top"/>
          </w:tcPr>
          <w:p w14:paraId="364AD426">
            <w:pPr>
              <w:spacing w:before="151" w:line="192" w:lineRule="auto"/>
              <w:ind w:left="24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045" w:type="dxa"/>
            <w:vAlign w:val="top"/>
          </w:tcPr>
          <w:p w14:paraId="702C1F6A">
            <w:pPr>
              <w:spacing w:before="148" w:line="195" w:lineRule="auto"/>
              <w:ind w:left="393"/>
              <w:rPr>
                <w:rFonts w:ascii="Times New Roman" w:hAnsi="Times New Roman" w:eastAsia="Times New Roman" w:cs="Times New Roman"/>
                <w:sz w:val="20"/>
                <w:szCs w:val="20"/>
              </w:rPr>
            </w:pPr>
            <w:r>
              <w:rPr>
                <w:rFonts w:ascii="Times New Roman" w:hAnsi="Times New Roman" w:eastAsia="Times New Roman" w:cs="Times New Roman"/>
                <w:sz w:val="20"/>
                <w:szCs w:val="20"/>
              </w:rPr>
              <w:t>8.9</w:t>
            </w:r>
          </w:p>
        </w:tc>
        <w:tc>
          <w:tcPr>
            <w:tcW w:w="1827" w:type="dxa"/>
            <w:vAlign w:val="top"/>
          </w:tcPr>
          <w:p w14:paraId="642F9BE9">
            <w:pPr>
              <w:spacing w:before="148" w:line="195" w:lineRule="auto"/>
              <w:ind w:left="7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1568" w:type="dxa"/>
            <w:vAlign w:val="top"/>
          </w:tcPr>
          <w:p w14:paraId="3D4F41B8">
            <w:pPr>
              <w:spacing w:before="148"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2087" w:type="dxa"/>
            <w:vAlign w:val="top"/>
          </w:tcPr>
          <w:p w14:paraId="3B0568B1">
            <w:pPr>
              <w:spacing w:before="148" w:line="195" w:lineRule="auto"/>
              <w:ind w:left="93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787" w:type="dxa"/>
            <w:vAlign w:val="top"/>
          </w:tcPr>
          <w:p w14:paraId="541990C1">
            <w:pPr>
              <w:spacing w:before="148"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0.13</w:t>
            </w:r>
          </w:p>
        </w:tc>
        <w:tc>
          <w:tcPr>
            <w:tcW w:w="849" w:type="dxa"/>
            <w:vAlign w:val="top"/>
          </w:tcPr>
          <w:p w14:paraId="2EAF99E7">
            <w:pPr>
              <w:spacing w:before="148"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0.090</w:t>
            </w:r>
          </w:p>
        </w:tc>
        <w:tc>
          <w:tcPr>
            <w:tcW w:w="1108" w:type="dxa"/>
            <w:vAlign w:val="top"/>
          </w:tcPr>
          <w:p w14:paraId="4CAD8926">
            <w:pPr>
              <w:spacing w:before="148"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0.024</w:t>
            </w:r>
          </w:p>
        </w:tc>
        <w:tc>
          <w:tcPr>
            <w:tcW w:w="977" w:type="dxa"/>
            <w:vAlign w:val="top"/>
          </w:tcPr>
          <w:p w14:paraId="752EBF29">
            <w:pPr>
              <w:spacing w:before="148"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w:t>
            </w:r>
          </w:p>
        </w:tc>
        <w:tc>
          <w:tcPr>
            <w:tcW w:w="1045" w:type="dxa"/>
            <w:vAlign w:val="top"/>
          </w:tcPr>
          <w:p w14:paraId="66BA0E53">
            <w:pPr>
              <w:spacing w:before="148"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0.173</w:t>
            </w:r>
          </w:p>
        </w:tc>
        <w:tc>
          <w:tcPr>
            <w:tcW w:w="992" w:type="dxa"/>
            <w:tcBorders>
              <w:right w:val="single" w:color="000000" w:sz="10" w:space="0"/>
            </w:tcBorders>
            <w:vAlign w:val="top"/>
          </w:tcPr>
          <w:p w14:paraId="65A9AB7A">
            <w:pPr>
              <w:spacing w:before="148"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30B7D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20" w:type="dxa"/>
            <w:tcBorders>
              <w:left w:val="single" w:color="000000" w:sz="10" w:space="0"/>
            </w:tcBorders>
            <w:vAlign w:val="top"/>
          </w:tcPr>
          <w:p w14:paraId="3AD530A7">
            <w:pPr>
              <w:spacing w:before="150"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2024-06</w:t>
            </w:r>
          </w:p>
        </w:tc>
        <w:tc>
          <w:tcPr>
            <w:tcW w:w="611" w:type="dxa"/>
            <w:vAlign w:val="top"/>
          </w:tcPr>
          <w:p w14:paraId="6A3C72C3">
            <w:pPr>
              <w:spacing w:before="153" w:line="192" w:lineRule="auto"/>
              <w:ind w:left="24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045" w:type="dxa"/>
            <w:vAlign w:val="top"/>
          </w:tcPr>
          <w:p w14:paraId="059569A6">
            <w:pPr>
              <w:spacing w:before="150" w:line="195" w:lineRule="auto"/>
              <w:ind w:left="393"/>
              <w:rPr>
                <w:rFonts w:ascii="Times New Roman" w:hAnsi="Times New Roman" w:eastAsia="Times New Roman" w:cs="Times New Roman"/>
                <w:sz w:val="20"/>
                <w:szCs w:val="20"/>
              </w:rPr>
            </w:pPr>
            <w:r>
              <w:rPr>
                <w:rFonts w:ascii="Times New Roman" w:hAnsi="Times New Roman" w:eastAsia="Times New Roman" w:cs="Times New Roman"/>
                <w:sz w:val="20"/>
                <w:szCs w:val="20"/>
              </w:rPr>
              <w:t>8.4</w:t>
            </w:r>
          </w:p>
        </w:tc>
        <w:tc>
          <w:tcPr>
            <w:tcW w:w="1827" w:type="dxa"/>
            <w:vAlign w:val="top"/>
          </w:tcPr>
          <w:p w14:paraId="60BB841A">
            <w:pPr>
              <w:spacing w:before="150" w:line="195" w:lineRule="auto"/>
              <w:ind w:left="7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1568" w:type="dxa"/>
            <w:vAlign w:val="top"/>
          </w:tcPr>
          <w:p w14:paraId="031D2B9C">
            <w:pPr>
              <w:spacing w:before="150" w:line="195" w:lineRule="auto"/>
              <w:ind w:left="65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2087" w:type="dxa"/>
            <w:vAlign w:val="top"/>
          </w:tcPr>
          <w:p w14:paraId="2A44CE02">
            <w:pPr>
              <w:spacing w:before="150" w:line="195" w:lineRule="auto"/>
              <w:ind w:left="93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p>
        </w:tc>
        <w:tc>
          <w:tcPr>
            <w:tcW w:w="787" w:type="dxa"/>
            <w:vAlign w:val="top"/>
          </w:tcPr>
          <w:p w14:paraId="414A44D9">
            <w:pPr>
              <w:spacing w:before="150"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0.13</w:t>
            </w:r>
          </w:p>
        </w:tc>
        <w:tc>
          <w:tcPr>
            <w:tcW w:w="849" w:type="dxa"/>
            <w:vAlign w:val="top"/>
          </w:tcPr>
          <w:p w14:paraId="249ECCF4">
            <w:pPr>
              <w:spacing w:before="150"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0.074</w:t>
            </w:r>
          </w:p>
        </w:tc>
        <w:tc>
          <w:tcPr>
            <w:tcW w:w="1108" w:type="dxa"/>
            <w:vAlign w:val="top"/>
          </w:tcPr>
          <w:p w14:paraId="05C1B5FA">
            <w:pPr>
              <w:spacing w:before="150"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0.010</w:t>
            </w:r>
          </w:p>
        </w:tc>
        <w:tc>
          <w:tcPr>
            <w:tcW w:w="977" w:type="dxa"/>
            <w:vAlign w:val="top"/>
          </w:tcPr>
          <w:p w14:paraId="6CF80ADE">
            <w:pPr>
              <w:spacing w:before="150"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0.003</w:t>
            </w:r>
          </w:p>
        </w:tc>
        <w:tc>
          <w:tcPr>
            <w:tcW w:w="1045" w:type="dxa"/>
            <w:vAlign w:val="top"/>
          </w:tcPr>
          <w:p w14:paraId="548A6E5A">
            <w:pPr>
              <w:spacing w:before="150"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0.123</w:t>
            </w:r>
          </w:p>
        </w:tc>
        <w:tc>
          <w:tcPr>
            <w:tcW w:w="992" w:type="dxa"/>
            <w:tcBorders>
              <w:right w:val="single" w:color="000000" w:sz="10" w:space="0"/>
            </w:tcBorders>
            <w:vAlign w:val="top"/>
          </w:tcPr>
          <w:p w14:paraId="40C1B825">
            <w:pPr>
              <w:spacing w:before="150"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6C1CF0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20" w:type="dxa"/>
            <w:tcBorders>
              <w:left w:val="single" w:color="000000" w:sz="10" w:space="0"/>
            </w:tcBorders>
            <w:vAlign w:val="top"/>
          </w:tcPr>
          <w:p w14:paraId="60C0C55B">
            <w:pPr>
              <w:spacing w:before="150"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2024-07</w:t>
            </w:r>
          </w:p>
        </w:tc>
        <w:tc>
          <w:tcPr>
            <w:tcW w:w="611" w:type="dxa"/>
            <w:vAlign w:val="top"/>
          </w:tcPr>
          <w:p w14:paraId="54FCC4A1">
            <w:pPr>
              <w:spacing w:before="150" w:line="195"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45" w:type="dxa"/>
            <w:vAlign w:val="top"/>
          </w:tcPr>
          <w:p w14:paraId="6342E9FC">
            <w:pPr>
              <w:spacing w:before="150" w:line="195" w:lineRule="auto"/>
              <w:ind w:left="393"/>
              <w:rPr>
                <w:rFonts w:ascii="Times New Roman" w:hAnsi="Times New Roman" w:eastAsia="Times New Roman" w:cs="Times New Roman"/>
                <w:sz w:val="20"/>
                <w:szCs w:val="20"/>
              </w:rPr>
            </w:pPr>
            <w:r>
              <w:rPr>
                <w:rFonts w:ascii="Times New Roman" w:hAnsi="Times New Roman" w:eastAsia="Times New Roman" w:cs="Times New Roman"/>
                <w:sz w:val="20"/>
                <w:szCs w:val="20"/>
              </w:rPr>
              <w:t>8.9</w:t>
            </w:r>
          </w:p>
        </w:tc>
        <w:tc>
          <w:tcPr>
            <w:tcW w:w="1827" w:type="dxa"/>
            <w:vAlign w:val="top"/>
          </w:tcPr>
          <w:p w14:paraId="37D98882">
            <w:pPr>
              <w:spacing w:before="150"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1568" w:type="dxa"/>
            <w:vAlign w:val="top"/>
          </w:tcPr>
          <w:p w14:paraId="794DC44E">
            <w:pPr>
              <w:spacing w:before="150"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2087" w:type="dxa"/>
            <w:vAlign w:val="top"/>
          </w:tcPr>
          <w:p w14:paraId="57B913B3">
            <w:pPr>
              <w:spacing w:before="150" w:line="195" w:lineRule="auto"/>
              <w:ind w:left="9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0.7</w:t>
            </w:r>
          </w:p>
        </w:tc>
        <w:tc>
          <w:tcPr>
            <w:tcW w:w="787" w:type="dxa"/>
            <w:vAlign w:val="top"/>
          </w:tcPr>
          <w:p w14:paraId="2B22DF97">
            <w:pPr>
              <w:spacing w:before="150"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0.35</w:t>
            </w:r>
          </w:p>
        </w:tc>
        <w:tc>
          <w:tcPr>
            <w:tcW w:w="849" w:type="dxa"/>
            <w:vAlign w:val="top"/>
          </w:tcPr>
          <w:p w14:paraId="615CCF59">
            <w:pPr>
              <w:spacing w:before="150"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0.070</w:t>
            </w:r>
          </w:p>
        </w:tc>
        <w:tc>
          <w:tcPr>
            <w:tcW w:w="1108" w:type="dxa"/>
            <w:vAlign w:val="top"/>
          </w:tcPr>
          <w:p w14:paraId="6E8C94AF">
            <w:pPr>
              <w:spacing w:before="150"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0.007</w:t>
            </w:r>
          </w:p>
        </w:tc>
        <w:tc>
          <w:tcPr>
            <w:tcW w:w="977" w:type="dxa"/>
            <w:vAlign w:val="top"/>
          </w:tcPr>
          <w:p w14:paraId="37C6115B">
            <w:pPr>
              <w:spacing w:before="150"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0.009</w:t>
            </w:r>
          </w:p>
        </w:tc>
        <w:tc>
          <w:tcPr>
            <w:tcW w:w="1045" w:type="dxa"/>
            <w:vAlign w:val="top"/>
          </w:tcPr>
          <w:p w14:paraId="6807CB79">
            <w:pPr>
              <w:spacing w:before="150"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0.166</w:t>
            </w:r>
          </w:p>
        </w:tc>
        <w:tc>
          <w:tcPr>
            <w:tcW w:w="992" w:type="dxa"/>
            <w:tcBorders>
              <w:right w:val="single" w:color="000000" w:sz="10" w:space="0"/>
            </w:tcBorders>
            <w:vAlign w:val="top"/>
          </w:tcPr>
          <w:p w14:paraId="4D8A354A">
            <w:pPr>
              <w:spacing w:before="150"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16A3C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20" w:type="dxa"/>
            <w:tcBorders>
              <w:left w:val="single" w:color="000000" w:sz="10" w:space="0"/>
            </w:tcBorders>
            <w:vAlign w:val="top"/>
          </w:tcPr>
          <w:p w14:paraId="616B41CD">
            <w:pPr>
              <w:spacing w:before="152"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2024-08</w:t>
            </w:r>
          </w:p>
        </w:tc>
        <w:tc>
          <w:tcPr>
            <w:tcW w:w="611" w:type="dxa"/>
            <w:vAlign w:val="top"/>
          </w:tcPr>
          <w:p w14:paraId="36BC7760">
            <w:pPr>
              <w:spacing w:before="152" w:line="195"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45" w:type="dxa"/>
            <w:vAlign w:val="top"/>
          </w:tcPr>
          <w:p w14:paraId="5862DFE5">
            <w:pPr>
              <w:spacing w:before="152" w:line="195" w:lineRule="auto"/>
              <w:ind w:left="393"/>
              <w:rPr>
                <w:rFonts w:ascii="Times New Roman" w:hAnsi="Times New Roman" w:eastAsia="Times New Roman" w:cs="Times New Roman"/>
                <w:sz w:val="20"/>
                <w:szCs w:val="20"/>
              </w:rPr>
            </w:pPr>
            <w:r>
              <w:rPr>
                <w:rFonts w:ascii="Times New Roman" w:hAnsi="Times New Roman" w:eastAsia="Times New Roman" w:cs="Times New Roman"/>
                <w:sz w:val="20"/>
                <w:szCs w:val="20"/>
              </w:rPr>
              <w:t>8.3</w:t>
            </w:r>
          </w:p>
        </w:tc>
        <w:tc>
          <w:tcPr>
            <w:tcW w:w="1827" w:type="dxa"/>
            <w:vAlign w:val="top"/>
          </w:tcPr>
          <w:p w14:paraId="6888791C">
            <w:pPr>
              <w:spacing w:before="152" w:line="195" w:lineRule="auto"/>
              <w:ind w:left="7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568" w:type="dxa"/>
            <w:vAlign w:val="top"/>
          </w:tcPr>
          <w:p w14:paraId="5DB99188">
            <w:pPr>
              <w:spacing w:before="152" w:line="195" w:lineRule="auto"/>
              <w:ind w:left="658"/>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2087" w:type="dxa"/>
            <w:vAlign w:val="top"/>
          </w:tcPr>
          <w:p w14:paraId="5971E2AA">
            <w:pPr>
              <w:spacing w:before="152" w:line="195" w:lineRule="auto"/>
              <w:ind w:left="9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787" w:type="dxa"/>
            <w:vAlign w:val="top"/>
          </w:tcPr>
          <w:p w14:paraId="7236BA20">
            <w:pPr>
              <w:spacing w:before="152"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0.27</w:t>
            </w:r>
          </w:p>
        </w:tc>
        <w:tc>
          <w:tcPr>
            <w:tcW w:w="849" w:type="dxa"/>
            <w:vAlign w:val="top"/>
          </w:tcPr>
          <w:p w14:paraId="46626D0B">
            <w:pPr>
              <w:spacing w:before="152"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0.040</w:t>
            </w:r>
          </w:p>
        </w:tc>
        <w:tc>
          <w:tcPr>
            <w:tcW w:w="1108" w:type="dxa"/>
            <w:vAlign w:val="top"/>
          </w:tcPr>
          <w:p w14:paraId="319ABABF">
            <w:pPr>
              <w:spacing w:before="152"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w:t>
            </w:r>
          </w:p>
        </w:tc>
        <w:tc>
          <w:tcPr>
            <w:tcW w:w="977" w:type="dxa"/>
            <w:vAlign w:val="top"/>
          </w:tcPr>
          <w:p w14:paraId="6B5358CD">
            <w:pPr>
              <w:spacing w:before="152"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w:t>
            </w:r>
          </w:p>
        </w:tc>
        <w:tc>
          <w:tcPr>
            <w:tcW w:w="1045" w:type="dxa"/>
            <w:vAlign w:val="top"/>
          </w:tcPr>
          <w:p w14:paraId="5295D165">
            <w:pPr>
              <w:spacing w:before="152"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0.155</w:t>
            </w:r>
          </w:p>
        </w:tc>
        <w:tc>
          <w:tcPr>
            <w:tcW w:w="992" w:type="dxa"/>
            <w:tcBorders>
              <w:right w:val="single" w:color="000000" w:sz="10" w:space="0"/>
            </w:tcBorders>
            <w:vAlign w:val="top"/>
          </w:tcPr>
          <w:p w14:paraId="4E545A88">
            <w:pPr>
              <w:spacing w:before="152"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763B5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1320" w:type="dxa"/>
            <w:tcBorders>
              <w:left w:val="single" w:color="000000" w:sz="10" w:space="0"/>
              <w:bottom w:val="single" w:color="000000" w:sz="10" w:space="0"/>
            </w:tcBorders>
            <w:vAlign w:val="top"/>
          </w:tcPr>
          <w:p w14:paraId="76C51A58">
            <w:pPr>
              <w:spacing w:before="154"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2024-09</w:t>
            </w:r>
          </w:p>
        </w:tc>
        <w:tc>
          <w:tcPr>
            <w:tcW w:w="611" w:type="dxa"/>
            <w:tcBorders>
              <w:bottom w:val="single" w:color="000000" w:sz="10" w:space="0"/>
            </w:tcBorders>
            <w:vAlign w:val="top"/>
          </w:tcPr>
          <w:p w14:paraId="72EB3C7C">
            <w:pPr>
              <w:spacing w:before="157" w:line="192" w:lineRule="auto"/>
              <w:ind w:left="24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045" w:type="dxa"/>
            <w:tcBorders>
              <w:bottom w:val="single" w:color="000000" w:sz="10" w:space="0"/>
            </w:tcBorders>
            <w:vAlign w:val="top"/>
          </w:tcPr>
          <w:p w14:paraId="7FE621A4">
            <w:pPr>
              <w:spacing w:before="154" w:line="195"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9.1</w:t>
            </w:r>
          </w:p>
        </w:tc>
        <w:tc>
          <w:tcPr>
            <w:tcW w:w="1827" w:type="dxa"/>
            <w:tcBorders>
              <w:bottom w:val="single" w:color="000000" w:sz="10" w:space="0"/>
            </w:tcBorders>
            <w:vAlign w:val="top"/>
          </w:tcPr>
          <w:p w14:paraId="7FECE73E">
            <w:pPr>
              <w:spacing w:before="154" w:line="195" w:lineRule="auto"/>
              <w:ind w:left="7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568" w:type="dxa"/>
            <w:tcBorders>
              <w:bottom w:val="single" w:color="000000" w:sz="10" w:space="0"/>
            </w:tcBorders>
            <w:vAlign w:val="top"/>
          </w:tcPr>
          <w:p w14:paraId="106041BD">
            <w:pPr>
              <w:spacing w:before="154" w:line="195" w:lineRule="auto"/>
              <w:ind w:left="65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2087" w:type="dxa"/>
            <w:tcBorders>
              <w:bottom w:val="single" w:color="000000" w:sz="10" w:space="0"/>
            </w:tcBorders>
            <w:vAlign w:val="top"/>
          </w:tcPr>
          <w:p w14:paraId="36C18686">
            <w:pPr>
              <w:spacing w:before="154" w:line="195" w:lineRule="auto"/>
              <w:ind w:left="93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787" w:type="dxa"/>
            <w:tcBorders>
              <w:bottom w:val="single" w:color="000000" w:sz="10" w:space="0"/>
            </w:tcBorders>
            <w:vAlign w:val="top"/>
          </w:tcPr>
          <w:p w14:paraId="65A1447C">
            <w:pPr>
              <w:spacing w:before="154"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0.27</w:t>
            </w:r>
          </w:p>
        </w:tc>
        <w:tc>
          <w:tcPr>
            <w:tcW w:w="849" w:type="dxa"/>
            <w:tcBorders>
              <w:bottom w:val="single" w:color="000000" w:sz="10" w:space="0"/>
            </w:tcBorders>
            <w:vAlign w:val="top"/>
          </w:tcPr>
          <w:p w14:paraId="32FF5B55">
            <w:pPr>
              <w:spacing w:before="154"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0.040</w:t>
            </w:r>
          </w:p>
        </w:tc>
        <w:tc>
          <w:tcPr>
            <w:tcW w:w="1108" w:type="dxa"/>
            <w:tcBorders>
              <w:bottom w:val="single" w:color="000000" w:sz="10" w:space="0"/>
            </w:tcBorders>
            <w:vAlign w:val="top"/>
          </w:tcPr>
          <w:p w14:paraId="225F5BDF">
            <w:pPr>
              <w:spacing w:before="154"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977" w:type="dxa"/>
            <w:tcBorders>
              <w:bottom w:val="single" w:color="000000" w:sz="10" w:space="0"/>
            </w:tcBorders>
            <w:vAlign w:val="top"/>
          </w:tcPr>
          <w:p w14:paraId="3185E8AB">
            <w:pPr>
              <w:spacing w:before="154"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w:t>
            </w:r>
          </w:p>
        </w:tc>
        <w:tc>
          <w:tcPr>
            <w:tcW w:w="1045" w:type="dxa"/>
            <w:tcBorders>
              <w:bottom w:val="single" w:color="000000" w:sz="10" w:space="0"/>
            </w:tcBorders>
            <w:vAlign w:val="top"/>
          </w:tcPr>
          <w:p w14:paraId="325069B4">
            <w:pPr>
              <w:spacing w:before="154"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0.161</w:t>
            </w:r>
          </w:p>
        </w:tc>
        <w:tc>
          <w:tcPr>
            <w:tcW w:w="992" w:type="dxa"/>
            <w:tcBorders>
              <w:bottom w:val="single" w:color="000000" w:sz="10" w:space="0"/>
              <w:right w:val="single" w:color="000000" w:sz="10" w:space="0"/>
            </w:tcBorders>
            <w:vAlign w:val="top"/>
          </w:tcPr>
          <w:p w14:paraId="3B266FF4">
            <w:pPr>
              <w:spacing w:before="154"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bl>
    <w:p w14:paraId="6CABC8D7">
      <w:pPr>
        <w:pStyle w:val="2"/>
      </w:pPr>
    </w:p>
    <w:p w14:paraId="31CFA665">
      <w:pPr>
        <w:sectPr>
          <w:footerReference r:id="rId75" w:type="default"/>
          <w:pgSz w:w="16840" w:h="11907"/>
          <w:pgMar w:top="1132" w:right="1303" w:bottom="1258" w:left="1294" w:header="829" w:footer="1095" w:gutter="0"/>
          <w:cols w:space="720" w:num="1"/>
        </w:sectPr>
      </w:pPr>
    </w:p>
    <w:p w14:paraId="178DC3B5">
      <w:pPr>
        <w:spacing w:before="43"/>
      </w:pPr>
    </w:p>
    <w:p w14:paraId="6CE75E03">
      <w:pPr>
        <w:spacing w:before="42"/>
      </w:pPr>
    </w:p>
    <w:tbl>
      <w:tblPr>
        <w:tblStyle w:val="5"/>
        <w:tblW w:w="1421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20"/>
        <w:gridCol w:w="611"/>
        <w:gridCol w:w="1045"/>
        <w:gridCol w:w="1827"/>
        <w:gridCol w:w="1568"/>
        <w:gridCol w:w="2087"/>
        <w:gridCol w:w="787"/>
        <w:gridCol w:w="849"/>
        <w:gridCol w:w="1108"/>
        <w:gridCol w:w="977"/>
        <w:gridCol w:w="1045"/>
        <w:gridCol w:w="992"/>
      </w:tblGrid>
      <w:tr w14:paraId="7C28F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320" w:type="dxa"/>
            <w:tcBorders>
              <w:top w:val="single" w:color="000000" w:sz="10" w:space="0"/>
              <w:left w:val="single" w:color="000000" w:sz="10" w:space="0"/>
            </w:tcBorders>
            <w:vAlign w:val="top"/>
          </w:tcPr>
          <w:p w14:paraId="29D9D6B4">
            <w:pPr>
              <w:pStyle w:val="6"/>
              <w:spacing w:before="99" w:line="227" w:lineRule="auto"/>
              <w:ind w:left="228"/>
            </w:pPr>
            <w:r>
              <w:rPr>
                <w:b/>
                <w:bCs/>
                <w:spacing w:val="6"/>
              </w:rPr>
              <w:t>采样时间</w:t>
            </w:r>
          </w:p>
        </w:tc>
        <w:tc>
          <w:tcPr>
            <w:tcW w:w="611" w:type="dxa"/>
            <w:tcBorders>
              <w:top w:val="single" w:color="000000" w:sz="10" w:space="0"/>
            </w:tcBorders>
            <w:vAlign w:val="top"/>
          </w:tcPr>
          <w:p w14:paraId="219804E5">
            <w:pPr>
              <w:spacing w:before="138" w:line="194" w:lineRule="auto"/>
              <w:ind w:left="158"/>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pH</w:t>
            </w:r>
          </w:p>
        </w:tc>
        <w:tc>
          <w:tcPr>
            <w:tcW w:w="1045" w:type="dxa"/>
            <w:tcBorders>
              <w:top w:val="single" w:color="000000" w:sz="10" w:space="0"/>
            </w:tcBorders>
            <w:vAlign w:val="top"/>
          </w:tcPr>
          <w:p w14:paraId="23B70DC3">
            <w:pPr>
              <w:pStyle w:val="6"/>
              <w:spacing w:before="99" w:line="227" w:lineRule="auto"/>
              <w:ind w:left="206"/>
            </w:pPr>
            <w:r>
              <w:rPr>
                <w:b/>
                <w:bCs/>
                <w:spacing w:val="4"/>
              </w:rPr>
              <w:t>溶解氧</w:t>
            </w:r>
          </w:p>
        </w:tc>
        <w:tc>
          <w:tcPr>
            <w:tcW w:w="1827" w:type="dxa"/>
            <w:tcBorders>
              <w:top w:val="single" w:color="000000" w:sz="10" w:space="0"/>
            </w:tcBorders>
            <w:vAlign w:val="top"/>
          </w:tcPr>
          <w:p w14:paraId="50170EAB">
            <w:pPr>
              <w:pStyle w:val="6"/>
              <w:spacing w:before="99" w:line="228" w:lineRule="auto"/>
              <w:ind w:left="285"/>
            </w:pPr>
            <w:r>
              <w:rPr>
                <w:b/>
                <w:bCs/>
                <w:spacing w:val="6"/>
              </w:rPr>
              <w:t>高锰酸盐指数</w:t>
            </w:r>
          </w:p>
        </w:tc>
        <w:tc>
          <w:tcPr>
            <w:tcW w:w="1568" w:type="dxa"/>
            <w:tcBorders>
              <w:top w:val="single" w:color="000000" w:sz="10" w:space="0"/>
            </w:tcBorders>
            <w:vAlign w:val="top"/>
          </w:tcPr>
          <w:p w14:paraId="3E34E475">
            <w:pPr>
              <w:pStyle w:val="6"/>
              <w:spacing w:before="99" w:line="227" w:lineRule="auto"/>
              <w:ind w:left="261"/>
            </w:pPr>
            <w:r>
              <w:rPr>
                <w:b/>
                <w:bCs/>
                <w:spacing w:val="6"/>
              </w:rPr>
              <w:t>化学需氧量</w:t>
            </w:r>
          </w:p>
        </w:tc>
        <w:tc>
          <w:tcPr>
            <w:tcW w:w="2087" w:type="dxa"/>
            <w:tcBorders>
              <w:top w:val="single" w:color="000000" w:sz="10" w:space="0"/>
            </w:tcBorders>
            <w:vAlign w:val="top"/>
          </w:tcPr>
          <w:p w14:paraId="4A1310F0">
            <w:pPr>
              <w:pStyle w:val="6"/>
              <w:spacing w:before="99" w:line="227" w:lineRule="auto"/>
              <w:ind w:left="315"/>
            </w:pPr>
            <w:r>
              <w:rPr>
                <w:b/>
                <w:bCs/>
                <w:spacing w:val="6"/>
              </w:rPr>
              <w:t>五日生化需氧量</w:t>
            </w:r>
          </w:p>
        </w:tc>
        <w:tc>
          <w:tcPr>
            <w:tcW w:w="787" w:type="dxa"/>
            <w:tcBorders>
              <w:top w:val="single" w:color="000000" w:sz="10" w:space="0"/>
            </w:tcBorders>
            <w:vAlign w:val="top"/>
          </w:tcPr>
          <w:p w14:paraId="088669F6">
            <w:pPr>
              <w:pStyle w:val="6"/>
              <w:spacing w:before="99" w:line="227" w:lineRule="auto"/>
              <w:ind w:left="190"/>
            </w:pPr>
            <w:r>
              <w:rPr>
                <w:b/>
                <w:bCs/>
                <w:spacing w:val="3"/>
              </w:rPr>
              <w:t>氨氮</w:t>
            </w:r>
          </w:p>
        </w:tc>
        <w:tc>
          <w:tcPr>
            <w:tcW w:w="849" w:type="dxa"/>
            <w:tcBorders>
              <w:top w:val="single" w:color="000000" w:sz="10" w:space="0"/>
            </w:tcBorders>
            <w:vAlign w:val="top"/>
          </w:tcPr>
          <w:p w14:paraId="3C2B6B86">
            <w:pPr>
              <w:pStyle w:val="6"/>
              <w:spacing w:before="99" w:line="228" w:lineRule="auto"/>
              <w:ind w:left="227"/>
            </w:pPr>
            <w:r>
              <w:rPr>
                <w:b/>
                <w:bCs/>
                <w:spacing w:val="1"/>
              </w:rPr>
              <w:t>总磷</w:t>
            </w:r>
          </w:p>
        </w:tc>
        <w:tc>
          <w:tcPr>
            <w:tcW w:w="1108" w:type="dxa"/>
            <w:tcBorders>
              <w:top w:val="single" w:color="000000" w:sz="10" w:space="0"/>
            </w:tcBorders>
            <w:vAlign w:val="top"/>
          </w:tcPr>
          <w:p w14:paraId="14F80BB6">
            <w:pPr>
              <w:pStyle w:val="6"/>
              <w:spacing w:before="99" w:line="229" w:lineRule="auto"/>
              <w:ind w:left="460"/>
            </w:pPr>
            <w:r>
              <w:rPr>
                <w:b/>
                <w:bCs/>
                <w:spacing w:val="-2"/>
              </w:rPr>
              <w:t>铜</w:t>
            </w:r>
          </w:p>
        </w:tc>
        <w:tc>
          <w:tcPr>
            <w:tcW w:w="977" w:type="dxa"/>
            <w:tcBorders>
              <w:top w:val="single" w:color="000000" w:sz="10" w:space="0"/>
            </w:tcBorders>
            <w:vAlign w:val="top"/>
          </w:tcPr>
          <w:p w14:paraId="6D1060C1">
            <w:pPr>
              <w:pStyle w:val="6"/>
              <w:spacing w:before="99" w:line="228" w:lineRule="auto"/>
              <w:ind w:left="395"/>
            </w:pPr>
            <w:r>
              <w:rPr>
                <w:b/>
                <w:bCs/>
                <w:spacing w:val="-1"/>
              </w:rPr>
              <w:t>锌</w:t>
            </w:r>
          </w:p>
        </w:tc>
        <w:tc>
          <w:tcPr>
            <w:tcW w:w="1045" w:type="dxa"/>
            <w:tcBorders>
              <w:top w:val="single" w:color="000000" w:sz="10" w:space="0"/>
            </w:tcBorders>
            <w:vAlign w:val="top"/>
          </w:tcPr>
          <w:p w14:paraId="641C5A8E">
            <w:pPr>
              <w:pStyle w:val="6"/>
              <w:spacing w:before="99" w:line="228" w:lineRule="auto"/>
              <w:ind w:left="224"/>
            </w:pPr>
            <w:r>
              <w:rPr>
                <w:b/>
                <w:bCs/>
                <w:spacing w:val="5"/>
              </w:rPr>
              <w:t>氟化物</w:t>
            </w:r>
          </w:p>
        </w:tc>
        <w:tc>
          <w:tcPr>
            <w:tcW w:w="992" w:type="dxa"/>
            <w:tcBorders>
              <w:top w:val="single" w:color="000000" w:sz="10" w:space="0"/>
              <w:right w:val="single" w:color="000000" w:sz="10" w:space="0"/>
            </w:tcBorders>
            <w:vAlign w:val="top"/>
          </w:tcPr>
          <w:p w14:paraId="090B5285">
            <w:pPr>
              <w:pStyle w:val="6"/>
              <w:spacing w:before="98" w:line="231" w:lineRule="auto"/>
              <w:ind w:left="400"/>
            </w:pPr>
            <w:r>
              <w:rPr>
                <w:b/>
                <w:bCs/>
              </w:rPr>
              <w:t>硒</w:t>
            </w:r>
          </w:p>
        </w:tc>
      </w:tr>
      <w:tr w14:paraId="7DEDA4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320" w:type="dxa"/>
            <w:tcBorders>
              <w:left w:val="single" w:color="000000" w:sz="10" w:space="0"/>
            </w:tcBorders>
            <w:vAlign w:val="top"/>
          </w:tcPr>
          <w:p w14:paraId="522E2AD2">
            <w:pPr>
              <w:spacing w:before="131"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2024-10</w:t>
            </w:r>
          </w:p>
        </w:tc>
        <w:tc>
          <w:tcPr>
            <w:tcW w:w="611" w:type="dxa"/>
            <w:vAlign w:val="top"/>
          </w:tcPr>
          <w:p w14:paraId="4AEC89F0">
            <w:pPr>
              <w:spacing w:before="131" w:line="195"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45" w:type="dxa"/>
            <w:vAlign w:val="top"/>
          </w:tcPr>
          <w:p w14:paraId="19E40FD7">
            <w:pPr>
              <w:spacing w:before="131"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c>
          <w:tcPr>
            <w:tcW w:w="1827" w:type="dxa"/>
            <w:vAlign w:val="top"/>
          </w:tcPr>
          <w:p w14:paraId="2F5D5C9B">
            <w:pPr>
              <w:spacing w:before="131"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1568" w:type="dxa"/>
            <w:vAlign w:val="top"/>
          </w:tcPr>
          <w:p w14:paraId="4445D1AD">
            <w:pPr>
              <w:spacing w:before="131"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13.0</w:t>
            </w:r>
          </w:p>
        </w:tc>
        <w:tc>
          <w:tcPr>
            <w:tcW w:w="2087" w:type="dxa"/>
            <w:vAlign w:val="top"/>
          </w:tcPr>
          <w:p w14:paraId="29DA2863">
            <w:pPr>
              <w:spacing w:before="131" w:line="195" w:lineRule="auto"/>
              <w:ind w:left="93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1.1</w:t>
            </w:r>
          </w:p>
        </w:tc>
        <w:tc>
          <w:tcPr>
            <w:tcW w:w="787" w:type="dxa"/>
            <w:vAlign w:val="top"/>
          </w:tcPr>
          <w:p w14:paraId="3DFDE87E">
            <w:pPr>
              <w:spacing w:before="131"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0.14</w:t>
            </w:r>
          </w:p>
        </w:tc>
        <w:tc>
          <w:tcPr>
            <w:tcW w:w="849" w:type="dxa"/>
            <w:vAlign w:val="top"/>
          </w:tcPr>
          <w:p w14:paraId="7CB22332">
            <w:pPr>
              <w:spacing w:before="131"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0.030</w:t>
            </w:r>
          </w:p>
        </w:tc>
        <w:tc>
          <w:tcPr>
            <w:tcW w:w="1108" w:type="dxa"/>
            <w:vAlign w:val="top"/>
          </w:tcPr>
          <w:p w14:paraId="5EE53AB4">
            <w:pPr>
              <w:spacing w:before="131"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977" w:type="dxa"/>
            <w:vAlign w:val="top"/>
          </w:tcPr>
          <w:p w14:paraId="1E0FD915">
            <w:pPr>
              <w:spacing w:before="131"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w:t>
            </w:r>
          </w:p>
        </w:tc>
        <w:tc>
          <w:tcPr>
            <w:tcW w:w="1045" w:type="dxa"/>
            <w:vAlign w:val="top"/>
          </w:tcPr>
          <w:p w14:paraId="1ED03B0A">
            <w:pPr>
              <w:spacing w:before="131"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0.091</w:t>
            </w:r>
          </w:p>
        </w:tc>
        <w:tc>
          <w:tcPr>
            <w:tcW w:w="992" w:type="dxa"/>
            <w:tcBorders>
              <w:right w:val="single" w:color="000000" w:sz="10" w:space="0"/>
            </w:tcBorders>
            <w:vAlign w:val="top"/>
          </w:tcPr>
          <w:p w14:paraId="5F221811">
            <w:pPr>
              <w:spacing w:before="131"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52F9D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320" w:type="dxa"/>
            <w:tcBorders>
              <w:left w:val="single" w:color="000000" w:sz="10" w:space="0"/>
            </w:tcBorders>
            <w:vAlign w:val="top"/>
          </w:tcPr>
          <w:p w14:paraId="224E7F97">
            <w:pPr>
              <w:spacing w:before="135"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2024-11</w:t>
            </w:r>
          </w:p>
        </w:tc>
        <w:tc>
          <w:tcPr>
            <w:tcW w:w="611" w:type="dxa"/>
            <w:vAlign w:val="top"/>
          </w:tcPr>
          <w:p w14:paraId="37794D05">
            <w:pPr>
              <w:spacing w:before="135" w:line="195"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45" w:type="dxa"/>
            <w:vAlign w:val="top"/>
          </w:tcPr>
          <w:p w14:paraId="1329B361">
            <w:pPr>
              <w:spacing w:before="135"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8.1</w:t>
            </w:r>
          </w:p>
        </w:tc>
        <w:tc>
          <w:tcPr>
            <w:tcW w:w="1827" w:type="dxa"/>
            <w:vAlign w:val="top"/>
          </w:tcPr>
          <w:p w14:paraId="189C5F4D">
            <w:pPr>
              <w:spacing w:before="135" w:line="195" w:lineRule="auto"/>
              <w:ind w:left="7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1.9</w:t>
            </w:r>
          </w:p>
        </w:tc>
        <w:tc>
          <w:tcPr>
            <w:tcW w:w="1568" w:type="dxa"/>
            <w:vAlign w:val="top"/>
          </w:tcPr>
          <w:p w14:paraId="7D192670">
            <w:pPr>
              <w:spacing w:before="135" w:line="195" w:lineRule="auto"/>
              <w:ind w:left="6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9.0</w:t>
            </w:r>
          </w:p>
        </w:tc>
        <w:tc>
          <w:tcPr>
            <w:tcW w:w="2087" w:type="dxa"/>
            <w:vAlign w:val="top"/>
          </w:tcPr>
          <w:p w14:paraId="0511A8AA">
            <w:pPr>
              <w:spacing w:before="135" w:line="195" w:lineRule="auto"/>
              <w:ind w:left="9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0.9</w:t>
            </w:r>
          </w:p>
        </w:tc>
        <w:tc>
          <w:tcPr>
            <w:tcW w:w="787" w:type="dxa"/>
            <w:vAlign w:val="top"/>
          </w:tcPr>
          <w:p w14:paraId="0537CA56">
            <w:pPr>
              <w:spacing w:before="135"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849" w:type="dxa"/>
            <w:vAlign w:val="top"/>
          </w:tcPr>
          <w:p w14:paraId="742DAF6D">
            <w:pPr>
              <w:spacing w:before="135"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0.030</w:t>
            </w:r>
          </w:p>
        </w:tc>
        <w:tc>
          <w:tcPr>
            <w:tcW w:w="1108" w:type="dxa"/>
            <w:vAlign w:val="top"/>
          </w:tcPr>
          <w:p w14:paraId="412D3963">
            <w:pPr>
              <w:spacing w:before="135"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0.015</w:t>
            </w:r>
          </w:p>
        </w:tc>
        <w:tc>
          <w:tcPr>
            <w:tcW w:w="977" w:type="dxa"/>
            <w:vAlign w:val="top"/>
          </w:tcPr>
          <w:p w14:paraId="30B36CE0">
            <w:pPr>
              <w:spacing w:before="135"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0.042</w:t>
            </w:r>
          </w:p>
        </w:tc>
        <w:tc>
          <w:tcPr>
            <w:tcW w:w="1045" w:type="dxa"/>
            <w:vAlign w:val="top"/>
          </w:tcPr>
          <w:p w14:paraId="7964B1F3">
            <w:pPr>
              <w:spacing w:before="135"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0.154</w:t>
            </w:r>
          </w:p>
        </w:tc>
        <w:tc>
          <w:tcPr>
            <w:tcW w:w="992" w:type="dxa"/>
            <w:tcBorders>
              <w:right w:val="single" w:color="000000" w:sz="10" w:space="0"/>
            </w:tcBorders>
            <w:vAlign w:val="top"/>
          </w:tcPr>
          <w:p w14:paraId="48E8838F">
            <w:pPr>
              <w:spacing w:before="135"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380B6A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320" w:type="dxa"/>
            <w:tcBorders>
              <w:left w:val="single" w:color="000000" w:sz="10" w:space="0"/>
            </w:tcBorders>
            <w:vAlign w:val="top"/>
          </w:tcPr>
          <w:p w14:paraId="589254E8">
            <w:pPr>
              <w:spacing w:before="137"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2024-12</w:t>
            </w:r>
          </w:p>
        </w:tc>
        <w:tc>
          <w:tcPr>
            <w:tcW w:w="611" w:type="dxa"/>
            <w:vAlign w:val="top"/>
          </w:tcPr>
          <w:p w14:paraId="74FD1FB6">
            <w:pPr>
              <w:spacing w:before="137" w:line="195"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45" w:type="dxa"/>
            <w:vAlign w:val="top"/>
          </w:tcPr>
          <w:p w14:paraId="7527AEBF">
            <w:pPr>
              <w:spacing w:before="137" w:line="195" w:lineRule="auto"/>
              <w:ind w:left="393"/>
              <w:rPr>
                <w:rFonts w:ascii="Times New Roman" w:hAnsi="Times New Roman" w:eastAsia="Times New Roman" w:cs="Times New Roman"/>
                <w:sz w:val="20"/>
                <w:szCs w:val="20"/>
              </w:rPr>
            </w:pPr>
            <w:r>
              <w:rPr>
                <w:rFonts w:ascii="Times New Roman" w:hAnsi="Times New Roman" w:eastAsia="Times New Roman" w:cs="Times New Roman"/>
                <w:sz w:val="20"/>
                <w:szCs w:val="20"/>
              </w:rPr>
              <w:t>8.8</w:t>
            </w:r>
          </w:p>
        </w:tc>
        <w:tc>
          <w:tcPr>
            <w:tcW w:w="1827" w:type="dxa"/>
            <w:vAlign w:val="top"/>
          </w:tcPr>
          <w:p w14:paraId="028EE09E">
            <w:pPr>
              <w:spacing w:before="137" w:line="195" w:lineRule="auto"/>
              <w:ind w:left="7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p>
        </w:tc>
        <w:tc>
          <w:tcPr>
            <w:tcW w:w="1568" w:type="dxa"/>
            <w:vAlign w:val="top"/>
          </w:tcPr>
          <w:p w14:paraId="6802DC7C">
            <w:pPr>
              <w:spacing w:before="137" w:line="195" w:lineRule="auto"/>
              <w:ind w:left="660"/>
              <w:rPr>
                <w:rFonts w:ascii="Times New Roman" w:hAnsi="Times New Roman" w:eastAsia="Times New Roman" w:cs="Times New Roman"/>
                <w:sz w:val="20"/>
                <w:szCs w:val="20"/>
              </w:rPr>
            </w:pPr>
            <w:r>
              <w:rPr>
                <w:rFonts w:ascii="Times New Roman" w:hAnsi="Times New Roman" w:eastAsia="Times New Roman" w:cs="Times New Roman"/>
                <w:sz w:val="20"/>
                <w:szCs w:val="20"/>
              </w:rPr>
              <w:t>8.0</w:t>
            </w:r>
          </w:p>
        </w:tc>
        <w:tc>
          <w:tcPr>
            <w:tcW w:w="2087" w:type="dxa"/>
            <w:vAlign w:val="top"/>
          </w:tcPr>
          <w:p w14:paraId="405AF984">
            <w:pPr>
              <w:spacing w:before="137" w:line="195" w:lineRule="auto"/>
              <w:ind w:left="9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0.7</w:t>
            </w:r>
          </w:p>
        </w:tc>
        <w:tc>
          <w:tcPr>
            <w:tcW w:w="787" w:type="dxa"/>
            <w:vAlign w:val="top"/>
          </w:tcPr>
          <w:p w14:paraId="1AE2DB8B">
            <w:pPr>
              <w:spacing w:before="137"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w:t>
            </w:r>
          </w:p>
        </w:tc>
        <w:tc>
          <w:tcPr>
            <w:tcW w:w="849" w:type="dxa"/>
            <w:vAlign w:val="top"/>
          </w:tcPr>
          <w:p w14:paraId="19463C03">
            <w:pPr>
              <w:spacing w:before="137"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0.040</w:t>
            </w:r>
          </w:p>
        </w:tc>
        <w:tc>
          <w:tcPr>
            <w:tcW w:w="1108" w:type="dxa"/>
            <w:vAlign w:val="top"/>
          </w:tcPr>
          <w:p w14:paraId="5181545B">
            <w:pPr>
              <w:spacing w:before="137"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977" w:type="dxa"/>
            <w:vAlign w:val="top"/>
          </w:tcPr>
          <w:p w14:paraId="0BAE3EF7">
            <w:pPr>
              <w:spacing w:before="137"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0.004</w:t>
            </w:r>
          </w:p>
        </w:tc>
        <w:tc>
          <w:tcPr>
            <w:tcW w:w="1045" w:type="dxa"/>
            <w:vAlign w:val="top"/>
          </w:tcPr>
          <w:p w14:paraId="1FB172D1">
            <w:pPr>
              <w:spacing w:before="137"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0.087</w:t>
            </w:r>
          </w:p>
        </w:tc>
        <w:tc>
          <w:tcPr>
            <w:tcW w:w="992" w:type="dxa"/>
            <w:tcBorders>
              <w:right w:val="single" w:color="000000" w:sz="10" w:space="0"/>
            </w:tcBorders>
            <w:vAlign w:val="top"/>
          </w:tcPr>
          <w:p w14:paraId="00040B40">
            <w:pPr>
              <w:spacing w:before="137"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790EF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320" w:type="dxa"/>
            <w:tcBorders>
              <w:left w:val="single" w:color="000000" w:sz="10" w:space="0"/>
            </w:tcBorders>
            <w:vAlign w:val="top"/>
          </w:tcPr>
          <w:p w14:paraId="1C280975">
            <w:pPr>
              <w:spacing w:before="141"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2025-01</w:t>
            </w:r>
          </w:p>
        </w:tc>
        <w:tc>
          <w:tcPr>
            <w:tcW w:w="611" w:type="dxa"/>
            <w:vAlign w:val="top"/>
          </w:tcPr>
          <w:p w14:paraId="2564CA77">
            <w:pPr>
              <w:spacing w:before="141" w:line="195"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45" w:type="dxa"/>
            <w:vAlign w:val="top"/>
          </w:tcPr>
          <w:p w14:paraId="71D11018">
            <w:pPr>
              <w:spacing w:before="141"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tc>
        <w:tc>
          <w:tcPr>
            <w:tcW w:w="1827" w:type="dxa"/>
            <w:vAlign w:val="top"/>
          </w:tcPr>
          <w:p w14:paraId="506F0C79">
            <w:pPr>
              <w:spacing w:before="141" w:line="195" w:lineRule="auto"/>
              <w:ind w:left="7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568" w:type="dxa"/>
            <w:vAlign w:val="top"/>
          </w:tcPr>
          <w:p w14:paraId="4A43638D">
            <w:pPr>
              <w:spacing w:before="141" w:line="195" w:lineRule="auto"/>
              <w:ind w:left="65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2087" w:type="dxa"/>
            <w:vAlign w:val="top"/>
          </w:tcPr>
          <w:p w14:paraId="4B514CD0">
            <w:pPr>
              <w:spacing w:before="141" w:line="195" w:lineRule="auto"/>
              <w:ind w:left="9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787" w:type="dxa"/>
            <w:vAlign w:val="top"/>
          </w:tcPr>
          <w:p w14:paraId="51F74404">
            <w:pPr>
              <w:spacing w:before="141"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0.16</w:t>
            </w:r>
          </w:p>
        </w:tc>
        <w:tc>
          <w:tcPr>
            <w:tcW w:w="849" w:type="dxa"/>
            <w:vAlign w:val="top"/>
          </w:tcPr>
          <w:p w14:paraId="32B300E6">
            <w:pPr>
              <w:spacing w:before="141"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0.040</w:t>
            </w:r>
          </w:p>
        </w:tc>
        <w:tc>
          <w:tcPr>
            <w:tcW w:w="1108" w:type="dxa"/>
            <w:vAlign w:val="top"/>
          </w:tcPr>
          <w:p w14:paraId="1FA261C5">
            <w:pPr>
              <w:spacing w:before="141"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0.031</w:t>
            </w:r>
          </w:p>
        </w:tc>
        <w:tc>
          <w:tcPr>
            <w:tcW w:w="977" w:type="dxa"/>
            <w:vAlign w:val="top"/>
          </w:tcPr>
          <w:p w14:paraId="5936F678">
            <w:pPr>
              <w:spacing w:before="141"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0.003</w:t>
            </w:r>
          </w:p>
        </w:tc>
        <w:tc>
          <w:tcPr>
            <w:tcW w:w="1045" w:type="dxa"/>
            <w:vAlign w:val="top"/>
          </w:tcPr>
          <w:p w14:paraId="795C6C3D">
            <w:pPr>
              <w:spacing w:before="141"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0.131</w:t>
            </w:r>
          </w:p>
        </w:tc>
        <w:tc>
          <w:tcPr>
            <w:tcW w:w="992" w:type="dxa"/>
            <w:tcBorders>
              <w:right w:val="single" w:color="000000" w:sz="10" w:space="0"/>
            </w:tcBorders>
            <w:vAlign w:val="top"/>
          </w:tcPr>
          <w:p w14:paraId="5543F668">
            <w:pPr>
              <w:spacing w:before="141"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64486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320" w:type="dxa"/>
            <w:tcBorders>
              <w:left w:val="single" w:color="000000" w:sz="10" w:space="0"/>
            </w:tcBorders>
            <w:vAlign w:val="top"/>
          </w:tcPr>
          <w:p w14:paraId="0DBE02B7">
            <w:pPr>
              <w:spacing w:before="143"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2025-02</w:t>
            </w:r>
          </w:p>
        </w:tc>
        <w:tc>
          <w:tcPr>
            <w:tcW w:w="611" w:type="dxa"/>
            <w:vAlign w:val="top"/>
          </w:tcPr>
          <w:p w14:paraId="3B59B43D">
            <w:pPr>
              <w:spacing w:before="143" w:line="195"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45" w:type="dxa"/>
            <w:vAlign w:val="top"/>
          </w:tcPr>
          <w:p w14:paraId="6B81618C">
            <w:pPr>
              <w:spacing w:before="143" w:line="195"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9.7</w:t>
            </w:r>
          </w:p>
        </w:tc>
        <w:tc>
          <w:tcPr>
            <w:tcW w:w="1827" w:type="dxa"/>
            <w:vAlign w:val="top"/>
          </w:tcPr>
          <w:p w14:paraId="298AEF12">
            <w:pPr>
              <w:spacing w:before="143"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568" w:type="dxa"/>
            <w:vAlign w:val="top"/>
          </w:tcPr>
          <w:p w14:paraId="22F6D7E3">
            <w:pPr>
              <w:spacing w:before="143"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11.0</w:t>
            </w:r>
          </w:p>
        </w:tc>
        <w:tc>
          <w:tcPr>
            <w:tcW w:w="2087" w:type="dxa"/>
            <w:vAlign w:val="top"/>
          </w:tcPr>
          <w:p w14:paraId="1F0F6546">
            <w:pPr>
              <w:spacing w:before="143" w:line="195" w:lineRule="auto"/>
              <w:ind w:left="9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0.9</w:t>
            </w:r>
          </w:p>
        </w:tc>
        <w:tc>
          <w:tcPr>
            <w:tcW w:w="787" w:type="dxa"/>
            <w:vAlign w:val="top"/>
          </w:tcPr>
          <w:p w14:paraId="139CEE30">
            <w:pPr>
              <w:spacing w:before="143"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0.24</w:t>
            </w:r>
          </w:p>
        </w:tc>
        <w:tc>
          <w:tcPr>
            <w:tcW w:w="849" w:type="dxa"/>
            <w:vAlign w:val="top"/>
          </w:tcPr>
          <w:p w14:paraId="3580CC07">
            <w:pPr>
              <w:spacing w:before="143"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0.030</w:t>
            </w:r>
          </w:p>
        </w:tc>
        <w:tc>
          <w:tcPr>
            <w:tcW w:w="1108" w:type="dxa"/>
            <w:vAlign w:val="top"/>
          </w:tcPr>
          <w:p w14:paraId="7B9CBA42">
            <w:pPr>
              <w:spacing w:before="143"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0.037</w:t>
            </w:r>
          </w:p>
        </w:tc>
        <w:tc>
          <w:tcPr>
            <w:tcW w:w="977" w:type="dxa"/>
            <w:vAlign w:val="top"/>
          </w:tcPr>
          <w:p w14:paraId="4035E171">
            <w:pPr>
              <w:spacing w:before="143"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0.007</w:t>
            </w:r>
          </w:p>
        </w:tc>
        <w:tc>
          <w:tcPr>
            <w:tcW w:w="1045" w:type="dxa"/>
            <w:vAlign w:val="top"/>
          </w:tcPr>
          <w:p w14:paraId="6C6D7AC9">
            <w:pPr>
              <w:spacing w:before="143"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0.153</w:t>
            </w:r>
          </w:p>
        </w:tc>
        <w:tc>
          <w:tcPr>
            <w:tcW w:w="992" w:type="dxa"/>
            <w:tcBorders>
              <w:right w:val="single" w:color="000000" w:sz="10" w:space="0"/>
            </w:tcBorders>
            <w:vAlign w:val="top"/>
          </w:tcPr>
          <w:p w14:paraId="0AB5C144">
            <w:pPr>
              <w:spacing w:before="143"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43197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320" w:type="dxa"/>
            <w:tcBorders>
              <w:left w:val="single" w:color="000000" w:sz="10" w:space="0"/>
            </w:tcBorders>
            <w:vAlign w:val="top"/>
          </w:tcPr>
          <w:p w14:paraId="69EAA3A6">
            <w:pPr>
              <w:spacing w:before="146"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2025-03</w:t>
            </w:r>
          </w:p>
        </w:tc>
        <w:tc>
          <w:tcPr>
            <w:tcW w:w="611" w:type="dxa"/>
            <w:vAlign w:val="top"/>
          </w:tcPr>
          <w:p w14:paraId="5697AEE5">
            <w:pPr>
              <w:spacing w:before="146" w:line="195"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45" w:type="dxa"/>
            <w:vAlign w:val="top"/>
          </w:tcPr>
          <w:p w14:paraId="617567A6">
            <w:pPr>
              <w:spacing w:before="146" w:line="195"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9.5</w:t>
            </w:r>
          </w:p>
        </w:tc>
        <w:tc>
          <w:tcPr>
            <w:tcW w:w="1827" w:type="dxa"/>
            <w:vAlign w:val="top"/>
          </w:tcPr>
          <w:p w14:paraId="05995711">
            <w:pPr>
              <w:spacing w:before="146" w:line="195" w:lineRule="auto"/>
              <w:ind w:left="7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1568" w:type="dxa"/>
            <w:vAlign w:val="top"/>
          </w:tcPr>
          <w:p w14:paraId="5D619C27">
            <w:pPr>
              <w:spacing w:before="146"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2087" w:type="dxa"/>
            <w:vAlign w:val="top"/>
          </w:tcPr>
          <w:p w14:paraId="66E0C3FB">
            <w:pPr>
              <w:spacing w:before="146" w:line="195" w:lineRule="auto"/>
              <w:ind w:left="9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0.9</w:t>
            </w:r>
          </w:p>
        </w:tc>
        <w:tc>
          <w:tcPr>
            <w:tcW w:w="787" w:type="dxa"/>
            <w:vAlign w:val="top"/>
          </w:tcPr>
          <w:p w14:paraId="6E77F667">
            <w:pPr>
              <w:spacing w:before="146"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0.18</w:t>
            </w:r>
          </w:p>
        </w:tc>
        <w:tc>
          <w:tcPr>
            <w:tcW w:w="849" w:type="dxa"/>
            <w:vAlign w:val="top"/>
          </w:tcPr>
          <w:p w14:paraId="3A4420CE">
            <w:pPr>
              <w:spacing w:before="146"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0.030</w:t>
            </w:r>
          </w:p>
        </w:tc>
        <w:tc>
          <w:tcPr>
            <w:tcW w:w="1108" w:type="dxa"/>
            <w:vAlign w:val="top"/>
          </w:tcPr>
          <w:p w14:paraId="59384471">
            <w:pPr>
              <w:spacing w:before="146"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0.108</w:t>
            </w:r>
          </w:p>
        </w:tc>
        <w:tc>
          <w:tcPr>
            <w:tcW w:w="977" w:type="dxa"/>
            <w:vAlign w:val="top"/>
          </w:tcPr>
          <w:p w14:paraId="0B2305CB">
            <w:pPr>
              <w:spacing w:before="146"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0.006</w:t>
            </w:r>
          </w:p>
        </w:tc>
        <w:tc>
          <w:tcPr>
            <w:tcW w:w="1045" w:type="dxa"/>
            <w:vAlign w:val="top"/>
          </w:tcPr>
          <w:p w14:paraId="12A9CE18">
            <w:pPr>
              <w:spacing w:before="146"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0.088</w:t>
            </w:r>
          </w:p>
        </w:tc>
        <w:tc>
          <w:tcPr>
            <w:tcW w:w="992" w:type="dxa"/>
            <w:tcBorders>
              <w:right w:val="single" w:color="000000" w:sz="10" w:space="0"/>
            </w:tcBorders>
            <w:vAlign w:val="top"/>
          </w:tcPr>
          <w:p w14:paraId="49195F87">
            <w:pPr>
              <w:spacing w:before="146"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50BC1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320" w:type="dxa"/>
            <w:tcBorders>
              <w:left w:val="single" w:color="000000" w:sz="10" w:space="0"/>
            </w:tcBorders>
            <w:vAlign w:val="top"/>
          </w:tcPr>
          <w:p w14:paraId="6AC7F467">
            <w:pPr>
              <w:spacing w:before="150" w:line="195" w:lineRule="auto"/>
              <w:ind w:left="2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2025-04</w:t>
            </w:r>
          </w:p>
        </w:tc>
        <w:tc>
          <w:tcPr>
            <w:tcW w:w="611" w:type="dxa"/>
            <w:vAlign w:val="top"/>
          </w:tcPr>
          <w:p w14:paraId="51468A60">
            <w:pPr>
              <w:spacing w:before="153" w:line="192" w:lineRule="auto"/>
              <w:ind w:left="24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045" w:type="dxa"/>
            <w:vAlign w:val="top"/>
          </w:tcPr>
          <w:p w14:paraId="134634F0">
            <w:pPr>
              <w:spacing w:before="150" w:line="195"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9.4</w:t>
            </w:r>
          </w:p>
        </w:tc>
        <w:tc>
          <w:tcPr>
            <w:tcW w:w="1827" w:type="dxa"/>
            <w:vAlign w:val="top"/>
          </w:tcPr>
          <w:p w14:paraId="0FB35226">
            <w:pPr>
              <w:spacing w:before="150"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568" w:type="dxa"/>
            <w:vAlign w:val="top"/>
          </w:tcPr>
          <w:p w14:paraId="0527CE79">
            <w:pPr>
              <w:spacing w:before="150"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c>
          <w:tcPr>
            <w:tcW w:w="2087" w:type="dxa"/>
            <w:vAlign w:val="top"/>
          </w:tcPr>
          <w:p w14:paraId="3B5C0CFA">
            <w:pPr>
              <w:spacing w:before="150" w:line="195" w:lineRule="auto"/>
              <w:ind w:left="93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787" w:type="dxa"/>
            <w:vAlign w:val="top"/>
          </w:tcPr>
          <w:p w14:paraId="52250AC3">
            <w:pPr>
              <w:spacing w:before="150"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w:t>
            </w:r>
          </w:p>
        </w:tc>
        <w:tc>
          <w:tcPr>
            <w:tcW w:w="849" w:type="dxa"/>
            <w:vAlign w:val="top"/>
          </w:tcPr>
          <w:p w14:paraId="14D16177">
            <w:pPr>
              <w:spacing w:before="150"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0.040</w:t>
            </w:r>
          </w:p>
        </w:tc>
        <w:tc>
          <w:tcPr>
            <w:tcW w:w="1108" w:type="dxa"/>
            <w:vAlign w:val="top"/>
          </w:tcPr>
          <w:p w14:paraId="7E86AB89">
            <w:pPr>
              <w:spacing w:before="150"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0.027</w:t>
            </w:r>
          </w:p>
        </w:tc>
        <w:tc>
          <w:tcPr>
            <w:tcW w:w="977" w:type="dxa"/>
            <w:vAlign w:val="top"/>
          </w:tcPr>
          <w:p w14:paraId="7E2A910B">
            <w:pPr>
              <w:spacing w:before="150"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w:t>
            </w:r>
          </w:p>
        </w:tc>
        <w:tc>
          <w:tcPr>
            <w:tcW w:w="1045" w:type="dxa"/>
            <w:vAlign w:val="top"/>
          </w:tcPr>
          <w:p w14:paraId="7812C5A1">
            <w:pPr>
              <w:spacing w:before="150"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0.103</w:t>
            </w:r>
          </w:p>
        </w:tc>
        <w:tc>
          <w:tcPr>
            <w:tcW w:w="992" w:type="dxa"/>
            <w:tcBorders>
              <w:right w:val="single" w:color="000000" w:sz="10" w:space="0"/>
            </w:tcBorders>
            <w:vAlign w:val="top"/>
          </w:tcPr>
          <w:p w14:paraId="2CAFF6CE">
            <w:pPr>
              <w:spacing w:before="150"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r w14:paraId="01058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1320" w:type="dxa"/>
            <w:tcBorders>
              <w:left w:val="single" w:color="000000" w:sz="10" w:space="0"/>
              <w:bottom w:val="single" w:color="000000" w:sz="10" w:space="0"/>
            </w:tcBorders>
            <w:vAlign w:val="top"/>
          </w:tcPr>
          <w:p w14:paraId="6A3F2085">
            <w:pPr>
              <w:pStyle w:val="6"/>
              <w:spacing w:before="115" w:line="228" w:lineRule="auto"/>
              <w:ind w:left="336"/>
            </w:pPr>
            <w:r>
              <w:rPr>
                <w:spacing w:val="7"/>
              </w:rPr>
              <w:t>平均值</w:t>
            </w:r>
          </w:p>
        </w:tc>
        <w:tc>
          <w:tcPr>
            <w:tcW w:w="611" w:type="dxa"/>
            <w:tcBorders>
              <w:bottom w:val="single" w:color="000000" w:sz="10" w:space="0"/>
            </w:tcBorders>
            <w:vAlign w:val="top"/>
          </w:tcPr>
          <w:p w14:paraId="06748121">
            <w:pPr>
              <w:spacing w:before="151" w:line="195" w:lineRule="auto"/>
              <w:ind w:left="25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045" w:type="dxa"/>
            <w:tcBorders>
              <w:bottom w:val="single" w:color="000000" w:sz="10" w:space="0"/>
            </w:tcBorders>
            <w:vAlign w:val="top"/>
          </w:tcPr>
          <w:p w14:paraId="066FF739">
            <w:pPr>
              <w:spacing w:before="151" w:line="195" w:lineRule="auto"/>
              <w:ind w:left="393"/>
              <w:rPr>
                <w:rFonts w:ascii="Times New Roman" w:hAnsi="Times New Roman" w:eastAsia="Times New Roman" w:cs="Times New Roman"/>
                <w:sz w:val="20"/>
                <w:szCs w:val="20"/>
              </w:rPr>
            </w:pPr>
            <w:r>
              <w:rPr>
                <w:rFonts w:ascii="Times New Roman" w:hAnsi="Times New Roman" w:eastAsia="Times New Roman" w:cs="Times New Roman"/>
                <w:sz w:val="20"/>
                <w:szCs w:val="20"/>
              </w:rPr>
              <w:t>8.7</w:t>
            </w:r>
          </w:p>
        </w:tc>
        <w:tc>
          <w:tcPr>
            <w:tcW w:w="1827" w:type="dxa"/>
            <w:tcBorders>
              <w:bottom w:val="single" w:color="000000" w:sz="10" w:space="0"/>
            </w:tcBorders>
            <w:vAlign w:val="top"/>
          </w:tcPr>
          <w:p w14:paraId="578C9252">
            <w:pPr>
              <w:spacing w:before="151" w:line="195" w:lineRule="auto"/>
              <w:ind w:left="7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568" w:type="dxa"/>
            <w:tcBorders>
              <w:bottom w:val="single" w:color="000000" w:sz="10" w:space="0"/>
            </w:tcBorders>
            <w:vAlign w:val="top"/>
          </w:tcPr>
          <w:p w14:paraId="576F7199">
            <w:pPr>
              <w:spacing w:before="151"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10.3</w:t>
            </w:r>
          </w:p>
        </w:tc>
        <w:tc>
          <w:tcPr>
            <w:tcW w:w="2087" w:type="dxa"/>
            <w:tcBorders>
              <w:bottom w:val="single" w:color="000000" w:sz="10" w:space="0"/>
            </w:tcBorders>
            <w:vAlign w:val="top"/>
          </w:tcPr>
          <w:p w14:paraId="5F907C67">
            <w:pPr>
              <w:spacing w:before="151" w:line="195" w:lineRule="auto"/>
              <w:ind w:left="91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0.9</w:t>
            </w:r>
          </w:p>
        </w:tc>
        <w:tc>
          <w:tcPr>
            <w:tcW w:w="787" w:type="dxa"/>
            <w:tcBorders>
              <w:bottom w:val="single" w:color="000000" w:sz="10" w:space="0"/>
            </w:tcBorders>
            <w:vAlign w:val="top"/>
          </w:tcPr>
          <w:p w14:paraId="7562E9B7">
            <w:pPr>
              <w:spacing w:before="151"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0.22</w:t>
            </w:r>
          </w:p>
        </w:tc>
        <w:tc>
          <w:tcPr>
            <w:tcW w:w="849" w:type="dxa"/>
            <w:tcBorders>
              <w:bottom w:val="single" w:color="000000" w:sz="10" w:space="0"/>
            </w:tcBorders>
            <w:vAlign w:val="top"/>
          </w:tcPr>
          <w:p w14:paraId="1D7D8953">
            <w:pPr>
              <w:spacing w:before="151"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0.049</w:t>
            </w:r>
          </w:p>
        </w:tc>
        <w:tc>
          <w:tcPr>
            <w:tcW w:w="1108" w:type="dxa"/>
            <w:tcBorders>
              <w:bottom w:val="single" w:color="000000" w:sz="10" w:space="0"/>
            </w:tcBorders>
            <w:vAlign w:val="top"/>
          </w:tcPr>
          <w:p w14:paraId="35014D0B">
            <w:pPr>
              <w:spacing w:before="151"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0.011</w:t>
            </w:r>
          </w:p>
        </w:tc>
        <w:tc>
          <w:tcPr>
            <w:tcW w:w="977" w:type="dxa"/>
            <w:tcBorders>
              <w:bottom w:val="single" w:color="000000" w:sz="10" w:space="0"/>
            </w:tcBorders>
            <w:vAlign w:val="top"/>
          </w:tcPr>
          <w:p w14:paraId="1001AACF">
            <w:pPr>
              <w:spacing w:before="151"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045" w:type="dxa"/>
            <w:tcBorders>
              <w:bottom w:val="single" w:color="000000" w:sz="10" w:space="0"/>
            </w:tcBorders>
            <w:vAlign w:val="top"/>
          </w:tcPr>
          <w:p w14:paraId="242AF144">
            <w:pPr>
              <w:spacing w:before="151" w:line="195" w:lineRule="auto"/>
              <w:ind w:left="3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0.139</w:t>
            </w:r>
          </w:p>
        </w:tc>
        <w:tc>
          <w:tcPr>
            <w:tcW w:w="992" w:type="dxa"/>
            <w:tcBorders>
              <w:bottom w:val="single" w:color="000000" w:sz="10" w:space="0"/>
              <w:right w:val="single" w:color="000000" w:sz="10" w:space="0"/>
            </w:tcBorders>
            <w:vAlign w:val="top"/>
          </w:tcPr>
          <w:p w14:paraId="627B93EE">
            <w:pPr>
              <w:spacing w:before="151" w:line="195" w:lineRule="auto"/>
              <w:ind w:left="2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r>
    </w:tbl>
    <w:p w14:paraId="114A0300">
      <w:pPr>
        <w:spacing w:before="156" w:line="212" w:lineRule="auto"/>
        <w:ind w:left="2990"/>
        <w:rPr>
          <w:rFonts w:ascii="宋体" w:hAnsi="宋体" w:eastAsia="宋体" w:cs="宋体"/>
          <w:sz w:val="24"/>
          <w:szCs w:val="24"/>
        </w:rPr>
      </w:pPr>
      <w:r>
        <w:rPr>
          <w:rFonts w:ascii="宋体" w:hAnsi="宋体" w:eastAsia="宋体" w:cs="宋体"/>
          <w:b/>
          <w:bCs/>
          <w:spacing w:val="-1"/>
          <w:sz w:val="24"/>
          <w:szCs w:val="24"/>
        </w:rPr>
        <w:t>表</w:t>
      </w:r>
      <w:r>
        <w:rPr>
          <w:rFonts w:ascii="Times New Roman" w:hAnsi="Times New Roman" w:eastAsia="Times New Roman" w:cs="Times New Roman"/>
          <w:b/>
          <w:bCs/>
          <w:spacing w:val="-1"/>
          <w:sz w:val="24"/>
          <w:szCs w:val="24"/>
        </w:rPr>
        <w:t>4.3-7</w:t>
      </w:r>
      <w:r>
        <w:rPr>
          <w:rFonts w:ascii="宋体" w:hAnsi="宋体" w:eastAsia="宋体" w:cs="宋体"/>
          <w:b/>
          <w:bCs/>
          <w:spacing w:val="-1"/>
          <w:sz w:val="24"/>
          <w:szCs w:val="24"/>
        </w:rPr>
        <w:t>元木山断面监测数据（续表</w:t>
      </w:r>
      <w:r>
        <w:rPr>
          <w:rFonts w:ascii="宋体" w:hAnsi="宋体" w:eastAsia="宋体" w:cs="宋体"/>
          <w:b/>
          <w:bCs/>
          <w:spacing w:val="-12"/>
          <w:sz w:val="24"/>
          <w:szCs w:val="24"/>
        </w:rPr>
        <w:t>）（</w:t>
      </w:r>
      <w:r>
        <w:rPr>
          <w:rFonts w:ascii="Times New Roman" w:hAnsi="Times New Roman" w:eastAsia="Times New Roman" w:cs="Times New Roman"/>
          <w:b/>
          <w:bCs/>
          <w:spacing w:val="-1"/>
          <w:sz w:val="24"/>
          <w:szCs w:val="24"/>
        </w:rPr>
        <w:t>2022</w:t>
      </w:r>
      <w:r>
        <w:rPr>
          <w:rFonts w:ascii="宋体" w:hAnsi="宋体" w:eastAsia="宋体" w:cs="宋体"/>
          <w:b/>
          <w:bCs/>
          <w:spacing w:val="-1"/>
          <w:sz w:val="24"/>
          <w:szCs w:val="24"/>
        </w:rPr>
        <w:t>年</w:t>
      </w:r>
      <w:r>
        <w:rPr>
          <w:rFonts w:ascii="Times New Roman" w:hAnsi="Times New Roman" w:eastAsia="Times New Roman" w:cs="Times New Roman"/>
          <w:b/>
          <w:bCs/>
          <w:spacing w:val="-1"/>
          <w:sz w:val="24"/>
          <w:szCs w:val="24"/>
        </w:rPr>
        <w:t>1</w:t>
      </w:r>
      <w:r>
        <w:rPr>
          <w:rFonts w:ascii="宋体" w:hAnsi="宋体" w:eastAsia="宋体" w:cs="宋体"/>
          <w:b/>
          <w:bCs/>
          <w:spacing w:val="-1"/>
          <w:sz w:val="24"/>
          <w:szCs w:val="24"/>
        </w:rPr>
        <w:t>月</w:t>
      </w:r>
      <w:r>
        <w:rPr>
          <w:rFonts w:ascii="Times New Roman" w:hAnsi="Times New Roman" w:eastAsia="Times New Roman" w:cs="Times New Roman"/>
          <w:b/>
          <w:bCs/>
          <w:spacing w:val="-1"/>
          <w:sz w:val="24"/>
          <w:szCs w:val="24"/>
        </w:rPr>
        <w:t>-2025</w:t>
      </w:r>
      <w:r>
        <w:rPr>
          <w:rFonts w:ascii="宋体" w:hAnsi="宋体" w:eastAsia="宋体" w:cs="宋体"/>
          <w:b/>
          <w:bCs/>
          <w:spacing w:val="-1"/>
          <w:sz w:val="24"/>
          <w:szCs w:val="24"/>
        </w:rPr>
        <w:t>年</w:t>
      </w:r>
      <w:r>
        <w:rPr>
          <w:rFonts w:ascii="Times New Roman" w:hAnsi="Times New Roman" w:eastAsia="Times New Roman" w:cs="Times New Roman"/>
          <w:b/>
          <w:bCs/>
          <w:spacing w:val="-1"/>
          <w:sz w:val="24"/>
          <w:szCs w:val="24"/>
        </w:rPr>
        <w:t>4</w:t>
      </w:r>
      <w:r>
        <w:rPr>
          <w:rFonts w:ascii="宋体" w:hAnsi="宋体" w:eastAsia="宋体" w:cs="宋体"/>
          <w:b/>
          <w:bCs/>
          <w:spacing w:val="-1"/>
          <w:sz w:val="24"/>
          <w:szCs w:val="24"/>
        </w:rPr>
        <w:t>月</w:t>
      </w:r>
      <w:r>
        <w:rPr>
          <w:rFonts w:ascii="宋体" w:hAnsi="宋体" w:eastAsia="宋体" w:cs="宋体"/>
          <w:b/>
          <w:bCs/>
          <w:spacing w:val="-12"/>
          <w:sz w:val="24"/>
          <w:szCs w:val="24"/>
        </w:rPr>
        <w:t>）（</w:t>
      </w:r>
      <w:r>
        <w:rPr>
          <w:rFonts w:ascii="Times New Roman" w:hAnsi="Times New Roman" w:eastAsia="Times New Roman" w:cs="Times New Roman"/>
          <w:b/>
          <w:bCs/>
          <w:spacing w:val="-1"/>
          <w:sz w:val="24"/>
          <w:szCs w:val="24"/>
        </w:rPr>
        <w:t>mg/L</w:t>
      </w:r>
      <w:r>
        <w:rPr>
          <w:rFonts w:ascii="宋体" w:hAnsi="宋体" w:eastAsia="宋体" w:cs="宋体"/>
          <w:b/>
          <w:bCs/>
          <w:spacing w:val="-1"/>
          <w:sz w:val="24"/>
          <w:szCs w:val="24"/>
        </w:rPr>
        <w:t>）</w:t>
      </w:r>
    </w:p>
    <w:p w14:paraId="395101EC">
      <w:pPr>
        <w:spacing w:line="156" w:lineRule="exact"/>
      </w:pPr>
    </w:p>
    <w:tbl>
      <w:tblPr>
        <w:tblStyle w:val="5"/>
        <w:tblW w:w="1421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7"/>
        <w:gridCol w:w="1054"/>
        <w:gridCol w:w="1193"/>
        <w:gridCol w:w="1193"/>
        <w:gridCol w:w="1125"/>
        <w:gridCol w:w="1193"/>
        <w:gridCol w:w="1125"/>
        <w:gridCol w:w="1125"/>
        <w:gridCol w:w="1423"/>
        <w:gridCol w:w="1982"/>
        <w:gridCol w:w="1384"/>
      </w:tblGrid>
      <w:tr w14:paraId="56248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417" w:type="dxa"/>
            <w:tcBorders>
              <w:top w:val="single" w:color="000000" w:sz="10" w:space="0"/>
              <w:left w:val="single" w:color="000000" w:sz="10" w:space="0"/>
            </w:tcBorders>
            <w:vAlign w:val="top"/>
          </w:tcPr>
          <w:p w14:paraId="74A3E933">
            <w:pPr>
              <w:pStyle w:val="6"/>
              <w:spacing w:before="97" w:line="227" w:lineRule="auto"/>
              <w:ind w:left="276"/>
            </w:pPr>
            <w:r>
              <w:rPr>
                <w:b/>
                <w:bCs/>
                <w:spacing w:val="6"/>
              </w:rPr>
              <w:t>采样时间</w:t>
            </w:r>
          </w:p>
        </w:tc>
        <w:tc>
          <w:tcPr>
            <w:tcW w:w="1054" w:type="dxa"/>
            <w:tcBorders>
              <w:top w:val="single" w:color="000000" w:sz="10" w:space="0"/>
            </w:tcBorders>
            <w:vAlign w:val="top"/>
          </w:tcPr>
          <w:p w14:paraId="6AE50DC9">
            <w:pPr>
              <w:pStyle w:val="6"/>
              <w:spacing w:before="98" w:line="228" w:lineRule="auto"/>
              <w:ind w:left="417"/>
            </w:pPr>
            <w:r>
              <w:rPr>
                <w:b/>
                <w:bCs/>
                <w:spacing w:val="-1"/>
              </w:rPr>
              <w:t>砷</w:t>
            </w:r>
          </w:p>
        </w:tc>
        <w:tc>
          <w:tcPr>
            <w:tcW w:w="1193" w:type="dxa"/>
            <w:tcBorders>
              <w:top w:val="single" w:color="000000" w:sz="10" w:space="0"/>
            </w:tcBorders>
            <w:vAlign w:val="top"/>
          </w:tcPr>
          <w:p w14:paraId="43EDBBF5">
            <w:pPr>
              <w:pStyle w:val="6"/>
              <w:spacing w:before="98" w:line="228" w:lineRule="auto"/>
              <w:ind w:left="490"/>
            </w:pPr>
            <w:r>
              <w:rPr>
                <w:b/>
                <w:bCs/>
                <w:spacing w:val="-3"/>
              </w:rPr>
              <w:t>汞</w:t>
            </w:r>
          </w:p>
        </w:tc>
        <w:tc>
          <w:tcPr>
            <w:tcW w:w="1193" w:type="dxa"/>
            <w:tcBorders>
              <w:top w:val="single" w:color="000000" w:sz="10" w:space="0"/>
            </w:tcBorders>
            <w:vAlign w:val="top"/>
          </w:tcPr>
          <w:p w14:paraId="03AB0CAD">
            <w:pPr>
              <w:pStyle w:val="6"/>
              <w:spacing w:before="97" w:line="231" w:lineRule="auto"/>
              <w:ind w:left="490"/>
            </w:pPr>
            <w:r>
              <w:rPr>
                <w:b/>
                <w:bCs/>
              </w:rPr>
              <w:t>镉</w:t>
            </w:r>
          </w:p>
        </w:tc>
        <w:tc>
          <w:tcPr>
            <w:tcW w:w="1125" w:type="dxa"/>
            <w:tcBorders>
              <w:top w:val="single" w:color="000000" w:sz="10" w:space="0"/>
            </w:tcBorders>
            <w:vAlign w:val="top"/>
          </w:tcPr>
          <w:p w14:paraId="719E4971">
            <w:pPr>
              <w:pStyle w:val="6"/>
              <w:spacing w:before="98" w:line="226" w:lineRule="auto"/>
              <w:ind w:left="251"/>
            </w:pPr>
            <w:r>
              <w:rPr>
                <w:b/>
                <w:bCs/>
                <w:spacing w:val="5"/>
              </w:rPr>
              <w:t>六价铬</w:t>
            </w:r>
          </w:p>
        </w:tc>
        <w:tc>
          <w:tcPr>
            <w:tcW w:w="1193" w:type="dxa"/>
            <w:tcBorders>
              <w:top w:val="single" w:color="000000" w:sz="10" w:space="0"/>
            </w:tcBorders>
            <w:vAlign w:val="top"/>
          </w:tcPr>
          <w:p w14:paraId="51CE8807">
            <w:pPr>
              <w:pStyle w:val="6"/>
              <w:spacing w:before="97" w:line="232" w:lineRule="auto"/>
              <w:ind w:left="494"/>
            </w:pPr>
            <w:r>
              <w:rPr>
                <w:b/>
                <w:bCs/>
                <w:spacing w:val="-2"/>
              </w:rPr>
              <w:t>铅</w:t>
            </w:r>
          </w:p>
        </w:tc>
        <w:tc>
          <w:tcPr>
            <w:tcW w:w="1125" w:type="dxa"/>
            <w:tcBorders>
              <w:top w:val="single" w:color="000000" w:sz="10" w:space="0"/>
            </w:tcBorders>
            <w:vAlign w:val="top"/>
          </w:tcPr>
          <w:p w14:paraId="55D4EE75">
            <w:pPr>
              <w:pStyle w:val="6"/>
              <w:spacing w:before="97" w:line="228" w:lineRule="auto"/>
              <w:ind w:left="251"/>
            </w:pPr>
            <w:r>
              <w:rPr>
                <w:b/>
                <w:bCs/>
                <w:spacing w:val="5"/>
              </w:rPr>
              <w:t>氰化物</w:t>
            </w:r>
          </w:p>
        </w:tc>
        <w:tc>
          <w:tcPr>
            <w:tcW w:w="1125" w:type="dxa"/>
            <w:tcBorders>
              <w:top w:val="single" w:color="000000" w:sz="10" w:space="0"/>
            </w:tcBorders>
            <w:vAlign w:val="top"/>
          </w:tcPr>
          <w:p w14:paraId="2279F8C3">
            <w:pPr>
              <w:pStyle w:val="6"/>
              <w:spacing w:before="98" w:line="228" w:lineRule="auto"/>
              <w:ind w:left="254"/>
            </w:pPr>
            <w:r>
              <w:rPr>
                <w:b/>
                <w:bCs/>
                <w:spacing w:val="5"/>
              </w:rPr>
              <w:t>挥发酚</w:t>
            </w:r>
          </w:p>
        </w:tc>
        <w:tc>
          <w:tcPr>
            <w:tcW w:w="1423" w:type="dxa"/>
            <w:tcBorders>
              <w:top w:val="single" w:color="000000" w:sz="10" w:space="0"/>
            </w:tcBorders>
            <w:vAlign w:val="top"/>
          </w:tcPr>
          <w:p w14:paraId="6534B2C8">
            <w:pPr>
              <w:pStyle w:val="6"/>
              <w:spacing w:before="97" w:line="228" w:lineRule="auto"/>
              <w:ind w:left="407"/>
            </w:pPr>
            <w:r>
              <w:rPr>
                <w:b/>
                <w:bCs/>
                <w:spacing w:val="5"/>
              </w:rPr>
              <w:t>石油类</w:t>
            </w:r>
          </w:p>
        </w:tc>
        <w:tc>
          <w:tcPr>
            <w:tcW w:w="1982" w:type="dxa"/>
            <w:tcBorders>
              <w:top w:val="single" w:color="000000" w:sz="10" w:space="0"/>
            </w:tcBorders>
            <w:vAlign w:val="top"/>
          </w:tcPr>
          <w:p w14:paraId="28F4283F">
            <w:pPr>
              <w:pStyle w:val="6"/>
              <w:spacing w:before="97" w:line="227" w:lineRule="auto"/>
              <w:ind w:left="178"/>
            </w:pPr>
            <w:r>
              <w:rPr>
                <w:b/>
                <w:bCs/>
                <w:spacing w:val="5"/>
              </w:rPr>
              <w:t>阴离子表面活性剂</w:t>
            </w:r>
          </w:p>
        </w:tc>
        <w:tc>
          <w:tcPr>
            <w:tcW w:w="1384" w:type="dxa"/>
            <w:tcBorders>
              <w:top w:val="single" w:color="000000" w:sz="10" w:space="0"/>
              <w:right w:val="single" w:color="000000" w:sz="10" w:space="0"/>
            </w:tcBorders>
            <w:vAlign w:val="top"/>
          </w:tcPr>
          <w:p w14:paraId="01D61E73">
            <w:pPr>
              <w:pStyle w:val="6"/>
              <w:spacing w:before="97" w:line="229" w:lineRule="auto"/>
              <w:ind w:left="385"/>
            </w:pPr>
            <w:r>
              <w:rPr>
                <w:b/>
                <w:bCs/>
                <w:spacing w:val="5"/>
              </w:rPr>
              <w:t>硫化物</w:t>
            </w:r>
          </w:p>
        </w:tc>
      </w:tr>
      <w:tr w14:paraId="09F64A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417" w:type="dxa"/>
            <w:tcBorders>
              <w:left w:val="single" w:color="000000" w:sz="10" w:space="0"/>
            </w:tcBorders>
            <w:vAlign w:val="top"/>
          </w:tcPr>
          <w:p w14:paraId="3343C42C">
            <w:pPr>
              <w:spacing w:before="130"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2022-01</w:t>
            </w:r>
          </w:p>
        </w:tc>
        <w:tc>
          <w:tcPr>
            <w:tcW w:w="1054" w:type="dxa"/>
            <w:vAlign w:val="top"/>
          </w:tcPr>
          <w:p w14:paraId="4159E16E">
            <w:pPr>
              <w:spacing w:before="130"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0.0012</w:t>
            </w:r>
          </w:p>
        </w:tc>
        <w:tc>
          <w:tcPr>
            <w:tcW w:w="1193" w:type="dxa"/>
            <w:vAlign w:val="top"/>
          </w:tcPr>
          <w:p w14:paraId="13698C34">
            <w:pPr>
              <w:spacing w:before="130"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93" w:type="dxa"/>
            <w:vAlign w:val="top"/>
          </w:tcPr>
          <w:p w14:paraId="6CDE79AC">
            <w:pPr>
              <w:spacing w:before="130"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25" w:type="dxa"/>
            <w:vAlign w:val="top"/>
          </w:tcPr>
          <w:p w14:paraId="082A0A09">
            <w:pPr>
              <w:spacing w:before="130"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93" w:type="dxa"/>
            <w:vAlign w:val="top"/>
          </w:tcPr>
          <w:p w14:paraId="5A0608AF">
            <w:pPr>
              <w:spacing w:before="130"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0.0004</w:t>
            </w:r>
          </w:p>
        </w:tc>
        <w:tc>
          <w:tcPr>
            <w:tcW w:w="1125" w:type="dxa"/>
            <w:vAlign w:val="top"/>
          </w:tcPr>
          <w:p w14:paraId="5C94E6A0">
            <w:pPr>
              <w:spacing w:before="130"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125" w:type="dxa"/>
            <w:vAlign w:val="top"/>
          </w:tcPr>
          <w:p w14:paraId="685173D8">
            <w:pPr>
              <w:spacing w:before="130"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23" w:type="dxa"/>
            <w:vAlign w:val="top"/>
          </w:tcPr>
          <w:p w14:paraId="331C9756">
            <w:pPr>
              <w:spacing w:before="130"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982" w:type="dxa"/>
            <w:vAlign w:val="top"/>
          </w:tcPr>
          <w:p w14:paraId="782D1378">
            <w:pPr>
              <w:spacing w:before="130"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4" w:type="dxa"/>
            <w:tcBorders>
              <w:right w:val="single" w:color="000000" w:sz="10" w:space="0"/>
            </w:tcBorders>
            <w:vAlign w:val="top"/>
          </w:tcPr>
          <w:p w14:paraId="50ADC3A2">
            <w:pPr>
              <w:spacing w:before="130"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r>
      <w:tr w14:paraId="1C486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417" w:type="dxa"/>
            <w:tcBorders>
              <w:left w:val="single" w:color="000000" w:sz="10" w:space="0"/>
            </w:tcBorders>
            <w:vAlign w:val="top"/>
          </w:tcPr>
          <w:p w14:paraId="5B29AA3A">
            <w:pPr>
              <w:spacing w:before="134"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2022-02</w:t>
            </w:r>
          </w:p>
        </w:tc>
        <w:tc>
          <w:tcPr>
            <w:tcW w:w="1054" w:type="dxa"/>
            <w:vAlign w:val="top"/>
          </w:tcPr>
          <w:p w14:paraId="31684E9A">
            <w:pPr>
              <w:spacing w:before="134"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0.0009</w:t>
            </w:r>
          </w:p>
        </w:tc>
        <w:tc>
          <w:tcPr>
            <w:tcW w:w="1193" w:type="dxa"/>
            <w:vAlign w:val="top"/>
          </w:tcPr>
          <w:p w14:paraId="6A9A1A33">
            <w:pPr>
              <w:spacing w:before="134"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93" w:type="dxa"/>
            <w:vAlign w:val="top"/>
          </w:tcPr>
          <w:p w14:paraId="550BCEA5">
            <w:pPr>
              <w:spacing w:before="134"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25" w:type="dxa"/>
            <w:vAlign w:val="top"/>
          </w:tcPr>
          <w:p w14:paraId="2E8AEBD5">
            <w:pPr>
              <w:spacing w:before="134"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93" w:type="dxa"/>
            <w:vAlign w:val="top"/>
          </w:tcPr>
          <w:p w14:paraId="5B6EEA22">
            <w:pPr>
              <w:spacing w:before="134"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w:t>
            </w:r>
          </w:p>
        </w:tc>
        <w:tc>
          <w:tcPr>
            <w:tcW w:w="1125" w:type="dxa"/>
            <w:vAlign w:val="top"/>
          </w:tcPr>
          <w:p w14:paraId="757EB008">
            <w:pPr>
              <w:spacing w:before="134"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125" w:type="dxa"/>
            <w:vAlign w:val="top"/>
          </w:tcPr>
          <w:p w14:paraId="03D7F164">
            <w:pPr>
              <w:spacing w:before="134"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23" w:type="dxa"/>
            <w:vAlign w:val="top"/>
          </w:tcPr>
          <w:p w14:paraId="2818BD97">
            <w:pPr>
              <w:spacing w:before="134"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982" w:type="dxa"/>
            <w:vAlign w:val="top"/>
          </w:tcPr>
          <w:p w14:paraId="46F19AA3">
            <w:pPr>
              <w:spacing w:before="134"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4" w:type="dxa"/>
            <w:tcBorders>
              <w:right w:val="single" w:color="000000" w:sz="10" w:space="0"/>
            </w:tcBorders>
            <w:vAlign w:val="top"/>
          </w:tcPr>
          <w:p w14:paraId="5570DCCE">
            <w:pPr>
              <w:spacing w:before="134"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r>
      <w:tr w14:paraId="6DFD0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17" w:type="dxa"/>
            <w:tcBorders>
              <w:left w:val="single" w:color="000000" w:sz="10" w:space="0"/>
            </w:tcBorders>
            <w:vAlign w:val="top"/>
          </w:tcPr>
          <w:p w14:paraId="17CA7555">
            <w:pPr>
              <w:spacing w:before="138"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2022-03</w:t>
            </w:r>
          </w:p>
        </w:tc>
        <w:tc>
          <w:tcPr>
            <w:tcW w:w="1054" w:type="dxa"/>
            <w:vAlign w:val="top"/>
          </w:tcPr>
          <w:p w14:paraId="4844B710">
            <w:pPr>
              <w:spacing w:before="138"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0.0014</w:t>
            </w:r>
          </w:p>
        </w:tc>
        <w:tc>
          <w:tcPr>
            <w:tcW w:w="1193" w:type="dxa"/>
            <w:vAlign w:val="top"/>
          </w:tcPr>
          <w:p w14:paraId="31B6E05D">
            <w:pPr>
              <w:spacing w:before="138"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93" w:type="dxa"/>
            <w:vAlign w:val="top"/>
          </w:tcPr>
          <w:p w14:paraId="4E183119">
            <w:pPr>
              <w:spacing w:before="138"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25" w:type="dxa"/>
            <w:vAlign w:val="top"/>
          </w:tcPr>
          <w:p w14:paraId="349598E3">
            <w:pPr>
              <w:spacing w:before="138"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93" w:type="dxa"/>
            <w:vAlign w:val="top"/>
          </w:tcPr>
          <w:p w14:paraId="1011F92C">
            <w:pPr>
              <w:spacing w:before="138"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1125" w:type="dxa"/>
            <w:vAlign w:val="top"/>
          </w:tcPr>
          <w:p w14:paraId="289B5A87">
            <w:pPr>
              <w:spacing w:before="138"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125" w:type="dxa"/>
            <w:vAlign w:val="top"/>
          </w:tcPr>
          <w:p w14:paraId="372F88B3">
            <w:pPr>
              <w:spacing w:before="138"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23" w:type="dxa"/>
            <w:vAlign w:val="top"/>
          </w:tcPr>
          <w:p w14:paraId="02D0F34C">
            <w:pPr>
              <w:spacing w:before="138"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982" w:type="dxa"/>
            <w:vAlign w:val="top"/>
          </w:tcPr>
          <w:p w14:paraId="11ABBDB8">
            <w:pPr>
              <w:spacing w:before="138"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4" w:type="dxa"/>
            <w:tcBorders>
              <w:right w:val="single" w:color="000000" w:sz="10" w:space="0"/>
            </w:tcBorders>
            <w:vAlign w:val="top"/>
          </w:tcPr>
          <w:p w14:paraId="4A78553F">
            <w:pPr>
              <w:spacing w:before="138"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1BF342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17" w:type="dxa"/>
            <w:tcBorders>
              <w:left w:val="single" w:color="000000" w:sz="10" w:space="0"/>
            </w:tcBorders>
            <w:vAlign w:val="top"/>
          </w:tcPr>
          <w:p w14:paraId="441302DD">
            <w:pPr>
              <w:spacing w:before="138"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2022-04</w:t>
            </w:r>
          </w:p>
        </w:tc>
        <w:tc>
          <w:tcPr>
            <w:tcW w:w="1054" w:type="dxa"/>
            <w:vAlign w:val="top"/>
          </w:tcPr>
          <w:p w14:paraId="1AF74F65">
            <w:pPr>
              <w:spacing w:before="138"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0.0022</w:t>
            </w:r>
          </w:p>
        </w:tc>
        <w:tc>
          <w:tcPr>
            <w:tcW w:w="1193" w:type="dxa"/>
            <w:vAlign w:val="top"/>
          </w:tcPr>
          <w:p w14:paraId="64CB7C90">
            <w:pPr>
              <w:spacing w:before="138"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93" w:type="dxa"/>
            <w:vAlign w:val="top"/>
          </w:tcPr>
          <w:p w14:paraId="44A968E0">
            <w:pPr>
              <w:spacing w:before="138"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0.00005</w:t>
            </w:r>
          </w:p>
        </w:tc>
        <w:tc>
          <w:tcPr>
            <w:tcW w:w="1125" w:type="dxa"/>
            <w:vAlign w:val="top"/>
          </w:tcPr>
          <w:p w14:paraId="3B008236">
            <w:pPr>
              <w:spacing w:before="138"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93" w:type="dxa"/>
            <w:vAlign w:val="top"/>
          </w:tcPr>
          <w:p w14:paraId="35919D63">
            <w:pPr>
              <w:spacing w:before="138"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0.001</w:t>
            </w:r>
          </w:p>
        </w:tc>
        <w:tc>
          <w:tcPr>
            <w:tcW w:w="1125" w:type="dxa"/>
            <w:vAlign w:val="top"/>
          </w:tcPr>
          <w:p w14:paraId="11104532">
            <w:pPr>
              <w:spacing w:before="138"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125" w:type="dxa"/>
            <w:vAlign w:val="top"/>
          </w:tcPr>
          <w:p w14:paraId="0EA37A54">
            <w:pPr>
              <w:spacing w:before="138"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23" w:type="dxa"/>
            <w:vAlign w:val="top"/>
          </w:tcPr>
          <w:p w14:paraId="01D0F4A0">
            <w:pPr>
              <w:spacing w:before="138"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982" w:type="dxa"/>
            <w:vAlign w:val="top"/>
          </w:tcPr>
          <w:p w14:paraId="12541A04">
            <w:pPr>
              <w:spacing w:before="138"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4" w:type="dxa"/>
            <w:tcBorders>
              <w:right w:val="single" w:color="000000" w:sz="10" w:space="0"/>
            </w:tcBorders>
            <w:vAlign w:val="top"/>
          </w:tcPr>
          <w:p w14:paraId="03B29DBB">
            <w:pPr>
              <w:spacing w:before="138"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60DE4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417" w:type="dxa"/>
            <w:tcBorders>
              <w:left w:val="single" w:color="000000" w:sz="10" w:space="0"/>
            </w:tcBorders>
            <w:vAlign w:val="top"/>
          </w:tcPr>
          <w:p w14:paraId="5D724267">
            <w:pPr>
              <w:spacing w:before="141"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2022-05</w:t>
            </w:r>
          </w:p>
        </w:tc>
        <w:tc>
          <w:tcPr>
            <w:tcW w:w="1054" w:type="dxa"/>
            <w:vAlign w:val="top"/>
          </w:tcPr>
          <w:p w14:paraId="0E8A392E">
            <w:pPr>
              <w:spacing w:before="141"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0.0023</w:t>
            </w:r>
          </w:p>
        </w:tc>
        <w:tc>
          <w:tcPr>
            <w:tcW w:w="1193" w:type="dxa"/>
            <w:vAlign w:val="top"/>
          </w:tcPr>
          <w:p w14:paraId="122BEEB5">
            <w:pPr>
              <w:spacing w:before="141"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93" w:type="dxa"/>
            <w:vAlign w:val="top"/>
          </w:tcPr>
          <w:p w14:paraId="458C22D6">
            <w:pPr>
              <w:spacing w:before="141"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0.00005</w:t>
            </w:r>
          </w:p>
        </w:tc>
        <w:tc>
          <w:tcPr>
            <w:tcW w:w="1125" w:type="dxa"/>
            <w:vAlign w:val="top"/>
          </w:tcPr>
          <w:p w14:paraId="22D37BE4">
            <w:pPr>
              <w:spacing w:before="141"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93" w:type="dxa"/>
            <w:vAlign w:val="top"/>
          </w:tcPr>
          <w:p w14:paraId="244D5546">
            <w:pPr>
              <w:spacing w:before="141"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0.001</w:t>
            </w:r>
          </w:p>
        </w:tc>
        <w:tc>
          <w:tcPr>
            <w:tcW w:w="1125" w:type="dxa"/>
            <w:vAlign w:val="top"/>
          </w:tcPr>
          <w:p w14:paraId="642A9FCC">
            <w:pPr>
              <w:spacing w:before="141"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125" w:type="dxa"/>
            <w:vAlign w:val="top"/>
          </w:tcPr>
          <w:p w14:paraId="4CBCE912">
            <w:pPr>
              <w:spacing w:before="141"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23" w:type="dxa"/>
            <w:vAlign w:val="top"/>
          </w:tcPr>
          <w:p w14:paraId="6A3562A0">
            <w:pPr>
              <w:spacing w:before="141"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982" w:type="dxa"/>
            <w:vAlign w:val="top"/>
          </w:tcPr>
          <w:p w14:paraId="75C7FAFF">
            <w:pPr>
              <w:spacing w:before="141"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4" w:type="dxa"/>
            <w:tcBorders>
              <w:right w:val="single" w:color="000000" w:sz="10" w:space="0"/>
            </w:tcBorders>
            <w:vAlign w:val="top"/>
          </w:tcPr>
          <w:p w14:paraId="6D7E3501">
            <w:pPr>
              <w:spacing w:before="141"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6132E7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17" w:type="dxa"/>
            <w:tcBorders>
              <w:left w:val="single" w:color="000000" w:sz="10" w:space="0"/>
            </w:tcBorders>
            <w:vAlign w:val="top"/>
          </w:tcPr>
          <w:p w14:paraId="3AD498D6">
            <w:pPr>
              <w:spacing w:before="143"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2022-06</w:t>
            </w:r>
          </w:p>
        </w:tc>
        <w:tc>
          <w:tcPr>
            <w:tcW w:w="1054" w:type="dxa"/>
            <w:vAlign w:val="top"/>
          </w:tcPr>
          <w:p w14:paraId="5906F858">
            <w:pPr>
              <w:spacing w:before="143"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0.0023</w:t>
            </w:r>
          </w:p>
        </w:tc>
        <w:tc>
          <w:tcPr>
            <w:tcW w:w="1193" w:type="dxa"/>
            <w:vAlign w:val="top"/>
          </w:tcPr>
          <w:p w14:paraId="7A0DE116">
            <w:pPr>
              <w:spacing w:before="143"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93" w:type="dxa"/>
            <w:vAlign w:val="top"/>
          </w:tcPr>
          <w:p w14:paraId="7BFDD9BF">
            <w:pPr>
              <w:spacing w:before="143"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0.00005</w:t>
            </w:r>
          </w:p>
        </w:tc>
        <w:tc>
          <w:tcPr>
            <w:tcW w:w="1125" w:type="dxa"/>
            <w:vAlign w:val="top"/>
          </w:tcPr>
          <w:p w14:paraId="609C720E">
            <w:pPr>
              <w:spacing w:before="143"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93" w:type="dxa"/>
            <w:vAlign w:val="top"/>
          </w:tcPr>
          <w:p w14:paraId="474DB04A">
            <w:pPr>
              <w:spacing w:before="143"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0.001</w:t>
            </w:r>
          </w:p>
        </w:tc>
        <w:tc>
          <w:tcPr>
            <w:tcW w:w="1125" w:type="dxa"/>
            <w:vAlign w:val="top"/>
          </w:tcPr>
          <w:p w14:paraId="1F81BA03">
            <w:pPr>
              <w:spacing w:before="143"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125" w:type="dxa"/>
            <w:vAlign w:val="top"/>
          </w:tcPr>
          <w:p w14:paraId="696D4CD7">
            <w:pPr>
              <w:spacing w:before="143"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23" w:type="dxa"/>
            <w:vAlign w:val="top"/>
          </w:tcPr>
          <w:p w14:paraId="4F8BA9E6">
            <w:pPr>
              <w:spacing w:before="143"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982" w:type="dxa"/>
            <w:vAlign w:val="top"/>
          </w:tcPr>
          <w:p w14:paraId="1CEB873A">
            <w:pPr>
              <w:spacing w:before="143"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4" w:type="dxa"/>
            <w:tcBorders>
              <w:right w:val="single" w:color="000000" w:sz="10" w:space="0"/>
            </w:tcBorders>
            <w:vAlign w:val="top"/>
          </w:tcPr>
          <w:p w14:paraId="6AAE90B2">
            <w:pPr>
              <w:spacing w:before="143"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36B26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417" w:type="dxa"/>
            <w:tcBorders>
              <w:left w:val="single" w:color="000000" w:sz="10" w:space="0"/>
            </w:tcBorders>
            <w:vAlign w:val="top"/>
          </w:tcPr>
          <w:p w14:paraId="67CB7848">
            <w:pPr>
              <w:spacing w:before="146"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2022-07</w:t>
            </w:r>
          </w:p>
        </w:tc>
        <w:tc>
          <w:tcPr>
            <w:tcW w:w="1054" w:type="dxa"/>
            <w:vAlign w:val="top"/>
          </w:tcPr>
          <w:p w14:paraId="06243818">
            <w:pPr>
              <w:spacing w:before="146"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0.0022</w:t>
            </w:r>
          </w:p>
        </w:tc>
        <w:tc>
          <w:tcPr>
            <w:tcW w:w="1193" w:type="dxa"/>
            <w:vAlign w:val="top"/>
          </w:tcPr>
          <w:p w14:paraId="59D9E53E">
            <w:pPr>
              <w:spacing w:before="146"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93" w:type="dxa"/>
            <w:vAlign w:val="top"/>
          </w:tcPr>
          <w:p w14:paraId="1291E8AE">
            <w:pPr>
              <w:spacing w:before="146"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0.00005</w:t>
            </w:r>
          </w:p>
        </w:tc>
        <w:tc>
          <w:tcPr>
            <w:tcW w:w="1125" w:type="dxa"/>
            <w:vAlign w:val="top"/>
          </w:tcPr>
          <w:p w14:paraId="33B7C185">
            <w:pPr>
              <w:spacing w:before="146"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93" w:type="dxa"/>
            <w:vAlign w:val="top"/>
          </w:tcPr>
          <w:p w14:paraId="5B2FC08F">
            <w:pPr>
              <w:spacing w:before="146"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0.001</w:t>
            </w:r>
          </w:p>
        </w:tc>
        <w:tc>
          <w:tcPr>
            <w:tcW w:w="1125" w:type="dxa"/>
            <w:vAlign w:val="top"/>
          </w:tcPr>
          <w:p w14:paraId="015BCE29">
            <w:pPr>
              <w:spacing w:before="146"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125" w:type="dxa"/>
            <w:vAlign w:val="top"/>
          </w:tcPr>
          <w:p w14:paraId="69A26ED2">
            <w:pPr>
              <w:spacing w:before="146"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23" w:type="dxa"/>
            <w:vAlign w:val="top"/>
          </w:tcPr>
          <w:p w14:paraId="7D6CA7C3">
            <w:pPr>
              <w:spacing w:before="146"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982" w:type="dxa"/>
            <w:vAlign w:val="top"/>
          </w:tcPr>
          <w:p w14:paraId="2B10C112">
            <w:pPr>
              <w:spacing w:before="146"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4" w:type="dxa"/>
            <w:tcBorders>
              <w:right w:val="single" w:color="000000" w:sz="10" w:space="0"/>
            </w:tcBorders>
            <w:vAlign w:val="top"/>
          </w:tcPr>
          <w:p w14:paraId="6D4AEBBD">
            <w:pPr>
              <w:spacing w:before="146"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38D87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17" w:type="dxa"/>
            <w:tcBorders>
              <w:left w:val="single" w:color="000000" w:sz="10" w:space="0"/>
            </w:tcBorders>
            <w:vAlign w:val="top"/>
          </w:tcPr>
          <w:p w14:paraId="3F1FB7CA">
            <w:pPr>
              <w:spacing w:before="148"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2022-08</w:t>
            </w:r>
          </w:p>
        </w:tc>
        <w:tc>
          <w:tcPr>
            <w:tcW w:w="1054" w:type="dxa"/>
            <w:vAlign w:val="top"/>
          </w:tcPr>
          <w:p w14:paraId="5B4C8C2D">
            <w:pPr>
              <w:spacing w:before="148"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0.0026</w:t>
            </w:r>
          </w:p>
        </w:tc>
        <w:tc>
          <w:tcPr>
            <w:tcW w:w="1193" w:type="dxa"/>
            <w:vAlign w:val="top"/>
          </w:tcPr>
          <w:p w14:paraId="30B3D44B">
            <w:pPr>
              <w:spacing w:before="148"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93" w:type="dxa"/>
            <w:vAlign w:val="top"/>
          </w:tcPr>
          <w:p w14:paraId="515AF161">
            <w:pPr>
              <w:spacing w:before="148"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0.00005</w:t>
            </w:r>
          </w:p>
        </w:tc>
        <w:tc>
          <w:tcPr>
            <w:tcW w:w="1125" w:type="dxa"/>
            <w:vAlign w:val="top"/>
          </w:tcPr>
          <w:p w14:paraId="4C1ECDC7">
            <w:pPr>
              <w:spacing w:before="148"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93" w:type="dxa"/>
            <w:vAlign w:val="top"/>
          </w:tcPr>
          <w:p w14:paraId="72CA0B52">
            <w:pPr>
              <w:spacing w:before="148"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0.001</w:t>
            </w:r>
          </w:p>
        </w:tc>
        <w:tc>
          <w:tcPr>
            <w:tcW w:w="1125" w:type="dxa"/>
            <w:vAlign w:val="top"/>
          </w:tcPr>
          <w:p w14:paraId="6342E5FC">
            <w:pPr>
              <w:spacing w:before="148"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125" w:type="dxa"/>
            <w:vAlign w:val="top"/>
          </w:tcPr>
          <w:p w14:paraId="559AE180">
            <w:pPr>
              <w:spacing w:before="148"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23" w:type="dxa"/>
            <w:vAlign w:val="top"/>
          </w:tcPr>
          <w:p w14:paraId="2E7FBA28">
            <w:pPr>
              <w:spacing w:before="148"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982" w:type="dxa"/>
            <w:vAlign w:val="top"/>
          </w:tcPr>
          <w:p w14:paraId="73E52109">
            <w:pPr>
              <w:spacing w:before="148"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4" w:type="dxa"/>
            <w:tcBorders>
              <w:right w:val="single" w:color="000000" w:sz="10" w:space="0"/>
            </w:tcBorders>
            <w:vAlign w:val="top"/>
          </w:tcPr>
          <w:p w14:paraId="3988C8B8">
            <w:pPr>
              <w:spacing w:before="148"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0268E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1417" w:type="dxa"/>
            <w:tcBorders>
              <w:left w:val="single" w:color="000000" w:sz="10" w:space="0"/>
              <w:bottom w:val="single" w:color="000000" w:sz="10" w:space="0"/>
            </w:tcBorders>
            <w:vAlign w:val="top"/>
          </w:tcPr>
          <w:p w14:paraId="1545E180">
            <w:pPr>
              <w:spacing w:before="151"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2022-09</w:t>
            </w:r>
          </w:p>
        </w:tc>
        <w:tc>
          <w:tcPr>
            <w:tcW w:w="1054" w:type="dxa"/>
            <w:tcBorders>
              <w:bottom w:val="single" w:color="000000" w:sz="10" w:space="0"/>
            </w:tcBorders>
            <w:vAlign w:val="top"/>
          </w:tcPr>
          <w:p w14:paraId="0554A897">
            <w:pPr>
              <w:spacing w:before="151"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0.0040</w:t>
            </w:r>
          </w:p>
        </w:tc>
        <w:tc>
          <w:tcPr>
            <w:tcW w:w="1193" w:type="dxa"/>
            <w:tcBorders>
              <w:bottom w:val="single" w:color="000000" w:sz="10" w:space="0"/>
            </w:tcBorders>
            <w:vAlign w:val="top"/>
          </w:tcPr>
          <w:p w14:paraId="7BD06168">
            <w:pPr>
              <w:spacing w:before="151"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93" w:type="dxa"/>
            <w:tcBorders>
              <w:bottom w:val="single" w:color="000000" w:sz="10" w:space="0"/>
            </w:tcBorders>
            <w:vAlign w:val="top"/>
          </w:tcPr>
          <w:p w14:paraId="492A2A58">
            <w:pPr>
              <w:spacing w:before="151"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0.00005</w:t>
            </w:r>
          </w:p>
        </w:tc>
        <w:tc>
          <w:tcPr>
            <w:tcW w:w="1125" w:type="dxa"/>
            <w:tcBorders>
              <w:bottom w:val="single" w:color="000000" w:sz="10" w:space="0"/>
            </w:tcBorders>
            <w:vAlign w:val="top"/>
          </w:tcPr>
          <w:p w14:paraId="0AD52D31">
            <w:pPr>
              <w:spacing w:before="151"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93" w:type="dxa"/>
            <w:tcBorders>
              <w:bottom w:val="single" w:color="000000" w:sz="10" w:space="0"/>
            </w:tcBorders>
            <w:vAlign w:val="top"/>
          </w:tcPr>
          <w:p w14:paraId="7C9468A1">
            <w:pPr>
              <w:spacing w:before="151"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0.001</w:t>
            </w:r>
          </w:p>
        </w:tc>
        <w:tc>
          <w:tcPr>
            <w:tcW w:w="1125" w:type="dxa"/>
            <w:tcBorders>
              <w:bottom w:val="single" w:color="000000" w:sz="10" w:space="0"/>
            </w:tcBorders>
            <w:vAlign w:val="top"/>
          </w:tcPr>
          <w:p w14:paraId="486AD9AD">
            <w:pPr>
              <w:spacing w:before="151"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125" w:type="dxa"/>
            <w:tcBorders>
              <w:bottom w:val="single" w:color="000000" w:sz="10" w:space="0"/>
            </w:tcBorders>
            <w:vAlign w:val="top"/>
          </w:tcPr>
          <w:p w14:paraId="75032F4D">
            <w:pPr>
              <w:spacing w:before="151"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23" w:type="dxa"/>
            <w:tcBorders>
              <w:bottom w:val="single" w:color="000000" w:sz="10" w:space="0"/>
            </w:tcBorders>
            <w:vAlign w:val="top"/>
          </w:tcPr>
          <w:p w14:paraId="7924040E">
            <w:pPr>
              <w:spacing w:before="151"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982" w:type="dxa"/>
            <w:tcBorders>
              <w:bottom w:val="single" w:color="000000" w:sz="10" w:space="0"/>
            </w:tcBorders>
            <w:vAlign w:val="top"/>
          </w:tcPr>
          <w:p w14:paraId="2F28122C">
            <w:pPr>
              <w:spacing w:before="151"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4" w:type="dxa"/>
            <w:tcBorders>
              <w:bottom w:val="single" w:color="000000" w:sz="10" w:space="0"/>
              <w:right w:val="single" w:color="000000" w:sz="10" w:space="0"/>
            </w:tcBorders>
            <w:vAlign w:val="top"/>
          </w:tcPr>
          <w:p w14:paraId="61AF8D84">
            <w:pPr>
              <w:spacing w:before="151"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bl>
    <w:p w14:paraId="2B05D6DD">
      <w:pPr>
        <w:pStyle w:val="2"/>
      </w:pPr>
    </w:p>
    <w:p w14:paraId="7170C00E">
      <w:pPr>
        <w:sectPr>
          <w:footerReference r:id="rId76" w:type="default"/>
          <w:pgSz w:w="16840" w:h="11907"/>
          <w:pgMar w:top="1132" w:right="1303" w:bottom="1258" w:left="1294" w:header="829" w:footer="1096" w:gutter="0"/>
          <w:cols w:space="720" w:num="1"/>
        </w:sectPr>
      </w:pPr>
    </w:p>
    <w:p w14:paraId="24551BC4">
      <w:pPr>
        <w:spacing w:before="43"/>
      </w:pPr>
    </w:p>
    <w:p w14:paraId="238A21E5">
      <w:pPr>
        <w:spacing w:before="42"/>
      </w:pPr>
    </w:p>
    <w:tbl>
      <w:tblPr>
        <w:tblStyle w:val="5"/>
        <w:tblW w:w="1421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7"/>
        <w:gridCol w:w="1054"/>
        <w:gridCol w:w="1193"/>
        <w:gridCol w:w="1193"/>
        <w:gridCol w:w="1125"/>
        <w:gridCol w:w="1193"/>
        <w:gridCol w:w="1125"/>
        <w:gridCol w:w="1125"/>
        <w:gridCol w:w="1423"/>
        <w:gridCol w:w="1982"/>
        <w:gridCol w:w="1384"/>
      </w:tblGrid>
      <w:tr w14:paraId="2841C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417" w:type="dxa"/>
            <w:tcBorders>
              <w:top w:val="single" w:color="000000" w:sz="10" w:space="0"/>
              <w:left w:val="single" w:color="000000" w:sz="10" w:space="0"/>
            </w:tcBorders>
            <w:vAlign w:val="top"/>
          </w:tcPr>
          <w:p w14:paraId="4149F12F">
            <w:pPr>
              <w:pStyle w:val="6"/>
              <w:spacing w:before="99" w:line="227" w:lineRule="auto"/>
              <w:ind w:left="276"/>
            </w:pPr>
            <w:r>
              <w:rPr>
                <w:b/>
                <w:bCs/>
                <w:spacing w:val="6"/>
              </w:rPr>
              <w:t>采样时间</w:t>
            </w:r>
          </w:p>
        </w:tc>
        <w:tc>
          <w:tcPr>
            <w:tcW w:w="1054" w:type="dxa"/>
            <w:tcBorders>
              <w:top w:val="single" w:color="000000" w:sz="10" w:space="0"/>
            </w:tcBorders>
            <w:vAlign w:val="top"/>
          </w:tcPr>
          <w:p w14:paraId="31A5FADB">
            <w:pPr>
              <w:pStyle w:val="6"/>
              <w:spacing w:before="99" w:line="228" w:lineRule="auto"/>
              <w:ind w:left="417"/>
            </w:pPr>
            <w:r>
              <w:rPr>
                <w:b/>
                <w:bCs/>
                <w:spacing w:val="-1"/>
              </w:rPr>
              <w:t>砷</w:t>
            </w:r>
          </w:p>
        </w:tc>
        <w:tc>
          <w:tcPr>
            <w:tcW w:w="1193" w:type="dxa"/>
            <w:tcBorders>
              <w:top w:val="single" w:color="000000" w:sz="10" w:space="0"/>
            </w:tcBorders>
            <w:vAlign w:val="top"/>
          </w:tcPr>
          <w:p w14:paraId="2081A969">
            <w:pPr>
              <w:pStyle w:val="6"/>
              <w:spacing w:before="99" w:line="228" w:lineRule="auto"/>
              <w:ind w:left="490"/>
            </w:pPr>
            <w:r>
              <w:rPr>
                <w:b/>
                <w:bCs/>
                <w:spacing w:val="-3"/>
              </w:rPr>
              <w:t>汞</w:t>
            </w:r>
          </w:p>
        </w:tc>
        <w:tc>
          <w:tcPr>
            <w:tcW w:w="1193" w:type="dxa"/>
            <w:tcBorders>
              <w:top w:val="single" w:color="000000" w:sz="10" w:space="0"/>
            </w:tcBorders>
            <w:vAlign w:val="top"/>
          </w:tcPr>
          <w:p w14:paraId="43EBCC34">
            <w:pPr>
              <w:pStyle w:val="6"/>
              <w:spacing w:before="98" w:line="231" w:lineRule="auto"/>
              <w:ind w:left="490"/>
            </w:pPr>
            <w:r>
              <w:rPr>
                <w:b/>
                <w:bCs/>
              </w:rPr>
              <w:t>镉</w:t>
            </w:r>
          </w:p>
        </w:tc>
        <w:tc>
          <w:tcPr>
            <w:tcW w:w="1125" w:type="dxa"/>
            <w:tcBorders>
              <w:top w:val="single" w:color="000000" w:sz="10" w:space="0"/>
            </w:tcBorders>
            <w:vAlign w:val="top"/>
          </w:tcPr>
          <w:p w14:paraId="76E88B2F">
            <w:pPr>
              <w:pStyle w:val="6"/>
              <w:spacing w:before="99" w:line="226" w:lineRule="auto"/>
              <w:ind w:left="251"/>
            </w:pPr>
            <w:r>
              <w:rPr>
                <w:b/>
                <w:bCs/>
                <w:spacing w:val="5"/>
              </w:rPr>
              <w:t>六价铬</w:t>
            </w:r>
          </w:p>
        </w:tc>
        <w:tc>
          <w:tcPr>
            <w:tcW w:w="1193" w:type="dxa"/>
            <w:tcBorders>
              <w:top w:val="single" w:color="000000" w:sz="10" w:space="0"/>
            </w:tcBorders>
            <w:vAlign w:val="top"/>
          </w:tcPr>
          <w:p w14:paraId="59C698B8">
            <w:pPr>
              <w:pStyle w:val="6"/>
              <w:spacing w:before="99" w:line="232" w:lineRule="auto"/>
              <w:ind w:left="494"/>
            </w:pPr>
            <w:r>
              <w:rPr>
                <w:b/>
                <w:bCs/>
                <w:spacing w:val="-2"/>
              </w:rPr>
              <w:t>铅</w:t>
            </w:r>
          </w:p>
        </w:tc>
        <w:tc>
          <w:tcPr>
            <w:tcW w:w="1125" w:type="dxa"/>
            <w:tcBorders>
              <w:top w:val="single" w:color="000000" w:sz="10" w:space="0"/>
            </w:tcBorders>
            <w:vAlign w:val="top"/>
          </w:tcPr>
          <w:p w14:paraId="5825DA6E">
            <w:pPr>
              <w:pStyle w:val="6"/>
              <w:spacing w:before="99" w:line="228" w:lineRule="auto"/>
              <w:ind w:left="251"/>
            </w:pPr>
            <w:r>
              <w:rPr>
                <w:b/>
                <w:bCs/>
                <w:spacing w:val="5"/>
              </w:rPr>
              <w:t>氰化物</w:t>
            </w:r>
          </w:p>
        </w:tc>
        <w:tc>
          <w:tcPr>
            <w:tcW w:w="1125" w:type="dxa"/>
            <w:tcBorders>
              <w:top w:val="single" w:color="000000" w:sz="10" w:space="0"/>
            </w:tcBorders>
            <w:vAlign w:val="top"/>
          </w:tcPr>
          <w:p w14:paraId="45BECFC2">
            <w:pPr>
              <w:pStyle w:val="6"/>
              <w:spacing w:before="99" w:line="228" w:lineRule="auto"/>
              <w:ind w:left="254"/>
            </w:pPr>
            <w:r>
              <w:rPr>
                <w:b/>
                <w:bCs/>
                <w:spacing w:val="5"/>
              </w:rPr>
              <w:t>挥发酚</w:t>
            </w:r>
          </w:p>
        </w:tc>
        <w:tc>
          <w:tcPr>
            <w:tcW w:w="1423" w:type="dxa"/>
            <w:tcBorders>
              <w:top w:val="single" w:color="000000" w:sz="10" w:space="0"/>
            </w:tcBorders>
            <w:vAlign w:val="top"/>
          </w:tcPr>
          <w:p w14:paraId="553A203A">
            <w:pPr>
              <w:pStyle w:val="6"/>
              <w:spacing w:before="99" w:line="228" w:lineRule="auto"/>
              <w:ind w:left="407"/>
            </w:pPr>
            <w:r>
              <w:rPr>
                <w:b/>
                <w:bCs/>
                <w:spacing w:val="5"/>
              </w:rPr>
              <w:t>石油类</w:t>
            </w:r>
          </w:p>
        </w:tc>
        <w:tc>
          <w:tcPr>
            <w:tcW w:w="1982" w:type="dxa"/>
            <w:tcBorders>
              <w:top w:val="single" w:color="000000" w:sz="10" w:space="0"/>
            </w:tcBorders>
            <w:vAlign w:val="top"/>
          </w:tcPr>
          <w:p w14:paraId="115E84D8">
            <w:pPr>
              <w:pStyle w:val="6"/>
              <w:spacing w:before="99" w:line="227" w:lineRule="auto"/>
              <w:ind w:left="178"/>
            </w:pPr>
            <w:r>
              <w:rPr>
                <w:b/>
                <w:bCs/>
                <w:spacing w:val="5"/>
              </w:rPr>
              <w:t>阴离子表面活性剂</w:t>
            </w:r>
          </w:p>
        </w:tc>
        <w:tc>
          <w:tcPr>
            <w:tcW w:w="1384" w:type="dxa"/>
            <w:tcBorders>
              <w:top w:val="single" w:color="000000" w:sz="10" w:space="0"/>
              <w:right w:val="single" w:color="000000" w:sz="10" w:space="0"/>
            </w:tcBorders>
            <w:vAlign w:val="top"/>
          </w:tcPr>
          <w:p w14:paraId="3DABC678">
            <w:pPr>
              <w:pStyle w:val="6"/>
              <w:spacing w:before="99" w:line="229" w:lineRule="auto"/>
              <w:ind w:left="385"/>
            </w:pPr>
            <w:r>
              <w:rPr>
                <w:b/>
                <w:bCs/>
                <w:spacing w:val="5"/>
              </w:rPr>
              <w:t>硫化物</w:t>
            </w:r>
          </w:p>
        </w:tc>
      </w:tr>
      <w:tr w14:paraId="04D7F1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17" w:type="dxa"/>
            <w:tcBorders>
              <w:left w:val="single" w:color="000000" w:sz="10" w:space="0"/>
            </w:tcBorders>
            <w:vAlign w:val="top"/>
          </w:tcPr>
          <w:p w14:paraId="76F92874">
            <w:pPr>
              <w:spacing w:before="130"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2022-10</w:t>
            </w:r>
          </w:p>
        </w:tc>
        <w:tc>
          <w:tcPr>
            <w:tcW w:w="1054" w:type="dxa"/>
            <w:vAlign w:val="top"/>
          </w:tcPr>
          <w:p w14:paraId="518B4084">
            <w:pPr>
              <w:spacing w:before="130"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0.0020</w:t>
            </w:r>
          </w:p>
        </w:tc>
        <w:tc>
          <w:tcPr>
            <w:tcW w:w="1193" w:type="dxa"/>
            <w:vAlign w:val="top"/>
          </w:tcPr>
          <w:p w14:paraId="115586B8">
            <w:pPr>
              <w:spacing w:before="130"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93" w:type="dxa"/>
            <w:vAlign w:val="top"/>
          </w:tcPr>
          <w:p w14:paraId="61BB9081">
            <w:pPr>
              <w:spacing w:before="130"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0.00005</w:t>
            </w:r>
          </w:p>
        </w:tc>
        <w:tc>
          <w:tcPr>
            <w:tcW w:w="1125" w:type="dxa"/>
            <w:vAlign w:val="top"/>
          </w:tcPr>
          <w:p w14:paraId="0A58521C">
            <w:pPr>
              <w:spacing w:before="130"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93" w:type="dxa"/>
            <w:vAlign w:val="top"/>
          </w:tcPr>
          <w:p w14:paraId="4B09F89C">
            <w:pPr>
              <w:spacing w:before="130"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0.001</w:t>
            </w:r>
          </w:p>
        </w:tc>
        <w:tc>
          <w:tcPr>
            <w:tcW w:w="1125" w:type="dxa"/>
            <w:vAlign w:val="top"/>
          </w:tcPr>
          <w:p w14:paraId="1D104FE7">
            <w:pPr>
              <w:spacing w:before="130"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125" w:type="dxa"/>
            <w:vAlign w:val="top"/>
          </w:tcPr>
          <w:p w14:paraId="0A444F91">
            <w:pPr>
              <w:spacing w:before="130"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23" w:type="dxa"/>
            <w:vAlign w:val="top"/>
          </w:tcPr>
          <w:p w14:paraId="3D227D32">
            <w:pPr>
              <w:spacing w:before="130"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982" w:type="dxa"/>
            <w:vAlign w:val="top"/>
          </w:tcPr>
          <w:p w14:paraId="680F906F">
            <w:pPr>
              <w:spacing w:before="130"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4" w:type="dxa"/>
            <w:tcBorders>
              <w:right w:val="single" w:color="000000" w:sz="10" w:space="0"/>
            </w:tcBorders>
            <w:vAlign w:val="top"/>
          </w:tcPr>
          <w:p w14:paraId="7B421389">
            <w:pPr>
              <w:spacing w:before="130"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7FF8B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17" w:type="dxa"/>
            <w:tcBorders>
              <w:left w:val="single" w:color="000000" w:sz="10" w:space="0"/>
            </w:tcBorders>
            <w:vAlign w:val="top"/>
          </w:tcPr>
          <w:p w14:paraId="7CA52039">
            <w:pPr>
              <w:spacing w:before="133"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2022-11</w:t>
            </w:r>
          </w:p>
        </w:tc>
        <w:tc>
          <w:tcPr>
            <w:tcW w:w="1054" w:type="dxa"/>
            <w:vAlign w:val="top"/>
          </w:tcPr>
          <w:p w14:paraId="4375370C">
            <w:pPr>
              <w:spacing w:before="133"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0.0020</w:t>
            </w:r>
          </w:p>
        </w:tc>
        <w:tc>
          <w:tcPr>
            <w:tcW w:w="1193" w:type="dxa"/>
            <w:vAlign w:val="top"/>
          </w:tcPr>
          <w:p w14:paraId="60D50011">
            <w:pPr>
              <w:spacing w:before="133"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93" w:type="dxa"/>
            <w:vAlign w:val="top"/>
          </w:tcPr>
          <w:p w14:paraId="751D2B06">
            <w:pPr>
              <w:spacing w:before="133"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0.00005</w:t>
            </w:r>
          </w:p>
        </w:tc>
        <w:tc>
          <w:tcPr>
            <w:tcW w:w="1125" w:type="dxa"/>
            <w:vAlign w:val="top"/>
          </w:tcPr>
          <w:p w14:paraId="1E0FFD14">
            <w:pPr>
              <w:spacing w:before="133"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93" w:type="dxa"/>
            <w:vAlign w:val="top"/>
          </w:tcPr>
          <w:p w14:paraId="67F3C648">
            <w:pPr>
              <w:spacing w:before="133"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125" w:type="dxa"/>
            <w:vAlign w:val="top"/>
          </w:tcPr>
          <w:p w14:paraId="1DEB5200">
            <w:pPr>
              <w:spacing w:before="133"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125" w:type="dxa"/>
            <w:vAlign w:val="top"/>
          </w:tcPr>
          <w:p w14:paraId="5D081B0B">
            <w:pPr>
              <w:spacing w:before="133"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23" w:type="dxa"/>
            <w:vAlign w:val="top"/>
          </w:tcPr>
          <w:p w14:paraId="1EC63BF7">
            <w:pPr>
              <w:spacing w:before="133"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982" w:type="dxa"/>
            <w:vAlign w:val="top"/>
          </w:tcPr>
          <w:p w14:paraId="18BEF837">
            <w:pPr>
              <w:spacing w:before="133"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4" w:type="dxa"/>
            <w:tcBorders>
              <w:right w:val="single" w:color="000000" w:sz="10" w:space="0"/>
            </w:tcBorders>
            <w:vAlign w:val="top"/>
          </w:tcPr>
          <w:p w14:paraId="1CB8EE6B">
            <w:pPr>
              <w:spacing w:before="133"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35919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17" w:type="dxa"/>
            <w:tcBorders>
              <w:left w:val="single" w:color="000000" w:sz="10" w:space="0"/>
            </w:tcBorders>
            <w:vAlign w:val="top"/>
          </w:tcPr>
          <w:p w14:paraId="74EFA598">
            <w:pPr>
              <w:spacing w:before="133"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2022-12</w:t>
            </w:r>
          </w:p>
        </w:tc>
        <w:tc>
          <w:tcPr>
            <w:tcW w:w="1054" w:type="dxa"/>
            <w:vAlign w:val="top"/>
          </w:tcPr>
          <w:p w14:paraId="2C6BE007">
            <w:pPr>
              <w:spacing w:before="133"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0.0020</w:t>
            </w:r>
          </w:p>
        </w:tc>
        <w:tc>
          <w:tcPr>
            <w:tcW w:w="1193" w:type="dxa"/>
            <w:vAlign w:val="top"/>
          </w:tcPr>
          <w:p w14:paraId="76DA9C1E">
            <w:pPr>
              <w:spacing w:before="133"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93" w:type="dxa"/>
            <w:vAlign w:val="top"/>
          </w:tcPr>
          <w:p w14:paraId="52ABF3C6">
            <w:pPr>
              <w:spacing w:before="133"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0.00005</w:t>
            </w:r>
          </w:p>
        </w:tc>
        <w:tc>
          <w:tcPr>
            <w:tcW w:w="1125" w:type="dxa"/>
            <w:vAlign w:val="top"/>
          </w:tcPr>
          <w:p w14:paraId="26C4EACB">
            <w:pPr>
              <w:spacing w:before="133"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93" w:type="dxa"/>
            <w:vAlign w:val="top"/>
          </w:tcPr>
          <w:p w14:paraId="15C42A0C">
            <w:pPr>
              <w:spacing w:before="133"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125" w:type="dxa"/>
            <w:vAlign w:val="top"/>
          </w:tcPr>
          <w:p w14:paraId="3007DBF6">
            <w:pPr>
              <w:spacing w:before="133"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125" w:type="dxa"/>
            <w:vAlign w:val="top"/>
          </w:tcPr>
          <w:p w14:paraId="583DEEB6">
            <w:pPr>
              <w:spacing w:before="133"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23" w:type="dxa"/>
            <w:vAlign w:val="top"/>
          </w:tcPr>
          <w:p w14:paraId="195CB04D">
            <w:pPr>
              <w:spacing w:before="133"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982" w:type="dxa"/>
            <w:vAlign w:val="top"/>
          </w:tcPr>
          <w:p w14:paraId="1024AF6D">
            <w:pPr>
              <w:spacing w:before="133"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4" w:type="dxa"/>
            <w:tcBorders>
              <w:right w:val="single" w:color="000000" w:sz="10" w:space="0"/>
            </w:tcBorders>
            <w:vAlign w:val="top"/>
          </w:tcPr>
          <w:p w14:paraId="6925DD08">
            <w:pPr>
              <w:spacing w:before="133"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402E4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17" w:type="dxa"/>
            <w:tcBorders>
              <w:left w:val="single" w:color="000000" w:sz="10" w:space="0"/>
            </w:tcBorders>
            <w:vAlign w:val="top"/>
          </w:tcPr>
          <w:p w14:paraId="0765C30C">
            <w:pPr>
              <w:spacing w:before="135"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2023-01</w:t>
            </w:r>
          </w:p>
        </w:tc>
        <w:tc>
          <w:tcPr>
            <w:tcW w:w="1054" w:type="dxa"/>
            <w:vAlign w:val="top"/>
          </w:tcPr>
          <w:p w14:paraId="0AC2C40E">
            <w:pPr>
              <w:spacing w:before="135"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0.0016</w:t>
            </w:r>
          </w:p>
        </w:tc>
        <w:tc>
          <w:tcPr>
            <w:tcW w:w="1193" w:type="dxa"/>
            <w:vAlign w:val="top"/>
          </w:tcPr>
          <w:p w14:paraId="7268D7B5">
            <w:pPr>
              <w:spacing w:before="135"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93" w:type="dxa"/>
            <w:vAlign w:val="top"/>
          </w:tcPr>
          <w:p w14:paraId="4703B2CC">
            <w:pPr>
              <w:spacing w:before="135"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0.00005</w:t>
            </w:r>
          </w:p>
        </w:tc>
        <w:tc>
          <w:tcPr>
            <w:tcW w:w="1125" w:type="dxa"/>
            <w:vAlign w:val="top"/>
          </w:tcPr>
          <w:p w14:paraId="54BF1CE7">
            <w:pPr>
              <w:spacing w:before="135"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93" w:type="dxa"/>
            <w:vAlign w:val="top"/>
          </w:tcPr>
          <w:p w14:paraId="0A508A09">
            <w:pPr>
              <w:spacing w:before="135"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0.0004</w:t>
            </w:r>
          </w:p>
        </w:tc>
        <w:tc>
          <w:tcPr>
            <w:tcW w:w="1125" w:type="dxa"/>
            <w:vAlign w:val="top"/>
          </w:tcPr>
          <w:p w14:paraId="45FD83A7">
            <w:pPr>
              <w:spacing w:before="135"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125" w:type="dxa"/>
            <w:vAlign w:val="top"/>
          </w:tcPr>
          <w:p w14:paraId="09881A80">
            <w:pPr>
              <w:spacing w:before="135"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23" w:type="dxa"/>
            <w:vAlign w:val="top"/>
          </w:tcPr>
          <w:p w14:paraId="54A0E30F">
            <w:pPr>
              <w:spacing w:before="135"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982" w:type="dxa"/>
            <w:vAlign w:val="top"/>
          </w:tcPr>
          <w:p w14:paraId="30E8FA52">
            <w:pPr>
              <w:spacing w:before="135"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4" w:type="dxa"/>
            <w:tcBorders>
              <w:right w:val="single" w:color="000000" w:sz="10" w:space="0"/>
            </w:tcBorders>
            <w:vAlign w:val="top"/>
          </w:tcPr>
          <w:p w14:paraId="3E84D7AC">
            <w:pPr>
              <w:spacing w:before="135"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7AEB6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17" w:type="dxa"/>
            <w:tcBorders>
              <w:left w:val="single" w:color="000000" w:sz="10" w:space="0"/>
            </w:tcBorders>
            <w:vAlign w:val="top"/>
          </w:tcPr>
          <w:p w14:paraId="6DCAB487">
            <w:pPr>
              <w:spacing w:before="136"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2023-02</w:t>
            </w:r>
          </w:p>
        </w:tc>
        <w:tc>
          <w:tcPr>
            <w:tcW w:w="1054" w:type="dxa"/>
            <w:vAlign w:val="top"/>
          </w:tcPr>
          <w:p w14:paraId="25161EBF">
            <w:pPr>
              <w:spacing w:before="136"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93" w:type="dxa"/>
            <w:vAlign w:val="top"/>
          </w:tcPr>
          <w:p w14:paraId="791B0427">
            <w:pPr>
              <w:spacing w:before="136"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93" w:type="dxa"/>
            <w:vAlign w:val="top"/>
          </w:tcPr>
          <w:p w14:paraId="58C88EEE">
            <w:pPr>
              <w:spacing w:before="136"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0.00005</w:t>
            </w:r>
          </w:p>
        </w:tc>
        <w:tc>
          <w:tcPr>
            <w:tcW w:w="1125" w:type="dxa"/>
            <w:vAlign w:val="top"/>
          </w:tcPr>
          <w:p w14:paraId="75E9F5D0">
            <w:pPr>
              <w:spacing w:before="136"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93" w:type="dxa"/>
            <w:vAlign w:val="top"/>
          </w:tcPr>
          <w:p w14:paraId="39607381">
            <w:pPr>
              <w:spacing w:before="136"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w:t>
            </w:r>
          </w:p>
        </w:tc>
        <w:tc>
          <w:tcPr>
            <w:tcW w:w="1125" w:type="dxa"/>
            <w:vAlign w:val="top"/>
          </w:tcPr>
          <w:p w14:paraId="6DE67850">
            <w:pPr>
              <w:spacing w:before="136"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125" w:type="dxa"/>
            <w:vAlign w:val="top"/>
          </w:tcPr>
          <w:p w14:paraId="33876A50">
            <w:pPr>
              <w:spacing w:before="136"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23" w:type="dxa"/>
            <w:vAlign w:val="top"/>
          </w:tcPr>
          <w:p w14:paraId="68A01FBD">
            <w:pPr>
              <w:spacing w:before="136"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982" w:type="dxa"/>
            <w:vAlign w:val="top"/>
          </w:tcPr>
          <w:p w14:paraId="047C7276">
            <w:pPr>
              <w:spacing w:before="136"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4" w:type="dxa"/>
            <w:tcBorders>
              <w:right w:val="single" w:color="000000" w:sz="10" w:space="0"/>
            </w:tcBorders>
            <w:vAlign w:val="top"/>
          </w:tcPr>
          <w:p w14:paraId="62380EF2">
            <w:pPr>
              <w:spacing w:before="136"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060E84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17" w:type="dxa"/>
            <w:tcBorders>
              <w:left w:val="single" w:color="000000" w:sz="10" w:space="0"/>
            </w:tcBorders>
            <w:vAlign w:val="top"/>
          </w:tcPr>
          <w:p w14:paraId="0081335D">
            <w:pPr>
              <w:spacing w:before="138"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2023-03</w:t>
            </w:r>
          </w:p>
        </w:tc>
        <w:tc>
          <w:tcPr>
            <w:tcW w:w="1054" w:type="dxa"/>
            <w:vAlign w:val="top"/>
          </w:tcPr>
          <w:p w14:paraId="1EE08741">
            <w:pPr>
              <w:spacing w:before="138"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93" w:type="dxa"/>
            <w:vAlign w:val="top"/>
          </w:tcPr>
          <w:p w14:paraId="14155FFE">
            <w:pPr>
              <w:spacing w:before="138"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93" w:type="dxa"/>
            <w:vAlign w:val="top"/>
          </w:tcPr>
          <w:p w14:paraId="374420C0">
            <w:pPr>
              <w:spacing w:before="138"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25" w:type="dxa"/>
            <w:vAlign w:val="top"/>
          </w:tcPr>
          <w:p w14:paraId="6A87A3EE">
            <w:pPr>
              <w:spacing w:before="138"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93" w:type="dxa"/>
            <w:vAlign w:val="top"/>
          </w:tcPr>
          <w:p w14:paraId="1FE08CAD">
            <w:pPr>
              <w:spacing w:before="138"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1125" w:type="dxa"/>
            <w:vAlign w:val="top"/>
          </w:tcPr>
          <w:p w14:paraId="2B8E1F64">
            <w:pPr>
              <w:spacing w:before="138"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125" w:type="dxa"/>
            <w:vAlign w:val="top"/>
          </w:tcPr>
          <w:p w14:paraId="22591005">
            <w:pPr>
              <w:spacing w:before="138"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23" w:type="dxa"/>
            <w:vAlign w:val="top"/>
          </w:tcPr>
          <w:p w14:paraId="5031C4DE">
            <w:pPr>
              <w:spacing w:before="138"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982" w:type="dxa"/>
            <w:vAlign w:val="top"/>
          </w:tcPr>
          <w:p w14:paraId="68DDB14F">
            <w:pPr>
              <w:spacing w:before="138"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4" w:type="dxa"/>
            <w:tcBorders>
              <w:right w:val="single" w:color="000000" w:sz="10" w:space="0"/>
            </w:tcBorders>
            <w:vAlign w:val="top"/>
          </w:tcPr>
          <w:p w14:paraId="23890470">
            <w:pPr>
              <w:spacing w:before="138"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4B3103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17" w:type="dxa"/>
            <w:tcBorders>
              <w:left w:val="single" w:color="000000" w:sz="10" w:space="0"/>
            </w:tcBorders>
            <w:vAlign w:val="top"/>
          </w:tcPr>
          <w:p w14:paraId="275F4B07">
            <w:pPr>
              <w:spacing w:before="141"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2023-04</w:t>
            </w:r>
          </w:p>
        </w:tc>
        <w:tc>
          <w:tcPr>
            <w:tcW w:w="1054" w:type="dxa"/>
            <w:vAlign w:val="top"/>
          </w:tcPr>
          <w:p w14:paraId="3800794B">
            <w:pPr>
              <w:spacing w:before="141"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93" w:type="dxa"/>
            <w:vAlign w:val="top"/>
          </w:tcPr>
          <w:p w14:paraId="22D39428">
            <w:pPr>
              <w:spacing w:before="141"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93" w:type="dxa"/>
            <w:vAlign w:val="top"/>
          </w:tcPr>
          <w:p w14:paraId="1B068B31">
            <w:pPr>
              <w:spacing w:before="141"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25" w:type="dxa"/>
            <w:vAlign w:val="top"/>
          </w:tcPr>
          <w:p w14:paraId="1BDF26D0">
            <w:pPr>
              <w:spacing w:before="141"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93" w:type="dxa"/>
            <w:vAlign w:val="top"/>
          </w:tcPr>
          <w:p w14:paraId="244409A6">
            <w:pPr>
              <w:spacing w:before="141"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1125" w:type="dxa"/>
            <w:vAlign w:val="top"/>
          </w:tcPr>
          <w:p w14:paraId="047E8DF7">
            <w:pPr>
              <w:spacing w:before="141"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125" w:type="dxa"/>
            <w:vAlign w:val="top"/>
          </w:tcPr>
          <w:p w14:paraId="0366780C">
            <w:pPr>
              <w:spacing w:before="141"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23" w:type="dxa"/>
            <w:vAlign w:val="top"/>
          </w:tcPr>
          <w:p w14:paraId="0B34D2FB">
            <w:pPr>
              <w:spacing w:before="141"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982" w:type="dxa"/>
            <w:vAlign w:val="top"/>
          </w:tcPr>
          <w:p w14:paraId="07347F70">
            <w:pPr>
              <w:spacing w:before="141"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4" w:type="dxa"/>
            <w:tcBorders>
              <w:right w:val="single" w:color="000000" w:sz="10" w:space="0"/>
            </w:tcBorders>
            <w:vAlign w:val="top"/>
          </w:tcPr>
          <w:p w14:paraId="14076E17">
            <w:pPr>
              <w:spacing w:before="141"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5E887D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17" w:type="dxa"/>
            <w:tcBorders>
              <w:left w:val="single" w:color="000000" w:sz="10" w:space="0"/>
            </w:tcBorders>
            <w:vAlign w:val="top"/>
          </w:tcPr>
          <w:p w14:paraId="36861E87">
            <w:pPr>
              <w:spacing w:before="140"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2023-05</w:t>
            </w:r>
          </w:p>
        </w:tc>
        <w:tc>
          <w:tcPr>
            <w:tcW w:w="1054" w:type="dxa"/>
            <w:vAlign w:val="top"/>
          </w:tcPr>
          <w:p w14:paraId="62DAE8B6">
            <w:pPr>
              <w:spacing w:before="140"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0.0011</w:t>
            </w:r>
          </w:p>
        </w:tc>
        <w:tc>
          <w:tcPr>
            <w:tcW w:w="1193" w:type="dxa"/>
            <w:vAlign w:val="top"/>
          </w:tcPr>
          <w:p w14:paraId="5838A98D">
            <w:pPr>
              <w:spacing w:before="140"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93" w:type="dxa"/>
            <w:vAlign w:val="top"/>
          </w:tcPr>
          <w:p w14:paraId="7C080C6A">
            <w:pPr>
              <w:spacing w:before="140"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25" w:type="dxa"/>
            <w:vAlign w:val="top"/>
          </w:tcPr>
          <w:p w14:paraId="395F1DF0">
            <w:pPr>
              <w:spacing w:before="140"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93" w:type="dxa"/>
            <w:vAlign w:val="top"/>
          </w:tcPr>
          <w:p w14:paraId="55C57AA6">
            <w:pPr>
              <w:spacing w:before="140"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0.0001</w:t>
            </w:r>
          </w:p>
        </w:tc>
        <w:tc>
          <w:tcPr>
            <w:tcW w:w="1125" w:type="dxa"/>
            <w:vAlign w:val="top"/>
          </w:tcPr>
          <w:p w14:paraId="40E47D45">
            <w:pPr>
              <w:spacing w:before="140"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125" w:type="dxa"/>
            <w:vAlign w:val="top"/>
          </w:tcPr>
          <w:p w14:paraId="17FC7D03">
            <w:pPr>
              <w:spacing w:before="140"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23" w:type="dxa"/>
            <w:vAlign w:val="top"/>
          </w:tcPr>
          <w:p w14:paraId="28674CF4">
            <w:pPr>
              <w:spacing w:before="140"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982" w:type="dxa"/>
            <w:vAlign w:val="top"/>
          </w:tcPr>
          <w:p w14:paraId="505B218E">
            <w:pPr>
              <w:spacing w:before="140"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4" w:type="dxa"/>
            <w:tcBorders>
              <w:right w:val="single" w:color="000000" w:sz="10" w:space="0"/>
            </w:tcBorders>
            <w:vAlign w:val="top"/>
          </w:tcPr>
          <w:p w14:paraId="404122D5">
            <w:pPr>
              <w:spacing w:before="140"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0CE19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17" w:type="dxa"/>
            <w:tcBorders>
              <w:left w:val="single" w:color="000000" w:sz="10" w:space="0"/>
            </w:tcBorders>
            <w:vAlign w:val="top"/>
          </w:tcPr>
          <w:p w14:paraId="0716BB80">
            <w:pPr>
              <w:spacing w:before="142"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2023-06</w:t>
            </w:r>
          </w:p>
        </w:tc>
        <w:tc>
          <w:tcPr>
            <w:tcW w:w="1054" w:type="dxa"/>
            <w:vAlign w:val="top"/>
          </w:tcPr>
          <w:p w14:paraId="5DBF16B1">
            <w:pPr>
              <w:spacing w:before="142"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0.0015</w:t>
            </w:r>
          </w:p>
        </w:tc>
        <w:tc>
          <w:tcPr>
            <w:tcW w:w="1193" w:type="dxa"/>
            <w:vAlign w:val="top"/>
          </w:tcPr>
          <w:p w14:paraId="7C23A3D7">
            <w:pPr>
              <w:spacing w:before="142"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93" w:type="dxa"/>
            <w:vAlign w:val="top"/>
          </w:tcPr>
          <w:p w14:paraId="3B6DE2A0">
            <w:pPr>
              <w:spacing w:before="142"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25" w:type="dxa"/>
            <w:vAlign w:val="top"/>
          </w:tcPr>
          <w:p w14:paraId="38A3B692">
            <w:pPr>
              <w:spacing w:before="142"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93" w:type="dxa"/>
            <w:vAlign w:val="top"/>
          </w:tcPr>
          <w:p w14:paraId="26105AAC">
            <w:pPr>
              <w:spacing w:before="142"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1125" w:type="dxa"/>
            <w:vAlign w:val="top"/>
          </w:tcPr>
          <w:p w14:paraId="53ED8406">
            <w:pPr>
              <w:spacing w:before="142"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125" w:type="dxa"/>
            <w:vAlign w:val="top"/>
          </w:tcPr>
          <w:p w14:paraId="5DD24A29">
            <w:pPr>
              <w:spacing w:before="142"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23" w:type="dxa"/>
            <w:vAlign w:val="top"/>
          </w:tcPr>
          <w:p w14:paraId="6F27CACF">
            <w:pPr>
              <w:spacing w:before="142"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982" w:type="dxa"/>
            <w:vAlign w:val="top"/>
          </w:tcPr>
          <w:p w14:paraId="0A69ED6B">
            <w:pPr>
              <w:spacing w:before="142"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4" w:type="dxa"/>
            <w:tcBorders>
              <w:right w:val="single" w:color="000000" w:sz="10" w:space="0"/>
            </w:tcBorders>
            <w:vAlign w:val="top"/>
          </w:tcPr>
          <w:p w14:paraId="12D8127A">
            <w:pPr>
              <w:spacing w:before="142"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5D238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17" w:type="dxa"/>
            <w:tcBorders>
              <w:left w:val="single" w:color="000000" w:sz="10" w:space="0"/>
            </w:tcBorders>
            <w:vAlign w:val="top"/>
          </w:tcPr>
          <w:p w14:paraId="6F0EB407">
            <w:pPr>
              <w:spacing w:before="142"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2023-07</w:t>
            </w:r>
          </w:p>
        </w:tc>
        <w:tc>
          <w:tcPr>
            <w:tcW w:w="1054" w:type="dxa"/>
            <w:vAlign w:val="top"/>
          </w:tcPr>
          <w:p w14:paraId="0015CF04">
            <w:pPr>
              <w:spacing w:before="142"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0.0011</w:t>
            </w:r>
          </w:p>
        </w:tc>
        <w:tc>
          <w:tcPr>
            <w:tcW w:w="1193" w:type="dxa"/>
            <w:vAlign w:val="top"/>
          </w:tcPr>
          <w:p w14:paraId="1EA3285C">
            <w:pPr>
              <w:spacing w:before="142"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93" w:type="dxa"/>
            <w:vAlign w:val="top"/>
          </w:tcPr>
          <w:p w14:paraId="5433713D">
            <w:pPr>
              <w:spacing w:before="142"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25" w:type="dxa"/>
            <w:vAlign w:val="top"/>
          </w:tcPr>
          <w:p w14:paraId="4C59739E">
            <w:pPr>
              <w:spacing w:before="142"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93" w:type="dxa"/>
            <w:vAlign w:val="top"/>
          </w:tcPr>
          <w:p w14:paraId="30053B58">
            <w:pPr>
              <w:spacing w:before="142"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w:t>
            </w:r>
          </w:p>
        </w:tc>
        <w:tc>
          <w:tcPr>
            <w:tcW w:w="1125" w:type="dxa"/>
            <w:vAlign w:val="top"/>
          </w:tcPr>
          <w:p w14:paraId="2DF06E71">
            <w:pPr>
              <w:spacing w:before="142"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125" w:type="dxa"/>
            <w:vAlign w:val="top"/>
          </w:tcPr>
          <w:p w14:paraId="37913EFD">
            <w:pPr>
              <w:spacing w:before="142"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23" w:type="dxa"/>
            <w:vAlign w:val="top"/>
          </w:tcPr>
          <w:p w14:paraId="35658C64">
            <w:pPr>
              <w:spacing w:before="142"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982" w:type="dxa"/>
            <w:vAlign w:val="top"/>
          </w:tcPr>
          <w:p w14:paraId="0CCF7667">
            <w:pPr>
              <w:spacing w:before="142"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4" w:type="dxa"/>
            <w:tcBorders>
              <w:right w:val="single" w:color="000000" w:sz="10" w:space="0"/>
            </w:tcBorders>
            <w:vAlign w:val="top"/>
          </w:tcPr>
          <w:p w14:paraId="41A5A5E0">
            <w:pPr>
              <w:spacing w:before="142"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0D7B2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17" w:type="dxa"/>
            <w:tcBorders>
              <w:left w:val="single" w:color="000000" w:sz="10" w:space="0"/>
            </w:tcBorders>
            <w:vAlign w:val="top"/>
          </w:tcPr>
          <w:p w14:paraId="3D121E85">
            <w:pPr>
              <w:spacing w:before="144"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2023-08</w:t>
            </w:r>
          </w:p>
        </w:tc>
        <w:tc>
          <w:tcPr>
            <w:tcW w:w="1054" w:type="dxa"/>
            <w:vAlign w:val="top"/>
          </w:tcPr>
          <w:p w14:paraId="4EF7E02E">
            <w:pPr>
              <w:spacing w:before="144"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0.0032</w:t>
            </w:r>
          </w:p>
        </w:tc>
        <w:tc>
          <w:tcPr>
            <w:tcW w:w="1193" w:type="dxa"/>
            <w:vAlign w:val="top"/>
          </w:tcPr>
          <w:p w14:paraId="3815F6C2">
            <w:pPr>
              <w:spacing w:before="144"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93" w:type="dxa"/>
            <w:vAlign w:val="top"/>
          </w:tcPr>
          <w:p w14:paraId="662FA6ED">
            <w:pPr>
              <w:spacing w:before="144"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25" w:type="dxa"/>
            <w:vAlign w:val="top"/>
          </w:tcPr>
          <w:p w14:paraId="49A83C75">
            <w:pPr>
              <w:spacing w:before="144"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93" w:type="dxa"/>
            <w:vAlign w:val="top"/>
          </w:tcPr>
          <w:p w14:paraId="6935BCD6">
            <w:pPr>
              <w:spacing w:before="144"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25" w:type="dxa"/>
            <w:vAlign w:val="top"/>
          </w:tcPr>
          <w:p w14:paraId="63A23860">
            <w:pPr>
              <w:spacing w:before="144"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125" w:type="dxa"/>
            <w:vAlign w:val="top"/>
          </w:tcPr>
          <w:p w14:paraId="33B10ED5">
            <w:pPr>
              <w:spacing w:before="144"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23" w:type="dxa"/>
            <w:vAlign w:val="top"/>
          </w:tcPr>
          <w:p w14:paraId="7E1D27DB">
            <w:pPr>
              <w:spacing w:before="144"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982" w:type="dxa"/>
            <w:vAlign w:val="top"/>
          </w:tcPr>
          <w:p w14:paraId="7D6EB5EE">
            <w:pPr>
              <w:spacing w:before="144"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4" w:type="dxa"/>
            <w:tcBorders>
              <w:right w:val="single" w:color="000000" w:sz="10" w:space="0"/>
            </w:tcBorders>
            <w:vAlign w:val="top"/>
          </w:tcPr>
          <w:p w14:paraId="0504EE8B">
            <w:pPr>
              <w:spacing w:before="144"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20340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17" w:type="dxa"/>
            <w:tcBorders>
              <w:left w:val="single" w:color="000000" w:sz="10" w:space="0"/>
            </w:tcBorders>
            <w:vAlign w:val="top"/>
          </w:tcPr>
          <w:p w14:paraId="62658098">
            <w:pPr>
              <w:spacing w:before="147"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2023-09</w:t>
            </w:r>
          </w:p>
        </w:tc>
        <w:tc>
          <w:tcPr>
            <w:tcW w:w="1054" w:type="dxa"/>
            <w:vAlign w:val="top"/>
          </w:tcPr>
          <w:p w14:paraId="77AEEE6D">
            <w:pPr>
              <w:spacing w:before="147"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0.0026</w:t>
            </w:r>
          </w:p>
        </w:tc>
        <w:tc>
          <w:tcPr>
            <w:tcW w:w="1193" w:type="dxa"/>
            <w:vAlign w:val="top"/>
          </w:tcPr>
          <w:p w14:paraId="2EF8DA19">
            <w:pPr>
              <w:spacing w:before="147"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93" w:type="dxa"/>
            <w:vAlign w:val="top"/>
          </w:tcPr>
          <w:p w14:paraId="74445047">
            <w:pPr>
              <w:spacing w:before="147"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25" w:type="dxa"/>
            <w:vAlign w:val="top"/>
          </w:tcPr>
          <w:p w14:paraId="6EC18633">
            <w:pPr>
              <w:spacing w:before="147"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93" w:type="dxa"/>
            <w:vAlign w:val="top"/>
          </w:tcPr>
          <w:p w14:paraId="3B5D89E5">
            <w:pPr>
              <w:spacing w:before="147"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1125" w:type="dxa"/>
            <w:vAlign w:val="top"/>
          </w:tcPr>
          <w:p w14:paraId="1FEF5F45">
            <w:pPr>
              <w:spacing w:before="147"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125" w:type="dxa"/>
            <w:vAlign w:val="top"/>
          </w:tcPr>
          <w:p w14:paraId="2677131F">
            <w:pPr>
              <w:spacing w:before="147"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23" w:type="dxa"/>
            <w:vAlign w:val="top"/>
          </w:tcPr>
          <w:p w14:paraId="1ED0EDAB">
            <w:pPr>
              <w:spacing w:before="147"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982" w:type="dxa"/>
            <w:vAlign w:val="top"/>
          </w:tcPr>
          <w:p w14:paraId="1E110305">
            <w:pPr>
              <w:spacing w:before="147"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4" w:type="dxa"/>
            <w:tcBorders>
              <w:right w:val="single" w:color="000000" w:sz="10" w:space="0"/>
            </w:tcBorders>
            <w:vAlign w:val="top"/>
          </w:tcPr>
          <w:p w14:paraId="2EFEF21F">
            <w:pPr>
              <w:spacing w:before="147"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7C2A3E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17" w:type="dxa"/>
            <w:tcBorders>
              <w:left w:val="single" w:color="000000" w:sz="10" w:space="0"/>
            </w:tcBorders>
            <w:vAlign w:val="top"/>
          </w:tcPr>
          <w:p w14:paraId="2AAAFCC4">
            <w:pPr>
              <w:spacing w:before="146"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2023-10</w:t>
            </w:r>
          </w:p>
        </w:tc>
        <w:tc>
          <w:tcPr>
            <w:tcW w:w="1054" w:type="dxa"/>
            <w:vAlign w:val="top"/>
          </w:tcPr>
          <w:p w14:paraId="2B9FE1CD">
            <w:pPr>
              <w:spacing w:before="146"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0.0038</w:t>
            </w:r>
          </w:p>
        </w:tc>
        <w:tc>
          <w:tcPr>
            <w:tcW w:w="1193" w:type="dxa"/>
            <w:vAlign w:val="top"/>
          </w:tcPr>
          <w:p w14:paraId="407E9450">
            <w:pPr>
              <w:spacing w:before="146"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93" w:type="dxa"/>
            <w:vAlign w:val="top"/>
          </w:tcPr>
          <w:p w14:paraId="616699B5">
            <w:pPr>
              <w:spacing w:before="146"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25" w:type="dxa"/>
            <w:vAlign w:val="top"/>
          </w:tcPr>
          <w:p w14:paraId="34836584">
            <w:pPr>
              <w:spacing w:before="146"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93" w:type="dxa"/>
            <w:vAlign w:val="top"/>
          </w:tcPr>
          <w:p w14:paraId="7D1D52A6">
            <w:pPr>
              <w:spacing w:before="146"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1125" w:type="dxa"/>
            <w:vAlign w:val="top"/>
          </w:tcPr>
          <w:p w14:paraId="0C4ABC27">
            <w:pPr>
              <w:spacing w:before="146"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125" w:type="dxa"/>
            <w:vAlign w:val="top"/>
          </w:tcPr>
          <w:p w14:paraId="5069CF22">
            <w:pPr>
              <w:spacing w:before="146"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23" w:type="dxa"/>
            <w:vAlign w:val="top"/>
          </w:tcPr>
          <w:p w14:paraId="27AC2053">
            <w:pPr>
              <w:spacing w:before="146"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982" w:type="dxa"/>
            <w:vAlign w:val="top"/>
          </w:tcPr>
          <w:p w14:paraId="4AD2690D">
            <w:pPr>
              <w:spacing w:before="146"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4" w:type="dxa"/>
            <w:tcBorders>
              <w:right w:val="single" w:color="000000" w:sz="10" w:space="0"/>
            </w:tcBorders>
            <w:vAlign w:val="top"/>
          </w:tcPr>
          <w:p w14:paraId="7BC0288A">
            <w:pPr>
              <w:spacing w:before="146"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450FC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17" w:type="dxa"/>
            <w:tcBorders>
              <w:left w:val="single" w:color="000000" w:sz="10" w:space="0"/>
            </w:tcBorders>
            <w:vAlign w:val="top"/>
          </w:tcPr>
          <w:p w14:paraId="7CA5F4D9">
            <w:pPr>
              <w:spacing w:before="148"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2023-11</w:t>
            </w:r>
          </w:p>
        </w:tc>
        <w:tc>
          <w:tcPr>
            <w:tcW w:w="1054" w:type="dxa"/>
            <w:vAlign w:val="top"/>
          </w:tcPr>
          <w:p w14:paraId="5BB06F01">
            <w:pPr>
              <w:spacing w:before="148"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0.0017</w:t>
            </w:r>
          </w:p>
        </w:tc>
        <w:tc>
          <w:tcPr>
            <w:tcW w:w="1193" w:type="dxa"/>
            <w:vAlign w:val="top"/>
          </w:tcPr>
          <w:p w14:paraId="5EEB0D8C">
            <w:pPr>
              <w:spacing w:before="148"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93" w:type="dxa"/>
            <w:vAlign w:val="top"/>
          </w:tcPr>
          <w:p w14:paraId="0E93473C">
            <w:pPr>
              <w:spacing w:before="148"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25" w:type="dxa"/>
            <w:vAlign w:val="top"/>
          </w:tcPr>
          <w:p w14:paraId="7CC9EC4D">
            <w:pPr>
              <w:spacing w:before="148"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93" w:type="dxa"/>
            <w:vAlign w:val="top"/>
          </w:tcPr>
          <w:p w14:paraId="7F5C8A6C">
            <w:pPr>
              <w:spacing w:before="148"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1125" w:type="dxa"/>
            <w:vAlign w:val="top"/>
          </w:tcPr>
          <w:p w14:paraId="4F78404F">
            <w:pPr>
              <w:spacing w:before="148"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125" w:type="dxa"/>
            <w:vAlign w:val="top"/>
          </w:tcPr>
          <w:p w14:paraId="334FBAB8">
            <w:pPr>
              <w:spacing w:before="148"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23" w:type="dxa"/>
            <w:vAlign w:val="top"/>
          </w:tcPr>
          <w:p w14:paraId="5A2734AD">
            <w:pPr>
              <w:spacing w:before="148"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982" w:type="dxa"/>
            <w:vAlign w:val="top"/>
          </w:tcPr>
          <w:p w14:paraId="3069C309">
            <w:pPr>
              <w:spacing w:before="148"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4" w:type="dxa"/>
            <w:tcBorders>
              <w:right w:val="single" w:color="000000" w:sz="10" w:space="0"/>
            </w:tcBorders>
            <w:vAlign w:val="top"/>
          </w:tcPr>
          <w:p w14:paraId="28A47F5C">
            <w:pPr>
              <w:spacing w:before="148"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35FDA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17" w:type="dxa"/>
            <w:tcBorders>
              <w:left w:val="single" w:color="000000" w:sz="10" w:space="0"/>
            </w:tcBorders>
            <w:vAlign w:val="top"/>
          </w:tcPr>
          <w:p w14:paraId="5A17F9D3">
            <w:pPr>
              <w:spacing w:before="148"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2023-12</w:t>
            </w:r>
          </w:p>
        </w:tc>
        <w:tc>
          <w:tcPr>
            <w:tcW w:w="1054" w:type="dxa"/>
            <w:vAlign w:val="top"/>
          </w:tcPr>
          <w:p w14:paraId="31B1CFE9">
            <w:pPr>
              <w:spacing w:before="148"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0.0008</w:t>
            </w:r>
          </w:p>
        </w:tc>
        <w:tc>
          <w:tcPr>
            <w:tcW w:w="1193" w:type="dxa"/>
            <w:vAlign w:val="top"/>
          </w:tcPr>
          <w:p w14:paraId="23B1B798">
            <w:pPr>
              <w:spacing w:before="148"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93" w:type="dxa"/>
            <w:vAlign w:val="top"/>
          </w:tcPr>
          <w:p w14:paraId="4E9FCE03">
            <w:pPr>
              <w:spacing w:before="148"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25" w:type="dxa"/>
            <w:vAlign w:val="top"/>
          </w:tcPr>
          <w:p w14:paraId="2EF5023D">
            <w:pPr>
              <w:spacing w:before="148"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93" w:type="dxa"/>
            <w:vAlign w:val="top"/>
          </w:tcPr>
          <w:p w14:paraId="0BD7013D">
            <w:pPr>
              <w:spacing w:before="148"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25" w:type="dxa"/>
            <w:vAlign w:val="top"/>
          </w:tcPr>
          <w:p w14:paraId="2B8E622E">
            <w:pPr>
              <w:spacing w:before="148"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125" w:type="dxa"/>
            <w:vAlign w:val="top"/>
          </w:tcPr>
          <w:p w14:paraId="58D3A08A">
            <w:pPr>
              <w:spacing w:before="148"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23" w:type="dxa"/>
            <w:vAlign w:val="top"/>
          </w:tcPr>
          <w:p w14:paraId="5CB3481B">
            <w:pPr>
              <w:spacing w:before="148"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982" w:type="dxa"/>
            <w:vAlign w:val="top"/>
          </w:tcPr>
          <w:p w14:paraId="19F609DB">
            <w:pPr>
              <w:spacing w:before="148"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4" w:type="dxa"/>
            <w:tcBorders>
              <w:right w:val="single" w:color="000000" w:sz="10" w:space="0"/>
            </w:tcBorders>
            <w:vAlign w:val="top"/>
          </w:tcPr>
          <w:p w14:paraId="177F19FB">
            <w:pPr>
              <w:spacing w:before="148"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159F2A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17" w:type="dxa"/>
            <w:tcBorders>
              <w:left w:val="single" w:color="000000" w:sz="10" w:space="0"/>
            </w:tcBorders>
            <w:vAlign w:val="top"/>
          </w:tcPr>
          <w:p w14:paraId="22B8AEEA">
            <w:pPr>
              <w:spacing w:before="150"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2024-01</w:t>
            </w:r>
          </w:p>
        </w:tc>
        <w:tc>
          <w:tcPr>
            <w:tcW w:w="1054" w:type="dxa"/>
            <w:vAlign w:val="top"/>
          </w:tcPr>
          <w:p w14:paraId="24573B5E">
            <w:pPr>
              <w:spacing w:before="150"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0.0010</w:t>
            </w:r>
          </w:p>
        </w:tc>
        <w:tc>
          <w:tcPr>
            <w:tcW w:w="1193" w:type="dxa"/>
            <w:vAlign w:val="top"/>
          </w:tcPr>
          <w:p w14:paraId="53E72C23">
            <w:pPr>
              <w:spacing w:before="150"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93" w:type="dxa"/>
            <w:vAlign w:val="top"/>
          </w:tcPr>
          <w:p w14:paraId="2E5CFB45">
            <w:pPr>
              <w:spacing w:before="150"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25" w:type="dxa"/>
            <w:vAlign w:val="top"/>
          </w:tcPr>
          <w:p w14:paraId="43EDDFE7">
            <w:pPr>
              <w:spacing w:before="150"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93" w:type="dxa"/>
            <w:vAlign w:val="top"/>
          </w:tcPr>
          <w:p w14:paraId="54B0CFAC">
            <w:pPr>
              <w:spacing w:before="150"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1125" w:type="dxa"/>
            <w:vAlign w:val="top"/>
          </w:tcPr>
          <w:p w14:paraId="15519FAD">
            <w:pPr>
              <w:spacing w:before="150"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125" w:type="dxa"/>
            <w:vAlign w:val="top"/>
          </w:tcPr>
          <w:p w14:paraId="370908C1">
            <w:pPr>
              <w:spacing w:before="150"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23" w:type="dxa"/>
            <w:vAlign w:val="top"/>
          </w:tcPr>
          <w:p w14:paraId="786EAB10">
            <w:pPr>
              <w:spacing w:before="150"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982" w:type="dxa"/>
            <w:vAlign w:val="top"/>
          </w:tcPr>
          <w:p w14:paraId="5F5E5DB8">
            <w:pPr>
              <w:spacing w:before="150"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4" w:type="dxa"/>
            <w:tcBorders>
              <w:right w:val="single" w:color="000000" w:sz="10" w:space="0"/>
            </w:tcBorders>
            <w:vAlign w:val="top"/>
          </w:tcPr>
          <w:p w14:paraId="6D600EAB">
            <w:pPr>
              <w:spacing w:before="150"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68598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17" w:type="dxa"/>
            <w:tcBorders>
              <w:left w:val="single" w:color="000000" w:sz="10" w:space="0"/>
            </w:tcBorders>
            <w:vAlign w:val="top"/>
          </w:tcPr>
          <w:p w14:paraId="1D4304CF">
            <w:pPr>
              <w:spacing w:before="150"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2024-02</w:t>
            </w:r>
          </w:p>
        </w:tc>
        <w:tc>
          <w:tcPr>
            <w:tcW w:w="1054" w:type="dxa"/>
            <w:vAlign w:val="top"/>
          </w:tcPr>
          <w:p w14:paraId="3002A1CA">
            <w:pPr>
              <w:spacing w:before="150"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w:t>
            </w:r>
          </w:p>
        </w:tc>
        <w:tc>
          <w:tcPr>
            <w:tcW w:w="1193" w:type="dxa"/>
            <w:vAlign w:val="top"/>
          </w:tcPr>
          <w:p w14:paraId="1DD49B73">
            <w:pPr>
              <w:spacing w:before="150"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93" w:type="dxa"/>
            <w:vAlign w:val="top"/>
          </w:tcPr>
          <w:p w14:paraId="3455A5AA">
            <w:pPr>
              <w:spacing w:before="150"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25" w:type="dxa"/>
            <w:vAlign w:val="top"/>
          </w:tcPr>
          <w:p w14:paraId="65AE35C8">
            <w:pPr>
              <w:spacing w:before="150"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93" w:type="dxa"/>
            <w:vAlign w:val="top"/>
          </w:tcPr>
          <w:p w14:paraId="24615AE6">
            <w:pPr>
              <w:spacing w:before="150"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1125" w:type="dxa"/>
            <w:vAlign w:val="top"/>
          </w:tcPr>
          <w:p w14:paraId="133FB840">
            <w:pPr>
              <w:spacing w:before="150"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125" w:type="dxa"/>
            <w:vAlign w:val="top"/>
          </w:tcPr>
          <w:p w14:paraId="30BD6C8D">
            <w:pPr>
              <w:spacing w:before="150"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23" w:type="dxa"/>
            <w:vAlign w:val="top"/>
          </w:tcPr>
          <w:p w14:paraId="22D01B3F">
            <w:pPr>
              <w:spacing w:before="150"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982" w:type="dxa"/>
            <w:vAlign w:val="top"/>
          </w:tcPr>
          <w:p w14:paraId="431CB065">
            <w:pPr>
              <w:spacing w:before="150"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4" w:type="dxa"/>
            <w:tcBorders>
              <w:right w:val="single" w:color="000000" w:sz="10" w:space="0"/>
            </w:tcBorders>
            <w:vAlign w:val="top"/>
          </w:tcPr>
          <w:p w14:paraId="515A1706">
            <w:pPr>
              <w:spacing w:before="150"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7C748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17" w:type="dxa"/>
            <w:tcBorders>
              <w:left w:val="single" w:color="000000" w:sz="10" w:space="0"/>
            </w:tcBorders>
            <w:vAlign w:val="top"/>
          </w:tcPr>
          <w:p w14:paraId="6B683168">
            <w:pPr>
              <w:spacing w:before="152"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2024-03</w:t>
            </w:r>
          </w:p>
        </w:tc>
        <w:tc>
          <w:tcPr>
            <w:tcW w:w="1054" w:type="dxa"/>
            <w:vAlign w:val="top"/>
          </w:tcPr>
          <w:p w14:paraId="4EB1C2B8">
            <w:pPr>
              <w:spacing w:before="152"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0.0031</w:t>
            </w:r>
          </w:p>
        </w:tc>
        <w:tc>
          <w:tcPr>
            <w:tcW w:w="1193" w:type="dxa"/>
            <w:vAlign w:val="top"/>
          </w:tcPr>
          <w:p w14:paraId="09798376">
            <w:pPr>
              <w:spacing w:before="152"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93" w:type="dxa"/>
            <w:vAlign w:val="top"/>
          </w:tcPr>
          <w:p w14:paraId="2C0CD8D4">
            <w:pPr>
              <w:spacing w:before="152"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25" w:type="dxa"/>
            <w:vAlign w:val="top"/>
          </w:tcPr>
          <w:p w14:paraId="6B560A26">
            <w:pPr>
              <w:spacing w:before="152"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93" w:type="dxa"/>
            <w:vAlign w:val="top"/>
          </w:tcPr>
          <w:p w14:paraId="332C7636">
            <w:pPr>
              <w:spacing w:before="152"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0.0004</w:t>
            </w:r>
          </w:p>
        </w:tc>
        <w:tc>
          <w:tcPr>
            <w:tcW w:w="1125" w:type="dxa"/>
            <w:vAlign w:val="top"/>
          </w:tcPr>
          <w:p w14:paraId="61364381">
            <w:pPr>
              <w:spacing w:before="152"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125" w:type="dxa"/>
            <w:vAlign w:val="top"/>
          </w:tcPr>
          <w:p w14:paraId="79555BB7">
            <w:pPr>
              <w:spacing w:before="152"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23" w:type="dxa"/>
            <w:vAlign w:val="top"/>
          </w:tcPr>
          <w:p w14:paraId="127176FA">
            <w:pPr>
              <w:spacing w:before="152"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982" w:type="dxa"/>
            <w:vAlign w:val="top"/>
          </w:tcPr>
          <w:p w14:paraId="430B5B42">
            <w:pPr>
              <w:spacing w:before="152"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4" w:type="dxa"/>
            <w:tcBorders>
              <w:right w:val="single" w:color="000000" w:sz="10" w:space="0"/>
            </w:tcBorders>
            <w:vAlign w:val="top"/>
          </w:tcPr>
          <w:p w14:paraId="62E07319">
            <w:pPr>
              <w:spacing w:before="152"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06972B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1417" w:type="dxa"/>
            <w:tcBorders>
              <w:left w:val="single" w:color="000000" w:sz="10" w:space="0"/>
              <w:bottom w:val="single" w:color="000000" w:sz="10" w:space="0"/>
            </w:tcBorders>
            <w:vAlign w:val="top"/>
          </w:tcPr>
          <w:p w14:paraId="0E9D853C">
            <w:pPr>
              <w:spacing w:before="154"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2024-04</w:t>
            </w:r>
          </w:p>
        </w:tc>
        <w:tc>
          <w:tcPr>
            <w:tcW w:w="1054" w:type="dxa"/>
            <w:tcBorders>
              <w:bottom w:val="single" w:color="000000" w:sz="10" w:space="0"/>
            </w:tcBorders>
            <w:vAlign w:val="top"/>
          </w:tcPr>
          <w:p w14:paraId="7DC52B11">
            <w:pPr>
              <w:spacing w:before="154"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0.0009</w:t>
            </w:r>
          </w:p>
        </w:tc>
        <w:tc>
          <w:tcPr>
            <w:tcW w:w="1193" w:type="dxa"/>
            <w:tcBorders>
              <w:bottom w:val="single" w:color="000000" w:sz="10" w:space="0"/>
            </w:tcBorders>
            <w:vAlign w:val="top"/>
          </w:tcPr>
          <w:p w14:paraId="14938BD6">
            <w:pPr>
              <w:spacing w:before="154"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93" w:type="dxa"/>
            <w:tcBorders>
              <w:bottom w:val="single" w:color="000000" w:sz="10" w:space="0"/>
            </w:tcBorders>
            <w:vAlign w:val="top"/>
          </w:tcPr>
          <w:p w14:paraId="49A36A10">
            <w:pPr>
              <w:spacing w:before="154"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25" w:type="dxa"/>
            <w:tcBorders>
              <w:bottom w:val="single" w:color="000000" w:sz="10" w:space="0"/>
            </w:tcBorders>
            <w:vAlign w:val="top"/>
          </w:tcPr>
          <w:p w14:paraId="400166D6">
            <w:pPr>
              <w:spacing w:before="154"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93" w:type="dxa"/>
            <w:tcBorders>
              <w:bottom w:val="single" w:color="000000" w:sz="10" w:space="0"/>
            </w:tcBorders>
            <w:vAlign w:val="top"/>
          </w:tcPr>
          <w:p w14:paraId="18FA2C6F">
            <w:pPr>
              <w:spacing w:before="154"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25" w:type="dxa"/>
            <w:tcBorders>
              <w:bottom w:val="single" w:color="000000" w:sz="10" w:space="0"/>
            </w:tcBorders>
            <w:vAlign w:val="top"/>
          </w:tcPr>
          <w:p w14:paraId="04C38D64">
            <w:pPr>
              <w:spacing w:before="154"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125" w:type="dxa"/>
            <w:tcBorders>
              <w:bottom w:val="single" w:color="000000" w:sz="10" w:space="0"/>
            </w:tcBorders>
            <w:vAlign w:val="top"/>
          </w:tcPr>
          <w:p w14:paraId="61934C21">
            <w:pPr>
              <w:spacing w:before="154"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23" w:type="dxa"/>
            <w:tcBorders>
              <w:bottom w:val="single" w:color="000000" w:sz="10" w:space="0"/>
            </w:tcBorders>
            <w:vAlign w:val="top"/>
          </w:tcPr>
          <w:p w14:paraId="5AC8F524">
            <w:pPr>
              <w:spacing w:before="154"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982" w:type="dxa"/>
            <w:tcBorders>
              <w:bottom w:val="single" w:color="000000" w:sz="10" w:space="0"/>
            </w:tcBorders>
            <w:vAlign w:val="top"/>
          </w:tcPr>
          <w:p w14:paraId="17E4E922">
            <w:pPr>
              <w:spacing w:before="154"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4" w:type="dxa"/>
            <w:tcBorders>
              <w:bottom w:val="single" w:color="000000" w:sz="10" w:space="0"/>
              <w:right w:val="single" w:color="000000" w:sz="10" w:space="0"/>
            </w:tcBorders>
            <w:vAlign w:val="top"/>
          </w:tcPr>
          <w:p w14:paraId="5951A890">
            <w:pPr>
              <w:spacing w:before="154"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bl>
    <w:p w14:paraId="04B0AC92">
      <w:pPr>
        <w:pStyle w:val="2"/>
      </w:pPr>
    </w:p>
    <w:p w14:paraId="38AB40DE">
      <w:pPr>
        <w:sectPr>
          <w:headerReference r:id="rId77" w:type="default"/>
          <w:footerReference r:id="rId78" w:type="default"/>
          <w:pgSz w:w="16840" w:h="11907"/>
          <w:pgMar w:top="1132" w:right="1305" w:bottom="1258" w:left="1294" w:header="829" w:footer="1096" w:gutter="0"/>
          <w:cols w:space="720" w:num="1"/>
        </w:sectPr>
      </w:pPr>
    </w:p>
    <w:p w14:paraId="6B9988FA">
      <w:pPr>
        <w:spacing w:before="43"/>
      </w:pPr>
    </w:p>
    <w:p w14:paraId="2BDD6ED0">
      <w:pPr>
        <w:spacing w:before="42"/>
      </w:pPr>
    </w:p>
    <w:tbl>
      <w:tblPr>
        <w:tblStyle w:val="5"/>
        <w:tblW w:w="1421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7"/>
        <w:gridCol w:w="1054"/>
        <w:gridCol w:w="1193"/>
        <w:gridCol w:w="1193"/>
        <w:gridCol w:w="1125"/>
        <w:gridCol w:w="1193"/>
        <w:gridCol w:w="1125"/>
        <w:gridCol w:w="1125"/>
        <w:gridCol w:w="1423"/>
        <w:gridCol w:w="1982"/>
        <w:gridCol w:w="1384"/>
      </w:tblGrid>
      <w:tr w14:paraId="30BC96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417" w:type="dxa"/>
            <w:tcBorders>
              <w:top w:val="single" w:color="000000" w:sz="10" w:space="0"/>
              <w:left w:val="single" w:color="000000" w:sz="10" w:space="0"/>
            </w:tcBorders>
            <w:vAlign w:val="top"/>
          </w:tcPr>
          <w:p w14:paraId="73D3123B">
            <w:pPr>
              <w:pStyle w:val="6"/>
              <w:spacing w:before="99" w:line="227" w:lineRule="auto"/>
              <w:ind w:left="276"/>
            </w:pPr>
            <w:r>
              <w:rPr>
                <w:b/>
                <w:bCs/>
                <w:spacing w:val="6"/>
              </w:rPr>
              <w:t>采样时间</w:t>
            </w:r>
          </w:p>
        </w:tc>
        <w:tc>
          <w:tcPr>
            <w:tcW w:w="1054" w:type="dxa"/>
            <w:tcBorders>
              <w:top w:val="single" w:color="000000" w:sz="10" w:space="0"/>
            </w:tcBorders>
            <w:vAlign w:val="top"/>
          </w:tcPr>
          <w:p w14:paraId="5B8770DB">
            <w:pPr>
              <w:pStyle w:val="6"/>
              <w:spacing w:before="99" w:line="228" w:lineRule="auto"/>
              <w:ind w:left="417"/>
            </w:pPr>
            <w:r>
              <w:rPr>
                <w:b/>
                <w:bCs/>
                <w:spacing w:val="-1"/>
              </w:rPr>
              <w:t>砷</w:t>
            </w:r>
          </w:p>
        </w:tc>
        <w:tc>
          <w:tcPr>
            <w:tcW w:w="1193" w:type="dxa"/>
            <w:tcBorders>
              <w:top w:val="single" w:color="000000" w:sz="10" w:space="0"/>
            </w:tcBorders>
            <w:vAlign w:val="top"/>
          </w:tcPr>
          <w:p w14:paraId="050956DC">
            <w:pPr>
              <w:pStyle w:val="6"/>
              <w:spacing w:before="99" w:line="228" w:lineRule="auto"/>
              <w:ind w:left="490"/>
            </w:pPr>
            <w:r>
              <w:rPr>
                <w:b/>
                <w:bCs/>
                <w:spacing w:val="-3"/>
              </w:rPr>
              <w:t>汞</w:t>
            </w:r>
          </w:p>
        </w:tc>
        <w:tc>
          <w:tcPr>
            <w:tcW w:w="1193" w:type="dxa"/>
            <w:tcBorders>
              <w:top w:val="single" w:color="000000" w:sz="10" w:space="0"/>
            </w:tcBorders>
            <w:vAlign w:val="top"/>
          </w:tcPr>
          <w:p w14:paraId="1C4BD2F0">
            <w:pPr>
              <w:pStyle w:val="6"/>
              <w:spacing w:before="98" w:line="231" w:lineRule="auto"/>
              <w:ind w:left="490"/>
            </w:pPr>
            <w:r>
              <w:rPr>
                <w:b/>
                <w:bCs/>
              </w:rPr>
              <w:t>镉</w:t>
            </w:r>
          </w:p>
        </w:tc>
        <w:tc>
          <w:tcPr>
            <w:tcW w:w="1125" w:type="dxa"/>
            <w:tcBorders>
              <w:top w:val="single" w:color="000000" w:sz="10" w:space="0"/>
            </w:tcBorders>
            <w:vAlign w:val="top"/>
          </w:tcPr>
          <w:p w14:paraId="5747C88B">
            <w:pPr>
              <w:pStyle w:val="6"/>
              <w:spacing w:before="99" w:line="226" w:lineRule="auto"/>
              <w:ind w:left="251"/>
            </w:pPr>
            <w:r>
              <w:rPr>
                <w:b/>
                <w:bCs/>
                <w:spacing w:val="5"/>
              </w:rPr>
              <w:t>六价铬</w:t>
            </w:r>
          </w:p>
        </w:tc>
        <w:tc>
          <w:tcPr>
            <w:tcW w:w="1193" w:type="dxa"/>
            <w:tcBorders>
              <w:top w:val="single" w:color="000000" w:sz="10" w:space="0"/>
            </w:tcBorders>
            <w:vAlign w:val="top"/>
          </w:tcPr>
          <w:p w14:paraId="3CD44852">
            <w:pPr>
              <w:pStyle w:val="6"/>
              <w:spacing w:before="99" w:line="232" w:lineRule="auto"/>
              <w:ind w:left="494"/>
            </w:pPr>
            <w:r>
              <w:rPr>
                <w:b/>
                <w:bCs/>
                <w:spacing w:val="-2"/>
              </w:rPr>
              <w:t>铅</w:t>
            </w:r>
          </w:p>
        </w:tc>
        <w:tc>
          <w:tcPr>
            <w:tcW w:w="1125" w:type="dxa"/>
            <w:tcBorders>
              <w:top w:val="single" w:color="000000" w:sz="10" w:space="0"/>
            </w:tcBorders>
            <w:vAlign w:val="top"/>
          </w:tcPr>
          <w:p w14:paraId="65D39C4F">
            <w:pPr>
              <w:pStyle w:val="6"/>
              <w:spacing w:before="99" w:line="228" w:lineRule="auto"/>
              <w:ind w:left="251"/>
            </w:pPr>
            <w:r>
              <w:rPr>
                <w:b/>
                <w:bCs/>
                <w:spacing w:val="5"/>
              </w:rPr>
              <w:t>氰化物</w:t>
            </w:r>
          </w:p>
        </w:tc>
        <w:tc>
          <w:tcPr>
            <w:tcW w:w="1125" w:type="dxa"/>
            <w:tcBorders>
              <w:top w:val="single" w:color="000000" w:sz="10" w:space="0"/>
            </w:tcBorders>
            <w:vAlign w:val="top"/>
          </w:tcPr>
          <w:p w14:paraId="485CA0EF">
            <w:pPr>
              <w:pStyle w:val="6"/>
              <w:spacing w:before="99" w:line="228" w:lineRule="auto"/>
              <w:ind w:left="254"/>
            </w:pPr>
            <w:r>
              <w:rPr>
                <w:b/>
                <w:bCs/>
                <w:spacing w:val="5"/>
              </w:rPr>
              <w:t>挥发酚</w:t>
            </w:r>
          </w:p>
        </w:tc>
        <w:tc>
          <w:tcPr>
            <w:tcW w:w="1423" w:type="dxa"/>
            <w:tcBorders>
              <w:top w:val="single" w:color="000000" w:sz="10" w:space="0"/>
            </w:tcBorders>
            <w:vAlign w:val="top"/>
          </w:tcPr>
          <w:p w14:paraId="055A7E05">
            <w:pPr>
              <w:pStyle w:val="6"/>
              <w:spacing w:before="99" w:line="228" w:lineRule="auto"/>
              <w:ind w:left="407"/>
            </w:pPr>
            <w:r>
              <w:rPr>
                <w:b/>
                <w:bCs/>
                <w:spacing w:val="5"/>
              </w:rPr>
              <w:t>石油类</w:t>
            </w:r>
          </w:p>
        </w:tc>
        <w:tc>
          <w:tcPr>
            <w:tcW w:w="1982" w:type="dxa"/>
            <w:tcBorders>
              <w:top w:val="single" w:color="000000" w:sz="10" w:space="0"/>
            </w:tcBorders>
            <w:vAlign w:val="top"/>
          </w:tcPr>
          <w:p w14:paraId="7E309E4F">
            <w:pPr>
              <w:pStyle w:val="6"/>
              <w:spacing w:before="99" w:line="227" w:lineRule="auto"/>
              <w:ind w:left="178"/>
            </w:pPr>
            <w:r>
              <w:rPr>
                <w:b/>
                <w:bCs/>
                <w:spacing w:val="5"/>
              </w:rPr>
              <w:t>阴离子表面活性剂</w:t>
            </w:r>
          </w:p>
        </w:tc>
        <w:tc>
          <w:tcPr>
            <w:tcW w:w="1384" w:type="dxa"/>
            <w:tcBorders>
              <w:top w:val="single" w:color="000000" w:sz="10" w:space="0"/>
              <w:right w:val="single" w:color="000000" w:sz="10" w:space="0"/>
            </w:tcBorders>
            <w:vAlign w:val="top"/>
          </w:tcPr>
          <w:p w14:paraId="5FC1FA55">
            <w:pPr>
              <w:pStyle w:val="6"/>
              <w:spacing w:before="99" w:line="229" w:lineRule="auto"/>
              <w:ind w:left="385"/>
            </w:pPr>
            <w:r>
              <w:rPr>
                <w:b/>
                <w:bCs/>
                <w:spacing w:val="5"/>
              </w:rPr>
              <w:t>硫化物</w:t>
            </w:r>
          </w:p>
        </w:tc>
      </w:tr>
      <w:tr w14:paraId="56DDB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17" w:type="dxa"/>
            <w:tcBorders>
              <w:left w:val="single" w:color="000000" w:sz="10" w:space="0"/>
            </w:tcBorders>
            <w:vAlign w:val="top"/>
          </w:tcPr>
          <w:p w14:paraId="6A6F39D7">
            <w:pPr>
              <w:spacing w:before="130"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2024-05</w:t>
            </w:r>
          </w:p>
        </w:tc>
        <w:tc>
          <w:tcPr>
            <w:tcW w:w="1054" w:type="dxa"/>
            <w:vAlign w:val="top"/>
          </w:tcPr>
          <w:p w14:paraId="200B0D57">
            <w:pPr>
              <w:spacing w:before="130"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0.0010</w:t>
            </w:r>
          </w:p>
        </w:tc>
        <w:tc>
          <w:tcPr>
            <w:tcW w:w="1193" w:type="dxa"/>
            <w:vAlign w:val="top"/>
          </w:tcPr>
          <w:p w14:paraId="37EFA809">
            <w:pPr>
              <w:spacing w:before="130"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93" w:type="dxa"/>
            <w:vAlign w:val="top"/>
          </w:tcPr>
          <w:p w14:paraId="0F084168">
            <w:pPr>
              <w:spacing w:before="130"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25" w:type="dxa"/>
            <w:vAlign w:val="top"/>
          </w:tcPr>
          <w:p w14:paraId="380549C7">
            <w:pPr>
              <w:spacing w:before="130"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93" w:type="dxa"/>
            <w:vAlign w:val="top"/>
          </w:tcPr>
          <w:p w14:paraId="1D9F8660">
            <w:pPr>
              <w:spacing w:before="130"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125" w:type="dxa"/>
            <w:vAlign w:val="top"/>
          </w:tcPr>
          <w:p w14:paraId="0314825E">
            <w:pPr>
              <w:spacing w:before="130"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125" w:type="dxa"/>
            <w:vAlign w:val="top"/>
          </w:tcPr>
          <w:p w14:paraId="1687CB6A">
            <w:pPr>
              <w:spacing w:before="130"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23" w:type="dxa"/>
            <w:vAlign w:val="top"/>
          </w:tcPr>
          <w:p w14:paraId="3B500FD0">
            <w:pPr>
              <w:spacing w:before="130"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982" w:type="dxa"/>
            <w:vAlign w:val="top"/>
          </w:tcPr>
          <w:p w14:paraId="7429E29A">
            <w:pPr>
              <w:spacing w:before="130"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4" w:type="dxa"/>
            <w:tcBorders>
              <w:right w:val="single" w:color="000000" w:sz="10" w:space="0"/>
            </w:tcBorders>
            <w:vAlign w:val="top"/>
          </w:tcPr>
          <w:p w14:paraId="76168B8E">
            <w:pPr>
              <w:spacing w:before="130"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64A691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17" w:type="dxa"/>
            <w:tcBorders>
              <w:left w:val="single" w:color="000000" w:sz="10" w:space="0"/>
            </w:tcBorders>
            <w:vAlign w:val="top"/>
          </w:tcPr>
          <w:p w14:paraId="5471B569">
            <w:pPr>
              <w:spacing w:before="133"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2024-06</w:t>
            </w:r>
          </w:p>
        </w:tc>
        <w:tc>
          <w:tcPr>
            <w:tcW w:w="1054" w:type="dxa"/>
            <w:vAlign w:val="top"/>
          </w:tcPr>
          <w:p w14:paraId="1907FD28">
            <w:pPr>
              <w:spacing w:before="133"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0.0008</w:t>
            </w:r>
          </w:p>
        </w:tc>
        <w:tc>
          <w:tcPr>
            <w:tcW w:w="1193" w:type="dxa"/>
            <w:vAlign w:val="top"/>
          </w:tcPr>
          <w:p w14:paraId="2AC9017E">
            <w:pPr>
              <w:spacing w:before="133"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93" w:type="dxa"/>
            <w:vAlign w:val="top"/>
          </w:tcPr>
          <w:p w14:paraId="4D631D6C">
            <w:pPr>
              <w:spacing w:before="133"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25" w:type="dxa"/>
            <w:vAlign w:val="top"/>
          </w:tcPr>
          <w:p w14:paraId="08B64BBD">
            <w:pPr>
              <w:spacing w:before="133"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93" w:type="dxa"/>
            <w:vAlign w:val="top"/>
          </w:tcPr>
          <w:p w14:paraId="71B06BFC">
            <w:pPr>
              <w:spacing w:before="133"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w:t>
            </w:r>
          </w:p>
        </w:tc>
        <w:tc>
          <w:tcPr>
            <w:tcW w:w="1125" w:type="dxa"/>
            <w:vAlign w:val="top"/>
          </w:tcPr>
          <w:p w14:paraId="1F94A044">
            <w:pPr>
              <w:spacing w:before="133"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125" w:type="dxa"/>
            <w:vAlign w:val="top"/>
          </w:tcPr>
          <w:p w14:paraId="3BDDA8BF">
            <w:pPr>
              <w:spacing w:before="133"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23" w:type="dxa"/>
            <w:vAlign w:val="top"/>
          </w:tcPr>
          <w:p w14:paraId="183CC82C">
            <w:pPr>
              <w:spacing w:before="133"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982" w:type="dxa"/>
            <w:vAlign w:val="top"/>
          </w:tcPr>
          <w:p w14:paraId="73BDC4B2">
            <w:pPr>
              <w:spacing w:before="133"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4" w:type="dxa"/>
            <w:tcBorders>
              <w:right w:val="single" w:color="000000" w:sz="10" w:space="0"/>
            </w:tcBorders>
            <w:vAlign w:val="top"/>
          </w:tcPr>
          <w:p w14:paraId="34BF2CB9">
            <w:pPr>
              <w:spacing w:before="133"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67892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17" w:type="dxa"/>
            <w:tcBorders>
              <w:left w:val="single" w:color="000000" w:sz="10" w:space="0"/>
            </w:tcBorders>
            <w:vAlign w:val="top"/>
          </w:tcPr>
          <w:p w14:paraId="519BB774">
            <w:pPr>
              <w:spacing w:before="134"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2024-07</w:t>
            </w:r>
          </w:p>
        </w:tc>
        <w:tc>
          <w:tcPr>
            <w:tcW w:w="1054" w:type="dxa"/>
            <w:vAlign w:val="top"/>
          </w:tcPr>
          <w:p w14:paraId="50E00016">
            <w:pPr>
              <w:spacing w:before="134"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0.0014</w:t>
            </w:r>
          </w:p>
        </w:tc>
        <w:tc>
          <w:tcPr>
            <w:tcW w:w="1193" w:type="dxa"/>
            <w:vAlign w:val="top"/>
          </w:tcPr>
          <w:p w14:paraId="2FB64D9A">
            <w:pPr>
              <w:spacing w:before="134"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93" w:type="dxa"/>
            <w:vAlign w:val="top"/>
          </w:tcPr>
          <w:p w14:paraId="60D72C8D">
            <w:pPr>
              <w:spacing w:before="134"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25" w:type="dxa"/>
            <w:vAlign w:val="top"/>
          </w:tcPr>
          <w:p w14:paraId="370F6467">
            <w:pPr>
              <w:spacing w:before="134"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93" w:type="dxa"/>
            <w:vAlign w:val="top"/>
          </w:tcPr>
          <w:p w14:paraId="7253ADAB">
            <w:pPr>
              <w:spacing w:before="134"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1125" w:type="dxa"/>
            <w:vAlign w:val="top"/>
          </w:tcPr>
          <w:p w14:paraId="1B0FCF28">
            <w:pPr>
              <w:spacing w:before="134"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125" w:type="dxa"/>
            <w:vAlign w:val="top"/>
          </w:tcPr>
          <w:p w14:paraId="0464B836">
            <w:pPr>
              <w:spacing w:before="134"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23" w:type="dxa"/>
            <w:vAlign w:val="top"/>
          </w:tcPr>
          <w:p w14:paraId="2B54B928">
            <w:pPr>
              <w:spacing w:before="134"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982" w:type="dxa"/>
            <w:vAlign w:val="top"/>
          </w:tcPr>
          <w:p w14:paraId="57CFB058">
            <w:pPr>
              <w:spacing w:before="134"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4" w:type="dxa"/>
            <w:tcBorders>
              <w:right w:val="single" w:color="000000" w:sz="10" w:space="0"/>
            </w:tcBorders>
            <w:vAlign w:val="top"/>
          </w:tcPr>
          <w:p w14:paraId="0243BE3A">
            <w:pPr>
              <w:spacing w:before="134"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189A5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17" w:type="dxa"/>
            <w:tcBorders>
              <w:left w:val="single" w:color="000000" w:sz="10" w:space="0"/>
            </w:tcBorders>
            <w:vAlign w:val="top"/>
          </w:tcPr>
          <w:p w14:paraId="27CC6E99">
            <w:pPr>
              <w:spacing w:before="137"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2024-08</w:t>
            </w:r>
          </w:p>
        </w:tc>
        <w:tc>
          <w:tcPr>
            <w:tcW w:w="1054" w:type="dxa"/>
            <w:vAlign w:val="top"/>
          </w:tcPr>
          <w:p w14:paraId="1AFB4976">
            <w:pPr>
              <w:spacing w:before="137"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0.0040</w:t>
            </w:r>
          </w:p>
        </w:tc>
        <w:tc>
          <w:tcPr>
            <w:tcW w:w="1193" w:type="dxa"/>
            <w:vAlign w:val="top"/>
          </w:tcPr>
          <w:p w14:paraId="4F9F808E">
            <w:pPr>
              <w:spacing w:before="137"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93" w:type="dxa"/>
            <w:vAlign w:val="top"/>
          </w:tcPr>
          <w:p w14:paraId="2ACBC43A">
            <w:pPr>
              <w:spacing w:before="137"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25" w:type="dxa"/>
            <w:vAlign w:val="top"/>
          </w:tcPr>
          <w:p w14:paraId="30F5042D">
            <w:pPr>
              <w:spacing w:before="137"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93" w:type="dxa"/>
            <w:vAlign w:val="top"/>
          </w:tcPr>
          <w:p w14:paraId="17FC7D3A">
            <w:pPr>
              <w:spacing w:before="137"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1125" w:type="dxa"/>
            <w:vAlign w:val="top"/>
          </w:tcPr>
          <w:p w14:paraId="45533D20">
            <w:pPr>
              <w:spacing w:before="137"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125" w:type="dxa"/>
            <w:vAlign w:val="top"/>
          </w:tcPr>
          <w:p w14:paraId="7D752031">
            <w:pPr>
              <w:spacing w:before="137"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23" w:type="dxa"/>
            <w:vAlign w:val="top"/>
          </w:tcPr>
          <w:p w14:paraId="36524347">
            <w:pPr>
              <w:spacing w:before="137"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982" w:type="dxa"/>
            <w:vAlign w:val="top"/>
          </w:tcPr>
          <w:p w14:paraId="69F2AF4C">
            <w:pPr>
              <w:spacing w:before="137"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4" w:type="dxa"/>
            <w:tcBorders>
              <w:right w:val="single" w:color="000000" w:sz="10" w:space="0"/>
            </w:tcBorders>
            <w:vAlign w:val="top"/>
          </w:tcPr>
          <w:p w14:paraId="39BD0E1F">
            <w:pPr>
              <w:spacing w:before="137"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5EB05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17" w:type="dxa"/>
            <w:tcBorders>
              <w:left w:val="single" w:color="000000" w:sz="10" w:space="0"/>
            </w:tcBorders>
            <w:vAlign w:val="top"/>
          </w:tcPr>
          <w:p w14:paraId="51517D71">
            <w:pPr>
              <w:spacing w:before="138"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2024-09</w:t>
            </w:r>
          </w:p>
        </w:tc>
        <w:tc>
          <w:tcPr>
            <w:tcW w:w="1054" w:type="dxa"/>
            <w:vAlign w:val="top"/>
          </w:tcPr>
          <w:p w14:paraId="440DF572">
            <w:pPr>
              <w:spacing w:before="138"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0.0046</w:t>
            </w:r>
          </w:p>
        </w:tc>
        <w:tc>
          <w:tcPr>
            <w:tcW w:w="1193" w:type="dxa"/>
            <w:vAlign w:val="top"/>
          </w:tcPr>
          <w:p w14:paraId="180E2897">
            <w:pPr>
              <w:spacing w:before="138"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93" w:type="dxa"/>
            <w:vAlign w:val="top"/>
          </w:tcPr>
          <w:p w14:paraId="58CC1355">
            <w:pPr>
              <w:spacing w:before="138"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25" w:type="dxa"/>
            <w:vAlign w:val="top"/>
          </w:tcPr>
          <w:p w14:paraId="087F5987">
            <w:pPr>
              <w:spacing w:before="138"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93" w:type="dxa"/>
            <w:vAlign w:val="top"/>
          </w:tcPr>
          <w:p w14:paraId="1B3DB646">
            <w:pPr>
              <w:spacing w:before="138"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w:t>
            </w:r>
          </w:p>
        </w:tc>
        <w:tc>
          <w:tcPr>
            <w:tcW w:w="1125" w:type="dxa"/>
            <w:vAlign w:val="top"/>
          </w:tcPr>
          <w:p w14:paraId="630E18DC">
            <w:pPr>
              <w:spacing w:before="138"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125" w:type="dxa"/>
            <w:vAlign w:val="top"/>
          </w:tcPr>
          <w:p w14:paraId="401BF764">
            <w:pPr>
              <w:spacing w:before="138"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23" w:type="dxa"/>
            <w:vAlign w:val="top"/>
          </w:tcPr>
          <w:p w14:paraId="161684BC">
            <w:pPr>
              <w:spacing w:before="138"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982" w:type="dxa"/>
            <w:vAlign w:val="top"/>
          </w:tcPr>
          <w:p w14:paraId="0F2816CB">
            <w:pPr>
              <w:spacing w:before="138"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4" w:type="dxa"/>
            <w:tcBorders>
              <w:right w:val="single" w:color="000000" w:sz="10" w:space="0"/>
            </w:tcBorders>
            <w:vAlign w:val="top"/>
          </w:tcPr>
          <w:p w14:paraId="6C7176E0">
            <w:pPr>
              <w:spacing w:before="138"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31449D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17" w:type="dxa"/>
            <w:tcBorders>
              <w:left w:val="single" w:color="000000" w:sz="10" w:space="0"/>
            </w:tcBorders>
            <w:vAlign w:val="top"/>
          </w:tcPr>
          <w:p w14:paraId="237F7439">
            <w:pPr>
              <w:spacing w:before="140"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2024-10</w:t>
            </w:r>
          </w:p>
        </w:tc>
        <w:tc>
          <w:tcPr>
            <w:tcW w:w="1054" w:type="dxa"/>
            <w:vAlign w:val="top"/>
          </w:tcPr>
          <w:p w14:paraId="5D2701BB">
            <w:pPr>
              <w:spacing w:before="140"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0.0035</w:t>
            </w:r>
          </w:p>
        </w:tc>
        <w:tc>
          <w:tcPr>
            <w:tcW w:w="1193" w:type="dxa"/>
            <w:vAlign w:val="top"/>
          </w:tcPr>
          <w:p w14:paraId="2E8CF2B9">
            <w:pPr>
              <w:spacing w:before="140"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93" w:type="dxa"/>
            <w:vAlign w:val="top"/>
          </w:tcPr>
          <w:p w14:paraId="0D5FCC1A">
            <w:pPr>
              <w:spacing w:before="140"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25" w:type="dxa"/>
            <w:vAlign w:val="top"/>
          </w:tcPr>
          <w:p w14:paraId="1AB7F724">
            <w:pPr>
              <w:spacing w:before="140"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93" w:type="dxa"/>
            <w:vAlign w:val="top"/>
          </w:tcPr>
          <w:p w14:paraId="366FC519">
            <w:pPr>
              <w:spacing w:before="140"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1125" w:type="dxa"/>
            <w:vAlign w:val="top"/>
          </w:tcPr>
          <w:p w14:paraId="75A0AE09">
            <w:pPr>
              <w:spacing w:before="140"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125" w:type="dxa"/>
            <w:vAlign w:val="top"/>
          </w:tcPr>
          <w:p w14:paraId="080C13A1">
            <w:pPr>
              <w:spacing w:before="140"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23" w:type="dxa"/>
            <w:vAlign w:val="top"/>
          </w:tcPr>
          <w:p w14:paraId="2806488B">
            <w:pPr>
              <w:spacing w:before="140"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982" w:type="dxa"/>
            <w:vAlign w:val="top"/>
          </w:tcPr>
          <w:p w14:paraId="6E2F0983">
            <w:pPr>
              <w:spacing w:before="140"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4" w:type="dxa"/>
            <w:tcBorders>
              <w:right w:val="single" w:color="000000" w:sz="10" w:space="0"/>
            </w:tcBorders>
            <w:vAlign w:val="top"/>
          </w:tcPr>
          <w:p w14:paraId="7AB1C579">
            <w:pPr>
              <w:spacing w:before="140"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30111F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17" w:type="dxa"/>
            <w:tcBorders>
              <w:left w:val="single" w:color="000000" w:sz="10" w:space="0"/>
            </w:tcBorders>
            <w:vAlign w:val="top"/>
          </w:tcPr>
          <w:p w14:paraId="77FB7FE7">
            <w:pPr>
              <w:spacing w:before="143"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2024-11</w:t>
            </w:r>
          </w:p>
        </w:tc>
        <w:tc>
          <w:tcPr>
            <w:tcW w:w="1054" w:type="dxa"/>
            <w:vAlign w:val="top"/>
          </w:tcPr>
          <w:p w14:paraId="7906B6F6">
            <w:pPr>
              <w:spacing w:before="143"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0.0035</w:t>
            </w:r>
          </w:p>
        </w:tc>
        <w:tc>
          <w:tcPr>
            <w:tcW w:w="1193" w:type="dxa"/>
            <w:vAlign w:val="top"/>
          </w:tcPr>
          <w:p w14:paraId="3C489C07">
            <w:pPr>
              <w:spacing w:before="143"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93" w:type="dxa"/>
            <w:vAlign w:val="top"/>
          </w:tcPr>
          <w:p w14:paraId="7E44EC99">
            <w:pPr>
              <w:spacing w:before="143"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25" w:type="dxa"/>
            <w:vAlign w:val="top"/>
          </w:tcPr>
          <w:p w14:paraId="5B7DFF54">
            <w:pPr>
              <w:spacing w:before="143"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93" w:type="dxa"/>
            <w:vAlign w:val="top"/>
          </w:tcPr>
          <w:p w14:paraId="121C7954">
            <w:pPr>
              <w:spacing w:before="143"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1125" w:type="dxa"/>
            <w:vAlign w:val="top"/>
          </w:tcPr>
          <w:p w14:paraId="4AD06F3C">
            <w:pPr>
              <w:spacing w:before="143"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125" w:type="dxa"/>
            <w:vAlign w:val="top"/>
          </w:tcPr>
          <w:p w14:paraId="73751AB4">
            <w:pPr>
              <w:spacing w:before="143"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23" w:type="dxa"/>
            <w:vAlign w:val="top"/>
          </w:tcPr>
          <w:p w14:paraId="2581C7CE">
            <w:pPr>
              <w:spacing w:before="143"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982" w:type="dxa"/>
            <w:vAlign w:val="top"/>
          </w:tcPr>
          <w:p w14:paraId="799FFB36">
            <w:pPr>
              <w:spacing w:before="143"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4" w:type="dxa"/>
            <w:tcBorders>
              <w:right w:val="single" w:color="000000" w:sz="10" w:space="0"/>
            </w:tcBorders>
            <w:vAlign w:val="top"/>
          </w:tcPr>
          <w:p w14:paraId="6BE39A0A">
            <w:pPr>
              <w:spacing w:before="143"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1024EB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17" w:type="dxa"/>
            <w:tcBorders>
              <w:left w:val="single" w:color="000000" w:sz="10" w:space="0"/>
            </w:tcBorders>
            <w:vAlign w:val="top"/>
          </w:tcPr>
          <w:p w14:paraId="72D307D6">
            <w:pPr>
              <w:spacing w:before="143"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2024-12</w:t>
            </w:r>
          </w:p>
        </w:tc>
        <w:tc>
          <w:tcPr>
            <w:tcW w:w="1054" w:type="dxa"/>
            <w:vAlign w:val="top"/>
          </w:tcPr>
          <w:p w14:paraId="6DF99621">
            <w:pPr>
              <w:spacing w:before="143"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0.0028</w:t>
            </w:r>
          </w:p>
        </w:tc>
        <w:tc>
          <w:tcPr>
            <w:tcW w:w="1193" w:type="dxa"/>
            <w:vAlign w:val="top"/>
          </w:tcPr>
          <w:p w14:paraId="372DF979">
            <w:pPr>
              <w:spacing w:before="143"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93" w:type="dxa"/>
            <w:vAlign w:val="top"/>
          </w:tcPr>
          <w:p w14:paraId="5E127D73">
            <w:pPr>
              <w:spacing w:before="143"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25" w:type="dxa"/>
            <w:vAlign w:val="top"/>
          </w:tcPr>
          <w:p w14:paraId="65B42CE0">
            <w:pPr>
              <w:spacing w:before="143"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93" w:type="dxa"/>
            <w:vAlign w:val="top"/>
          </w:tcPr>
          <w:p w14:paraId="6BC1D74E">
            <w:pPr>
              <w:spacing w:before="143"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1125" w:type="dxa"/>
            <w:vAlign w:val="top"/>
          </w:tcPr>
          <w:p w14:paraId="55795C71">
            <w:pPr>
              <w:spacing w:before="143"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125" w:type="dxa"/>
            <w:vAlign w:val="top"/>
          </w:tcPr>
          <w:p w14:paraId="6DB29F80">
            <w:pPr>
              <w:spacing w:before="143"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23" w:type="dxa"/>
            <w:vAlign w:val="top"/>
          </w:tcPr>
          <w:p w14:paraId="125199EE">
            <w:pPr>
              <w:spacing w:before="143"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982" w:type="dxa"/>
            <w:vAlign w:val="top"/>
          </w:tcPr>
          <w:p w14:paraId="5B8172E0">
            <w:pPr>
              <w:spacing w:before="143"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4" w:type="dxa"/>
            <w:tcBorders>
              <w:right w:val="single" w:color="000000" w:sz="10" w:space="0"/>
            </w:tcBorders>
            <w:vAlign w:val="top"/>
          </w:tcPr>
          <w:p w14:paraId="2830BE23">
            <w:pPr>
              <w:spacing w:before="143"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44D7A8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17" w:type="dxa"/>
            <w:tcBorders>
              <w:left w:val="single" w:color="000000" w:sz="10" w:space="0"/>
            </w:tcBorders>
            <w:vAlign w:val="top"/>
          </w:tcPr>
          <w:p w14:paraId="3B0C5FD2">
            <w:pPr>
              <w:spacing w:before="146"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2025-01</w:t>
            </w:r>
          </w:p>
        </w:tc>
        <w:tc>
          <w:tcPr>
            <w:tcW w:w="1054" w:type="dxa"/>
            <w:vAlign w:val="top"/>
          </w:tcPr>
          <w:p w14:paraId="4021D813">
            <w:pPr>
              <w:spacing w:before="146"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0.0060</w:t>
            </w:r>
          </w:p>
        </w:tc>
        <w:tc>
          <w:tcPr>
            <w:tcW w:w="1193" w:type="dxa"/>
            <w:vAlign w:val="top"/>
          </w:tcPr>
          <w:p w14:paraId="1C634972">
            <w:pPr>
              <w:spacing w:before="146"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93" w:type="dxa"/>
            <w:vAlign w:val="top"/>
          </w:tcPr>
          <w:p w14:paraId="113E4A16">
            <w:pPr>
              <w:spacing w:before="146"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25" w:type="dxa"/>
            <w:vAlign w:val="top"/>
          </w:tcPr>
          <w:p w14:paraId="4117F12C">
            <w:pPr>
              <w:spacing w:before="146"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93" w:type="dxa"/>
            <w:vAlign w:val="top"/>
          </w:tcPr>
          <w:p w14:paraId="76813F2A">
            <w:pPr>
              <w:spacing w:before="146"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1125" w:type="dxa"/>
            <w:vAlign w:val="top"/>
          </w:tcPr>
          <w:p w14:paraId="7D9342AD">
            <w:pPr>
              <w:spacing w:before="146"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125" w:type="dxa"/>
            <w:vAlign w:val="top"/>
          </w:tcPr>
          <w:p w14:paraId="7F86FEE0">
            <w:pPr>
              <w:spacing w:before="146"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23" w:type="dxa"/>
            <w:vAlign w:val="top"/>
          </w:tcPr>
          <w:p w14:paraId="1980E404">
            <w:pPr>
              <w:spacing w:before="146"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982" w:type="dxa"/>
            <w:vAlign w:val="top"/>
          </w:tcPr>
          <w:p w14:paraId="01D1AB3D">
            <w:pPr>
              <w:spacing w:before="146"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4" w:type="dxa"/>
            <w:tcBorders>
              <w:right w:val="single" w:color="000000" w:sz="10" w:space="0"/>
            </w:tcBorders>
            <w:vAlign w:val="top"/>
          </w:tcPr>
          <w:p w14:paraId="760287CA">
            <w:pPr>
              <w:spacing w:before="146"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15A4F3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17" w:type="dxa"/>
            <w:tcBorders>
              <w:left w:val="single" w:color="000000" w:sz="10" w:space="0"/>
            </w:tcBorders>
            <w:vAlign w:val="top"/>
          </w:tcPr>
          <w:p w14:paraId="5D97A0EE">
            <w:pPr>
              <w:spacing w:before="147"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2025-02</w:t>
            </w:r>
          </w:p>
        </w:tc>
        <w:tc>
          <w:tcPr>
            <w:tcW w:w="1054" w:type="dxa"/>
            <w:vAlign w:val="top"/>
          </w:tcPr>
          <w:p w14:paraId="07AA8A92">
            <w:pPr>
              <w:spacing w:before="147"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0.0016</w:t>
            </w:r>
          </w:p>
        </w:tc>
        <w:tc>
          <w:tcPr>
            <w:tcW w:w="1193" w:type="dxa"/>
            <w:vAlign w:val="top"/>
          </w:tcPr>
          <w:p w14:paraId="3EBB4A1C">
            <w:pPr>
              <w:spacing w:before="147"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93" w:type="dxa"/>
            <w:vAlign w:val="top"/>
          </w:tcPr>
          <w:p w14:paraId="651635E1">
            <w:pPr>
              <w:spacing w:before="147"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25" w:type="dxa"/>
            <w:vAlign w:val="top"/>
          </w:tcPr>
          <w:p w14:paraId="110515D2">
            <w:pPr>
              <w:spacing w:before="147"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93" w:type="dxa"/>
            <w:vAlign w:val="top"/>
          </w:tcPr>
          <w:p w14:paraId="717C533F">
            <w:pPr>
              <w:spacing w:before="147"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0.0001</w:t>
            </w:r>
          </w:p>
        </w:tc>
        <w:tc>
          <w:tcPr>
            <w:tcW w:w="1125" w:type="dxa"/>
            <w:vAlign w:val="top"/>
          </w:tcPr>
          <w:p w14:paraId="760B7310">
            <w:pPr>
              <w:spacing w:before="147"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125" w:type="dxa"/>
            <w:vAlign w:val="top"/>
          </w:tcPr>
          <w:p w14:paraId="53637A34">
            <w:pPr>
              <w:spacing w:before="147"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23" w:type="dxa"/>
            <w:vAlign w:val="top"/>
          </w:tcPr>
          <w:p w14:paraId="189983DE">
            <w:pPr>
              <w:spacing w:before="147"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982" w:type="dxa"/>
            <w:vAlign w:val="top"/>
          </w:tcPr>
          <w:p w14:paraId="040E5C57">
            <w:pPr>
              <w:spacing w:before="147"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4" w:type="dxa"/>
            <w:tcBorders>
              <w:right w:val="single" w:color="000000" w:sz="10" w:space="0"/>
            </w:tcBorders>
            <w:vAlign w:val="top"/>
          </w:tcPr>
          <w:p w14:paraId="383F2894">
            <w:pPr>
              <w:spacing w:before="147"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70E55A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17" w:type="dxa"/>
            <w:tcBorders>
              <w:left w:val="single" w:color="000000" w:sz="10" w:space="0"/>
            </w:tcBorders>
            <w:vAlign w:val="top"/>
          </w:tcPr>
          <w:p w14:paraId="7F00F806">
            <w:pPr>
              <w:spacing w:before="150"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2025-03</w:t>
            </w:r>
          </w:p>
        </w:tc>
        <w:tc>
          <w:tcPr>
            <w:tcW w:w="1054" w:type="dxa"/>
            <w:vAlign w:val="top"/>
          </w:tcPr>
          <w:p w14:paraId="65742DCB">
            <w:pPr>
              <w:spacing w:before="150"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0.0019</w:t>
            </w:r>
          </w:p>
        </w:tc>
        <w:tc>
          <w:tcPr>
            <w:tcW w:w="1193" w:type="dxa"/>
            <w:vAlign w:val="top"/>
          </w:tcPr>
          <w:p w14:paraId="004CC705">
            <w:pPr>
              <w:spacing w:before="150"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93" w:type="dxa"/>
            <w:vAlign w:val="top"/>
          </w:tcPr>
          <w:p w14:paraId="5939E597">
            <w:pPr>
              <w:spacing w:before="150"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25" w:type="dxa"/>
            <w:vAlign w:val="top"/>
          </w:tcPr>
          <w:p w14:paraId="449DBD36">
            <w:pPr>
              <w:spacing w:before="150"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93" w:type="dxa"/>
            <w:vAlign w:val="top"/>
          </w:tcPr>
          <w:p w14:paraId="5F599D10">
            <w:pPr>
              <w:spacing w:before="150"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0.0001</w:t>
            </w:r>
          </w:p>
        </w:tc>
        <w:tc>
          <w:tcPr>
            <w:tcW w:w="1125" w:type="dxa"/>
            <w:vAlign w:val="top"/>
          </w:tcPr>
          <w:p w14:paraId="3EFEED29">
            <w:pPr>
              <w:spacing w:before="150"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125" w:type="dxa"/>
            <w:vAlign w:val="top"/>
          </w:tcPr>
          <w:p w14:paraId="50B099D0">
            <w:pPr>
              <w:spacing w:before="150"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23" w:type="dxa"/>
            <w:vAlign w:val="top"/>
          </w:tcPr>
          <w:p w14:paraId="085A1411">
            <w:pPr>
              <w:spacing w:before="150"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982" w:type="dxa"/>
            <w:vAlign w:val="top"/>
          </w:tcPr>
          <w:p w14:paraId="135DE55E">
            <w:pPr>
              <w:spacing w:before="150"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4" w:type="dxa"/>
            <w:tcBorders>
              <w:right w:val="single" w:color="000000" w:sz="10" w:space="0"/>
            </w:tcBorders>
            <w:vAlign w:val="top"/>
          </w:tcPr>
          <w:p w14:paraId="13E0266E">
            <w:pPr>
              <w:spacing w:before="150"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68698A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417" w:type="dxa"/>
            <w:tcBorders>
              <w:left w:val="single" w:color="000000" w:sz="10" w:space="0"/>
            </w:tcBorders>
            <w:vAlign w:val="top"/>
          </w:tcPr>
          <w:p w14:paraId="55AFF8F5">
            <w:pPr>
              <w:spacing w:before="153" w:line="195" w:lineRule="auto"/>
              <w:ind w:left="3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2025-04</w:t>
            </w:r>
          </w:p>
        </w:tc>
        <w:tc>
          <w:tcPr>
            <w:tcW w:w="1054" w:type="dxa"/>
            <w:vAlign w:val="top"/>
          </w:tcPr>
          <w:p w14:paraId="47ACE936">
            <w:pPr>
              <w:spacing w:before="153"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0.0025</w:t>
            </w:r>
          </w:p>
        </w:tc>
        <w:tc>
          <w:tcPr>
            <w:tcW w:w="1193" w:type="dxa"/>
            <w:vAlign w:val="top"/>
          </w:tcPr>
          <w:p w14:paraId="7D172A75">
            <w:pPr>
              <w:spacing w:before="153"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93" w:type="dxa"/>
            <w:vAlign w:val="top"/>
          </w:tcPr>
          <w:p w14:paraId="740D0134">
            <w:pPr>
              <w:spacing w:before="153"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25" w:type="dxa"/>
            <w:vAlign w:val="top"/>
          </w:tcPr>
          <w:p w14:paraId="52B33AF4">
            <w:pPr>
              <w:spacing w:before="153"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93" w:type="dxa"/>
            <w:vAlign w:val="top"/>
          </w:tcPr>
          <w:p w14:paraId="1F0B3A12">
            <w:pPr>
              <w:spacing w:before="153"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1125" w:type="dxa"/>
            <w:vAlign w:val="top"/>
          </w:tcPr>
          <w:p w14:paraId="17C8E315">
            <w:pPr>
              <w:spacing w:before="153"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125" w:type="dxa"/>
            <w:vAlign w:val="top"/>
          </w:tcPr>
          <w:p w14:paraId="12B81FA2">
            <w:pPr>
              <w:spacing w:before="153"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23" w:type="dxa"/>
            <w:vAlign w:val="top"/>
          </w:tcPr>
          <w:p w14:paraId="361D4EC7">
            <w:pPr>
              <w:spacing w:before="153"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982" w:type="dxa"/>
            <w:vAlign w:val="top"/>
          </w:tcPr>
          <w:p w14:paraId="4CCFDB78">
            <w:pPr>
              <w:spacing w:before="153"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4" w:type="dxa"/>
            <w:tcBorders>
              <w:right w:val="single" w:color="000000" w:sz="10" w:space="0"/>
            </w:tcBorders>
            <w:vAlign w:val="top"/>
          </w:tcPr>
          <w:p w14:paraId="233DD0C7">
            <w:pPr>
              <w:spacing w:before="153"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6A1E07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417" w:type="dxa"/>
            <w:tcBorders>
              <w:left w:val="single" w:color="000000" w:sz="10" w:space="0"/>
              <w:bottom w:val="single" w:color="000000" w:sz="10" w:space="0"/>
            </w:tcBorders>
            <w:vAlign w:val="top"/>
          </w:tcPr>
          <w:p w14:paraId="29AAFB3D">
            <w:pPr>
              <w:pStyle w:val="6"/>
              <w:spacing w:before="116" w:line="228" w:lineRule="auto"/>
              <w:ind w:left="384"/>
            </w:pPr>
            <w:r>
              <w:rPr>
                <w:spacing w:val="7"/>
              </w:rPr>
              <w:t>平均值</w:t>
            </w:r>
          </w:p>
        </w:tc>
        <w:tc>
          <w:tcPr>
            <w:tcW w:w="1054" w:type="dxa"/>
            <w:tcBorders>
              <w:bottom w:val="single" w:color="000000" w:sz="10" w:space="0"/>
            </w:tcBorders>
            <w:vAlign w:val="top"/>
          </w:tcPr>
          <w:p w14:paraId="140B242B">
            <w:pPr>
              <w:spacing w:before="152"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0.0020</w:t>
            </w:r>
          </w:p>
        </w:tc>
        <w:tc>
          <w:tcPr>
            <w:tcW w:w="1193" w:type="dxa"/>
            <w:tcBorders>
              <w:bottom w:val="single" w:color="000000" w:sz="10" w:space="0"/>
            </w:tcBorders>
            <w:vAlign w:val="top"/>
          </w:tcPr>
          <w:p w14:paraId="1F3CEEF3">
            <w:pPr>
              <w:spacing w:before="152"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1193" w:type="dxa"/>
            <w:tcBorders>
              <w:bottom w:val="single" w:color="000000" w:sz="10" w:space="0"/>
            </w:tcBorders>
            <w:vAlign w:val="top"/>
          </w:tcPr>
          <w:p w14:paraId="528E0F33">
            <w:pPr>
              <w:spacing w:before="152"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0.00003</w:t>
            </w:r>
          </w:p>
        </w:tc>
        <w:tc>
          <w:tcPr>
            <w:tcW w:w="1125" w:type="dxa"/>
            <w:tcBorders>
              <w:bottom w:val="single" w:color="000000" w:sz="10" w:space="0"/>
            </w:tcBorders>
            <w:vAlign w:val="top"/>
          </w:tcPr>
          <w:p w14:paraId="6F17C3C4">
            <w:pPr>
              <w:spacing w:before="152" w:line="195" w:lineRule="auto"/>
              <w:ind w:left="3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1193" w:type="dxa"/>
            <w:tcBorders>
              <w:bottom w:val="single" w:color="000000" w:sz="10" w:space="0"/>
            </w:tcBorders>
            <w:vAlign w:val="top"/>
          </w:tcPr>
          <w:p w14:paraId="12C4FD51">
            <w:pPr>
              <w:spacing w:before="152"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w:t>
            </w:r>
          </w:p>
        </w:tc>
        <w:tc>
          <w:tcPr>
            <w:tcW w:w="1125" w:type="dxa"/>
            <w:tcBorders>
              <w:bottom w:val="single" w:color="000000" w:sz="10" w:space="0"/>
            </w:tcBorders>
            <w:vAlign w:val="top"/>
          </w:tcPr>
          <w:p w14:paraId="06B16E40">
            <w:pPr>
              <w:spacing w:before="152"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1125" w:type="dxa"/>
            <w:tcBorders>
              <w:bottom w:val="single" w:color="000000" w:sz="10" w:space="0"/>
            </w:tcBorders>
            <w:vAlign w:val="top"/>
          </w:tcPr>
          <w:p w14:paraId="367CCC0F">
            <w:pPr>
              <w:spacing w:before="152"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1423" w:type="dxa"/>
            <w:tcBorders>
              <w:bottom w:val="single" w:color="000000" w:sz="10" w:space="0"/>
            </w:tcBorders>
            <w:vAlign w:val="top"/>
          </w:tcPr>
          <w:p w14:paraId="136626C1">
            <w:pPr>
              <w:spacing w:before="152"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1982" w:type="dxa"/>
            <w:tcBorders>
              <w:bottom w:val="single" w:color="000000" w:sz="10" w:space="0"/>
            </w:tcBorders>
            <w:vAlign w:val="top"/>
          </w:tcPr>
          <w:p w14:paraId="50F7356A">
            <w:pPr>
              <w:spacing w:before="152" w:line="195"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384" w:type="dxa"/>
            <w:tcBorders>
              <w:bottom w:val="single" w:color="000000" w:sz="10" w:space="0"/>
              <w:right w:val="single" w:color="000000" w:sz="10" w:space="0"/>
            </w:tcBorders>
            <w:vAlign w:val="top"/>
          </w:tcPr>
          <w:p w14:paraId="3ED00871">
            <w:pPr>
              <w:spacing w:before="152"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w:t>
            </w:r>
          </w:p>
        </w:tc>
      </w:tr>
    </w:tbl>
    <w:p w14:paraId="60DEFD97">
      <w:pPr>
        <w:spacing w:before="156" w:line="212" w:lineRule="auto"/>
        <w:ind w:left="3110"/>
        <w:rPr>
          <w:rFonts w:ascii="宋体" w:hAnsi="宋体" w:eastAsia="宋体" w:cs="宋体"/>
          <w:sz w:val="24"/>
          <w:szCs w:val="24"/>
        </w:rPr>
      </w:pPr>
      <w:r>
        <w:rPr>
          <w:rFonts w:ascii="宋体" w:hAnsi="宋体" w:eastAsia="宋体" w:cs="宋体"/>
          <w:b/>
          <w:bCs/>
          <w:spacing w:val="-2"/>
          <w:sz w:val="24"/>
          <w:szCs w:val="24"/>
        </w:rPr>
        <w:t>表</w:t>
      </w:r>
      <w:r>
        <w:rPr>
          <w:rFonts w:ascii="Times New Roman" w:hAnsi="Times New Roman" w:eastAsia="Times New Roman" w:cs="Times New Roman"/>
          <w:b/>
          <w:bCs/>
          <w:spacing w:val="-2"/>
          <w:sz w:val="24"/>
          <w:szCs w:val="24"/>
        </w:rPr>
        <w:t>4.3-8</w:t>
      </w:r>
      <w:r>
        <w:rPr>
          <w:rFonts w:ascii="宋体" w:hAnsi="宋体" w:eastAsia="宋体" w:cs="宋体"/>
          <w:b/>
          <w:bCs/>
          <w:spacing w:val="-2"/>
          <w:sz w:val="24"/>
          <w:szCs w:val="24"/>
        </w:rPr>
        <w:t>邵阳县渡头村断面监测数据（</w:t>
      </w:r>
      <w:r>
        <w:rPr>
          <w:rFonts w:ascii="Times New Roman" w:hAnsi="Times New Roman" w:eastAsia="Times New Roman" w:cs="Times New Roman"/>
          <w:b/>
          <w:bCs/>
          <w:spacing w:val="-2"/>
          <w:sz w:val="24"/>
          <w:szCs w:val="24"/>
        </w:rPr>
        <w:t>2022</w:t>
      </w:r>
      <w:r>
        <w:rPr>
          <w:rFonts w:ascii="宋体" w:hAnsi="宋体" w:eastAsia="宋体" w:cs="宋体"/>
          <w:b/>
          <w:bCs/>
          <w:spacing w:val="-2"/>
          <w:sz w:val="24"/>
          <w:szCs w:val="24"/>
        </w:rPr>
        <w:t>年</w:t>
      </w:r>
      <w:r>
        <w:rPr>
          <w:rFonts w:ascii="Times New Roman" w:hAnsi="Times New Roman" w:eastAsia="Times New Roman" w:cs="Times New Roman"/>
          <w:b/>
          <w:bCs/>
          <w:spacing w:val="-2"/>
          <w:sz w:val="24"/>
          <w:szCs w:val="24"/>
        </w:rPr>
        <w:t>1</w:t>
      </w:r>
      <w:r>
        <w:rPr>
          <w:rFonts w:ascii="宋体" w:hAnsi="宋体" w:eastAsia="宋体" w:cs="宋体"/>
          <w:b/>
          <w:bCs/>
          <w:spacing w:val="-2"/>
          <w:sz w:val="24"/>
          <w:szCs w:val="24"/>
        </w:rPr>
        <w:t>月</w:t>
      </w:r>
      <w:r>
        <w:rPr>
          <w:rFonts w:ascii="Times New Roman" w:hAnsi="Times New Roman" w:eastAsia="Times New Roman" w:cs="Times New Roman"/>
          <w:b/>
          <w:bCs/>
          <w:spacing w:val="-2"/>
          <w:sz w:val="24"/>
          <w:szCs w:val="24"/>
        </w:rPr>
        <w:t>-2025</w:t>
      </w:r>
      <w:r>
        <w:rPr>
          <w:rFonts w:ascii="宋体" w:hAnsi="宋体" w:eastAsia="宋体" w:cs="宋体"/>
          <w:b/>
          <w:bCs/>
          <w:spacing w:val="-2"/>
          <w:sz w:val="24"/>
          <w:szCs w:val="24"/>
        </w:rPr>
        <w:t>年</w:t>
      </w:r>
      <w:r>
        <w:rPr>
          <w:rFonts w:ascii="Times New Roman" w:hAnsi="Times New Roman" w:eastAsia="Times New Roman" w:cs="Times New Roman"/>
          <w:b/>
          <w:bCs/>
          <w:spacing w:val="-2"/>
          <w:sz w:val="24"/>
          <w:szCs w:val="24"/>
        </w:rPr>
        <w:t>3</w:t>
      </w:r>
      <w:r>
        <w:rPr>
          <w:rFonts w:ascii="宋体" w:hAnsi="宋体" w:eastAsia="宋体" w:cs="宋体"/>
          <w:b/>
          <w:bCs/>
          <w:spacing w:val="-2"/>
          <w:sz w:val="24"/>
          <w:szCs w:val="24"/>
        </w:rPr>
        <w:t>月</w:t>
      </w:r>
      <w:r>
        <w:rPr>
          <w:rFonts w:ascii="宋体" w:hAnsi="宋体" w:eastAsia="宋体" w:cs="宋体"/>
          <w:b/>
          <w:bCs/>
          <w:spacing w:val="-6"/>
          <w:sz w:val="24"/>
          <w:szCs w:val="24"/>
        </w:rPr>
        <w:t>）（</w:t>
      </w:r>
      <w:r>
        <w:rPr>
          <w:rFonts w:ascii="Times New Roman" w:hAnsi="Times New Roman" w:eastAsia="Times New Roman" w:cs="Times New Roman"/>
          <w:b/>
          <w:bCs/>
          <w:spacing w:val="-2"/>
          <w:sz w:val="24"/>
          <w:szCs w:val="24"/>
        </w:rPr>
        <w:t>mg/L</w:t>
      </w:r>
      <w:r>
        <w:rPr>
          <w:rFonts w:ascii="宋体" w:hAnsi="宋体" w:eastAsia="宋体" w:cs="宋体"/>
          <w:b/>
          <w:bCs/>
          <w:spacing w:val="-2"/>
          <w:sz w:val="24"/>
          <w:szCs w:val="24"/>
        </w:rPr>
        <w:t>）</w:t>
      </w:r>
    </w:p>
    <w:tbl>
      <w:tblPr>
        <w:tblStyle w:val="5"/>
        <w:tblW w:w="1421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99"/>
        <w:gridCol w:w="1348"/>
        <w:gridCol w:w="2311"/>
        <w:gridCol w:w="4035"/>
        <w:gridCol w:w="1735"/>
        <w:gridCol w:w="1888"/>
      </w:tblGrid>
      <w:tr w14:paraId="5C5F0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899" w:type="dxa"/>
            <w:tcBorders>
              <w:top w:val="single" w:color="000000" w:sz="10" w:space="0"/>
              <w:left w:val="single" w:color="000000" w:sz="10" w:space="0"/>
            </w:tcBorders>
            <w:vAlign w:val="top"/>
          </w:tcPr>
          <w:p w14:paraId="294D8042">
            <w:pPr>
              <w:pStyle w:val="6"/>
              <w:spacing w:before="97" w:line="227" w:lineRule="auto"/>
              <w:ind w:left="1020"/>
            </w:pPr>
            <w:r>
              <w:rPr>
                <w:b/>
                <w:bCs/>
                <w:spacing w:val="6"/>
              </w:rPr>
              <w:t>采样时间</w:t>
            </w:r>
          </w:p>
        </w:tc>
        <w:tc>
          <w:tcPr>
            <w:tcW w:w="1348" w:type="dxa"/>
            <w:tcBorders>
              <w:top w:val="single" w:color="000000" w:sz="10" w:space="0"/>
            </w:tcBorders>
            <w:vAlign w:val="top"/>
          </w:tcPr>
          <w:p w14:paraId="36C1CE85">
            <w:pPr>
              <w:spacing w:before="136" w:line="194" w:lineRule="auto"/>
              <w:ind w:left="528"/>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pH</w:t>
            </w:r>
          </w:p>
        </w:tc>
        <w:tc>
          <w:tcPr>
            <w:tcW w:w="2311" w:type="dxa"/>
            <w:tcBorders>
              <w:top w:val="single" w:color="000000" w:sz="10" w:space="0"/>
            </w:tcBorders>
            <w:vAlign w:val="top"/>
          </w:tcPr>
          <w:p w14:paraId="1DB5EFEC">
            <w:pPr>
              <w:pStyle w:val="6"/>
              <w:spacing w:before="97" w:line="227" w:lineRule="auto"/>
              <w:ind w:left="845"/>
            </w:pPr>
            <w:r>
              <w:rPr>
                <w:b/>
                <w:bCs/>
                <w:spacing w:val="4"/>
              </w:rPr>
              <w:t>溶解氧</w:t>
            </w:r>
          </w:p>
        </w:tc>
        <w:tc>
          <w:tcPr>
            <w:tcW w:w="4035" w:type="dxa"/>
            <w:tcBorders>
              <w:top w:val="single" w:color="000000" w:sz="10" w:space="0"/>
            </w:tcBorders>
            <w:vAlign w:val="top"/>
          </w:tcPr>
          <w:p w14:paraId="09DB469A">
            <w:pPr>
              <w:pStyle w:val="6"/>
              <w:spacing w:before="97" w:line="228" w:lineRule="auto"/>
              <w:ind w:left="1398"/>
            </w:pPr>
            <w:r>
              <w:rPr>
                <w:b/>
                <w:bCs/>
                <w:spacing w:val="6"/>
              </w:rPr>
              <w:t>高锰酸盐指数</w:t>
            </w:r>
          </w:p>
        </w:tc>
        <w:tc>
          <w:tcPr>
            <w:tcW w:w="1735" w:type="dxa"/>
            <w:tcBorders>
              <w:top w:val="single" w:color="000000" w:sz="10" w:space="0"/>
            </w:tcBorders>
            <w:vAlign w:val="top"/>
          </w:tcPr>
          <w:p w14:paraId="1781A3A8">
            <w:pPr>
              <w:pStyle w:val="6"/>
              <w:spacing w:before="97" w:line="227" w:lineRule="auto"/>
              <w:ind w:left="669"/>
            </w:pPr>
            <w:r>
              <w:rPr>
                <w:b/>
                <w:bCs/>
                <w:spacing w:val="3"/>
              </w:rPr>
              <w:t>氨氮</w:t>
            </w:r>
          </w:p>
        </w:tc>
        <w:tc>
          <w:tcPr>
            <w:tcW w:w="1888" w:type="dxa"/>
            <w:tcBorders>
              <w:top w:val="single" w:color="000000" w:sz="10" w:space="0"/>
              <w:right w:val="single" w:color="000000" w:sz="10" w:space="0"/>
            </w:tcBorders>
            <w:vAlign w:val="top"/>
          </w:tcPr>
          <w:p w14:paraId="312DFC09">
            <w:pPr>
              <w:pStyle w:val="6"/>
              <w:spacing w:before="97" w:line="228" w:lineRule="auto"/>
              <w:ind w:left="747"/>
            </w:pPr>
            <w:r>
              <w:rPr>
                <w:b/>
                <w:bCs/>
                <w:spacing w:val="1"/>
              </w:rPr>
              <w:t>总磷</w:t>
            </w:r>
          </w:p>
        </w:tc>
      </w:tr>
      <w:tr w14:paraId="0D09F5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2899" w:type="dxa"/>
            <w:tcBorders>
              <w:left w:val="single" w:color="000000" w:sz="10" w:space="0"/>
            </w:tcBorders>
            <w:vAlign w:val="top"/>
          </w:tcPr>
          <w:p w14:paraId="708D9CA0">
            <w:pPr>
              <w:spacing w:before="135" w:line="195" w:lineRule="auto"/>
              <w:ind w:left="10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2022-01</w:t>
            </w:r>
          </w:p>
        </w:tc>
        <w:tc>
          <w:tcPr>
            <w:tcW w:w="1348" w:type="dxa"/>
            <w:vAlign w:val="top"/>
          </w:tcPr>
          <w:p w14:paraId="0F2AC2EB">
            <w:pPr>
              <w:spacing w:before="135" w:line="195" w:lineRule="auto"/>
              <w:ind w:left="62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311" w:type="dxa"/>
            <w:vAlign w:val="top"/>
          </w:tcPr>
          <w:p w14:paraId="14EC827C">
            <w:pPr>
              <w:spacing w:before="135" w:line="195" w:lineRule="auto"/>
              <w:ind w:left="9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10.6</w:t>
            </w:r>
          </w:p>
        </w:tc>
        <w:tc>
          <w:tcPr>
            <w:tcW w:w="4035" w:type="dxa"/>
            <w:vAlign w:val="top"/>
          </w:tcPr>
          <w:p w14:paraId="377989B6">
            <w:pPr>
              <w:spacing w:before="135" w:line="195" w:lineRule="auto"/>
              <w:ind w:left="19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1735" w:type="dxa"/>
            <w:vAlign w:val="top"/>
          </w:tcPr>
          <w:p w14:paraId="40C5D512">
            <w:pPr>
              <w:spacing w:before="135"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0.16</w:t>
            </w:r>
          </w:p>
        </w:tc>
        <w:tc>
          <w:tcPr>
            <w:tcW w:w="1888" w:type="dxa"/>
            <w:tcBorders>
              <w:right w:val="single" w:color="000000" w:sz="10" w:space="0"/>
            </w:tcBorders>
            <w:vAlign w:val="top"/>
          </w:tcPr>
          <w:p w14:paraId="249A8B30">
            <w:pPr>
              <w:spacing w:before="135"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0.059</w:t>
            </w:r>
          </w:p>
        </w:tc>
      </w:tr>
      <w:tr w14:paraId="2A25AC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2899" w:type="dxa"/>
            <w:tcBorders>
              <w:left w:val="single" w:color="000000" w:sz="10" w:space="0"/>
            </w:tcBorders>
            <w:vAlign w:val="top"/>
          </w:tcPr>
          <w:p w14:paraId="7EBC4771">
            <w:pPr>
              <w:spacing w:before="139" w:line="195" w:lineRule="auto"/>
              <w:ind w:left="10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2022-02</w:t>
            </w:r>
          </w:p>
        </w:tc>
        <w:tc>
          <w:tcPr>
            <w:tcW w:w="1348" w:type="dxa"/>
            <w:vAlign w:val="top"/>
          </w:tcPr>
          <w:p w14:paraId="729C3F88">
            <w:pPr>
              <w:spacing w:before="139" w:line="195" w:lineRule="auto"/>
              <w:ind w:left="62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311" w:type="dxa"/>
            <w:vAlign w:val="top"/>
          </w:tcPr>
          <w:p w14:paraId="074C2168">
            <w:pPr>
              <w:spacing w:before="139" w:line="195" w:lineRule="auto"/>
              <w:ind w:left="9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11.1</w:t>
            </w:r>
          </w:p>
        </w:tc>
        <w:tc>
          <w:tcPr>
            <w:tcW w:w="4035" w:type="dxa"/>
            <w:vAlign w:val="top"/>
          </w:tcPr>
          <w:p w14:paraId="64827A54">
            <w:pPr>
              <w:spacing w:before="139" w:line="195" w:lineRule="auto"/>
              <w:ind w:left="19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1735" w:type="dxa"/>
            <w:vAlign w:val="top"/>
          </w:tcPr>
          <w:p w14:paraId="1CA9A45E">
            <w:pPr>
              <w:spacing w:before="139"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0.12</w:t>
            </w:r>
          </w:p>
        </w:tc>
        <w:tc>
          <w:tcPr>
            <w:tcW w:w="1888" w:type="dxa"/>
            <w:tcBorders>
              <w:right w:val="single" w:color="000000" w:sz="10" w:space="0"/>
            </w:tcBorders>
            <w:vAlign w:val="top"/>
          </w:tcPr>
          <w:p w14:paraId="64DD56BE">
            <w:pPr>
              <w:spacing w:before="139"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0.047</w:t>
            </w:r>
          </w:p>
        </w:tc>
      </w:tr>
      <w:tr w14:paraId="3E160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2899" w:type="dxa"/>
            <w:tcBorders>
              <w:left w:val="single" w:color="000000" w:sz="10" w:space="0"/>
            </w:tcBorders>
            <w:vAlign w:val="top"/>
          </w:tcPr>
          <w:p w14:paraId="680A5B7A">
            <w:pPr>
              <w:spacing w:before="145" w:line="195" w:lineRule="auto"/>
              <w:ind w:left="10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2022-03</w:t>
            </w:r>
          </w:p>
        </w:tc>
        <w:tc>
          <w:tcPr>
            <w:tcW w:w="1348" w:type="dxa"/>
            <w:vAlign w:val="top"/>
          </w:tcPr>
          <w:p w14:paraId="02C01938">
            <w:pPr>
              <w:spacing w:before="145" w:line="195" w:lineRule="auto"/>
              <w:ind w:left="62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311" w:type="dxa"/>
            <w:vAlign w:val="top"/>
          </w:tcPr>
          <w:p w14:paraId="793AD094">
            <w:pPr>
              <w:spacing w:before="145" w:line="195" w:lineRule="auto"/>
              <w:ind w:left="10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9.4</w:t>
            </w:r>
          </w:p>
        </w:tc>
        <w:tc>
          <w:tcPr>
            <w:tcW w:w="4035" w:type="dxa"/>
            <w:vAlign w:val="top"/>
          </w:tcPr>
          <w:p w14:paraId="2FE85793">
            <w:pPr>
              <w:spacing w:before="145" w:line="195" w:lineRule="auto"/>
              <w:ind w:left="19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1.4</w:t>
            </w:r>
          </w:p>
        </w:tc>
        <w:tc>
          <w:tcPr>
            <w:tcW w:w="1735" w:type="dxa"/>
            <w:vAlign w:val="top"/>
          </w:tcPr>
          <w:p w14:paraId="4162A161">
            <w:pPr>
              <w:spacing w:before="145"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c>
          <w:tcPr>
            <w:tcW w:w="1888" w:type="dxa"/>
            <w:tcBorders>
              <w:right w:val="single" w:color="000000" w:sz="10" w:space="0"/>
            </w:tcBorders>
            <w:vAlign w:val="top"/>
          </w:tcPr>
          <w:p w14:paraId="16A410ED">
            <w:pPr>
              <w:spacing w:before="145"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0.046</w:t>
            </w:r>
          </w:p>
        </w:tc>
      </w:tr>
      <w:tr w14:paraId="5A72E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2899" w:type="dxa"/>
            <w:tcBorders>
              <w:left w:val="single" w:color="000000" w:sz="10" w:space="0"/>
              <w:bottom w:val="single" w:color="000000" w:sz="10" w:space="0"/>
            </w:tcBorders>
            <w:vAlign w:val="top"/>
          </w:tcPr>
          <w:p w14:paraId="3ED63081">
            <w:pPr>
              <w:spacing w:before="149" w:line="195" w:lineRule="auto"/>
              <w:ind w:left="10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2022-04</w:t>
            </w:r>
          </w:p>
        </w:tc>
        <w:tc>
          <w:tcPr>
            <w:tcW w:w="1348" w:type="dxa"/>
            <w:tcBorders>
              <w:bottom w:val="single" w:color="000000" w:sz="10" w:space="0"/>
            </w:tcBorders>
            <w:vAlign w:val="top"/>
          </w:tcPr>
          <w:p w14:paraId="298C455A">
            <w:pPr>
              <w:spacing w:before="149" w:line="195" w:lineRule="auto"/>
              <w:ind w:left="62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311" w:type="dxa"/>
            <w:tcBorders>
              <w:bottom w:val="single" w:color="000000" w:sz="10" w:space="0"/>
            </w:tcBorders>
            <w:vAlign w:val="top"/>
          </w:tcPr>
          <w:p w14:paraId="0FBAC23C">
            <w:pPr>
              <w:spacing w:before="149" w:line="195" w:lineRule="auto"/>
              <w:ind w:left="1032"/>
              <w:rPr>
                <w:rFonts w:ascii="Times New Roman" w:hAnsi="Times New Roman" w:eastAsia="Times New Roman" w:cs="Times New Roman"/>
                <w:sz w:val="20"/>
                <w:szCs w:val="20"/>
              </w:rPr>
            </w:pPr>
            <w:r>
              <w:rPr>
                <w:rFonts w:ascii="Times New Roman" w:hAnsi="Times New Roman" w:eastAsia="Times New Roman" w:cs="Times New Roman"/>
                <w:sz w:val="20"/>
                <w:szCs w:val="20"/>
              </w:rPr>
              <w:t>8.8</w:t>
            </w:r>
          </w:p>
        </w:tc>
        <w:tc>
          <w:tcPr>
            <w:tcW w:w="4035" w:type="dxa"/>
            <w:tcBorders>
              <w:bottom w:val="single" w:color="000000" w:sz="10" w:space="0"/>
            </w:tcBorders>
            <w:vAlign w:val="top"/>
          </w:tcPr>
          <w:p w14:paraId="5AD13EAC">
            <w:pPr>
              <w:spacing w:before="149" w:line="195" w:lineRule="auto"/>
              <w:ind w:left="19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1735" w:type="dxa"/>
            <w:tcBorders>
              <w:bottom w:val="single" w:color="000000" w:sz="10" w:space="0"/>
            </w:tcBorders>
            <w:vAlign w:val="top"/>
          </w:tcPr>
          <w:p w14:paraId="7570B3BC">
            <w:pPr>
              <w:spacing w:before="149"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0.11</w:t>
            </w:r>
          </w:p>
        </w:tc>
        <w:tc>
          <w:tcPr>
            <w:tcW w:w="1888" w:type="dxa"/>
            <w:tcBorders>
              <w:bottom w:val="single" w:color="000000" w:sz="10" w:space="0"/>
              <w:right w:val="single" w:color="000000" w:sz="10" w:space="0"/>
            </w:tcBorders>
            <w:vAlign w:val="top"/>
          </w:tcPr>
          <w:p w14:paraId="70E8A46B">
            <w:pPr>
              <w:spacing w:before="149"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0.053</w:t>
            </w:r>
          </w:p>
        </w:tc>
      </w:tr>
    </w:tbl>
    <w:p w14:paraId="047F8E90">
      <w:pPr>
        <w:pStyle w:val="2"/>
      </w:pPr>
    </w:p>
    <w:p w14:paraId="4308F37A">
      <w:pPr>
        <w:sectPr>
          <w:headerReference r:id="rId79" w:type="default"/>
          <w:footerReference r:id="rId80" w:type="default"/>
          <w:pgSz w:w="16840" w:h="11907"/>
          <w:pgMar w:top="1132" w:right="1303" w:bottom="1258" w:left="1294" w:header="829" w:footer="1096" w:gutter="0"/>
          <w:cols w:space="720" w:num="1"/>
        </w:sectPr>
      </w:pPr>
    </w:p>
    <w:p w14:paraId="53F68EB0">
      <w:pPr>
        <w:spacing w:before="43"/>
      </w:pPr>
    </w:p>
    <w:p w14:paraId="5835ABE1">
      <w:pPr>
        <w:spacing w:before="42"/>
      </w:pPr>
    </w:p>
    <w:tbl>
      <w:tblPr>
        <w:tblStyle w:val="5"/>
        <w:tblW w:w="1421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99"/>
        <w:gridCol w:w="1348"/>
        <w:gridCol w:w="2311"/>
        <w:gridCol w:w="4035"/>
        <w:gridCol w:w="1735"/>
        <w:gridCol w:w="1888"/>
      </w:tblGrid>
      <w:tr w14:paraId="40AD8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2899" w:type="dxa"/>
            <w:tcBorders>
              <w:top w:val="single" w:color="000000" w:sz="10" w:space="0"/>
              <w:left w:val="single" w:color="000000" w:sz="10" w:space="0"/>
            </w:tcBorders>
            <w:vAlign w:val="top"/>
          </w:tcPr>
          <w:p w14:paraId="6F13C884">
            <w:pPr>
              <w:pStyle w:val="6"/>
              <w:spacing w:before="99" w:line="227" w:lineRule="auto"/>
              <w:ind w:left="1020"/>
            </w:pPr>
            <w:r>
              <w:rPr>
                <w:b/>
                <w:bCs/>
                <w:spacing w:val="6"/>
              </w:rPr>
              <w:t>采样时间</w:t>
            </w:r>
          </w:p>
        </w:tc>
        <w:tc>
          <w:tcPr>
            <w:tcW w:w="1348" w:type="dxa"/>
            <w:tcBorders>
              <w:top w:val="single" w:color="000000" w:sz="10" w:space="0"/>
            </w:tcBorders>
            <w:vAlign w:val="top"/>
          </w:tcPr>
          <w:p w14:paraId="172329A9">
            <w:pPr>
              <w:spacing w:before="138" w:line="194" w:lineRule="auto"/>
              <w:ind w:left="528"/>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pH</w:t>
            </w:r>
          </w:p>
        </w:tc>
        <w:tc>
          <w:tcPr>
            <w:tcW w:w="2311" w:type="dxa"/>
            <w:tcBorders>
              <w:top w:val="single" w:color="000000" w:sz="10" w:space="0"/>
            </w:tcBorders>
            <w:vAlign w:val="top"/>
          </w:tcPr>
          <w:p w14:paraId="45FAA7A7">
            <w:pPr>
              <w:pStyle w:val="6"/>
              <w:spacing w:before="99" w:line="227" w:lineRule="auto"/>
              <w:ind w:left="845"/>
            </w:pPr>
            <w:r>
              <w:rPr>
                <w:b/>
                <w:bCs/>
                <w:spacing w:val="4"/>
              </w:rPr>
              <w:t>溶解氧</w:t>
            </w:r>
          </w:p>
        </w:tc>
        <w:tc>
          <w:tcPr>
            <w:tcW w:w="4035" w:type="dxa"/>
            <w:tcBorders>
              <w:top w:val="single" w:color="000000" w:sz="10" w:space="0"/>
            </w:tcBorders>
            <w:vAlign w:val="top"/>
          </w:tcPr>
          <w:p w14:paraId="6AD8A1E8">
            <w:pPr>
              <w:pStyle w:val="6"/>
              <w:spacing w:before="99" w:line="228" w:lineRule="auto"/>
              <w:ind w:left="1398"/>
            </w:pPr>
            <w:r>
              <w:rPr>
                <w:b/>
                <w:bCs/>
                <w:spacing w:val="6"/>
              </w:rPr>
              <w:t>高锰酸盐指数</w:t>
            </w:r>
          </w:p>
        </w:tc>
        <w:tc>
          <w:tcPr>
            <w:tcW w:w="1735" w:type="dxa"/>
            <w:tcBorders>
              <w:top w:val="single" w:color="000000" w:sz="10" w:space="0"/>
            </w:tcBorders>
            <w:vAlign w:val="top"/>
          </w:tcPr>
          <w:p w14:paraId="2117222A">
            <w:pPr>
              <w:pStyle w:val="6"/>
              <w:spacing w:before="99" w:line="227" w:lineRule="auto"/>
              <w:ind w:left="669"/>
            </w:pPr>
            <w:r>
              <w:rPr>
                <w:b/>
                <w:bCs/>
                <w:spacing w:val="3"/>
              </w:rPr>
              <w:t>氨氮</w:t>
            </w:r>
          </w:p>
        </w:tc>
        <w:tc>
          <w:tcPr>
            <w:tcW w:w="1888" w:type="dxa"/>
            <w:tcBorders>
              <w:top w:val="single" w:color="000000" w:sz="10" w:space="0"/>
              <w:right w:val="single" w:color="000000" w:sz="10" w:space="0"/>
            </w:tcBorders>
            <w:vAlign w:val="top"/>
          </w:tcPr>
          <w:p w14:paraId="004C92D0">
            <w:pPr>
              <w:pStyle w:val="6"/>
              <w:spacing w:before="99" w:line="228" w:lineRule="auto"/>
              <w:ind w:left="747"/>
            </w:pPr>
            <w:r>
              <w:rPr>
                <w:b/>
                <w:bCs/>
                <w:spacing w:val="1"/>
              </w:rPr>
              <w:t>总磷</w:t>
            </w:r>
          </w:p>
        </w:tc>
      </w:tr>
      <w:tr w14:paraId="562B2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899" w:type="dxa"/>
            <w:tcBorders>
              <w:left w:val="single" w:color="000000" w:sz="10" w:space="0"/>
            </w:tcBorders>
            <w:vAlign w:val="top"/>
          </w:tcPr>
          <w:p w14:paraId="25109FED">
            <w:pPr>
              <w:spacing w:before="130" w:line="195" w:lineRule="auto"/>
              <w:ind w:left="10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2022-05</w:t>
            </w:r>
          </w:p>
        </w:tc>
        <w:tc>
          <w:tcPr>
            <w:tcW w:w="1348" w:type="dxa"/>
            <w:vAlign w:val="top"/>
          </w:tcPr>
          <w:p w14:paraId="6CA1666A">
            <w:pPr>
              <w:spacing w:before="130" w:line="195" w:lineRule="auto"/>
              <w:ind w:left="62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311" w:type="dxa"/>
            <w:vAlign w:val="top"/>
          </w:tcPr>
          <w:p w14:paraId="415A3993">
            <w:pPr>
              <w:spacing w:before="130" w:line="195" w:lineRule="auto"/>
              <w:ind w:left="10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8.1</w:t>
            </w:r>
          </w:p>
        </w:tc>
        <w:tc>
          <w:tcPr>
            <w:tcW w:w="4035" w:type="dxa"/>
            <w:vAlign w:val="top"/>
          </w:tcPr>
          <w:p w14:paraId="2211C9E7">
            <w:pPr>
              <w:spacing w:before="130" w:line="195" w:lineRule="auto"/>
              <w:ind w:left="18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735" w:type="dxa"/>
            <w:vAlign w:val="top"/>
          </w:tcPr>
          <w:p w14:paraId="4C0E2F9F">
            <w:pPr>
              <w:spacing w:before="130"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0.12</w:t>
            </w:r>
          </w:p>
        </w:tc>
        <w:tc>
          <w:tcPr>
            <w:tcW w:w="1888" w:type="dxa"/>
            <w:tcBorders>
              <w:right w:val="single" w:color="000000" w:sz="10" w:space="0"/>
            </w:tcBorders>
            <w:vAlign w:val="top"/>
          </w:tcPr>
          <w:p w14:paraId="2C9E3D46">
            <w:pPr>
              <w:spacing w:before="130"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0.070</w:t>
            </w:r>
          </w:p>
        </w:tc>
      </w:tr>
      <w:tr w14:paraId="12497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899" w:type="dxa"/>
            <w:tcBorders>
              <w:left w:val="single" w:color="000000" w:sz="10" w:space="0"/>
            </w:tcBorders>
            <w:vAlign w:val="top"/>
          </w:tcPr>
          <w:p w14:paraId="1FBD9B0A">
            <w:pPr>
              <w:spacing w:before="133" w:line="195" w:lineRule="auto"/>
              <w:ind w:left="10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2022-06</w:t>
            </w:r>
          </w:p>
        </w:tc>
        <w:tc>
          <w:tcPr>
            <w:tcW w:w="1348" w:type="dxa"/>
            <w:vAlign w:val="top"/>
          </w:tcPr>
          <w:p w14:paraId="5F1FCFB9">
            <w:pPr>
              <w:spacing w:before="133" w:line="195" w:lineRule="auto"/>
              <w:ind w:left="62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311" w:type="dxa"/>
            <w:vAlign w:val="top"/>
          </w:tcPr>
          <w:p w14:paraId="5C33A429">
            <w:pPr>
              <w:spacing w:before="133" w:line="195" w:lineRule="auto"/>
              <w:ind w:left="10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7.3</w:t>
            </w:r>
          </w:p>
        </w:tc>
        <w:tc>
          <w:tcPr>
            <w:tcW w:w="4035" w:type="dxa"/>
            <w:vAlign w:val="top"/>
          </w:tcPr>
          <w:p w14:paraId="0B1B49CF">
            <w:pPr>
              <w:spacing w:before="133" w:line="195" w:lineRule="auto"/>
              <w:ind w:left="18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735" w:type="dxa"/>
            <w:vAlign w:val="top"/>
          </w:tcPr>
          <w:p w14:paraId="7ED2554B">
            <w:pPr>
              <w:spacing w:before="133"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c>
          <w:tcPr>
            <w:tcW w:w="1888" w:type="dxa"/>
            <w:tcBorders>
              <w:right w:val="single" w:color="000000" w:sz="10" w:space="0"/>
            </w:tcBorders>
            <w:vAlign w:val="top"/>
          </w:tcPr>
          <w:p w14:paraId="0EF33FAD">
            <w:pPr>
              <w:spacing w:before="133"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0.073</w:t>
            </w:r>
          </w:p>
        </w:tc>
      </w:tr>
      <w:tr w14:paraId="2BB35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899" w:type="dxa"/>
            <w:tcBorders>
              <w:left w:val="single" w:color="000000" w:sz="10" w:space="0"/>
            </w:tcBorders>
            <w:vAlign w:val="top"/>
          </w:tcPr>
          <w:p w14:paraId="40FF031F">
            <w:pPr>
              <w:spacing w:before="133" w:line="195" w:lineRule="auto"/>
              <w:ind w:left="10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2022-07</w:t>
            </w:r>
          </w:p>
        </w:tc>
        <w:tc>
          <w:tcPr>
            <w:tcW w:w="1348" w:type="dxa"/>
            <w:vAlign w:val="top"/>
          </w:tcPr>
          <w:p w14:paraId="50E31BB9">
            <w:pPr>
              <w:spacing w:before="136" w:line="192" w:lineRule="auto"/>
              <w:ind w:left="62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311" w:type="dxa"/>
            <w:vAlign w:val="top"/>
          </w:tcPr>
          <w:p w14:paraId="2C97EC03">
            <w:pPr>
              <w:spacing w:before="133" w:line="195" w:lineRule="auto"/>
              <w:ind w:left="102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6.9</w:t>
            </w:r>
          </w:p>
        </w:tc>
        <w:tc>
          <w:tcPr>
            <w:tcW w:w="4035" w:type="dxa"/>
            <w:vAlign w:val="top"/>
          </w:tcPr>
          <w:p w14:paraId="226015C6">
            <w:pPr>
              <w:spacing w:before="133" w:line="195" w:lineRule="auto"/>
              <w:ind w:left="19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1735" w:type="dxa"/>
            <w:vAlign w:val="top"/>
          </w:tcPr>
          <w:p w14:paraId="4DF3C374">
            <w:pPr>
              <w:spacing w:before="133"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c>
          <w:tcPr>
            <w:tcW w:w="1888" w:type="dxa"/>
            <w:tcBorders>
              <w:right w:val="single" w:color="000000" w:sz="10" w:space="0"/>
            </w:tcBorders>
            <w:vAlign w:val="top"/>
          </w:tcPr>
          <w:p w14:paraId="6E37F2A3">
            <w:pPr>
              <w:spacing w:before="133"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0.050</w:t>
            </w:r>
          </w:p>
        </w:tc>
      </w:tr>
      <w:tr w14:paraId="569F3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899" w:type="dxa"/>
            <w:tcBorders>
              <w:left w:val="single" w:color="000000" w:sz="10" w:space="0"/>
            </w:tcBorders>
            <w:vAlign w:val="top"/>
          </w:tcPr>
          <w:p w14:paraId="78057E49">
            <w:pPr>
              <w:spacing w:before="135" w:line="195" w:lineRule="auto"/>
              <w:ind w:left="10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2022-08</w:t>
            </w:r>
          </w:p>
        </w:tc>
        <w:tc>
          <w:tcPr>
            <w:tcW w:w="1348" w:type="dxa"/>
            <w:vAlign w:val="top"/>
          </w:tcPr>
          <w:p w14:paraId="75D4BC3D">
            <w:pPr>
              <w:spacing w:before="135" w:line="195" w:lineRule="auto"/>
              <w:ind w:left="62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311" w:type="dxa"/>
            <w:vAlign w:val="top"/>
          </w:tcPr>
          <w:p w14:paraId="5CD908BA">
            <w:pPr>
              <w:spacing w:before="135" w:line="195" w:lineRule="auto"/>
              <w:ind w:left="10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4035" w:type="dxa"/>
            <w:vAlign w:val="top"/>
          </w:tcPr>
          <w:p w14:paraId="31C4DF18">
            <w:pPr>
              <w:spacing w:before="135" w:line="195" w:lineRule="auto"/>
              <w:ind w:left="19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1.9</w:t>
            </w:r>
          </w:p>
        </w:tc>
        <w:tc>
          <w:tcPr>
            <w:tcW w:w="1735" w:type="dxa"/>
            <w:vAlign w:val="top"/>
          </w:tcPr>
          <w:p w14:paraId="12CF431F">
            <w:pPr>
              <w:spacing w:before="135"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c>
          <w:tcPr>
            <w:tcW w:w="1888" w:type="dxa"/>
            <w:tcBorders>
              <w:right w:val="single" w:color="000000" w:sz="10" w:space="0"/>
            </w:tcBorders>
            <w:vAlign w:val="top"/>
          </w:tcPr>
          <w:p w14:paraId="4B73C6DC">
            <w:pPr>
              <w:spacing w:before="135"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0.034</w:t>
            </w:r>
          </w:p>
        </w:tc>
      </w:tr>
      <w:tr w14:paraId="1D408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899" w:type="dxa"/>
            <w:tcBorders>
              <w:left w:val="single" w:color="000000" w:sz="10" w:space="0"/>
            </w:tcBorders>
            <w:vAlign w:val="top"/>
          </w:tcPr>
          <w:p w14:paraId="5753F041">
            <w:pPr>
              <w:spacing w:before="136" w:line="195" w:lineRule="auto"/>
              <w:ind w:left="10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2022-09</w:t>
            </w:r>
          </w:p>
        </w:tc>
        <w:tc>
          <w:tcPr>
            <w:tcW w:w="1348" w:type="dxa"/>
            <w:vAlign w:val="top"/>
          </w:tcPr>
          <w:p w14:paraId="027DB79A">
            <w:pPr>
              <w:spacing w:before="136" w:line="195" w:lineRule="auto"/>
              <w:ind w:left="62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311" w:type="dxa"/>
            <w:vAlign w:val="top"/>
          </w:tcPr>
          <w:p w14:paraId="47F2F8BB">
            <w:pPr>
              <w:spacing w:before="139" w:line="192" w:lineRule="auto"/>
              <w:ind w:left="10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7.7</w:t>
            </w:r>
          </w:p>
        </w:tc>
        <w:tc>
          <w:tcPr>
            <w:tcW w:w="4035" w:type="dxa"/>
            <w:vAlign w:val="top"/>
          </w:tcPr>
          <w:p w14:paraId="3DDCB891">
            <w:pPr>
              <w:spacing w:before="136" w:line="195" w:lineRule="auto"/>
              <w:ind w:left="18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1735" w:type="dxa"/>
            <w:vAlign w:val="top"/>
          </w:tcPr>
          <w:p w14:paraId="30459D35">
            <w:pPr>
              <w:spacing w:before="136"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0.11</w:t>
            </w:r>
          </w:p>
        </w:tc>
        <w:tc>
          <w:tcPr>
            <w:tcW w:w="1888" w:type="dxa"/>
            <w:tcBorders>
              <w:right w:val="single" w:color="000000" w:sz="10" w:space="0"/>
            </w:tcBorders>
            <w:vAlign w:val="top"/>
          </w:tcPr>
          <w:p w14:paraId="52456689">
            <w:pPr>
              <w:spacing w:before="136"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0.039</w:t>
            </w:r>
          </w:p>
        </w:tc>
      </w:tr>
      <w:tr w14:paraId="30D28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899" w:type="dxa"/>
            <w:tcBorders>
              <w:left w:val="single" w:color="000000" w:sz="10" w:space="0"/>
            </w:tcBorders>
            <w:vAlign w:val="top"/>
          </w:tcPr>
          <w:p w14:paraId="33B8429A">
            <w:pPr>
              <w:spacing w:before="138" w:line="195" w:lineRule="auto"/>
              <w:ind w:left="10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2022-10</w:t>
            </w:r>
          </w:p>
        </w:tc>
        <w:tc>
          <w:tcPr>
            <w:tcW w:w="1348" w:type="dxa"/>
            <w:vAlign w:val="top"/>
          </w:tcPr>
          <w:p w14:paraId="112CA65E">
            <w:pPr>
              <w:spacing w:before="138" w:line="195" w:lineRule="auto"/>
              <w:ind w:left="62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311" w:type="dxa"/>
            <w:vAlign w:val="top"/>
          </w:tcPr>
          <w:p w14:paraId="436D00E6">
            <w:pPr>
              <w:spacing w:before="138" w:line="195" w:lineRule="auto"/>
              <w:ind w:left="1032"/>
              <w:rPr>
                <w:rFonts w:ascii="Times New Roman" w:hAnsi="Times New Roman" w:eastAsia="Times New Roman" w:cs="Times New Roman"/>
                <w:sz w:val="20"/>
                <w:szCs w:val="20"/>
              </w:rPr>
            </w:pPr>
            <w:r>
              <w:rPr>
                <w:rFonts w:ascii="Times New Roman" w:hAnsi="Times New Roman" w:eastAsia="Times New Roman" w:cs="Times New Roman"/>
                <w:sz w:val="20"/>
                <w:szCs w:val="20"/>
              </w:rPr>
              <w:t>8.3</w:t>
            </w:r>
          </w:p>
        </w:tc>
        <w:tc>
          <w:tcPr>
            <w:tcW w:w="4035" w:type="dxa"/>
            <w:vAlign w:val="top"/>
          </w:tcPr>
          <w:p w14:paraId="279FFDFA">
            <w:pPr>
              <w:spacing w:before="138" w:line="195" w:lineRule="auto"/>
              <w:ind w:left="18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1735" w:type="dxa"/>
            <w:vAlign w:val="top"/>
          </w:tcPr>
          <w:p w14:paraId="618FF074">
            <w:pPr>
              <w:spacing w:before="138"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tc>
        <w:tc>
          <w:tcPr>
            <w:tcW w:w="1888" w:type="dxa"/>
            <w:tcBorders>
              <w:right w:val="single" w:color="000000" w:sz="10" w:space="0"/>
            </w:tcBorders>
            <w:vAlign w:val="top"/>
          </w:tcPr>
          <w:p w14:paraId="2F070249">
            <w:pPr>
              <w:spacing w:before="138"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0.042</w:t>
            </w:r>
          </w:p>
        </w:tc>
      </w:tr>
      <w:tr w14:paraId="5E986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899" w:type="dxa"/>
            <w:tcBorders>
              <w:left w:val="single" w:color="000000" w:sz="10" w:space="0"/>
            </w:tcBorders>
            <w:vAlign w:val="top"/>
          </w:tcPr>
          <w:p w14:paraId="3C560DC6">
            <w:pPr>
              <w:spacing w:before="141" w:line="195" w:lineRule="auto"/>
              <w:ind w:left="10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2022-11</w:t>
            </w:r>
          </w:p>
        </w:tc>
        <w:tc>
          <w:tcPr>
            <w:tcW w:w="1348" w:type="dxa"/>
            <w:vAlign w:val="top"/>
          </w:tcPr>
          <w:p w14:paraId="5E9CD94A">
            <w:pPr>
              <w:spacing w:before="141" w:line="195" w:lineRule="auto"/>
              <w:ind w:left="62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311" w:type="dxa"/>
            <w:vAlign w:val="top"/>
          </w:tcPr>
          <w:p w14:paraId="7F160C67">
            <w:pPr>
              <w:spacing w:before="141" w:line="195" w:lineRule="auto"/>
              <w:ind w:left="102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6.5</w:t>
            </w:r>
          </w:p>
        </w:tc>
        <w:tc>
          <w:tcPr>
            <w:tcW w:w="4035" w:type="dxa"/>
            <w:vAlign w:val="top"/>
          </w:tcPr>
          <w:p w14:paraId="589FA506">
            <w:pPr>
              <w:spacing w:before="141" w:line="195" w:lineRule="auto"/>
              <w:ind w:left="19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w:t>
            </w:r>
          </w:p>
        </w:tc>
        <w:tc>
          <w:tcPr>
            <w:tcW w:w="1735" w:type="dxa"/>
            <w:vAlign w:val="top"/>
          </w:tcPr>
          <w:p w14:paraId="776ED803">
            <w:pPr>
              <w:spacing w:before="141"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0.19</w:t>
            </w:r>
          </w:p>
        </w:tc>
        <w:tc>
          <w:tcPr>
            <w:tcW w:w="1888" w:type="dxa"/>
            <w:tcBorders>
              <w:right w:val="single" w:color="000000" w:sz="10" w:space="0"/>
            </w:tcBorders>
            <w:vAlign w:val="top"/>
          </w:tcPr>
          <w:p w14:paraId="30B61E87">
            <w:pPr>
              <w:spacing w:before="141"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0.020</w:t>
            </w:r>
          </w:p>
        </w:tc>
      </w:tr>
      <w:tr w14:paraId="0E11F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899" w:type="dxa"/>
            <w:tcBorders>
              <w:left w:val="single" w:color="000000" w:sz="10" w:space="0"/>
            </w:tcBorders>
            <w:vAlign w:val="top"/>
          </w:tcPr>
          <w:p w14:paraId="65E43A23">
            <w:pPr>
              <w:spacing w:before="140" w:line="195" w:lineRule="auto"/>
              <w:ind w:left="10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2022-12</w:t>
            </w:r>
          </w:p>
        </w:tc>
        <w:tc>
          <w:tcPr>
            <w:tcW w:w="1348" w:type="dxa"/>
            <w:vAlign w:val="top"/>
          </w:tcPr>
          <w:p w14:paraId="7B2906D3">
            <w:pPr>
              <w:spacing w:before="140" w:line="195" w:lineRule="auto"/>
              <w:ind w:left="62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311" w:type="dxa"/>
            <w:vAlign w:val="top"/>
          </w:tcPr>
          <w:p w14:paraId="335B0F07">
            <w:pPr>
              <w:spacing w:before="140" w:line="195" w:lineRule="auto"/>
              <w:ind w:left="1032"/>
              <w:rPr>
                <w:rFonts w:ascii="Times New Roman" w:hAnsi="Times New Roman" w:eastAsia="Times New Roman" w:cs="Times New Roman"/>
                <w:sz w:val="20"/>
                <w:szCs w:val="20"/>
              </w:rPr>
            </w:pPr>
            <w:r>
              <w:rPr>
                <w:rFonts w:ascii="Times New Roman" w:hAnsi="Times New Roman" w:eastAsia="Times New Roman" w:cs="Times New Roman"/>
                <w:sz w:val="20"/>
                <w:szCs w:val="20"/>
              </w:rPr>
              <w:t>8.5</w:t>
            </w:r>
          </w:p>
        </w:tc>
        <w:tc>
          <w:tcPr>
            <w:tcW w:w="4035" w:type="dxa"/>
            <w:vAlign w:val="top"/>
          </w:tcPr>
          <w:p w14:paraId="135AB9E0">
            <w:pPr>
              <w:spacing w:before="140" w:line="195" w:lineRule="auto"/>
              <w:ind w:left="19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p>
        </w:tc>
        <w:tc>
          <w:tcPr>
            <w:tcW w:w="1735" w:type="dxa"/>
            <w:vAlign w:val="top"/>
          </w:tcPr>
          <w:p w14:paraId="5C552601">
            <w:pPr>
              <w:spacing w:before="140"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0.29</w:t>
            </w:r>
          </w:p>
        </w:tc>
        <w:tc>
          <w:tcPr>
            <w:tcW w:w="1888" w:type="dxa"/>
            <w:tcBorders>
              <w:right w:val="single" w:color="000000" w:sz="10" w:space="0"/>
            </w:tcBorders>
            <w:vAlign w:val="top"/>
          </w:tcPr>
          <w:p w14:paraId="78F1CC3E">
            <w:pPr>
              <w:spacing w:before="140"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0.068</w:t>
            </w:r>
          </w:p>
        </w:tc>
      </w:tr>
      <w:tr w14:paraId="3197D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899" w:type="dxa"/>
            <w:tcBorders>
              <w:left w:val="single" w:color="000000" w:sz="10" w:space="0"/>
            </w:tcBorders>
            <w:vAlign w:val="top"/>
          </w:tcPr>
          <w:p w14:paraId="077C711E">
            <w:pPr>
              <w:spacing w:before="142" w:line="195" w:lineRule="auto"/>
              <w:ind w:left="10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2023-01</w:t>
            </w:r>
          </w:p>
        </w:tc>
        <w:tc>
          <w:tcPr>
            <w:tcW w:w="1348" w:type="dxa"/>
            <w:vAlign w:val="top"/>
          </w:tcPr>
          <w:p w14:paraId="4DEBC803">
            <w:pPr>
              <w:spacing w:before="142" w:line="195" w:lineRule="auto"/>
              <w:ind w:left="62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311" w:type="dxa"/>
            <w:vAlign w:val="top"/>
          </w:tcPr>
          <w:p w14:paraId="55E6D2E6">
            <w:pPr>
              <w:spacing w:before="142" w:line="195" w:lineRule="auto"/>
              <w:ind w:left="9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10.7</w:t>
            </w:r>
          </w:p>
        </w:tc>
        <w:tc>
          <w:tcPr>
            <w:tcW w:w="4035" w:type="dxa"/>
            <w:vAlign w:val="top"/>
          </w:tcPr>
          <w:p w14:paraId="18DC7D69">
            <w:pPr>
              <w:spacing w:before="142" w:line="195" w:lineRule="auto"/>
              <w:ind w:left="19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1.9</w:t>
            </w:r>
          </w:p>
        </w:tc>
        <w:tc>
          <w:tcPr>
            <w:tcW w:w="1735" w:type="dxa"/>
            <w:vAlign w:val="top"/>
          </w:tcPr>
          <w:p w14:paraId="66BECCDD">
            <w:pPr>
              <w:spacing w:before="142"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0.30</w:t>
            </w:r>
          </w:p>
        </w:tc>
        <w:tc>
          <w:tcPr>
            <w:tcW w:w="1888" w:type="dxa"/>
            <w:tcBorders>
              <w:right w:val="single" w:color="000000" w:sz="10" w:space="0"/>
            </w:tcBorders>
            <w:vAlign w:val="top"/>
          </w:tcPr>
          <w:p w14:paraId="14429AD8">
            <w:pPr>
              <w:spacing w:before="142"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0.051</w:t>
            </w:r>
          </w:p>
        </w:tc>
      </w:tr>
      <w:tr w14:paraId="4E73B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899" w:type="dxa"/>
            <w:tcBorders>
              <w:left w:val="single" w:color="000000" w:sz="10" w:space="0"/>
            </w:tcBorders>
            <w:vAlign w:val="top"/>
          </w:tcPr>
          <w:p w14:paraId="7C20951A">
            <w:pPr>
              <w:spacing w:before="142" w:line="195" w:lineRule="auto"/>
              <w:ind w:left="10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2023-02</w:t>
            </w:r>
          </w:p>
        </w:tc>
        <w:tc>
          <w:tcPr>
            <w:tcW w:w="1348" w:type="dxa"/>
            <w:vAlign w:val="top"/>
          </w:tcPr>
          <w:p w14:paraId="530C23CF">
            <w:pPr>
              <w:spacing w:before="142" w:line="195" w:lineRule="auto"/>
              <w:ind w:left="62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311" w:type="dxa"/>
            <w:vAlign w:val="top"/>
          </w:tcPr>
          <w:p w14:paraId="0366275B">
            <w:pPr>
              <w:spacing w:before="142" w:line="195" w:lineRule="auto"/>
              <w:ind w:left="9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w:t>
            </w:r>
          </w:p>
        </w:tc>
        <w:tc>
          <w:tcPr>
            <w:tcW w:w="4035" w:type="dxa"/>
            <w:vAlign w:val="top"/>
          </w:tcPr>
          <w:p w14:paraId="009DC200">
            <w:pPr>
              <w:spacing w:before="142" w:line="195" w:lineRule="auto"/>
              <w:ind w:left="18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735" w:type="dxa"/>
            <w:vAlign w:val="top"/>
          </w:tcPr>
          <w:p w14:paraId="3C243FBB">
            <w:pPr>
              <w:spacing w:before="142"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0.27</w:t>
            </w:r>
          </w:p>
        </w:tc>
        <w:tc>
          <w:tcPr>
            <w:tcW w:w="1888" w:type="dxa"/>
            <w:tcBorders>
              <w:right w:val="single" w:color="000000" w:sz="10" w:space="0"/>
            </w:tcBorders>
            <w:vAlign w:val="top"/>
          </w:tcPr>
          <w:p w14:paraId="05C8DF7D">
            <w:pPr>
              <w:spacing w:before="142"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0.058</w:t>
            </w:r>
          </w:p>
        </w:tc>
      </w:tr>
      <w:tr w14:paraId="01E5C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899" w:type="dxa"/>
            <w:tcBorders>
              <w:left w:val="single" w:color="000000" w:sz="10" w:space="0"/>
            </w:tcBorders>
            <w:vAlign w:val="top"/>
          </w:tcPr>
          <w:p w14:paraId="0D5B75D3">
            <w:pPr>
              <w:spacing w:before="144" w:line="195" w:lineRule="auto"/>
              <w:ind w:left="10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2023-03</w:t>
            </w:r>
          </w:p>
        </w:tc>
        <w:tc>
          <w:tcPr>
            <w:tcW w:w="1348" w:type="dxa"/>
            <w:vAlign w:val="top"/>
          </w:tcPr>
          <w:p w14:paraId="72391F55">
            <w:pPr>
              <w:spacing w:before="144" w:line="195" w:lineRule="auto"/>
              <w:ind w:left="62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311" w:type="dxa"/>
            <w:vAlign w:val="top"/>
          </w:tcPr>
          <w:p w14:paraId="6CC6F700">
            <w:pPr>
              <w:spacing w:before="144" w:line="195" w:lineRule="auto"/>
              <w:ind w:left="9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12.7</w:t>
            </w:r>
          </w:p>
        </w:tc>
        <w:tc>
          <w:tcPr>
            <w:tcW w:w="4035" w:type="dxa"/>
            <w:vAlign w:val="top"/>
          </w:tcPr>
          <w:p w14:paraId="04EE2B66">
            <w:pPr>
              <w:spacing w:before="144" w:line="195" w:lineRule="auto"/>
              <w:ind w:left="18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3.4</w:t>
            </w:r>
          </w:p>
        </w:tc>
        <w:tc>
          <w:tcPr>
            <w:tcW w:w="1735" w:type="dxa"/>
            <w:vAlign w:val="top"/>
          </w:tcPr>
          <w:p w14:paraId="212BD423">
            <w:pPr>
              <w:spacing w:before="144"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0.14</w:t>
            </w:r>
          </w:p>
        </w:tc>
        <w:tc>
          <w:tcPr>
            <w:tcW w:w="1888" w:type="dxa"/>
            <w:tcBorders>
              <w:right w:val="single" w:color="000000" w:sz="10" w:space="0"/>
            </w:tcBorders>
            <w:vAlign w:val="top"/>
          </w:tcPr>
          <w:p w14:paraId="7312A336">
            <w:pPr>
              <w:spacing w:before="144"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0.070</w:t>
            </w:r>
          </w:p>
        </w:tc>
      </w:tr>
      <w:tr w14:paraId="696F7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899" w:type="dxa"/>
            <w:tcBorders>
              <w:left w:val="single" w:color="000000" w:sz="10" w:space="0"/>
            </w:tcBorders>
            <w:vAlign w:val="top"/>
          </w:tcPr>
          <w:p w14:paraId="38A78504">
            <w:pPr>
              <w:spacing w:before="147" w:line="195" w:lineRule="auto"/>
              <w:ind w:left="10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2023-04</w:t>
            </w:r>
          </w:p>
        </w:tc>
        <w:tc>
          <w:tcPr>
            <w:tcW w:w="1348" w:type="dxa"/>
            <w:vAlign w:val="top"/>
          </w:tcPr>
          <w:p w14:paraId="58903A36">
            <w:pPr>
              <w:spacing w:before="147" w:line="195" w:lineRule="auto"/>
              <w:ind w:left="62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311" w:type="dxa"/>
            <w:vAlign w:val="top"/>
          </w:tcPr>
          <w:p w14:paraId="175DD86B">
            <w:pPr>
              <w:spacing w:before="147" w:line="195" w:lineRule="auto"/>
              <w:ind w:left="1027"/>
              <w:rPr>
                <w:rFonts w:ascii="Times New Roman" w:hAnsi="Times New Roman" w:eastAsia="Times New Roman" w:cs="Times New Roman"/>
                <w:sz w:val="20"/>
                <w:szCs w:val="20"/>
              </w:rPr>
            </w:pPr>
            <w:r>
              <w:rPr>
                <w:rFonts w:ascii="Times New Roman" w:hAnsi="Times New Roman" w:eastAsia="Times New Roman" w:cs="Times New Roman"/>
                <w:sz w:val="20"/>
                <w:szCs w:val="20"/>
              </w:rPr>
              <w:t>7.1</w:t>
            </w:r>
          </w:p>
        </w:tc>
        <w:tc>
          <w:tcPr>
            <w:tcW w:w="4035" w:type="dxa"/>
            <w:vAlign w:val="top"/>
          </w:tcPr>
          <w:p w14:paraId="3457D42C">
            <w:pPr>
              <w:spacing w:before="147" w:line="195" w:lineRule="auto"/>
              <w:ind w:left="18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735" w:type="dxa"/>
            <w:vAlign w:val="top"/>
          </w:tcPr>
          <w:p w14:paraId="252FF5BC">
            <w:pPr>
              <w:spacing w:before="147"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w:t>
            </w:r>
          </w:p>
        </w:tc>
        <w:tc>
          <w:tcPr>
            <w:tcW w:w="1888" w:type="dxa"/>
            <w:tcBorders>
              <w:right w:val="single" w:color="000000" w:sz="10" w:space="0"/>
            </w:tcBorders>
            <w:vAlign w:val="top"/>
          </w:tcPr>
          <w:p w14:paraId="556F7191">
            <w:pPr>
              <w:spacing w:before="147"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0.057</w:t>
            </w:r>
          </w:p>
        </w:tc>
      </w:tr>
      <w:tr w14:paraId="617C0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899" w:type="dxa"/>
            <w:tcBorders>
              <w:left w:val="single" w:color="000000" w:sz="10" w:space="0"/>
            </w:tcBorders>
            <w:vAlign w:val="top"/>
          </w:tcPr>
          <w:p w14:paraId="40351318">
            <w:pPr>
              <w:spacing w:before="146" w:line="195" w:lineRule="auto"/>
              <w:ind w:left="10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2023-05</w:t>
            </w:r>
          </w:p>
        </w:tc>
        <w:tc>
          <w:tcPr>
            <w:tcW w:w="1348" w:type="dxa"/>
            <w:vAlign w:val="top"/>
          </w:tcPr>
          <w:p w14:paraId="7921994C">
            <w:pPr>
              <w:spacing w:before="149" w:line="192" w:lineRule="auto"/>
              <w:ind w:left="62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311" w:type="dxa"/>
            <w:vAlign w:val="top"/>
          </w:tcPr>
          <w:p w14:paraId="316BDF14">
            <w:pPr>
              <w:spacing w:before="146" w:line="195" w:lineRule="auto"/>
              <w:ind w:left="1027"/>
              <w:rPr>
                <w:rFonts w:ascii="Times New Roman" w:hAnsi="Times New Roman" w:eastAsia="Times New Roman" w:cs="Times New Roman"/>
                <w:sz w:val="20"/>
                <w:szCs w:val="20"/>
              </w:rPr>
            </w:pPr>
            <w:r>
              <w:rPr>
                <w:rFonts w:ascii="Times New Roman" w:hAnsi="Times New Roman" w:eastAsia="Times New Roman" w:cs="Times New Roman"/>
                <w:sz w:val="20"/>
                <w:szCs w:val="20"/>
              </w:rPr>
              <w:t>7.1</w:t>
            </w:r>
          </w:p>
        </w:tc>
        <w:tc>
          <w:tcPr>
            <w:tcW w:w="4035" w:type="dxa"/>
            <w:vAlign w:val="top"/>
          </w:tcPr>
          <w:p w14:paraId="58F185C1">
            <w:pPr>
              <w:spacing w:before="146" w:line="195" w:lineRule="auto"/>
              <w:ind w:left="18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2.1</w:t>
            </w:r>
          </w:p>
        </w:tc>
        <w:tc>
          <w:tcPr>
            <w:tcW w:w="1735" w:type="dxa"/>
            <w:vAlign w:val="top"/>
          </w:tcPr>
          <w:p w14:paraId="0D08FD94">
            <w:pPr>
              <w:spacing w:before="146"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0.12</w:t>
            </w:r>
          </w:p>
        </w:tc>
        <w:tc>
          <w:tcPr>
            <w:tcW w:w="1888" w:type="dxa"/>
            <w:tcBorders>
              <w:right w:val="single" w:color="000000" w:sz="10" w:space="0"/>
            </w:tcBorders>
            <w:vAlign w:val="top"/>
          </w:tcPr>
          <w:p w14:paraId="406CFC61">
            <w:pPr>
              <w:spacing w:before="146"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0.050</w:t>
            </w:r>
          </w:p>
        </w:tc>
      </w:tr>
      <w:tr w14:paraId="5C6126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899" w:type="dxa"/>
            <w:tcBorders>
              <w:left w:val="single" w:color="000000" w:sz="10" w:space="0"/>
            </w:tcBorders>
            <w:vAlign w:val="top"/>
          </w:tcPr>
          <w:p w14:paraId="5033E6C5">
            <w:pPr>
              <w:spacing w:before="148" w:line="195" w:lineRule="auto"/>
              <w:ind w:left="10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2023-06</w:t>
            </w:r>
          </w:p>
        </w:tc>
        <w:tc>
          <w:tcPr>
            <w:tcW w:w="1348" w:type="dxa"/>
            <w:vAlign w:val="top"/>
          </w:tcPr>
          <w:p w14:paraId="7B81214D">
            <w:pPr>
              <w:spacing w:before="151" w:line="192" w:lineRule="auto"/>
              <w:ind w:left="62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311" w:type="dxa"/>
            <w:vAlign w:val="top"/>
          </w:tcPr>
          <w:p w14:paraId="3A48ADA3">
            <w:pPr>
              <w:spacing w:before="148" w:line="195" w:lineRule="auto"/>
              <w:ind w:left="102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6.3</w:t>
            </w:r>
          </w:p>
        </w:tc>
        <w:tc>
          <w:tcPr>
            <w:tcW w:w="4035" w:type="dxa"/>
            <w:vAlign w:val="top"/>
          </w:tcPr>
          <w:p w14:paraId="04E4C59F">
            <w:pPr>
              <w:spacing w:before="148" w:line="195" w:lineRule="auto"/>
              <w:ind w:left="18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1735" w:type="dxa"/>
            <w:vAlign w:val="top"/>
          </w:tcPr>
          <w:p w14:paraId="4584BF62">
            <w:pPr>
              <w:spacing w:before="148"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tc>
        <w:tc>
          <w:tcPr>
            <w:tcW w:w="1888" w:type="dxa"/>
            <w:tcBorders>
              <w:right w:val="single" w:color="000000" w:sz="10" w:space="0"/>
            </w:tcBorders>
            <w:vAlign w:val="top"/>
          </w:tcPr>
          <w:p w14:paraId="467949E8">
            <w:pPr>
              <w:spacing w:before="148"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0.049</w:t>
            </w:r>
          </w:p>
        </w:tc>
      </w:tr>
      <w:tr w14:paraId="03965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899" w:type="dxa"/>
            <w:tcBorders>
              <w:left w:val="single" w:color="000000" w:sz="10" w:space="0"/>
            </w:tcBorders>
            <w:vAlign w:val="top"/>
          </w:tcPr>
          <w:p w14:paraId="2F8141D8">
            <w:pPr>
              <w:spacing w:before="148" w:line="195" w:lineRule="auto"/>
              <w:ind w:left="10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2023-07</w:t>
            </w:r>
          </w:p>
        </w:tc>
        <w:tc>
          <w:tcPr>
            <w:tcW w:w="1348" w:type="dxa"/>
            <w:vAlign w:val="top"/>
          </w:tcPr>
          <w:p w14:paraId="51D1BB7A">
            <w:pPr>
              <w:spacing w:before="148" w:line="195" w:lineRule="auto"/>
              <w:ind w:left="62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311" w:type="dxa"/>
            <w:vAlign w:val="top"/>
          </w:tcPr>
          <w:p w14:paraId="203ECF74">
            <w:pPr>
              <w:spacing w:before="148" w:line="195" w:lineRule="auto"/>
              <w:ind w:left="10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9.8</w:t>
            </w:r>
          </w:p>
        </w:tc>
        <w:tc>
          <w:tcPr>
            <w:tcW w:w="4035" w:type="dxa"/>
            <w:vAlign w:val="top"/>
          </w:tcPr>
          <w:p w14:paraId="3952387E">
            <w:pPr>
              <w:spacing w:before="148" w:line="195" w:lineRule="auto"/>
              <w:ind w:left="19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p>
        </w:tc>
        <w:tc>
          <w:tcPr>
            <w:tcW w:w="1735" w:type="dxa"/>
            <w:vAlign w:val="top"/>
          </w:tcPr>
          <w:p w14:paraId="4A71AA6D">
            <w:pPr>
              <w:spacing w:before="148"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tc>
        <w:tc>
          <w:tcPr>
            <w:tcW w:w="1888" w:type="dxa"/>
            <w:tcBorders>
              <w:right w:val="single" w:color="000000" w:sz="10" w:space="0"/>
            </w:tcBorders>
            <w:vAlign w:val="top"/>
          </w:tcPr>
          <w:p w14:paraId="7D1DA3BD">
            <w:pPr>
              <w:spacing w:before="148"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0.043</w:t>
            </w:r>
          </w:p>
        </w:tc>
      </w:tr>
      <w:tr w14:paraId="2A899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899" w:type="dxa"/>
            <w:tcBorders>
              <w:left w:val="single" w:color="000000" w:sz="10" w:space="0"/>
            </w:tcBorders>
            <w:vAlign w:val="top"/>
          </w:tcPr>
          <w:p w14:paraId="5D3A6CE0">
            <w:pPr>
              <w:spacing w:before="150" w:line="195" w:lineRule="auto"/>
              <w:ind w:left="10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2023-08</w:t>
            </w:r>
          </w:p>
        </w:tc>
        <w:tc>
          <w:tcPr>
            <w:tcW w:w="1348" w:type="dxa"/>
            <w:vAlign w:val="top"/>
          </w:tcPr>
          <w:p w14:paraId="06F1FAF1">
            <w:pPr>
              <w:spacing w:before="153" w:line="192" w:lineRule="auto"/>
              <w:ind w:left="62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311" w:type="dxa"/>
            <w:vAlign w:val="top"/>
          </w:tcPr>
          <w:p w14:paraId="57C11E2B">
            <w:pPr>
              <w:spacing w:before="150" w:line="195" w:lineRule="auto"/>
              <w:ind w:left="102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6.8</w:t>
            </w:r>
          </w:p>
        </w:tc>
        <w:tc>
          <w:tcPr>
            <w:tcW w:w="4035" w:type="dxa"/>
            <w:vAlign w:val="top"/>
          </w:tcPr>
          <w:p w14:paraId="294C505C">
            <w:pPr>
              <w:spacing w:before="150" w:line="195" w:lineRule="auto"/>
              <w:ind w:left="18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1735" w:type="dxa"/>
            <w:vAlign w:val="top"/>
          </w:tcPr>
          <w:p w14:paraId="5F5DCE4A">
            <w:pPr>
              <w:spacing w:before="150"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tc>
        <w:tc>
          <w:tcPr>
            <w:tcW w:w="1888" w:type="dxa"/>
            <w:tcBorders>
              <w:right w:val="single" w:color="000000" w:sz="10" w:space="0"/>
            </w:tcBorders>
            <w:vAlign w:val="top"/>
          </w:tcPr>
          <w:p w14:paraId="2ED22A28">
            <w:pPr>
              <w:spacing w:before="150"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0.050</w:t>
            </w:r>
          </w:p>
        </w:tc>
      </w:tr>
      <w:tr w14:paraId="57997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899" w:type="dxa"/>
            <w:tcBorders>
              <w:left w:val="single" w:color="000000" w:sz="10" w:space="0"/>
            </w:tcBorders>
            <w:vAlign w:val="top"/>
          </w:tcPr>
          <w:p w14:paraId="6DB5CADA">
            <w:pPr>
              <w:spacing w:before="150" w:line="195" w:lineRule="auto"/>
              <w:ind w:left="10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2023-09</w:t>
            </w:r>
          </w:p>
        </w:tc>
        <w:tc>
          <w:tcPr>
            <w:tcW w:w="1348" w:type="dxa"/>
            <w:vAlign w:val="top"/>
          </w:tcPr>
          <w:p w14:paraId="03E7F84B">
            <w:pPr>
              <w:spacing w:before="150" w:line="195" w:lineRule="auto"/>
              <w:ind w:left="62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311" w:type="dxa"/>
            <w:vAlign w:val="top"/>
          </w:tcPr>
          <w:p w14:paraId="0963B8AB">
            <w:pPr>
              <w:spacing w:before="150" w:line="195" w:lineRule="auto"/>
              <w:ind w:left="10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c>
          <w:tcPr>
            <w:tcW w:w="4035" w:type="dxa"/>
            <w:vAlign w:val="top"/>
          </w:tcPr>
          <w:p w14:paraId="547832B5">
            <w:pPr>
              <w:spacing w:before="150" w:line="195" w:lineRule="auto"/>
              <w:ind w:left="19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1.9</w:t>
            </w:r>
          </w:p>
        </w:tc>
        <w:tc>
          <w:tcPr>
            <w:tcW w:w="1735" w:type="dxa"/>
            <w:vAlign w:val="top"/>
          </w:tcPr>
          <w:p w14:paraId="211A6307">
            <w:pPr>
              <w:spacing w:before="150"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c>
          <w:tcPr>
            <w:tcW w:w="1888" w:type="dxa"/>
            <w:tcBorders>
              <w:right w:val="single" w:color="000000" w:sz="10" w:space="0"/>
            </w:tcBorders>
            <w:vAlign w:val="top"/>
          </w:tcPr>
          <w:p w14:paraId="41BE85EE">
            <w:pPr>
              <w:spacing w:before="150"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0.053</w:t>
            </w:r>
          </w:p>
        </w:tc>
      </w:tr>
      <w:tr w14:paraId="1AF27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899" w:type="dxa"/>
            <w:tcBorders>
              <w:left w:val="single" w:color="000000" w:sz="10" w:space="0"/>
            </w:tcBorders>
            <w:vAlign w:val="top"/>
          </w:tcPr>
          <w:p w14:paraId="6336DDA6">
            <w:pPr>
              <w:spacing w:before="152" w:line="195" w:lineRule="auto"/>
              <w:ind w:left="10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2023-10</w:t>
            </w:r>
          </w:p>
        </w:tc>
        <w:tc>
          <w:tcPr>
            <w:tcW w:w="1348" w:type="dxa"/>
            <w:vAlign w:val="top"/>
          </w:tcPr>
          <w:p w14:paraId="1F0F5B97">
            <w:pPr>
              <w:spacing w:before="155" w:line="192" w:lineRule="auto"/>
              <w:ind w:left="62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311" w:type="dxa"/>
            <w:vAlign w:val="top"/>
          </w:tcPr>
          <w:p w14:paraId="4991AA41">
            <w:pPr>
              <w:spacing w:before="152" w:line="195" w:lineRule="auto"/>
              <w:ind w:left="102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6.6</w:t>
            </w:r>
          </w:p>
        </w:tc>
        <w:tc>
          <w:tcPr>
            <w:tcW w:w="4035" w:type="dxa"/>
            <w:vAlign w:val="top"/>
          </w:tcPr>
          <w:p w14:paraId="42219D3F">
            <w:pPr>
              <w:spacing w:before="152" w:line="195" w:lineRule="auto"/>
              <w:ind w:left="19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1735" w:type="dxa"/>
            <w:vAlign w:val="top"/>
          </w:tcPr>
          <w:p w14:paraId="1842E39E">
            <w:pPr>
              <w:spacing w:before="152"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0.14</w:t>
            </w:r>
          </w:p>
        </w:tc>
        <w:tc>
          <w:tcPr>
            <w:tcW w:w="1888" w:type="dxa"/>
            <w:tcBorders>
              <w:right w:val="single" w:color="000000" w:sz="10" w:space="0"/>
            </w:tcBorders>
            <w:vAlign w:val="top"/>
          </w:tcPr>
          <w:p w14:paraId="160F72E6">
            <w:pPr>
              <w:spacing w:before="152"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0.061</w:t>
            </w:r>
          </w:p>
        </w:tc>
      </w:tr>
      <w:tr w14:paraId="0548D5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2899" w:type="dxa"/>
            <w:tcBorders>
              <w:left w:val="single" w:color="000000" w:sz="10" w:space="0"/>
              <w:bottom w:val="single" w:color="000000" w:sz="10" w:space="0"/>
            </w:tcBorders>
            <w:vAlign w:val="top"/>
          </w:tcPr>
          <w:p w14:paraId="43A99ADC">
            <w:pPr>
              <w:spacing w:before="154" w:line="195" w:lineRule="auto"/>
              <w:ind w:left="10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2023-11</w:t>
            </w:r>
          </w:p>
        </w:tc>
        <w:tc>
          <w:tcPr>
            <w:tcW w:w="1348" w:type="dxa"/>
            <w:tcBorders>
              <w:bottom w:val="single" w:color="000000" w:sz="10" w:space="0"/>
            </w:tcBorders>
            <w:vAlign w:val="top"/>
          </w:tcPr>
          <w:p w14:paraId="43217F89">
            <w:pPr>
              <w:spacing w:before="154" w:line="195" w:lineRule="auto"/>
              <w:ind w:left="62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311" w:type="dxa"/>
            <w:tcBorders>
              <w:bottom w:val="single" w:color="000000" w:sz="10" w:space="0"/>
            </w:tcBorders>
            <w:vAlign w:val="top"/>
          </w:tcPr>
          <w:p w14:paraId="61E81D53">
            <w:pPr>
              <w:spacing w:before="154" w:line="195" w:lineRule="auto"/>
              <w:ind w:left="10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tc>
        <w:tc>
          <w:tcPr>
            <w:tcW w:w="4035" w:type="dxa"/>
            <w:tcBorders>
              <w:bottom w:val="single" w:color="000000" w:sz="10" w:space="0"/>
            </w:tcBorders>
            <w:vAlign w:val="top"/>
          </w:tcPr>
          <w:p w14:paraId="4062F526">
            <w:pPr>
              <w:spacing w:before="154" w:line="195" w:lineRule="auto"/>
              <w:ind w:left="19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1735" w:type="dxa"/>
            <w:tcBorders>
              <w:bottom w:val="single" w:color="000000" w:sz="10" w:space="0"/>
            </w:tcBorders>
            <w:vAlign w:val="top"/>
          </w:tcPr>
          <w:p w14:paraId="34A2476D">
            <w:pPr>
              <w:spacing w:before="154"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0.11</w:t>
            </w:r>
          </w:p>
        </w:tc>
        <w:tc>
          <w:tcPr>
            <w:tcW w:w="1888" w:type="dxa"/>
            <w:tcBorders>
              <w:bottom w:val="single" w:color="000000" w:sz="10" w:space="0"/>
              <w:right w:val="single" w:color="000000" w:sz="10" w:space="0"/>
            </w:tcBorders>
            <w:vAlign w:val="top"/>
          </w:tcPr>
          <w:p w14:paraId="02F81E98">
            <w:pPr>
              <w:spacing w:before="154"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0.057</w:t>
            </w:r>
          </w:p>
        </w:tc>
      </w:tr>
    </w:tbl>
    <w:p w14:paraId="7AB44879">
      <w:pPr>
        <w:pStyle w:val="2"/>
      </w:pPr>
    </w:p>
    <w:p w14:paraId="1BA651CD">
      <w:pPr>
        <w:sectPr>
          <w:footerReference r:id="rId81" w:type="default"/>
          <w:pgSz w:w="16840" w:h="11907"/>
          <w:pgMar w:top="1132" w:right="1303" w:bottom="1258" w:left="1294" w:header="829" w:footer="1096" w:gutter="0"/>
          <w:cols w:space="720" w:num="1"/>
        </w:sectPr>
      </w:pPr>
    </w:p>
    <w:p w14:paraId="75C34363">
      <w:pPr>
        <w:spacing w:before="43"/>
      </w:pPr>
    </w:p>
    <w:p w14:paraId="3D58ADE3">
      <w:pPr>
        <w:spacing w:before="42"/>
      </w:pPr>
    </w:p>
    <w:tbl>
      <w:tblPr>
        <w:tblStyle w:val="5"/>
        <w:tblW w:w="1421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99"/>
        <w:gridCol w:w="1348"/>
        <w:gridCol w:w="2311"/>
        <w:gridCol w:w="4035"/>
        <w:gridCol w:w="1735"/>
        <w:gridCol w:w="1888"/>
      </w:tblGrid>
      <w:tr w14:paraId="099A6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2899" w:type="dxa"/>
            <w:tcBorders>
              <w:top w:val="single" w:color="000000" w:sz="10" w:space="0"/>
              <w:left w:val="single" w:color="000000" w:sz="10" w:space="0"/>
            </w:tcBorders>
            <w:vAlign w:val="top"/>
          </w:tcPr>
          <w:p w14:paraId="73882C42">
            <w:pPr>
              <w:pStyle w:val="6"/>
              <w:spacing w:before="99" w:line="227" w:lineRule="auto"/>
              <w:ind w:left="1020"/>
            </w:pPr>
            <w:r>
              <w:rPr>
                <w:b/>
                <w:bCs/>
                <w:spacing w:val="6"/>
              </w:rPr>
              <w:t>采样时间</w:t>
            </w:r>
          </w:p>
        </w:tc>
        <w:tc>
          <w:tcPr>
            <w:tcW w:w="1348" w:type="dxa"/>
            <w:tcBorders>
              <w:top w:val="single" w:color="000000" w:sz="10" w:space="0"/>
            </w:tcBorders>
            <w:vAlign w:val="top"/>
          </w:tcPr>
          <w:p w14:paraId="271C69B6">
            <w:pPr>
              <w:spacing w:before="138" w:line="194" w:lineRule="auto"/>
              <w:ind w:left="528"/>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pH</w:t>
            </w:r>
          </w:p>
        </w:tc>
        <w:tc>
          <w:tcPr>
            <w:tcW w:w="2311" w:type="dxa"/>
            <w:tcBorders>
              <w:top w:val="single" w:color="000000" w:sz="10" w:space="0"/>
            </w:tcBorders>
            <w:vAlign w:val="top"/>
          </w:tcPr>
          <w:p w14:paraId="6D79EA7B">
            <w:pPr>
              <w:pStyle w:val="6"/>
              <w:spacing w:before="99" w:line="227" w:lineRule="auto"/>
              <w:ind w:left="845"/>
            </w:pPr>
            <w:r>
              <w:rPr>
                <w:b/>
                <w:bCs/>
                <w:spacing w:val="4"/>
              </w:rPr>
              <w:t>溶解氧</w:t>
            </w:r>
          </w:p>
        </w:tc>
        <w:tc>
          <w:tcPr>
            <w:tcW w:w="4035" w:type="dxa"/>
            <w:tcBorders>
              <w:top w:val="single" w:color="000000" w:sz="10" w:space="0"/>
            </w:tcBorders>
            <w:vAlign w:val="top"/>
          </w:tcPr>
          <w:p w14:paraId="3E2878F2">
            <w:pPr>
              <w:pStyle w:val="6"/>
              <w:spacing w:before="99" w:line="228" w:lineRule="auto"/>
              <w:ind w:left="1398"/>
            </w:pPr>
            <w:r>
              <w:rPr>
                <w:b/>
                <w:bCs/>
                <w:spacing w:val="6"/>
              </w:rPr>
              <w:t>高锰酸盐指数</w:t>
            </w:r>
          </w:p>
        </w:tc>
        <w:tc>
          <w:tcPr>
            <w:tcW w:w="1735" w:type="dxa"/>
            <w:tcBorders>
              <w:top w:val="single" w:color="000000" w:sz="10" w:space="0"/>
            </w:tcBorders>
            <w:vAlign w:val="top"/>
          </w:tcPr>
          <w:p w14:paraId="540C0446">
            <w:pPr>
              <w:pStyle w:val="6"/>
              <w:spacing w:before="99" w:line="227" w:lineRule="auto"/>
              <w:ind w:left="669"/>
            </w:pPr>
            <w:r>
              <w:rPr>
                <w:b/>
                <w:bCs/>
                <w:spacing w:val="3"/>
              </w:rPr>
              <w:t>氨氮</w:t>
            </w:r>
          </w:p>
        </w:tc>
        <w:tc>
          <w:tcPr>
            <w:tcW w:w="1888" w:type="dxa"/>
            <w:tcBorders>
              <w:top w:val="single" w:color="000000" w:sz="10" w:space="0"/>
              <w:right w:val="single" w:color="000000" w:sz="10" w:space="0"/>
            </w:tcBorders>
            <w:vAlign w:val="top"/>
          </w:tcPr>
          <w:p w14:paraId="2C64D29D">
            <w:pPr>
              <w:pStyle w:val="6"/>
              <w:spacing w:before="99" w:line="228" w:lineRule="auto"/>
              <w:ind w:left="747"/>
            </w:pPr>
            <w:r>
              <w:rPr>
                <w:b/>
                <w:bCs/>
                <w:spacing w:val="1"/>
              </w:rPr>
              <w:t>总磷</w:t>
            </w:r>
          </w:p>
        </w:tc>
      </w:tr>
      <w:tr w14:paraId="34E36A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899" w:type="dxa"/>
            <w:tcBorders>
              <w:left w:val="single" w:color="000000" w:sz="10" w:space="0"/>
            </w:tcBorders>
            <w:vAlign w:val="top"/>
          </w:tcPr>
          <w:p w14:paraId="0D1101B7">
            <w:pPr>
              <w:spacing w:before="130" w:line="195" w:lineRule="auto"/>
              <w:ind w:left="10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2023-12</w:t>
            </w:r>
          </w:p>
        </w:tc>
        <w:tc>
          <w:tcPr>
            <w:tcW w:w="1348" w:type="dxa"/>
            <w:vAlign w:val="top"/>
          </w:tcPr>
          <w:p w14:paraId="0CA119E2">
            <w:pPr>
              <w:spacing w:before="130" w:line="195" w:lineRule="auto"/>
              <w:ind w:left="62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311" w:type="dxa"/>
            <w:vAlign w:val="top"/>
          </w:tcPr>
          <w:p w14:paraId="0E9D352B">
            <w:pPr>
              <w:spacing w:before="130" w:line="195" w:lineRule="auto"/>
              <w:ind w:left="1032"/>
              <w:rPr>
                <w:rFonts w:ascii="Times New Roman" w:hAnsi="Times New Roman" w:eastAsia="Times New Roman" w:cs="Times New Roman"/>
                <w:sz w:val="20"/>
                <w:szCs w:val="20"/>
              </w:rPr>
            </w:pPr>
            <w:r>
              <w:rPr>
                <w:rFonts w:ascii="Times New Roman" w:hAnsi="Times New Roman" w:eastAsia="Times New Roman" w:cs="Times New Roman"/>
                <w:sz w:val="20"/>
                <w:szCs w:val="20"/>
              </w:rPr>
              <w:t>8.8</w:t>
            </w:r>
          </w:p>
        </w:tc>
        <w:tc>
          <w:tcPr>
            <w:tcW w:w="4035" w:type="dxa"/>
            <w:vAlign w:val="top"/>
          </w:tcPr>
          <w:p w14:paraId="62A80DEB">
            <w:pPr>
              <w:spacing w:before="130" w:line="195" w:lineRule="auto"/>
              <w:ind w:left="19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1735" w:type="dxa"/>
            <w:vAlign w:val="top"/>
          </w:tcPr>
          <w:p w14:paraId="6DDFDE1F">
            <w:pPr>
              <w:spacing w:before="130"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0.16</w:t>
            </w:r>
          </w:p>
        </w:tc>
        <w:tc>
          <w:tcPr>
            <w:tcW w:w="1888" w:type="dxa"/>
            <w:tcBorders>
              <w:right w:val="single" w:color="000000" w:sz="10" w:space="0"/>
            </w:tcBorders>
            <w:vAlign w:val="top"/>
          </w:tcPr>
          <w:p w14:paraId="072D531C">
            <w:pPr>
              <w:spacing w:before="130"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0.045</w:t>
            </w:r>
          </w:p>
        </w:tc>
      </w:tr>
      <w:tr w14:paraId="3039C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899" w:type="dxa"/>
            <w:tcBorders>
              <w:left w:val="single" w:color="000000" w:sz="10" w:space="0"/>
            </w:tcBorders>
            <w:vAlign w:val="top"/>
          </w:tcPr>
          <w:p w14:paraId="4D1D9B69">
            <w:pPr>
              <w:spacing w:before="133" w:line="195" w:lineRule="auto"/>
              <w:ind w:left="10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2024-01</w:t>
            </w:r>
          </w:p>
        </w:tc>
        <w:tc>
          <w:tcPr>
            <w:tcW w:w="1348" w:type="dxa"/>
            <w:vAlign w:val="top"/>
          </w:tcPr>
          <w:p w14:paraId="102610B8">
            <w:pPr>
              <w:spacing w:before="136" w:line="192" w:lineRule="auto"/>
              <w:ind w:left="62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311" w:type="dxa"/>
            <w:vAlign w:val="top"/>
          </w:tcPr>
          <w:p w14:paraId="008DB47F">
            <w:pPr>
              <w:spacing w:before="133" w:line="195" w:lineRule="auto"/>
              <w:ind w:left="10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9.4</w:t>
            </w:r>
          </w:p>
        </w:tc>
        <w:tc>
          <w:tcPr>
            <w:tcW w:w="4035" w:type="dxa"/>
            <w:vAlign w:val="top"/>
          </w:tcPr>
          <w:p w14:paraId="469C1288">
            <w:pPr>
              <w:spacing w:before="133" w:line="195" w:lineRule="auto"/>
              <w:ind w:left="18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1735" w:type="dxa"/>
            <w:vAlign w:val="top"/>
          </w:tcPr>
          <w:p w14:paraId="224B66CA">
            <w:pPr>
              <w:spacing w:before="133"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0.19</w:t>
            </w:r>
          </w:p>
        </w:tc>
        <w:tc>
          <w:tcPr>
            <w:tcW w:w="1888" w:type="dxa"/>
            <w:tcBorders>
              <w:right w:val="single" w:color="000000" w:sz="10" w:space="0"/>
            </w:tcBorders>
            <w:vAlign w:val="top"/>
          </w:tcPr>
          <w:p w14:paraId="540A9960">
            <w:pPr>
              <w:spacing w:before="133"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0.059</w:t>
            </w:r>
          </w:p>
        </w:tc>
      </w:tr>
      <w:tr w14:paraId="510A51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899" w:type="dxa"/>
            <w:tcBorders>
              <w:left w:val="single" w:color="000000" w:sz="10" w:space="0"/>
            </w:tcBorders>
            <w:vAlign w:val="top"/>
          </w:tcPr>
          <w:p w14:paraId="7FB325DE">
            <w:pPr>
              <w:spacing w:before="134" w:line="195" w:lineRule="auto"/>
              <w:ind w:left="10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2024-02</w:t>
            </w:r>
          </w:p>
        </w:tc>
        <w:tc>
          <w:tcPr>
            <w:tcW w:w="1348" w:type="dxa"/>
            <w:vAlign w:val="top"/>
          </w:tcPr>
          <w:p w14:paraId="21B1D7F1">
            <w:pPr>
              <w:spacing w:before="137" w:line="192" w:lineRule="auto"/>
              <w:ind w:left="62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311" w:type="dxa"/>
            <w:vAlign w:val="top"/>
          </w:tcPr>
          <w:p w14:paraId="1BEA3826">
            <w:pPr>
              <w:spacing w:before="134" w:line="195" w:lineRule="auto"/>
              <w:ind w:left="10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9.6</w:t>
            </w:r>
          </w:p>
        </w:tc>
        <w:tc>
          <w:tcPr>
            <w:tcW w:w="4035" w:type="dxa"/>
            <w:vAlign w:val="top"/>
          </w:tcPr>
          <w:p w14:paraId="526979F0">
            <w:pPr>
              <w:spacing w:before="134" w:line="195" w:lineRule="auto"/>
              <w:ind w:left="19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1.9</w:t>
            </w:r>
          </w:p>
        </w:tc>
        <w:tc>
          <w:tcPr>
            <w:tcW w:w="1735" w:type="dxa"/>
            <w:vAlign w:val="top"/>
          </w:tcPr>
          <w:p w14:paraId="22E88E2B">
            <w:pPr>
              <w:spacing w:before="134"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0.14</w:t>
            </w:r>
          </w:p>
        </w:tc>
        <w:tc>
          <w:tcPr>
            <w:tcW w:w="1888" w:type="dxa"/>
            <w:tcBorders>
              <w:right w:val="single" w:color="000000" w:sz="10" w:space="0"/>
            </w:tcBorders>
            <w:vAlign w:val="top"/>
          </w:tcPr>
          <w:p w14:paraId="6202B61A">
            <w:pPr>
              <w:spacing w:before="134"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0.048</w:t>
            </w:r>
          </w:p>
        </w:tc>
      </w:tr>
      <w:tr w14:paraId="1DFF4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899" w:type="dxa"/>
            <w:tcBorders>
              <w:left w:val="single" w:color="000000" w:sz="10" w:space="0"/>
            </w:tcBorders>
            <w:vAlign w:val="top"/>
          </w:tcPr>
          <w:p w14:paraId="71BF7100">
            <w:pPr>
              <w:spacing w:before="136" w:line="195" w:lineRule="auto"/>
              <w:ind w:left="10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2024-03</w:t>
            </w:r>
          </w:p>
        </w:tc>
        <w:tc>
          <w:tcPr>
            <w:tcW w:w="1348" w:type="dxa"/>
            <w:vAlign w:val="top"/>
          </w:tcPr>
          <w:p w14:paraId="394B32C6">
            <w:pPr>
              <w:spacing w:before="136" w:line="195" w:lineRule="auto"/>
              <w:ind w:left="62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311" w:type="dxa"/>
            <w:vAlign w:val="top"/>
          </w:tcPr>
          <w:p w14:paraId="4D8DCF27">
            <w:pPr>
              <w:spacing w:before="136" w:line="195" w:lineRule="auto"/>
              <w:ind w:left="10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9.4</w:t>
            </w:r>
          </w:p>
        </w:tc>
        <w:tc>
          <w:tcPr>
            <w:tcW w:w="4035" w:type="dxa"/>
            <w:vAlign w:val="top"/>
          </w:tcPr>
          <w:p w14:paraId="1A01BF83">
            <w:pPr>
              <w:spacing w:before="136" w:line="195" w:lineRule="auto"/>
              <w:ind w:left="19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1735" w:type="dxa"/>
            <w:vAlign w:val="top"/>
          </w:tcPr>
          <w:p w14:paraId="4BA1A11F">
            <w:pPr>
              <w:spacing w:before="136"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0.12</w:t>
            </w:r>
          </w:p>
        </w:tc>
        <w:tc>
          <w:tcPr>
            <w:tcW w:w="1888" w:type="dxa"/>
            <w:tcBorders>
              <w:right w:val="single" w:color="000000" w:sz="10" w:space="0"/>
            </w:tcBorders>
            <w:vAlign w:val="top"/>
          </w:tcPr>
          <w:p w14:paraId="469D2EB8">
            <w:pPr>
              <w:spacing w:before="136"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0.049</w:t>
            </w:r>
          </w:p>
        </w:tc>
      </w:tr>
      <w:tr w14:paraId="0FBC0A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899" w:type="dxa"/>
            <w:tcBorders>
              <w:left w:val="single" w:color="000000" w:sz="10" w:space="0"/>
            </w:tcBorders>
            <w:vAlign w:val="top"/>
          </w:tcPr>
          <w:p w14:paraId="03254444">
            <w:pPr>
              <w:spacing w:before="137" w:line="195" w:lineRule="auto"/>
              <w:ind w:left="10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2024-04</w:t>
            </w:r>
          </w:p>
        </w:tc>
        <w:tc>
          <w:tcPr>
            <w:tcW w:w="1348" w:type="dxa"/>
            <w:vAlign w:val="top"/>
          </w:tcPr>
          <w:p w14:paraId="7DBC9861">
            <w:pPr>
              <w:spacing w:before="140" w:line="192" w:lineRule="auto"/>
              <w:ind w:left="62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311" w:type="dxa"/>
            <w:vAlign w:val="top"/>
          </w:tcPr>
          <w:p w14:paraId="5DAE4170">
            <w:pPr>
              <w:spacing w:before="137" w:line="195" w:lineRule="auto"/>
              <w:ind w:left="10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7.9</w:t>
            </w:r>
          </w:p>
        </w:tc>
        <w:tc>
          <w:tcPr>
            <w:tcW w:w="4035" w:type="dxa"/>
            <w:vAlign w:val="top"/>
          </w:tcPr>
          <w:p w14:paraId="765AE0CC">
            <w:pPr>
              <w:spacing w:before="137" w:line="195" w:lineRule="auto"/>
              <w:ind w:left="18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735" w:type="dxa"/>
            <w:vAlign w:val="top"/>
          </w:tcPr>
          <w:p w14:paraId="1C8B2BF5">
            <w:pPr>
              <w:spacing w:before="137"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c>
          <w:tcPr>
            <w:tcW w:w="1888" w:type="dxa"/>
            <w:tcBorders>
              <w:right w:val="single" w:color="000000" w:sz="10" w:space="0"/>
            </w:tcBorders>
            <w:vAlign w:val="top"/>
          </w:tcPr>
          <w:p w14:paraId="4187D001">
            <w:pPr>
              <w:spacing w:before="137"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0.073</w:t>
            </w:r>
          </w:p>
        </w:tc>
      </w:tr>
      <w:tr w14:paraId="01C8A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899" w:type="dxa"/>
            <w:tcBorders>
              <w:left w:val="single" w:color="000000" w:sz="10" w:space="0"/>
            </w:tcBorders>
            <w:vAlign w:val="top"/>
          </w:tcPr>
          <w:p w14:paraId="75F5D6CD">
            <w:pPr>
              <w:spacing w:before="139" w:line="195" w:lineRule="auto"/>
              <w:ind w:left="10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2024-05</w:t>
            </w:r>
          </w:p>
        </w:tc>
        <w:tc>
          <w:tcPr>
            <w:tcW w:w="1348" w:type="dxa"/>
            <w:vAlign w:val="top"/>
          </w:tcPr>
          <w:p w14:paraId="47633BB7">
            <w:pPr>
              <w:spacing w:before="142" w:line="192" w:lineRule="auto"/>
              <w:ind w:left="62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311" w:type="dxa"/>
            <w:vAlign w:val="top"/>
          </w:tcPr>
          <w:p w14:paraId="51B30CA9">
            <w:pPr>
              <w:spacing w:before="139" w:line="195" w:lineRule="auto"/>
              <w:ind w:left="1027"/>
              <w:rPr>
                <w:rFonts w:ascii="Times New Roman" w:hAnsi="Times New Roman" w:eastAsia="Times New Roman" w:cs="Times New Roman"/>
                <w:sz w:val="20"/>
                <w:szCs w:val="20"/>
              </w:rPr>
            </w:pPr>
            <w:r>
              <w:rPr>
                <w:rFonts w:ascii="Times New Roman" w:hAnsi="Times New Roman" w:eastAsia="Times New Roman" w:cs="Times New Roman"/>
                <w:sz w:val="20"/>
                <w:szCs w:val="20"/>
              </w:rPr>
              <w:t>7.1</w:t>
            </w:r>
          </w:p>
        </w:tc>
        <w:tc>
          <w:tcPr>
            <w:tcW w:w="4035" w:type="dxa"/>
            <w:vAlign w:val="top"/>
          </w:tcPr>
          <w:p w14:paraId="6DF8E15D">
            <w:pPr>
              <w:spacing w:before="139" w:line="195" w:lineRule="auto"/>
              <w:ind w:left="18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735" w:type="dxa"/>
            <w:vAlign w:val="top"/>
          </w:tcPr>
          <w:p w14:paraId="33A6A648">
            <w:pPr>
              <w:spacing w:before="139"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0.14</w:t>
            </w:r>
          </w:p>
        </w:tc>
        <w:tc>
          <w:tcPr>
            <w:tcW w:w="1888" w:type="dxa"/>
            <w:tcBorders>
              <w:right w:val="single" w:color="000000" w:sz="10" w:space="0"/>
            </w:tcBorders>
            <w:vAlign w:val="top"/>
          </w:tcPr>
          <w:p w14:paraId="1AE93766">
            <w:pPr>
              <w:spacing w:before="139"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0.072</w:t>
            </w:r>
          </w:p>
        </w:tc>
      </w:tr>
      <w:tr w14:paraId="1AF39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899" w:type="dxa"/>
            <w:tcBorders>
              <w:left w:val="single" w:color="000000" w:sz="10" w:space="0"/>
            </w:tcBorders>
            <w:vAlign w:val="top"/>
          </w:tcPr>
          <w:p w14:paraId="44942E4C">
            <w:pPr>
              <w:spacing w:before="142" w:line="195" w:lineRule="auto"/>
              <w:ind w:left="10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2024-06</w:t>
            </w:r>
          </w:p>
        </w:tc>
        <w:tc>
          <w:tcPr>
            <w:tcW w:w="1348" w:type="dxa"/>
            <w:vAlign w:val="top"/>
          </w:tcPr>
          <w:p w14:paraId="7FAE8D28">
            <w:pPr>
              <w:spacing w:before="145" w:line="192" w:lineRule="auto"/>
              <w:ind w:left="62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311" w:type="dxa"/>
            <w:vAlign w:val="top"/>
          </w:tcPr>
          <w:p w14:paraId="672D20B6">
            <w:pPr>
              <w:spacing w:before="145" w:line="192" w:lineRule="auto"/>
              <w:ind w:left="10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7.7</w:t>
            </w:r>
          </w:p>
        </w:tc>
        <w:tc>
          <w:tcPr>
            <w:tcW w:w="4035" w:type="dxa"/>
            <w:vAlign w:val="top"/>
          </w:tcPr>
          <w:p w14:paraId="2156BC3C">
            <w:pPr>
              <w:spacing w:before="142" w:line="195" w:lineRule="auto"/>
              <w:ind w:left="18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1735" w:type="dxa"/>
            <w:vAlign w:val="top"/>
          </w:tcPr>
          <w:p w14:paraId="6E6EA5F3">
            <w:pPr>
              <w:spacing w:before="142"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c>
          <w:tcPr>
            <w:tcW w:w="1888" w:type="dxa"/>
            <w:tcBorders>
              <w:right w:val="single" w:color="000000" w:sz="10" w:space="0"/>
            </w:tcBorders>
            <w:vAlign w:val="top"/>
          </w:tcPr>
          <w:p w14:paraId="29C66606">
            <w:pPr>
              <w:spacing w:before="142"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0.082</w:t>
            </w:r>
          </w:p>
        </w:tc>
      </w:tr>
      <w:tr w14:paraId="0D6EC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899" w:type="dxa"/>
            <w:tcBorders>
              <w:left w:val="single" w:color="000000" w:sz="10" w:space="0"/>
            </w:tcBorders>
            <w:vAlign w:val="top"/>
          </w:tcPr>
          <w:p w14:paraId="4D7AA34D">
            <w:pPr>
              <w:spacing w:before="141" w:line="195" w:lineRule="auto"/>
              <w:ind w:left="10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2024-07</w:t>
            </w:r>
          </w:p>
        </w:tc>
        <w:tc>
          <w:tcPr>
            <w:tcW w:w="1348" w:type="dxa"/>
            <w:vAlign w:val="top"/>
          </w:tcPr>
          <w:p w14:paraId="22AD6B16">
            <w:pPr>
              <w:spacing w:before="141" w:line="195" w:lineRule="auto"/>
              <w:ind w:left="62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311" w:type="dxa"/>
            <w:vAlign w:val="top"/>
          </w:tcPr>
          <w:p w14:paraId="42A485DA">
            <w:pPr>
              <w:spacing w:before="141" w:line="195" w:lineRule="auto"/>
              <w:ind w:left="1032"/>
              <w:rPr>
                <w:rFonts w:ascii="Times New Roman" w:hAnsi="Times New Roman" w:eastAsia="Times New Roman" w:cs="Times New Roman"/>
                <w:sz w:val="20"/>
                <w:szCs w:val="20"/>
              </w:rPr>
            </w:pPr>
            <w:r>
              <w:rPr>
                <w:rFonts w:ascii="Times New Roman" w:hAnsi="Times New Roman" w:eastAsia="Times New Roman" w:cs="Times New Roman"/>
                <w:sz w:val="20"/>
                <w:szCs w:val="20"/>
              </w:rPr>
              <w:t>8.2</w:t>
            </w:r>
          </w:p>
        </w:tc>
        <w:tc>
          <w:tcPr>
            <w:tcW w:w="4035" w:type="dxa"/>
            <w:vAlign w:val="top"/>
          </w:tcPr>
          <w:p w14:paraId="6397ACF7">
            <w:pPr>
              <w:spacing w:before="141" w:line="195" w:lineRule="auto"/>
              <w:ind w:left="19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1735" w:type="dxa"/>
            <w:vAlign w:val="top"/>
          </w:tcPr>
          <w:p w14:paraId="473DBE3B">
            <w:pPr>
              <w:spacing w:before="141"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1888" w:type="dxa"/>
            <w:tcBorders>
              <w:right w:val="single" w:color="000000" w:sz="10" w:space="0"/>
            </w:tcBorders>
            <w:vAlign w:val="top"/>
          </w:tcPr>
          <w:p w14:paraId="2C3294E4">
            <w:pPr>
              <w:spacing w:before="141"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0.042</w:t>
            </w:r>
          </w:p>
        </w:tc>
      </w:tr>
      <w:tr w14:paraId="49658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899" w:type="dxa"/>
            <w:tcBorders>
              <w:left w:val="single" w:color="000000" w:sz="10" w:space="0"/>
            </w:tcBorders>
            <w:vAlign w:val="top"/>
          </w:tcPr>
          <w:p w14:paraId="71D733B7">
            <w:pPr>
              <w:spacing w:before="143" w:line="195" w:lineRule="auto"/>
              <w:ind w:left="10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2024-08</w:t>
            </w:r>
          </w:p>
        </w:tc>
        <w:tc>
          <w:tcPr>
            <w:tcW w:w="1348" w:type="dxa"/>
            <w:vAlign w:val="top"/>
          </w:tcPr>
          <w:p w14:paraId="08E7CCB1">
            <w:pPr>
              <w:spacing w:before="143" w:line="195" w:lineRule="auto"/>
              <w:ind w:left="62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311" w:type="dxa"/>
            <w:vAlign w:val="top"/>
          </w:tcPr>
          <w:p w14:paraId="2290F068">
            <w:pPr>
              <w:spacing w:before="143" w:line="195" w:lineRule="auto"/>
              <w:ind w:left="1032"/>
              <w:rPr>
                <w:rFonts w:ascii="Times New Roman" w:hAnsi="Times New Roman" w:eastAsia="Times New Roman" w:cs="Times New Roman"/>
                <w:sz w:val="20"/>
                <w:szCs w:val="20"/>
              </w:rPr>
            </w:pPr>
            <w:r>
              <w:rPr>
                <w:rFonts w:ascii="Times New Roman" w:hAnsi="Times New Roman" w:eastAsia="Times New Roman" w:cs="Times New Roman"/>
                <w:sz w:val="20"/>
                <w:szCs w:val="20"/>
              </w:rPr>
              <w:t>8.0</w:t>
            </w:r>
          </w:p>
        </w:tc>
        <w:tc>
          <w:tcPr>
            <w:tcW w:w="4035" w:type="dxa"/>
            <w:vAlign w:val="top"/>
          </w:tcPr>
          <w:p w14:paraId="7579E3F3">
            <w:pPr>
              <w:spacing w:before="143" w:line="195" w:lineRule="auto"/>
              <w:ind w:left="18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1735" w:type="dxa"/>
            <w:vAlign w:val="top"/>
          </w:tcPr>
          <w:p w14:paraId="401FC070">
            <w:pPr>
              <w:spacing w:before="143"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888" w:type="dxa"/>
            <w:tcBorders>
              <w:right w:val="single" w:color="000000" w:sz="10" w:space="0"/>
            </w:tcBorders>
            <w:vAlign w:val="top"/>
          </w:tcPr>
          <w:p w14:paraId="7B3A040E">
            <w:pPr>
              <w:spacing w:before="143"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0.047</w:t>
            </w:r>
          </w:p>
        </w:tc>
      </w:tr>
      <w:tr w14:paraId="079E2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899" w:type="dxa"/>
            <w:tcBorders>
              <w:left w:val="single" w:color="000000" w:sz="10" w:space="0"/>
            </w:tcBorders>
            <w:vAlign w:val="top"/>
          </w:tcPr>
          <w:p w14:paraId="64A82FCB">
            <w:pPr>
              <w:spacing w:before="143" w:line="195" w:lineRule="auto"/>
              <w:ind w:left="10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2024-09</w:t>
            </w:r>
          </w:p>
        </w:tc>
        <w:tc>
          <w:tcPr>
            <w:tcW w:w="1348" w:type="dxa"/>
            <w:vAlign w:val="top"/>
          </w:tcPr>
          <w:p w14:paraId="591D5455">
            <w:pPr>
              <w:spacing w:before="143" w:line="195" w:lineRule="auto"/>
              <w:ind w:left="62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311" w:type="dxa"/>
            <w:vAlign w:val="top"/>
          </w:tcPr>
          <w:p w14:paraId="35DF2D7C">
            <w:pPr>
              <w:spacing w:before="146" w:line="192" w:lineRule="auto"/>
              <w:ind w:left="10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4035" w:type="dxa"/>
            <w:vAlign w:val="top"/>
          </w:tcPr>
          <w:p w14:paraId="3122E5D0">
            <w:pPr>
              <w:spacing w:before="143" w:line="195" w:lineRule="auto"/>
              <w:ind w:left="18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735" w:type="dxa"/>
            <w:vAlign w:val="top"/>
          </w:tcPr>
          <w:p w14:paraId="192B64F9">
            <w:pPr>
              <w:spacing w:before="143"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c>
          <w:tcPr>
            <w:tcW w:w="1888" w:type="dxa"/>
            <w:tcBorders>
              <w:right w:val="single" w:color="000000" w:sz="10" w:space="0"/>
            </w:tcBorders>
            <w:vAlign w:val="top"/>
          </w:tcPr>
          <w:p w14:paraId="32DE63C1">
            <w:pPr>
              <w:spacing w:before="143"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0.048</w:t>
            </w:r>
          </w:p>
        </w:tc>
      </w:tr>
      <w:tr w14:paraId="24C824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899" w:type="dxa"/>
            <w:tcBorders>
              <w:left w:val="single" w:color="000000" w:sz="10" w:space="0"/>
            </w:tcBorders>
            <w:vAlign w:val="top"/>
          </w:tcPr>
          <w:p w14:paraId="0F1B772F">
            <w:pPr>
              <w:spacing w:before="145" w:line="195" w:lineRule="auto"/>
              <w:ind w:left="10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2024-10</w:t>
            </w:r>
          </w:p>
        </w:tc>
        <w:tc>
          <w:tcPr>
            <w:tcW w:w="1348" w:type="dxa"/>
            <w:vAlign w:val="top"/>
          </w:tcPr>
          <w:p w14:paraId="40570617">
            <w:pPr>
              <w:spacing w:before="148" w:line="192" w:lineRule="auto"/>
              <w:ind w:left="62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311" w:type="dxa"/>
            <w:vAlign w:val="top"/>
          </w:tcPr>
          <w:p w14:paraId="5FBA3FDC">
            <w:pPr>
              <w:spacing w:before="145" w:line="195" w:lineRule="auto"/>
              <w:ind w:left="10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4035" w:type="dxa"/>
            <w:vAlign w:val="top"/>
          </w:tcPr>
          <w:p w14:paraId="13693C54">
            <w:pPr>
              <w:spacing w:before="145" w:line="195" w:lineRule="auto"/>
              <w:ind w:left="18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735" w:type="dxa"/>
            <w:vAlign w:val="top"/>
          </w:tcPr>
          <w:p w14:paraId="1CD93076">
            <w:pPr>
              <w:spacing w:before="145"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0.14</w:t>
            </w:r>
          </w:p>
        </w:tc>
        <w:tc>
          <w:tcPr>
            <w:tcW w:w="1888" w:type="dxa"/>
            <w:tcBorders>
              <w:right w:val="single" w:color="000000" w:sz="10" w:space="0"/>
            </w:tcBorders>
            <w:vAlign w:val="top"/>
          </w:tcPr>
          <w:p w14:paraId="50BA65F4">
            <w:pPr>
              <w:spacing w:before="145"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0.061</w:t>
            </w:r>
          </w:p>
        </w:tc>
      </w:tr>
      <w:tr w14:paraId="31CBE7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899" w:type="dxa"/>
            <w:tcBorders>
              <w:left w:val="single" w:color="000000" w:sz="10" w:space="0"/>
            </w:tcBorders>
            <w:vAlign w:val="top"/>
          </w:tcPr>
          <w:p w14:paraId="046AF036">
            <w:pPr>
              <w:spacing w:before="148" w:line="195" w:lineRule="auto"/>
              <w:ind w:left="10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2024-11</w:t>
            </w:r>
          </w:p>
        </w:tc>
        <w:tc>
          <w:tcPr>
            <w:tcW w:w="1348" w:type="dxa"/>
            <w:vAlign w:val="top"/>
          </w:tcPr>
          <w:p w14:paraId="5C0F2CA2">
            <w:pPr>
              <w:spacing w:before="148" w:line="195" w:lineRule="auto"/>
              <w:ind w:left="62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311" w:type="dxa"/>
            <w:vAlign w:val="top"/>
          </w:tcPr>
          <w:p w14:paraId="45651FB1">
            <w:pPr>
              <w:spacing w:before="148" w:line="195" w:lineRule="auto"/>
              <w:ind w:left="1032"/>
              <w:rPr>
                <w:rFonts w:ascii="Times New Roman" w:hAnsi="Times New Roman" w:eastAsia="Times New Roman" w:cs="Times New Roman"/>
                <w:sz w:val="20"/>
                <w:szCs w:val="20"/>
              </w:rPr>
            </w:pPr>
            <w:r>
              <w:rPr>
                <w:rFonts w:ascii="Times New Roman" w:hAnsi="Times New Roman" w:eastAsia="Times New Roman" w:cs="Times New Roman"/>
                <w:sz w:val="20"/>
                <w:szCs w:val="20"/>
              </w:rPr>
              <w:t>8.3</w:t>
            </w:r>
          </w:p>
        </w:tc>
        <w:tc>
          <w:tcPr>
            <w:tcW w:w="4035" w:type="dxa"/>
            <w:vAlign w:val="top"/>
          </w:tcPr>
          <w:p w14:paraId="02F2548D">
            <w:pPr>
              <w:spacing w:before="148" w:line="195" w:lineRule="auto"/>
              <w:ind w:left="18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2.1</w:t>
            </w:r>
          </w:p>
        </w:tc>
        <w:tc>
          <w:tcPr>
            <w:tcW w:w="1735" w:type="dxa"/>
            <w:vAlign w:val="top"/>
          </w:tcPr>
          <w:p w14:paraId="6C4231DB">
            <w:pPr>
              <w:spacing w:before="148"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0.12</w:t>
            </w:r>
          </w:p>
        </w:tc>
        <w:tc>
          <w:tcPr>
            <w:tcW w:w="1888" w:type="dxa"/>
            <w:tcBorders>
              <w:right w:val="single" w:color="000000" w:sz="10" w:space="0"/>
            </w:tcBorders>
            <w:vAlign w:val="top"/>
          </w:tcPr>
          <w:p w14:paraId="232C8DB5">
            <w:pPr>
              <w:spacing w:before="148"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0.057</w:t>
            </w:r>
          </w:p>
        </w:tc>
      </w:tr>
      <w:tr w14:paraId="18543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899" w:type="dxa"/>
            <w:tcBorders>
              <w:left w:val="single" w:color="000000" w:sz="10" w:space="0"/>
            </w:tcBorders>
            <w:vAlign w:val="top"/>
          </w:tcPr>
          <w:p w14:paraId="7E3CA359">
            <w:pPr>
              <w:spacing w:before="147" w:line="195" w:lineRule="auto"/>
              <w:ind w:left="10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2024-12</w:t>
            </w:r>
          </w:p>
        </w:tc>
        <w:tc>
          <w:tcPr>
            <w:tcW w:w="1348" w:type="dxa"/>
            <w:vAlign w:val="top"/>
          </w:tcPr>
          <w:p w14:paraId="6C358FB6">
            <w:pPr>
              <w:spacing w:before="147" w:line="195" w:lineRule="auto"/>
              <w:ind w:left="62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311" w:type="dxa"/>
            <w:vAlign w:val="top"/>
          </w:tcPr>
          <w:p w14:paraId="7057874C">
            <w:pPr>
              <w:spacing w:before="147" w:line="195" w:lineRule="auto"/>
              <w:ind w:left="10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9.1</w:t>
            </w:r>
          </w:p>
        </w:tc>
        <w:tc>
          <w:tcPr>
            <w:tcW w:w="4035" w:type="dxa"/>
            <w:vAlign w:val="top"/>
          </w:tcPr>
          <w:p w14:paraId="579FA06F">
            <w:pPr>
              <w:spacing w:before="147" w:line="195" w:lineRule="auto"/>
              <w:ind w:left="191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w:t>
            </w:r>
          </w:p>
        </w:tc>
        <w:tc>
          <w:tcPr>
            <w:tcW w:w="1735" w:type="dxa"/>
            <w:vAlign w:val="top"/>
          </w:tcPr>
          <w:p w14:paraId="52C8107A">
            <w:pPr>
              <w:spacing w:before="147"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w:t>
            </w:r>
          </w:p>
        </w:tc>
        <w:tc>
          <w:tcPr>
            <w:tcW w:w="1888" w:type="dxa"/>
            <w:tcBorders>
              <w:right w:val="single" w:color="000000" w:sz="10" w:space="0"/>
            </w:tcBorders>
            <w:vAlign w:val="top"/>
          </w:tcPr>
          <w:p w14:paraId="2401E6F4">
            <w:pPr>
              <w:spacing w:before="147"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0.067</w:t>
            </w:r>
          </w:p>
        </w:tc>
      </w:tr>
      <w:tr w14:paraId="1C434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899" w:type="dxa"/>
            <w:tcBorders>
              <w:left w:val="single" w:color="000000" w:sz="10" w:space="0"/>
            </w:tcBorders>
            <w:vAlign w:val="top"/>
          </w:tcPr>
          <w:p w14:paraId="49890F6C">
            <w:pPr>
              <w:spacing w:before="149" w:line="195" w:lineRule="auto"/>
              <w:ind w:left="10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2025-01</w:t>
            </w:r>
          </w:p>
        </w:tc>
        <w:tc>
          <w:tcPr>
            <w:tcW w:w="1348" w:type="dxa"/>
            <w:vAlign w:val="top"/>
          </w:tcPr>
          <w:p w14:paraId="2ADA9145">
            <w:pPr>
              <w:spacing w:before="149" w:line="195" w:lineRule="auto"/>
              <w:ind w:left="62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311" w:type="dxa"/>
            <w:vAlign w:val="top"/>
          </w:tcPr>
          <w:p w14:paraId="1B3091BA">
            <w:pPr>
              <w:spacing w:before="149" w:line="195" w:lineRule="auto"/>
              <w:ind w:left="9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11.3</w:t>
            </w:r>
          </w:p>
        </w:tc>
        <w:tc>
          <w:tcPr>
            <w:tcW w:w="4035" w:type="dxa"/>
            <w:vAlign w:val="top"/>
          </w:tcPr>
          <w:p w14:paraId="182AA1EC">
            <w:pPr>
              <w:spacing w:before="149" w:line="195" w:lineRule="auto"/>
              <w:ind w:left="18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735" w:type="dxa"/>
            <w:vAlign w:val="top"/>
          </w:tcPr>
          <w:p w14:paraId="3283B282">
            <w:pPr>
              <w:spacing w:before="149"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w:t>
            </w:r>
          </w:p>
        </w:tc>
        <w:tc>
          <w:tcPr>
            <w:tcW w:w="1888" w:type="dxa"/>
            <w:tcBorders>
              <w:right w:val="single" w:color="000000" w:sz="10" w:space="0"/>
            </w:tcBorders>
            <w:vAlign w:val="top"/>
          </w:tcPr>
          <w:p w14:paraId="264E7DE9">
            <w:pPr>
              <w:spacing w:before="149"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0.053</w:t>
            </w:r>
          </w:p>
        </w:tc>
      </w:tr>
      <w:tr w14:paraId="1B635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899" w:type="dxa"/>
            <w:tcBorders>
              <w:left w:val="single" w:color="000000" w:sz="10" w:space="0"/>
            </w:tcBorders>
            <w:vAlign w:val="top"/>
          </w:tcPr>
          <w:p w14:paraId="6121F3B8">
            <w:pPr>
              <w:spacing w:before="149" w:line="195" w:lineRule="auto"/>
              <w:ind w:left="10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2025-02</w:t>
            </w:r>
          </w:p>
        </w:tc>
        <w:tc>
          <w:tcPr>
            <w:tcW w:w="1348" w:type="dxa"/>
            <w:vAlign w:val="top"/>
          </w:tcPr>
          <w:p w14:paraId="1778481C">
            <w:pPr>
              <w:spacing w:before="149" w:line="195" w:lineRule="auto"/>
              <w:ind w:left="62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311" w:type="dxa"/>
            <w:vAlign w:val="top"/>
          </w:tcPr>
          <w:p w14:paraId="21368D37">
            <w:pPr>
              <w:spacing w:before="149" w:line="195" w:lineRule="auto"/>
              <w:ind w:left="10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9.7</w:t>
            </w:r>
          </w:p>
        </w:tc>
        <w:tc>
          <w:tcPr>
            <w:tcW w:w="4035" w:type="dxa"/>
            <w:vAlign w:val="top"/>
          </w:tcPr>
          <w:p w14:paraId="409B57BA">
            <w:pPr>
              <w:spacing w:before="149" w:line="195" w:lineRule="auto"/>
              <w:ind w:left="18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2.1</w:t>
            </w:r>
          </w:p>
        </w:tc>
        <w:tc>
          <w:tcPr>
            <w:tcW w:w="1735" w:type="dxa"/>
            <w:vAlign w:val="top"/>
          </w:tcPr>
          <w:p w14:paraId="42E99E94">
            <w:pPr>
              <w:spacing w:before="149"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0.26</w:t>
            </w:r>
          </w:p>
        </w:tc>
        <w:tc>
          <w:tcPr>
            <w:tcW w:w="1888" w:type="dxa"/>
            <w:tcBorders>
              <w:right w:val="single" w:color="000000" w:sz="10" w:space="0"/>
            </w:tcBorders>
            <w:vAlign w:val="top"/>
          </w:tcPr>
          <w:p w14:paraId="4CDD6A65">
            <w:pPr>
              <w:spacing w:before="149"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0.070</w:t>
            </w:r>
          </w:p>
        </w:tc>
      </w:tr>
      <w:tr w14:paraId="25215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2899" w:type="dxa"/>
            <w:tcBorders>
              <w:left w:val="single" w:color="000000" w:sz="10" w:space="0"/>
            </w:tcBorders>
            <w:vAlign w:val="top"/>
          </w:tcPr>
          <w:p w14:paraId="4B83E344">
            <w:pPr>
              <w:spacing w:before="152" w:line="195" w:lineRule="auto"/>
              <w:ind w:left="10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2025-03</w:t>
            </w:r>
          </w:p>
        </w:tc>
        <w:tc>
          <w:tcPr>
            <w:tcW w:w="1348" w:type="dxa"/>
            <w:vAlign w:val="top"/>
          </w:tcPr>
          <w:p w14:paraId="626646D0">
            <w:pPr>
              <w:spacing w:before="152" w:line="195" w:lineRule="auto"/>
              <w:ind w:left="62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311" w:type="dxa"/>
            <w:vAlign w:val="top"/>
          </w:tcPr>
          <w:p w14:paraId="4658C121">
            <w:pPr>
              <w:spacing w:before="152" w:line="195" w:lineRule="auto"/>
              <w:ind w:left="10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9.3</w:t>
            </w:r>
          </w:p>
        </w:tc>
        <w:tc>
          <w:tcPr>
            <w:tcW w:w="4035" w:type="dxa"/>
            <w:vAlign w:val="top"/>
          </w:tcPr>
          <w:p w14:paraId="1C697FD7">
            <w:pPr>
              <w:spacing w:before="152" w:line="195" w:lineRule="auto"/>
              <w:ind w:left="18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2.1</w:t>
            </w:r>
          </w:p>
        </w:tc>
        <w:tc>
          <w:tcPr>
            <w:tcW w:w="1735" w:type="dxa"/>
            <w:vAlign w:val="top"/>
          </w:tcPr>
          <w:p w14:paraId="7F56F71F">
            <w:pPr>
              <w:spacing w:before="152"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0.14</w:t>
            </w:r>
          </w:p>
        </w:tc>
        <w:tc>
          <w:tcPr>
            <w:tcW w:w="1888" w:type="dxa"/>
            <w:tcBorders>
              <w:right w:val="single" w:color="000000" w:sz="10" w:space="0"/>
            </w:tcBorders>
            <w:vAlign w:val="top"/>
          </w:tcPr>
          <w:p w14:paraId="36CEF862">
            <w:pPr>
              <w:spacing w:before="152"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0.063</w:t>
            </w:r>
          </w:p>
        </w:tc>
      </w:tr>
      <w:tr w14:paraId="23A9B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2899" w:type="dxa"/>
            <w:tcBorders>
              <w:left w:val="single" w:color="000000" w:sz="10" w:space="0"/>
              <w:bottom w:val="single" w:color="000000" w:sz="10" w:space="0"/>
            </w:tcBorders>
            <w:vAlign w:val="top"/>
          </w:tcPr>
          <w:p w14:paraId="62BC0019">
            <w:pPr>
              <w:pStyle w:val="6"/>
              <w:spacing w:before="115" w:line="228" w:lineRule="auto"/>
              <w:ind w:left="1126"/>
            </w:pPr>
            <w:r>
              <w:rPr>
                <w:spacing w:val="7"/>
              </w:rPr>
              <w:t>平均值</w:t>
            </w:r>
          </w:p>
        </w:tc>
        <w:tc>
          <w:tcPr>
            <w:tcW w:w="1348" w:type="dxa"/>
            <w:tcBorders>
              <w:bottom w:val="single" w:color="000000" w:sz="10" w:space="0"/>
            </w:tcBorders>
            <w:vAlign w:val="top"/>
          </w:tcPr>
          <w:p w14:paraId="27DD9F92">
            <w:pPr>
              <w:spacing w:before="152" w:line="195" w:lineRule="auto"/>
              <w:ind w:left="62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311" w:type="dxa"/>
            <w:tcBorders>
              <w:bottom w:val="single" w:color="000000" w:sz="10" w:space="0"/>
            </w:tcBorders>
            <w:vAlign w:val="top"/>
          </w:tcPr>
          <w:p w14:paraId="01A7C9F7">
            <w:pPr>
              <w:spacing w:before="152" w:line="195" w:lineRule="auto"/>
              <w:ind w:left="1032"/>
              <w:rPr>
                <w:rFonts w:ascii="Times New Roman" w:hAnsi="Times New Roman" w:eastAsia="Times New Roman" w:cs="Times New Roman"/>
                <w:sz w:val="20"/>
                <w:szCs w:val="20"/>
              </w:rPr>
            </w:pPr>
            <w:r>
              <w:rPr>
                <w:rFonts w:ascii="Times New Roman" w:hAnsi="Times New Roman" w:eastAsia="Times New Roman" w:cs="Times New Roman"/>
                <w:sz w:val="20"/>
                <w:szCs w:val="20"/>
              </w:rPr>
              <w:t>8.4</w:t>
            </w:r>
          </w:p>
        </w:tc>
        <w:tc>
          <w:tcPr>
            <w:tcW w:w="4035" w:type="dxa"/>
            <w:tcBorders>
              <w:bottom w:val="single" w:color="000000" w:sz="10" w:space="0"/>
            </w:tcBorders>
            <w:vAlign w:val="top"/>
          </w:tcPr>
          <w:p w14:paraId="1F7019D4">
            <w:pPr>
              <w:spacing w:before="152" w:line="195" w:lineRule="auto"/>
              <w:ind w:left="18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735" w:type="dxa"/>
            <w:tcBorders>
              <w:bottom w:val="single" w:color="000000" w:sz="10" w:space="0"/>
            </w:tcBorders>
            <w:vAlign w:val="top"/>
          </w:tcPr>
          <w:p w14:paraId="5855008A">
            <w:pPr>
              <w:spacing w:before="152" w:line="195" w:lineRule="auto"/>
              <w:ind w:left="6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0.13</w:t>
            </w:r>
          </w:p>
        </w:tc>
        <w:tc>
          <w:tcPr>
            <w:tcW w:w="1888" w:type="dxa"/>
            <w:tcBorders>
              <w:bottom w:val="single" w:color="000000" w:sz="10" w:space="0"/>
              <w:right w:val="single" w:color="000000" w:sz="10" w:space="0"/>
            </w:tcBorders>
            <w:vAlign w:val="top"/>
          </w:tcPr>
          <w:p w14:paraId="43EAB0D6">
            <w:pPr>
              <w:spacing w:before="152"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0.055</w:t>
            </w:r>
          </w:p>
        </w:tc>
      </w:tr>
    </w:tbl>
    <w:p w14:paraId="0CF2958F">
      <w:pPr>
        <w:pStyle w:val="2"/>
      </w:pPr>
    </w:p>
    <w:p w14:paraId="7C1705EF">
      <w:pPr>
        <w:sectPr>
          <w:footerReference r:id="rId82" w:type="default"/>
          <w:pgSz w:w="16840" w:h="11907"/>
          <w:pgMar w:top="1132" w:right="1303" w:bottom="1258" w:left="1294" w:header="829" w:footer="1096" w:gutter="0"/>
          <w:cols w:space="720" w:num="1"/>
        </w:sectPr>
      </w:pPr>
    </w:p>
    <w:p w14:paraId="2B4DFF3A">
      <w:pPr>
        <w:pStyle w:val="2"/>
        <w:spacing w:line="261" w:lineRule="auto"/>
      </w:pPr>
    </w:p>
    <w:p w14:paraId="080B10DD">
      <w:pPr>
        <w:pStyle w:val="2"/>
        <w:spacing w:line="261" w:lineRule="auto"/>
      </w:pPr>
    </w:p>
    <w:p w14:paraId="60E7466D">
      <w:pPr>
        <w:spacing w:before="78" w:line="212" w:lineRule="auto"/>
        <w:ind w:left="2628"/>
        <w:rPr>
          <w:rFonts w:ascii="宋体" w:hAnsi="宋体" w:eastAsia="宋体" w:cs="宋体"/>
          <w:sz w:val="24"/>
          <w:szCs w:val="24"/>
        </w:rPr>
      </w:pPr>
      <w:r>
        <w:rPr>
          <w:rFonts w:ascii="宋体" w:hAnsi="宋体" w:eastAsia="宋体" w:cs="宋体"/>
          <w:b/>
          <w:bCs/>
          <w:spacing w:val="-1"/>
          <w:sz w:val="24"/>
          <w:szCs w:val="24"/>
        </w:rPr>
        <w:t>表</w:t>
      </w:r>
      <w:r>
        <w:rPr>
          <w:rFonts w:ascii="Times New Roman" w:hAnsi="Times New Roman" w:eastAsia="Times New Roman" w:cs="Times New Roman"/>
          <w:b/>
          <w:bCs/>
          <w:spacing w:val="-1"/>
          <w:sz w:val="24"/>
          <w:szCs w:val="24"/>
        </w:rPr>
        <w:t>4.3-9</w:t>
      </w:r>
      <w:r>
        <w:rPr>
          <w:rFonts w:ascii="宋体" w:hAnsi="宋体" w:eastAsia="宋体" w:cs="宋体"/>
          <w:b/>
          <w:bCs/>
          <w:spacing w:val="-1"/>
          <w:sz w:val="24"/>
          <w:szCs w:val="24"/>
        </w:rPr>
        <w:t>邵阳县渡头村断面监测数据（续表</w:t>
      </w:r>
      <w:r>
        <w:rPr>
          <w:rFonts w:ascii="宋体" w:hAnsi="宋体" w:eastAsia="宋体" w:cs="宋体"/>
          <w:b/>
          <w:bCs/>
          <w:spacing w:val="-17"/>
          <w:sz w:val="24"/>
          <w:szCs w:val="24"/>
        </w:rPr>
        <w:t>）（</w:t>
      </w:r>
      <w:r>
        <w:rPr>
          <w:rFonts w:ascii="Times New Roman" w:hAnsi="Times New Roman" w:eastAsia="Times New Roman" w:cs="Times New Roman"/>
          <w:b/>
          <w:bCs/>
          <w:spacing w:val="-1"/>
          <w:sz w:val="24"/>
          <w:szCs w:val="24"/>
        </w:rPr>
        <w:t>2022</w:t>
      </w:r>
      <w:r>
        <w:rPr>
          <w:rFonts w:ascii="宋体" w:hAnsi="宋体" w:eastAsia="宋体" w:cs="宋体"/>
          <w:b/>
          <w:bCs/>
          <w:spacing w:val="-1"/>
          <w:sz w:val="24"/>
          <w:szCs w:val="24"/>
        </w:rPr>
        <w:t>年</w:t>
      </w:r>
      <w:r>
        <w:rPr>
          <w:rFonts w:ascii="Times New Roman" w:hAnsi="Times New Roman" w:eastAsia="Times New Roman" w:cs="Times New Roman"/>
          <w:b/>
          <w:bCs/>
          <w:spacing w:val="-1"/>
          <w:sz w:val="24"/>
          <w:szCs w:val="24"/>
        </w:rPr>
        <w:t>1</w:t>
      </w:r>
      <w:r>
        <w:rPr>
          <w:rFonts w:ascii="宋体" w:hAnsi="宋体" w:eastAsia="宋体" w:cs="宋体"/>
          <w:b/>
          <w:bCs/>
          <w:spacing w:val="-1"/>
          <w:sz w:val="24"/>
          <w:szCs w:val="24"/>
        </w:rPr>
        <w:t>月</w:t>
      </w:r>
      <w:r>
        <w:rPr>
          <w:rFonts w:ascii="Times New Roman" w:hAnsi="Times New Roman" w:eastAsia="Times New Roman" w:cs="Times New Roman"/>
          <w:b/>
          <w:bCs/>
          <w:spacing w:val="-1"/>
          <w:sz w:val="24"/>
          <w:szCs w:val="24"/>
        </w:rPr>
        <w:t>-20</w:t>
      </w:r>
      <w:r>
        <w:rPr>
          <w:rFonts w:ascii="Times New Roman" w:hAnsi="Times New Roman" w:eastAsia="Times New Roman" w:cs="Times New Roman"/>
          <w:b/>
          <w:bCs/>
          <w:spacing w:val="-2"/>
          <w:sz w:val="24"/>
          <w:szCs w:val="24"/>
        </w:rPr>
        <w:t>25</w:t>
      </w:r>
      <w:r>
        <w:rPr>
          <w:rFonts w:ascii="宋体" w:hAnsi="宋体" w:eastAsia="宋体" w:cs="宋体"/>
          <w:b/>
          <w:bCs/>
          <w:spacing w:val="-2"/>
          <w:sz w:val="24"/>
          <w:szCs w:val="24"/>
        </w:rPr>
        <w:t>年</w:t>
      </w:r>
      <w:r>
        <w:rPr>
          <w:rFonts w:ascii="Times New Roman" w:hAnsi="Times New Roman" w:eastAsia="Times New Roman" w:cs="Times New Roman"/>
          <w:b/>
          <w:bCs/>
          <w:spacing w:val="-2"/>
          <w:sz w:val="24"/>
          <w:szCs w:val="24"/>
        </w:rPr>
        <w:t>1</w:t>
      </w:r>
      <w:r>
        <w:rPr>
          <w:rFonts w:ascii="宋体" w:hAnsi="宋体" w:eastAsia="宋体" w:cs="宋体"/>
          <w:b/>
          <w:bCs/>
          <w:spacing w:val="-2"/>
          <w:sz w:val="24"/>
          <w:szCs w:val="24"/>
        </w:rPr>
        <w:t>月</w:t>
      </w:r>
      <w:r>
        <w:rPr>
          <w:rFonts w:ascii="宋体" w:hAnsi="宋体" w:eastAsia="宋体" w:cs="宋体"/>
          <w:b/>
          <w:bCs/>
          <w:spacing w:val="-17"/>
          <w:sz w:val="24"/>
          <w:szCs w:val="24"/>
        </w:rPr>
        <w:t>）（</w:t>
      </w:r>
      <w:r>
        <w:rPr>
          <w:rFonts w:ascii="Times New Roman" w:hAnsi="Times New Roman" w:eastAsia="Times New Roman" w:cs="Times New Roman"/>
          <w:b/>
          <w:bCs/>
          <w:spacing w:val="-2"/>
          <w:sz w:val="24"/>
          <w:szCs w:val="24"/>
        </w:rPr>
        <w:t>mg/L</w:t>
      </w:r>
      <w:r>
        <w:rPr>
          <w:rFonts w:ascii="宋体" w:hAnsi="宋体" w:eastAsia="宋体" w:cs="宋体"/>
          <w:b/>
          <w:bCs/>
          <w:spacing w:val="-2"/>
          <w:sz w:val="24"/>
          <w:szCs w:val="24"/>
        </w:rPr>
        <w:t>）</w:t>
      </w:r>
    </w:p>
    <w:p w14:paraId="444D400C">
      <w:pPr>
        <w:spacing w:line="155" w:lineRule="exact"/>
      </w:pPr>
    </w:p>
    <w:tbl>
      <w:tblPr>
        <w:tblStyle w:val="5"/>
        <w:tblW w:w="1422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5"/>
        <w:gridCol w:w="700"/>
        <w:gridCol w:w="949"/>
        <w:gridCol w:w="816"/>
        <w:gridCol w:w="847"/>
        <w:gridCol w:w="765"/>
        <w:gridCol w:w="847"/>
        <w:gridCol w:w="900"/>
        <w:gridCol w:w="934"/>
        <w:gridCol w:w="900"/>
        <w:gridCol w:w="715"/>
        <w:gridCol w:w="912"/>
        <w:gridCol w:w="815"/>
        <w:gridCol w:w="880"/>
        <w:gridCol w:w="699"/>
        <w:gridCol w:w="824"/>
        <w:gridCol w:w="767"/>
      </w:tblGrid>
      <w:tr w14:paraId="36E0E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955" w:type="dxa"/>
            <w:tcBorders>
              <w:top w:val="single" w:color="000000" w:sz="10" w:space="0"/>
              <w:left w:val="single" w:color="000000" w:sz="10" w:space="0"/>
            </w:tcBorders>
            <w:vAlign w:val="top"/>
          </w:tcPr>
          <w:p w14:paraId="162919CE">
            <w:pPr>
              <w:rPr>
                <w:rFonts w:ascii="Arial"/>
                <w:sz w:val="21"/>
              </w:rPr>
            </w:pPr>
          </w:p>
          <w:p w14:paraId="72FC905A">
            <w:pPr>
              <w:pStyle w:val="6"/>
              <w:spacing w:before="65" w:line="227" w:lineRule="auto"/>
              <w:ind w:left="151"/>
            </w:pPr>
            <w:r>
              <w:rPr>
                <w:b/>
                <w:bCs/>
                <w:spacing w:val="5"/>
              </w:rPr>
              <w:t>采样时</w:t>
            </w:r>
          </w:p>
          <w:p w14:paraId="6B3AC633">
            <w:pPr>
              <w:pStyle w:val="6"/>
              <w:spacing w:before="27" w:line="231" w:lineRule="auto"/>
              <w:ind w:left="377"/>
            </w:pPr>
            <w:r>
              <w:rPr>
                <w:b/>
                <w:bCs/>
                <w:spacing w:val="-3"/>
              </w:rPr>
              <w:t>间</w:t>
            </w:r>
          </w:p>
        </w:tc>
        <w:tc>
          <w:tcPr>
            <w:tcW w:w="700" w:type="dxa"/>
            <w:tcBorders>
              <w:top w:val="single" w:color="000000" w:sz="10" w:space="0"/>
            </w:tcBorders>
            <w:vAlign w:val="top"/>
          </w:tcPr>
          <w:p w14:paraId="157AE329">
            <w:pPr>
              <w:pStyle w:val="6"/>
              <w:spacing w:before="170" w:line="229" w:lineRule="auto"/>
              <w:ind w:left="134"/>
            </w:pPr>
            <w:r>
              <w:rPr>
                <w:b/>
                <w:bCs/>
                <w:spacing w:val="3"/>
              </w:rPr>
              <w:t>化学</w:t>
            </w:r>
          </w:p>
          <w:p w14:paraId="340CF876">
            <w:pPr>
              <w:pStyle w:val="6"/>
              <w:spacing w:before="22" w:line="257" w:lineRule="auto"/>
              <w:ind w:left="239" w:right="149" w:hanging="94"/>
            </w:pPr>
            <w:r>
              <w:rPr>
                <w:b/>
                <w:bCs/>
                <w:spacing w:val="-2"/>
              </w:rPr>
              <w:t>需氧量</w:t>
            </w:r>
          </w:p>
        </w:tc>
        <w:tc>
          <w:tcPr>
            <w:tcW w:w="949" w:type="dxa"/>
            <w:tcBorders>
              <w:top w:val="single" w:color="000000" w:sz="10" w:space="0"/>
            </w:tcBorders>
            <w:vAlign w:val="top"/>
          </w:tcPr>
          <w:p w14:paraId="114A62FD">
            <w:pPr>
              <w:pStyle w:val="6"/>
              <w:spacing w:before="169" w:line="233" w:lineRule="auto"/>
              <w:ind w:left="157"/>
            </w:pPr>
            <w:r>
              <w:rPr>
                <w:b/>
                <w:bCs/>
                <w:spacing w:val="4"/>
              </w:rPr>
              <w:t>五日生</w:t>
            </w:r>
          </w:p>
          <w:p w14:paraId="03B3E528">
            <w:pPr>
              <w:pStyle w:val="6"/>
              <w:spacing w:before="19" w:line="227" w:lineRule="auto"/>
              <w:ind w:left="154"/>
            </w:pPr>
            <w:r>
              <w:rPr>
                <w:b/>
                <w:bCs/>
                <w:spacing w:val="5"/>
              </w:rPr>
              <w:t>化需氧</w:t>
            </w:r>
          </w:p>
          <w:p w14:paraId="40E2B64A">
            <w:pPr>
              <w:pStyle w:val="6"/>
              <w:spacing w:before="28" w:line="233" w:lineRule="auto"/>
              <w:ind w:left="365"/>
            </w:pPr>
            <w:r>
              <w:rPr>
                <w:b/>
                <w:bCs/>
                <w:spacing w:val="-2"/>
              </w:rPr>
              <w:t>量</w:t>
            </w:r>
          </w:p>
        </w:tc>
        <w:tc>
          <w:tcPr>
            <w:tcW w:w="816" w:type="dxa"/>
            <w:tcBorders>
              <w:top w:val="single" w:color="000000" w:sz="10" w:space="0"/>
            </w:tcBorders>
            <w:vAlign w:val="top"/>
          </w:tcPr>
          <w:p w14:paraId="685B7769">
            <w:pPr>
              <w:spacing w:line="376" w:lineRule="auto"/>
              <w:rPr>
                <w:rFonts w:ascii="Arial"/>
                <w:sz w:val="21"/>
              </w:rPr>
            </w:pPr>
          </w:p>
          <w:p w14:paraId="04C688BA">
            <w:pPr>
              <w:pStyle w:val="6"/>
              <w:spacing w:before="65" w:line="229" w:lineRule="auto"/>
              <w:ind w:left="299"/>
            </w:pPr>
            <w:r>
              <w:rPr>
                <w:b/>
                <w:bCs/>
                <w:spacing w:val="-2"/>
              </w:rPr>
              <w:t>铜</w:t>
            </w:r>
          </w:p>
        </w:tc>
        <w:tc>
          <w:tcPr>
            <w:tcW w:w="847" w:type="dxa"/>
            <w:tcBorders>
              <w:top w:val="single" w:color="000000" w:sz="10" w:space="0"/>
            </w:tcBorders>
            <w:vAlign w:val="top"/>
          </w:tcPr>
          <w:p w14:paraId="186F1142">
            <w:pPr>
              <w:spacing w:line="376" w:lineRule="auto"/>
              <w:rPr>
                <w:rFonts w:ascii="Arial"/>
                <w:sz w:val="21"/>
              </w:rPr>
            </w:pPr>
          </w:p>
          <w:p w14:paraId="34BA65EC">
            <w:pPr>
              <w:pStyle w:val="6"/>
              <w:spacing w:before="65" w:line="228" w:lineRule="auto"/>
              <w:ind w:left="317"/>
            </w:pPr>
            <w:r>
              <w:rPr>
                <w:b/>
                <w:bCs/>
                <w:spacing w:val="-1"/>
              </w:rPr>
              <w:t>锌</w:t>
            </w:r>
          </w:p>
        </w:tc>
        <w:tc>
          <w:tcPr>
            <w:tcW w:w="765" w:type="dxa"/>
            <w:tcBorders>
              <w:top w:val="single" w:color="000000" w:sz="10" w:space="0"/>
            </w:tcBorders>
            <w:vAlign w:val="top"/>
          </w:tcPr>
          <w:p w14:paraId="0BFC569F">
            <w:pPr>
              <w:pStyle w:val="6"/>
              <w:spacing w:before="306" w:line="255" w:lineRule="auto"/>
              <w:ind w:left="277" w:right="175" w:hanging="104"/>
            </w:pPr>
            <w:r>
              <w:rPr>
                <w:b/>
                <w:bCs/>
                <w:spacing w:val="3"/>
              </w:rPr>
              <w:t>氟化</w:t>
            </w:r>
            <w:r>
              <w:rPr>
                <w:b/>
                <w:bCs/>
                <w:spacing w:val="-2"/>
              </w:rPr>
              <w:t>物</w:t>
            </w:r>
          </w:p>
        </w:tc>
        <w:tc>
          <w:tcPr>
            <w:tcW w:w="847" w:type="dxa"/>
            <w:tcBorders>
              <w:top w:val="single" w:color="000000" w:sz="10" w:space="0"/>
            </w:tcBorders>
            <w:vAlign w:val="top"/>
          </w:tcPr>
          <w:p w14:paraId="74490D0C">
            <w:pPr>
              <w:spacing w:line="375" w:lineRule="auto"/>
              <w:rPr>
                <w:rFonts w:ascii="Arial"/>
                <w:sz w:val="21"/>
              </w:rPr>
            </w:pPr>
          </w:p>
          <w:p w14:paraId="727CD314">
            <w:pPr>
              <w:pStyle w:val="6"/>
              <w:spacing w:before="65" w:line="231" w:lineRule="auto"/>
              <w:ind w:left="317"/>
            </w:pPr>
            <w:r>
              <w:rPr>
                <w:b/>
                <w:bCs/>
              </w:rPr>
              <w:t>硒</w:t>
            </w:r>
          </w:p>
        </w:tc>
        <w:tc>
          <w:tcPr>
            <w:tcW w:w="900" w:type="dxa"/>
            <w:tcBorders>
              <w:top w:val="single" w:color="000000" w:sz="10" w:space="0"/>
            </w:tcBorders>
            <w:vAlign w:val="top"/>
          </w:tcPr>
          <w:p w14:paraId="47388FE2">
            <w:pPr>
              <w:spacing w:line="376" w:lineRule="auto"/>
              <w:rPr>
                <w:rFonts w:ascii="Arial"/>
                <w:sz w:val="21"/>
              </w:rPr>
            </w:pPr>
          </w:p>
          <w:p w14:paraId="242FA3D4">
            <w:pPr>
              <w:pStyle w:val="6"/>
              <w:spacing w:before="65" w:line="228" w:lineRule="auto"/>
              <w:ind w:left="347"/>
            </w:pPr>
            <w:r>
              <w:rPr>
                <w:b/>
                <w:bCs/>
                <w:spacing w:val="-1"/>
              </w:rPr>
              <w:t>砷</w:t>
            </w:r>
          </w:p>
        </w:tc>
        <w:tc>
          <w:tcPr>
            <w:tcW w:w="934" w:type="dxa"/>
            <w:tcBorders>
              <w:top w:val="single" w:color="000000" w:sz="10" w:space="0"/>
            </w:tcBorders>
            <w:vAlign w:val="top"/>
          </w:tcPr>
          <w:p w14:paraId="73AF71BA">
            <w:pPr>
              <w:spacing w:line="376" w:lineRule="auto"/>
              <w:rPr>
                <w:rFonts w:ascii="Arial"/>
                <w:sz w:val="21"/>
              </w:rPr>
            </w:pPr>
          </w:p>
          <w:p w14:paraId="4FCC2DA0">
            <w:pPr>
              <w:pStyle w:val="6"/>
              <w:spacing w:before="65" w:line="228" w:lineRule="auto"/>
              <w:ind w:left="368"/>
            </w:pPr>
            <w:r>
              <w:rPr>
                <w:b/>
                <w:bCs/>
                <w:spacing w:val="-3"/>
              </w:rPr>
              <w:t>汞</w:t>
            </w:r>
          </w:p>
        </w:tc>
        <w:tc>
          <w:tcPr>
            <w:tcW w:w="900" w:type="dxa"/>
            <w:tcBorders>
              <w:top w:val="single" w:color="000000" w:sz="10" w:space="0"/>
            </w:tcBorders>
            <w:vAlign w:val="top"/>
          </w:tcPr>
          <w:p w14:paraId="17A25D79">
            <w:pPr>
              <w:spacing w:line="375" w:lineRule="auto"/>
              <w:rPr>
                <w:rFonts w:ascii="Arial"/>
                <w:sz w:val="21"/>
              </w:rPr>
            </w:pPr>
          </w:p>
          <w:p w14:paraId="596507A9">
            <w:pPr>
              <w:pStyle w:val="6"/>
              <w:spacing w:before="65" w:line="231" w:lineRule="auto"/>
              <w:ind w:left="351"/>
            </w:pPr>
            <w:r>
              <w:rPr>
                <w:b/>
                <w:bCs/>
              </w:rPr>
              <w:t>镉</w:t>
            </w:r>
          </w:p>
        </w:tc>
        <w:tc>
          <w:tcPr>
            <w:tcW w:w="715" w:type="dxa"/>
            <w:tcBorders>
              <w:top w:val="single" w:color="000000" w:sz="10" w:space="0"/>
            </w:tcBorders>
            <w:vAlign w:val="top"/>
          </w:tcPr>
          <w:p w14:paraId="6E2926E8">
            <w:pPr>
              <w:rPr>
                <w:rFonts w:ascii="Arial"/>
                <w:sz w:val="21"/>
              </w:rPr>
            </w:pPr>
          </w:p>
          <w:p w14:paraId="638F5A03">
            <w:pPr>
              <w:pStyle w:val="6"/>
              <w:spacing w:before="65" w:line="255" w:lineRule="auto"/>
              <w:ind w:left="260" w:right="142" w:hanging="103"/>
            </w:pPr>
            <w:r>
              <w:rPr>
                <w:b/>
                <w:bCs/>
                <w:spacing w:val="3"/>
              </w:rPr>
              <w:t>六价</w:t>
            </w:r>
            <w:r>
              <w:rPr>
                <w:b/>
                <w:bCs/>
                <w:spacing w:val="-1"/>
              </w:rPr>
              <w:t>铬</w:t>
            </w:r>
          </w:p>
        </w:tc>
        <w:tc>
          <w:tcPr>
            <w:tcW w:w="912" w:type="dxa"/>
            <w:tcBorders>
              <w:top w:val="single" w:color="000000" w:sz="10" w:space="0"/>
            </w:tcBorders>
            <w:vAlign w:val="top"/>
          </w:tcPr>
          <w:p w14:paraId="35096175">
            <w:pPr>
              <w:spacing w:line="376" w:lineRule="auto"/>
              <w:rPr>
                <w:rFonts w:ascii="Arial"/>
                <w:sz w:val="21"/>
              </w:rPr>
            </w:pPr>
          </w:p>
          <w:p w14:paraId="7B46D7DB">
            <w:pPr>
              <w:pStyle w:val="6"/>
              <w:spacing w:before="65" w:line="232" w:lineRule="auto"/>
              <w:ind w:left="362"/>
            </w:pPr>
            <w:r>
              <w:rPr>
                <w:b/>
                <w:bCs/>
                <w:spacing w:val="-2"/>
              </w:rPr>
              <w:t>铅</w:t>
            </w:r>
          </w:p>
        </w:tc>
        <w:tc>
          <w:tcPr>
            <w:tcW w:w="815" w:type="dxa"/>
            <w:tcBorders>
              <w:top w:val="single" w:color="000000" w:sz="10" w:space="0"/>
            </w:tcBorders>
            <w:vAlign w:val="top"/>
          </w:tcPr>
          <w:p w14:paraId="18C11225">
            <w:pPr>
              <w:pStyle w:val="6"/>
              <w:spacing w:before="306" w:line="255" w:lineRule="auto"/>
              <w:ind w:left="314" w:right="189" w:hanging="106"/>
            </w:pPr>
            <w:r>
              <w:rPr>
                <w:b/>
                <w:bCs/>
                <w:spacing w:val="4"/>
              </w:rPr>
              <w:t>氰化</w:t>
            </w:r>
            <w:r>
              <w:rPr>
                <w:b/>
                <w:bCs/>
                <w:spacing w:val="-2"/>
              </w:rPr>
              <w:t>物</w:t>
            </w:r>
          </w:p>
        </w:tc>
        <w:tc>
          <w:tcPr>
            <w:tcW w:w="880" w:type="dxa"/>
            <w:tcBorders>
              <w:top w:val="single" w:color="000000" w:sz="10" w:space="0"/>
            </w:tcBorders>
            <w:vAlign w:val="top"/>
          </w:tcPr>
          <w:p w14:paraId="12EA0347">
            <w:pPr>
              <w:spacing w:line="376" w:lineRule="auto"/>
              <w:rPr>
                <w:rFonts w:ascii="Arial"/>
                <w:sz w:val="21"/>
              </w:rPr>
            </w:pPr>
          </w:p>
          <w:p w14:paraId="3B701F02">
            <w:pPr>
              <w:pStyle w:val="6"/>
              <w:spacing w:before="65" w:line="228" w:lineRule="auto"/>
              <w:ind w:left="137"/>
            </w:pPr>
            <w:r>
              <w:rPr>
                <w:b/>
                <w:bCs/>
                <w:spacing w:val="5"/>
              </w:rPr>
              <w:t>挥发酚</w:t>
            </w:r>
          </w:p>
        </w:tc>
        <w:tc>
          <w:tcPr>
            <w:tcW w:w="699" w:type="dxa"/>
            <w:tcBorders>
              <w:top w:val="single" w:color="000000" w:sz="10" w:space="0"/>
            </w:tcBorders>
            <w:vAlign w:val="top"/>
          </w:tcPr>
          <w:p w14:paraId="0303AFED">
            <w:pPr>
              <w:rPr>
                <w:rFonts w:ascii="Arial"/>
                <w:sz w:val="21"/>
              </w:rPr>
            </w:pPr>
          </w:p>
          <w:p w14:paraId="1F2C4275">
            <w:pPr>
              <w:pStyle w:val="6"/>
              <w:spacing w:before="65" w:line="254" w:lineRule="auto"/>
              <w:ind w:left="258" w:right="126" w:hanging="102"/>
            </w:pPr>
            <w:r>
              <w:rPr>
                <w:b/>
                <w:bCs/>
                <w:spacing w:val="3"/>
              </w:rPr>
              <w:t>石油</w:t>
            </w:r>
            <w:r>
              <w:rPr>
                <w:b/>
                <w:bCs/>
                <w:spacing w:val="-2"/>
              </w:rPr>
              <w:t>类</w:t>
            </w:r>
          </w:p>
        </w:tc>
        <w:tc>
          <w:tcPr>
            <w:tcW w:w="824" w:type="dxa"/>
            <w:tcBorders>
              <w:top w:val="single" w:color="000000" w:sz="10" w:space="0"/>
            </w:tcBorders>
            <w:vAlign w:val="top"/>
          </w:tcPr>
          <w:p w14:paraId="17226BAD">
            <w:pPr>
              <w:pStyle w:val="6"/>
              <w:spacing w:before="36" w:line="228" w:lineRule="auto"/>
              <w:ind w:left="233"/>
            </w:pPr>
            <w:r>
              <w:rPr>
                <w:b/>
                <w:bCs/>
                <w:spacing w:val="-5"/>
              </w:rPr>
              <w:t>阴离</w:t>
            </w:r>
          </w:p>
          <w:p w14:paraId="75C0070E">
            <w:pPr>
              <w:pStyle w:val="6"/>
              <w:spacing w:before="24" w:line="228" w:lineRule="auto"/>
              <w:ind w:left="218"/>
            </w:pPr>
            <w:r>
              <w:rPr>
                <w:b/>
                <w:bCs/>
                <w:spacing w:val="3"/>
              </w:rPr>
              <w:t>子表</w:t>
            </w:r>
          </w:p>
          <w:p w14:paraId="517D346B">
            <w:pPr>
              <w:pStyle w:val="6"/>
              <w:spacing w:before="26" w:line="228" w:lineRule="auto"/>
              <w:ind w:left="218"/>
            </w:pPr>
            <w:r>
              <w:rPr>
                <w:b/>
                <w:bCs/>
                <w:spacing w:val="3"/>
              </w:rPr>
              <w:t>面活</w:t>
            </w:r>
          </w:p>
          <w:p w14:paraId="1E82FAD2">
            <w:pPr>
              <w:pStyle w:val="6"/>
              <w:spacing w:before="24" w:line="214" w:lineRule="auto"/>
              <w:ind w:left="219"/>
            </w:pPr>
            <w:r>
              <w:rPr>
                <w:b/>
                <w:bCs/>
                <w:spacing w:val="2"/>
              </w:rPr>
              <w:t>性剂</w:t>
            </w:r>
          </w:p>
        </w:tc>
        <w:tc>
          <w:tcPr>
            <w:tcW w:w="767" w:type="dxa"/>
            <w:tcBorders>
              <w:top w:val="single" w:color="000000" w:sz="10" w:space="0"/>
              <w:right w:val="single" w:color="000000" w:sz="10" w:space="0"/>
            </w:tcBorders>
            <w:vAlign w:val="top"/>
          </w:tcPr>
          <w:p w14:paraId="3108466E">
            <w:pPr>
              <w:pStyle w:val="6"/>
              <w:spacing w:before="306" w:line="255" w:lineRule="auto"/>
              <w:ind w:left="288" w:right="157" w:hanging="106"/>
            </w:pPr>
            <w:r>
              <w:rPr>
                <w:b/>
                <w:bCs/>
                <w:spacing w:val="4"/>
              </w:rPr>
              <w:t>硫化</w:t>
            </w:r>
            <w:r>
              <w:rPr>
                <w:b/>
                <w:bCs/>
                <w:spacing w:val="-2"/>
              </w:rPr>
              <w:t>物</w:t>
            </w:r>
          </w:p>
        </w:tc>
      </w:tr>
      <w:tr w14:paraId="76A5D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955" w:type="dxa"/>
            <w:tcBorders>
              <w:left w:val="single" w:color="000000" w:sz="10" w:space="0"/>
            </w:tcBorders>
            <w:vAlign w:val="top"/>
          </w:tcPr>
          <w:p w14:paraId="203CCED9">
            <w:pPr>
              <w:spacing w:before="105"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2022-01</w:t>
            </w:r>
          </w:p>
        </w:tc>
        <w:tc>
          <w:tcPr>
            <w:tcW w:w="700" w:type="dxa"/>
            <w:vAlign w:val="top"/>
          </w:tcPr>
          <w:p w14:paraId="22E1A36B">
            <w:pPr>
              <w:spacing w:before="105" w:line="195" w:lineRule="auto"/>
              <w:ind w:left="217"/>
              <w:rPr>
                <w:rFonts w:ascii="Times New Roman" w:hAnsi="Times New Roman" w:eastAsia="Times New Roman" w:cs="Times New Roman"/>
                <w:sz w:val="20"/>
                <w:szCs w:val="20"/>
              </w:rPr>
            </w:pPr>
            <w:r>
              <w:rPr>
                <w:rFonts w:ascii="Times New Roman" w:hAnsi="Times New Roman" w:eastAsia="Times New Roman" w:cs="Times New Roman"/>
                <w:sz w:val="20"/>
                <w:szCs w:val="20"/>
              </w:rPr>
              <w:t>8.7</w:t>
            </w:r>
          </w:p>
        </w:tc>
        <w:tc>
          <w:tcPr>
            <w:tcW w:w="949" w:type="dxa"/>
            <w:vAlign w:val="top"/>
          </w:tcPr>
          <w:p w14:paraId="2A101DED">
            <w:pPr>
              <w:spacing w:before="105"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0.7</w:t>
            </w:r>
          </w:p>
        </w:tc>
        <w:tc>
          <w:tcPr>
            <w:tcW w:w="816" w:type="dxa"/>
            <w:vAlign w:val="top"/>
          </w:tcPr>
          <w:p w14:paraId="0F917410">
            <w:pPr>
              <w:spacing w:before="105" w:line="195" w:lineRule="auto"/>
              <w:ind w:left="1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w:t>
            </w:r>
          </w:p>
        </w:tc>
        <w:tc>
          <w:tcPr>
            <w:tcW w:w="847" w:type="dxa"/>
            <w:vAlign w:val="top"/>
          </w:tcPr>
          <w:p w14:paraId="6FA297FF">
            <w:pPr>
              <w:spacing w:before="105"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0.025</w:t>
            </w:r>
          </w:p>
        </w:tc>
        <w:tc>
          <w:tcPr>
            <w:tcW w:w="765" w:type="dxa"/>
            <w:vAlign w:val="top"/>
          </w:tcPr>
          <w:p w14:paraId="184C764A">
            <w:pPr>
              <w:spacing w:before="105"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0.083</w:t>
            </w:r>
          </w:p>
        </w:tc>
        <w:tc>
          <w:tcPr>
            <w:tcW w:w="847" w:type="dxa"/>
            <w:vAlign w:val="top"/>
          </w:tcPr>
          <w:p w14:paraId="51D09036">
            <w:pPr>
              <w:spacing w:before="105"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900" w:type="dxa"/>
            <w:vAlign w:val="top"/>
          </w:tcPr>
          <w:p w14:paraId="3C4D7187">
            <w:pPr>
              <w:spacing w:before="105"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0.0009</w:t>
            </w:r>
          </w:p>
        </w:tc>
        <w:tc>
          <w:tcPr>
            <w:tcW w:w="934" w:type="dxa"/>
            <w:vAlign w:val="top"/>
          </w:tcPr>
          <w:p w14:paraId="0470EAB8">
            <w:pPr>
              <w:spacing w:before="105"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900" w:type="dxa"/>
            <w:vAlign w:val="top"/>
          </w:tcPr>
          <w:p w14:paraId="78BD704E">
            <w:pPr>
              <w:spacing w:before="105" w:line="195" w:lineRule="auto"/>
              <w:ind w:left="1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715" w:type="dxa"/>
            <w:vAlign w:val="top"/>
          </w:tcPr>
          <w:p w14:paraId="19EE4BAC">
            <w:pPr>
              <w:spacing w:before="105"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912" w:type="dxa"/>
            <w:vAlign w:val="top"/>
          </w:tcPr>
          <w:p w14:paraId="3BF3793A">
            <w:pPr>
              <w:spacing w:before="105" w:line="195" w:lineRule="auto"/>
              <w:ind w:left="1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815" w:type="dxa"/>
            <w:vAlign w:val="top"/>
          </w:tcPr>
          <w:p w14:paraId="1D4C316B">
            <w:pPr>
              <w:spacing w:before="105"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880" w:type="dxa"/>
            <w:vAlign w:val="top"/>
          </w:tcPr>
          <w:p w14:paraId="34E8225E">
            <w:pPr>
              <w:spacing w:before="105"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699" w:type="dxa"/>
            <w:vAlign w:val="top"/>
          </w:tcPr>
          <w:p w14:paraId="2D044EBB">
            <w:pPr>
              <w:spacing w:before="105"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824" w:type="dxa"/>
            <w:vAlign w:val="top"/>
          </w:tcPr>
          <w:p w14:paraId="5755E230">
            <w:pPr>
              <w:spacing w:before="105" w:line="195"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767" w:type="dxa"/>
            <w:tcBorders>
              <w:right w:val="single" w:color="000000" w:sz="10" w:space="0"/>
            </w:tcBorders>
            <w:vAlign w:val="top"/>
          </w:tcPr>
          <w:p w14:paraId="30014BD3">
            <w:pPr>
              <w:spacing w:before="105"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r>
      <w:tr w14:paraId="0389A7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955" w:type="dxa"/>
            <w:tcBorders>
              <w:left w:val="single" w:color="000000" w:sz="10" w:space="0"/>
            </w:tcBorders>
            <w:vAlign w:val="top"/>
          </w:tcPr>
          <w:p w14:paraId="3FF6756D">
            <w:pPr>
              <w:spacing w:before="179"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2022-05</w:t>
            </w:r>
          </w:p>
        </w:tc>
        <w:tc>
          <w:tcPr>
            <w:tcW w:w="700" w:type="dxa"/>
            <w:vAlign w:val="top"/>
          </w:tcPr>
          <w:p w14:paraId="644AEAD6">
            <w:pPr>
              <w:spacing w:before="179"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10.3</w:t>
            </w:r>
          </w:p>
        </w:tc>
        <w:tc>
          <w:tcPr>
            <w:tcW w:w="949" w:type="dxa"/>
            <w:vAlign w:val="top"/>
          </w:tcPr>
          <w:p w14:paraId="6985D59B">
            <w:pPr>
              <w:spacing w:before="179"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0.7</w:t>
            </w:r>
          </w:p>
        </w:tc>
        <w:tc>
          <w:tcPr>
            <w:tcW w:w="816" w:type="dxa"/>
            <w:vAlign w:val="top"/>
          </w:tcPr>
          <w:p w14:paraId="0AED7043">
            <w:pPr>
              <w:spacing w:before="179"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847" w:type="dxa"/>
            <w:vAlign w:val="top"/>
          </w:tcPr>
          <w:p w14:paraId="6ADE72CF">
            <w:pPr>
              <w:spacing w:before="179"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765" w:type="dxa"/>
            <w:vAlign w:val="top"/>
          </w:tcPr>
          <w:p w14:paraId="5932B213">
            <w:pPr>
              <w:spacing w:before="179"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0.100</w:t>
            </w:r>
          </w:p>
        </w:tc>
        <w:tc>
          <w:tcPr>
            <w:tcW w:w="847" w:type="dxa"/>
            <w:vAlign w:val="top"/>
          </w:tcPr>
          <w:p w14:paraId="67A3F716">
            <w:pPr>
              <w:spacing w:before="179"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900" w:type="dxa"/>
            <w:vAlign w:val="top"/>
          </w:tcPr>
          <w:p w14:paraId="0E55A609">
            <w:pPr>
              <w:spacing w:before="179"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0.0019</w:t>
            </w:r>
          </w:p>
        </w:tc>
        <w:tc>
          <w:tcPr>
            <w:tcW w:w="934" w:type="dxa"/>
            <w:vAlign w:val="top"/>
          </w:tcPr>
          <w:p w14:paraId="2AAAC5D0">
            <w:pPr>
              <w:spacing w:before="59"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0.00000</w:t>
            </w:r>
          </w:p>
          <w:p w14:paraId="184DB837">
            <w:pPr>
              <w:spacing w:before="55" w:line="181" w:lineRule="auto"/>
              <w:ind w:left="42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900" w:type="dxa"/>
            <w:vAlign w:val="top"/>
          </w:tcPr>
          <w:p w14:paraId="161717B4">
            <w:pPr>
              <w:spacing w:before="179" w:line="195" w:lineRule="auto"/>
              <w:ind w:left="1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715" w:type="dxa"/>
            <w:vAlign w:val="top"/>
          </w:tcPr>
          <w:p w14:paraId="277581C9">
            <w:pPr>
              <w:spacing w:before="179"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912" w:type="dxa"/>
            <w:vAlign w:val="top"/>
          </w:tcPr>
          <w:p w14:paraId="462EDAF4">
            <w:pPr>
              <w:spacing w:before="179" w:line="195" w:lineRule="auto"/>
              <w:ind w:left="1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815" w:type="dxa"/>
            <w:vAlign w:val="top"/>
          </w:tcPr>
          <w:p w14:paraId="4DED9064">
            <w:pPr>
              <w:spacing w:before="179"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880" w:type="dxa"/>
            <w:vAlign w:val="top"/>
          </w:tcPr>
          <w:p w14:paraId="03751D00">
            <w:pPr>
              <w:spacing w:before="179"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699" w:type="dxa"/>
            <w:vAlign w:val="top"/>
          </w:tcPr>
          <w:p w14:paraId="5A556CF9">
            <w:pPr>
              <w:spacing w:before="179"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824" w:type="dxa"/>
            <w:vAlign w:val="top"/>
          </w:tcPr>
          <w:p w14:paraId="40C0776D">
            <w:pPr>
              <w:spacing w:before="179" w:line="195"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767" w:type="dxa"/>
            <w:tcBorders>
              <w:right w:val="single" w:color="000000" w:sz="10" w:space="0"/>
            </w:tcBorders>
            <w:vAlign w:val="top"/>
          </w:tcPr>
          <w:p w14:paraId="37D75EFD">
            <w:pPr>
              <w:spacing w:before="179"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272FC6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955" w:type="dxa"/>
            <w:tcBorders>
              <w:left w:val="single" w:color="000000" w:sz="10" w:space="0"/>
            </w:tcBorders>
            <w:vAlign w:val="top"/>
          </w:tcPr>
          <w:p w14:paraId="0B2BE6D1">
            <w:pPr>
              <w:spacing w:before="180"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2022-07</w:t>
            </w:r>
          </w:p>
        </w:tc>
        <w:tc>
          <w:tcPr>
            <w:tcW w:w="700" w:type="dxa"/>
            <w:vAlign w:val="top"/>
          </w:tcPr>
          <w:p w14:paraId="7E77EF8B">
            <w:pPr>
              <w:spacing w:before="180" w:line="195" w:lineRule="auto"/>
              <w:ind w:left="217"/>
              <w:rPr>
                <w:rFonts w:ascii="Times New Roman" w:hAnsi="Times New Roman" w:eastAsia="Times New Roman" w:cs="Times New Roman"/>
                <w:sz w:val="20"/>
                <w:szCs w:val="20"/>
              </w:rPr>
            </w:pPr>
            <w:r>
              <w:rPr>
                <w:rFonts w:ascii="Times New Roman" w:hAnsi="Times New Roman" w:eastAsia="Times New Roman" w:cs="Times New Roman"/>
                <w:sz w:val="20"/>
                <w:szCs w:val="20"/>
              </w:rPr>
              <w:t>8.3</w:t>
            </w:r>
          </w:p>
        </w:tc>
        <w:tc>
          <w:tcPr>
            <w:tcW w:w="949" w:type="dxa"/>
            <w:vAlign w:val="top"/>
          </w:tcPr>
          <w:p w14:paraId="760A93A9">
            <w:pPr>
              <w:spacing w:before="180"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816" w:type="dxa"/>
            <w:vAlign w:val="top"/>
          </w:tcPr>
          <w:p w14:paraId="26D208A7">
            <w:pPr>
              <w:spacing w:before="60" w:line="195" w:lineRule="auto"/>
              <w:ind w:left="1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w:t>
            </w:r>
          </w:p>
          <w:p w14:paraId="04773164">
            <w:pPr>
              <w:spacing w:before="55" w:line="180"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47" w:type="dxa"/>
            <w:vAlign w:val="top"/>
          </w:tcPr>
          <w:p w14:paraId="0F4E001F">
            <w:pPr>
              <w:spacing w:before="180" w:line="195" w:lineRule="auto"/>
              <w:ind w:left="1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0.0004</w:t>
            </w:r>
          </w:p>
        </w:tc>
        <w:tc>
          <w:tcPr>
            <w:tcW w:w="765" w:type="dxa"/>
            <w:vAlign w:val="top"/>
          </w:tcPr>
          <w:p w14:paraId="6381806C">
            <w:pPr>
              <w:spacing w:before="180"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0.126</w:t>
            </w:r>
          </w:p>
        </w:tc>
        <w:tc>
          <w:tcPr>
            <w:tcW w:w="847" w:type="dxa"/>
            <w:vAlign w:val="top"/>
          </w:tcPr>
          <w:p w14:paraId="274AFC96">
            <w:pPr>
              <w:spacing w:before="180"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900" w:type="dxa"/>
            <w:vAlign w:val="top"/>
          </w:tcPr>
          <w:p w14:paraId="1C3FDB8D">
            <w:pPr>
              <w:spacing w:before="180"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0.0019</w:t>
            </w:r>
          </w:p>
        </w:tc>
        <w:tc>
          <w:tcPr>
            <w:tcW w:w="934" w:type="dxa"/>
            <w:vAlign w:val="top"/>
          </w:tcPr>
          <w:p w14:paraId="3D4646DA">
            <w:pPr>
              <w:spacing w:before="180"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900" w:type="dxa"/>
            <w:vAlign w:val="top"/>
          </w:tcPr>
          <w:p w14:paraId="6F88DC9F">
            <w:pPr>
              <w:spacing w:before="180" w:line="195" w:lineRule="auto"/>
              <w:ind w:left="1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715" w:type="dxa"/>
            <w:vAlign w:val="top"/>
          </w:tcPr>
          <w:p w14:paraId="68041267">
            <w:pPr>
              <w:spacing w:before="180"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912" w:type="dxa"/>
            <w:vAlign w:val="top"/>
          </w:tcPr>
          <w:p w14:paraId="7C4E9C09">
            <w:pPr>
              <w:spacing w:before="180" w:line="195" w:lineRule="auto"/>
              <w:ind w:left="1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815" w:type="dxa"/>
            <w:vAlign w:val="top"/>
          </w:tcPr>
          <w:p w14:paraId="1409E8F3">
            <w:pPr>
              <w:spacing w:before="180"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880" w:type="dxa"/>
            <w:vAlign w:val="top"/>
          </w:tcPr>
          <w:p w14:paraId="75D30A77">
            <w:pPr>
              <w:spacing w:before="180"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699" w:type="dxa"/>
            <w:vAlign w:val="top"/>
          </w:tcPr>
          <w:p w14:paraId="4FF4E383">
            <w:pPr>
              <w:spacing w:before="180"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824" w:type="dxa"/>
            <w:vAlign w:val="top"/>
          </w:tcPr>
          <w:p w14:paraId="7928CA1C">
            <w:pPr>
              <w:spacing w:before="180" w:line="195"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767" w:type="dxa"/>
            <w:tcBorders>
              <w:right w:val="single" w:color="000000" w:sz="10" w:space="0"/>
            </w:tcBorders>
            <w:vAlign w:val="top"/>
          </w:tcPr>
          <w:p w14:paraId="223ACC14">
            <w:pPr>
              <w:spacing w:before="180"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4839D1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955" w:type="dxa"/>
            <w:tcBorders>
              <w:left w:val="single" w:color="000000" w:sz="10" w:space="0"/>
            </w:tcBorders>
            <w:vAlign w:val="top"/>
          </w:tcPr>
          <w:p w14:paraId="724D6B06">
            <w:pPr>
              <w:spacing w:before="112"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2022-11</w:t>
            </w:r>
          </w:p>
        </w:tc>
        <w:tc>
          <w:tcPr>
            <w:tcW w:w="700" w:type="dxa"/>
            <w:vAlign w:val="top"/>
          </w:tcPr>
          <w:p w14:paraId="1DA4C800">
            <w:pPr>
              <w:spacing w:before="112"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7.3</w:t>
            </w:r>
          </w:p>
        </w:tc>
        <w:tc>
          <w:tcPr>
            <w:tcW w:w="949" w:type="dxa"/>
            <w:vAlign w:val="top"/>
          </w:tcPr>
          <w:p w14:paraId="2DA71A7F">
            <w:pPr>
              <w:spacing w:before="112"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816" w:type="dxa"/>
            <w:vAlign w:val="top"/>
          </w:tcPr>
          <w:p w14:paraId="66B7E680">
            <w:pPr>
              <w:spacing w:before="112"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847" w:type="dxa"/>
            <w:vAlign w:val="top"/>
          </w:tcPr>
          <w:p w14:paraId="4A3F9C6B">
            <w:pPr>
              <w:spacing w:before="112"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765" w:type="dxa"/>
            <w:vAlign w:val="top"/>
          </w:tcPr>
          <w:p w14:paraId="2A9EF8F6">
            <w:pPr>
              <w:spacing w:before="112"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0.144</w:t>
            </w:r>
          </w:p>
        </w:tc>
        <w:tc>
          <w:tcPr>
            <w:tcW w:w="847" w:type="dxa"/>
            <w:vAlign w:val="top"/>
          </w:tcPr>
          <w:p w14:paraId="70260621">
            <w:pPr>
              <w:spacing w:before="112"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900" w:type="dxa"/>
            <w:vAlign w:val="top"/>
          </w:tcPr>
          <w:p w14:paraId="6E86CAD5">
            <w:pPr>
              <w:spacing w:before="112"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0.0029</w:t>
            </w:r>
          </w:p>
        </w:tc>
        <w:tc>
          <w:tcPr>
            <w:tcW w:w="934" w:type="dxa"/>
            <w:vAlign w:val="top"/>
          </w:tcPr>
          <w:p w14:paraId="3BACB48A">
            <w:pPr>
              <w:spacing w:before="112"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900" w:type="dxa"/>
            <w:vAlign w:val="top"/>
          </w:tcPr>
          <w:p w14:paraId="10C861DB">
            <w:pPr>
              <w:spacing w:before="112" w:line="195" w:lineRule="auto"/>
              <w:ind w:left="1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0.00005</w:t>
            </w:r>
          </w:p>
        </w:tc>
        <w:tc>
          <w:tcPr>
            <w:tcW w:w="715" w:type="dxa"/>
            <w:vAlign w:val="top"/>
          </w:tcPr>
          <w:p w14:paraId="0AD0AE0E">
            <w:pPr>
              <w:spacing w:before="112"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912" w:type="dxa"/>
            <w:vAlign w:val="top"/>
          </w:tcPr>
          <w:p w14:paraId="01359812">
            <w:pPr>
              <w:spacing w:before="112"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815" w:type="dxa"/>
            <w:vAlign w:val="top"/>
          </w:tcPr>
          <w:p w14:paraId="539CFC66">
            <w:pPr>
              <w:spacing w:before="112"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880" w:type="dxa"/>
            <w:vAlign w:val="top"/>
          </w:tcPr>
          <w:p w14:paraId="69EF327C">
            <w:pPr>
              <w:spacing w:before="112"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699" w:type="dxa"/>
            <w:vAlign w:val="top"/>
          </w:tcPr>
          <w:p w14:paraId="791BBE5F">
            <w:pPr>
              <w:spacing w:before="112"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824" w:type="dxa"/>
            <w:vAlign w:val="top"/>
          </w:tcPr>
          <w:p w14:paraId="00F4C457">
            <w:pPr>
              <w:spacing w:before="112" w:line="195"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767" w:type="dxa"/>
            <w:tcBorders>
              <w:right w:val="single" w:color="000000" w:sz="10" w:space="0"/>
            </w:tcBorders>
            <w:vAlign w:val="top"/>
          </w:tcPr>
          <w:p w14:paraId="61723D96">
            <w:pPr>
              <w:spacing w:before="112"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153F4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955" w:type="dxa"/>
            <w:tcBorders>
              <w:left w:val="single" w:color="000000" w:sz="10" w:space="0"/>
            </w:tcBorders>
            <w:vAlign w:val="top"/>
          </w:tcPr>
          <w:p w14:paraId="22175405">
            <w:pPr>
              <w:spacing w:before="113"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2023-02</w:t>
            </w:r>
          </w:p>
        </w:tc>
        <w:tc>
          <w:tcPr>
            <w:tcW w:w="700" w:type="dxa"/>
            <w:vAlign w:val="top"/>
          </w:tcPr>
          <w:p w14:paraId="26358226">
            <w:pPr>
              <w:spacing w:before="113"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949" w:type="dxa"/>
            <w:vAlign w:val="top"/>
          </w:tcPr>
          <w:p w14:paraId="27F123CC">
            <w:pPr>
              <w:spacing w:before="113" w:line="195" w:lineRule="auto"/>
              <w:ind w:left="35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816" w:type="dxa"/>
            <w:vAlign w:val="top"/>
          </w:tcPr>
          <w:p w14:paraId="39E19734">
            <w:pPr>
              <w:spacing w:before="113"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847" w:type="dxa"/>
            <w:vAlign w:val="top"/>
          </w:tcPr>
          <w:p w14:paraId="4139E739">
            <w:pPr>
              <w:spacing w:before="113"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0.025</w:t>
            </w:r>
          </w:p>
        </w:tc>
        <w:tc>
          <w:tcPr>
            <w:tcW w:w="765" w:type="dxa"/>
            <w:vAlign w:val="top"/>
          </w:tcPr>
          <w:p w14:paraId="75A6D106">
            <w:pPr>
              <w:spacing w:before="113"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0.092</w:t>
            </w:r>
          </w:p>
        </w:tc>
        <w:tc>
          <w:tcPr>
            <w:tcW w:w="847" w:type="dxa"/>
            <w:vAlign w:val="top"/>
          </w:tcPr>
          <w:p w14:paraId="5CD8DDC9">
            <w:pPr>
              <w:spacing w:before="113"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900" w:type="dxa"/>
            <w:vAlign w:val="top"/>
          </w:tcPr>
          <w:p w14:paraId="6173B63A">
            <w:pPr>
              <w:spacing w:before="113"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0.0009</w:t>
            </w:r>
          </w:p>
        </w:tc>
        <w:tc>
          <w:tcPr>
            <w:tcW w:w="934" w:type="dxa"/>
            <w:vAlign w:val="top"/>
          </w:tcPr>
          <w:p w14:paraId="2B3BD4D8">
            <w:pPr>
              <w:spacing w:before="113"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900" w:type="dxa"/>
            <w:vAlign w:val="top"/>
          </w:tcPr>
          <w:p w14:paraId="44AFD20E">
            <w:pPr>
              <w:spacing w:before="113" w:line="195" w:lineRule="auto"/>
              <w:ind w:left="1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715" w:type="dxa"/>
            <w:vAlign w:val="top"/>
          </w:tcPr>
          <w:p w14:paraId="0C86E191">
            <w:pPr>
              <w:spacing w:before="113"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912" w:type="dxa"/>
            <w:vAlign w:val="top"/>
          </w:tcPr>
          <w:p w14:paraId="7AA375EB">
            <w:pPr>
              <w:spacing w:before="113"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815" w:type="dxa"/>
            <w:vAlign w:val="top"/>
          </w:tcPr>
          <w:p w14:paraId="20F1FEA3">
            <w:pPr>
              <w:spacing w:before="113"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880" w:type="dxa"/>
            <w:vAlign w:val="top"/>
          </w:tcPr>
          <w:p w14:paraId="2F4B6237">
            <w:pPr>
              <w:spacing w:before="113"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699" w:type="dxa"/>
            <w:vAlign w:val="top"/>
          </w:tcPr>
          <w:p w14:paraId="224BC8FA">
            <w:pPr>
              <w:spacing w:before="113"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824" w:type="dxa"/>
            <w:vAlign w:val="top"/>
          </w:tcPr>
          <w:p w14:paraId="2722AEAE">
            <w:pPr>
              <w:spacing w:before="113" w:line="195"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767" w:type="dxa"/>
            <w:tcBorders>
              <w:right w:val="single" w:color="000000" w:sz="10" w:space="0"/>
            </w:tcBorders>
            <w:vAlign w:val="top"/>
          </w:tcPr>
          <w:p w14:paraId="1C335F83">
            <w:pPr>
              <w:spacing w:before="113"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68AFC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955" w:type="dxa"/>
            <w:tcBorders>
              <w:left w:val="single" w:color="000000" w:sz="10" w:space="0"/>
            </w:tcBorders>
            <w:vAlign w:val="top"/>
          </w:tcPr>
          <w:p w14:paraId="718AB40A">
            <w:pPr>
              <w:spacing w:before="115"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2023-04</w:t>
            </w:r>
          </w:p>
        </w:tc>
        <w:tc>
          <w:tcPr>
            <w:tcW w:w="700" w:type="dxa"/>
            <w:vAlign w:val="top"/>
          </w:tcPr>
          <w:p w14:paraId="351D1D73">
            <w:pPr>
              <w:spacing w:before="115"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12.8</w:t>
            </w:r>
          </w:p>
        </w:tc>
        <w:tc>
          <w:tcPr>
            <w:tcW w:w="949" w:type="dxa"/>
            <w:vAlign w:val="top"/>
          </w:tcPr>
          <w:p w14:paraId="05529001">
            <w:pPr>
              <w:spacing w:before="115" w:line="195" w:lineRule="auto"/>
              <w:ind w:left="35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1.1</w:t>
            </w:r>
          </w:p>
        </w:tc>
        <w:tc>
          <w:tcPr>
            <w:tcW w:w="816" w:type="dxa"/>
            <w:vAlign w:val="top"/>
          </w:tcPr>
          <w:p w14:paraId="1067FA21">
            <w:pPr>
              <w:spacing w:before="115"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847" w:type="dxa"/>
            <w:vAlign w:val="top"/>
          </w:tcPr>
          <w:p w14:paraId="0EF0B98B">
            <w:pPr>
              <w:spacing w:before="115"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0.025</w:t>
            </w:r>
          </w:p>
        </w:tc>
        <w:tc>
          <w:tcPr>
            <w:tcW w:w="765" w:type="dxa"/>
            <w:vAlign w:val="top"/>
          </w:tcPr>
          <w:p w14:paraId="28D16D52">
            <w:pPr>
              <w:spacing w:before="115"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0.107</w:t>
            </w:r>
          </w:p>
        </w:tc>
        <w:tc>
          <w:tcPr>
            <w:tcW w:w="847" w:type="dxa"/>
            <w:vAlign w:val="top"/>
          </w:tcPr>
          <w:p w14:paraId="0188EA78">
            <w:pPr>
              <w:spacing w:before="115"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900" w:type="dxa"/>
            <w:vAlign w:val="top"/>
          </w:tcPr>
          <w:p w14:paraId="4022BA53">
            <w:pPr>
              <w:spacing w:before="115"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0.0017</w:t>
            </w:r>
          </w:p>
        </w:tc>
        <w:tc>
          <w:tcPr>
            <w:tcW w:w="934" w:type="dxa"/>
            <w:vAlign w:val="top"/>
          </w:tcPr>
          <w:p w14:paraId="6843A2C0">
            <w:pPr>
              <w:spacing w:before="115"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900" w:type="dxa"/>
            <w:vAlign w:val="top"/>
          </w:tcPr>
          <w:p w14:paraId="0B6B9F3F">
            <w:pPr>
              <w:spacing w:before="115" w:line="195" w:lineRule="auto"/>
              <w:ind w:left="1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715" w:type="dxa"/>
            <w:vAlign w:val="top"/>
          </w:tcPr>
          <w:p w14:paraId="214E06DB">
            <w:pPr>
              <w:spacing w:before="115"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912" w:type="dxa"/>
            <w:vAlign w:val="top"/>
          </w:tcPr>
          <w:p w14:paraId="28C25394">
            <w:pPr>
              <w:spacing w:before="115" w:line="195" w:lineRule="auto"/>
              <w:ind w:left="1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815" w:type="dxa"/>
            <w:vAlign w:val="top"/>
          </w:tcPr>
          <w:p w14:paraId="1113890F">
            <w:pPr>
              <w:spacing w:before="115"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880" w:type="dxa"/>
            <w:vAlign w:val="top"/>
          </w:tcPr>
          <w:p w14:paraId="72A87EEF">
            <w:pPr>
              <w:spacing w:before="115"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699" w:type="dxa"/>
            <w:vAlign w:val="top"/>
          </w:tcPr>
          <w:p w14:paraId="4EF52B88">
            <w:pPr>
              <w:spacing w:before="115"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824" w:type="dxa"/>
            <w:vAlign w:val="top"/>
          </w:tcPr>
          <w:p w14:paraId="78AB3635">
            <w:pPr>
              <w:spacing w:before="115" w:line="195"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767" w:type="dxa"/>
            <w:tcBorders>
              <w:right w:val="single" w:color="000000" w:sz="10" w:space="0"/>
            </w:tcBorders>
            <w:vAlign w:val="top"/>
          </w:tcPr>
          <w:p w14:paraId="7EDF89FE">
            <w:pPr>
              <w:spacing w:before="115"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145067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955" w:type="dxa"/>
            <w:tcBorders>
              <w:left w:val="single" w:color="000000" w:sz="10" w:space="0"/>
            </w:tcBorders>
            <w:vAlign w:val="top"/>
          </w:tcPr>
          <w:p w14:paraId="2C695E83">
            <w:pPr>
              <w:spacing w:before="117"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2023-07</w:t>
            </w:r>
          </w:p>
        </w:tc>
        <w:tc>
          <w:tcPr>
            <w:tcW w:w="700" w:type="dxa"/>
            <w:vAlign w:val="top"/>
          </w:tcPr>
          <w:p w14:paraId="0E06F416">
            <w:pPr>
              <w:spacing w:before="117"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13.3</w:t>
            </w:r>
          </w:p>
        </w:tc>
        <w:tc>
          <w:tcPr>
            <w:tcW w:w="949" w:type="dxa"/>
            <w:vAlign w:val="top"/>
          </w:tcPr>
          <w:p w14:paraId="5C73F236">
            <w:pPr>
              <w:spacing w:before="117" w:line="195" w:lineRule="auto"/>
              <w:ind w:left="35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1.1</w:t>
            </w:r>
          </w:p>
        </w:tc>
        <w:tc>
          <w:tcPr>
            <w:tcW w:w="816" w:type="dxa"/>
            <w:vAlign w:val="top"/>
          </w:tcPr>
          <w:p w14:paraId="4FD4840C">
            <w:pPr>
              <w:spacing w:before="117"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847" w:type="dxa"/>
            <w:vAlign w:val="top"/>
          </w:tcPr>
          <w:p w14:paraId="37542742">
            <w:pPr>
              <w:spacing w:before="117"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w:t>
            </w:r>
          </w:p>
        </w:tc>
        <w:tc>
          <w:tcPr>
            <w:tcW w:w="765" w:type="dxa"/>
            <w:vAlign w:val="top"/>
          </w:tcPr>
          <w:p w14:paraId="69F33213">
            <w:pPr>
              <w:spacing w:before="117"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0.177</w:t>
            </w:r>
          </w:p>
        </w:tc>
        <w:tc>
          <w:tcPr>
            <w:tcW w:w="847" w:type="dxa"/>
            <w:vAlign w:val="top"/>
          </w:tcPr>
          <w:p w14:paraId="264D1319">
            <w:pPr>
              <w:spacing w:before="117"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900" w:type="dxa"/>
            <w:vAlign w:val="top"/>
          </w:tcPr>
          <w:p w14:paraId="23A69AD7">
            <w:pPr>
              <w:spacing w:before="117"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0.0018</w:t>
            </w:r>
          </w:p>
        </w:tc>
        <w:tc>
          <w:tcPr>
            <w:tcW w:w="934" w:type="dxa"/>
            <w:vAlign w:val="top"/>
          </w:tcPr>
          <w:p w14:paraId="33BAEB83">
            <w:pPr>
              <w:spacing w:before="117"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900" w:type="dxa"/>
            <w:vAlign w:val="top"/>
          </w:tcPr>
          <w:p w14:paraId="1A7A34B7">
            <w:pPr>
              <w:spacing w:before="117" w:line="195" w:lineRule="auto"/>
              <w:ind w:left="1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715" w:type="dxa"/>
            <w:vAlign w:val="top"/>
          </w:tcPr>
          <w:p w14:paraId="5CF5864D">
            <w:pPr>
              <w:spacing w:before="117"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912" w:type="dxa"/>
            <w:vAlign w:val="top"/>
          </w:tcPr>
          <w:p w14:paraId="0CAAAE99">
            <w:pPr>
              <w:spacing w:before="117"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0.0001</w:t>
            </w:r>
          </w:p>
        </w:tc>
        <w:tc>
          <w:tcPr>
            <w:tcW w:w="815" w:type="dxa"/>
            <w:vAlign w:val="top"/>
          </w:tcPr>
          <w:p w14:paraId="1785914E">
            <w:pPr>
              <w:spacing w:before="117"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880" w:type="dxa"/>
            <w:vAlign w:val="top"/>
          </w:tcPr>
          <w:p w14:paraId="150BF6C4">
            <w:pPr>
              <w:spacing w:before="117"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699" w:type="dxa"/>
            <w:vAlign w:val="top"/>
          </w:tcPr>
          <w:p w14:paraId="381227D5">
            <w:pPr>
              <w:spacing w:before="117"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824" w:type="dxa"/>
            <w:vAlign w:val="top"/>
          </w:tcPr>
          <w:p w14:paraId="26162BB7">
            <w:pPr>
              <w:spacing w:before="117" w:line="195"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767" w:type="dxa"/>
            <w:tcBorders>
              <w:right w:val="single" w:color="000000" w:sz="10" w:space="0"/>
            </w:tcBorders>
            <w:vAlign w:val="top"/>
          </w:tcPr>
          <w:p w14:paraId="41C92B07">
            <w:pPr>
              <w:spacing w:before="117"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4D5AC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955" w:type="dxa"/>
            <w:tcBorders>
              <w:left w:val="single" w:color="000000" w:sz="10" w:space="0"/>
            </w:tcBorders>
            <w:vAlign w:val="top"/>
          </w:tcPr>
          <w:p w14:paraId="6744E6EB">
            <w:pPr>
              <w:spacing w:before="188"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2023-10</w:t>
            </w:r>
          </w:p>
        </w:tc>
        <w:tc>
          <w:tcPr>
            <w:tcW w:w="700" w:type="dxa"/>
            <w:vAlign w:val="top"/>
          </w:tcPr>
          <w:p w14:paraId="6DF81225">
            <w:pPr>
              <w:spacing w:before="188" w:line="195" w:lineRule="auto"/>
              <w:ind w:left="215"/>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c>
          <w:tcPr>
            <w:tcW w:w="949" w:type="dxa"/>
            <w:vAlign w:val="top"/>
          </w:tcPr>
          <w:p w14:paraId="3A6FD8FD">
            <w:pPr>
              <w:spacing w:before="188" w:line="195" w:lineRule="auto"/>
              <w:ind w:left="35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816" w:type="dxa"/>
            <w:vAlign w:val="top"/>
          </w:tcPr>
          <w:p w14:paraId="60CC9F81">
            <w:pPr>
              <w:spacing w:before="68" w:line="195" w:lineRule="auto"/>
              <w:ind w:left="1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w:t>
            </w:r>
          </w:p>
          <w:p w14:paraId="7A8D0A8C">
            <w:pPr>
              <w:spacing w:before="53" w:line="17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47" w:type="dxa"/>
            <w:vAlign w:val="top"/>
          </w:tcPr>
          <w:p w14:paraId="0C7E5267">
            <w:pPr>
              <w:spacing w:before="188" w:line="195" w:lineRule="auto"/>
              <w:ind w:left="1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0.0004</w:t>
            </w:r>
          </w:p>
        </w:tc>
        <w:tc>
          <w:tcPr>
            <w:tcW w:w="765" w:type="dxa"/>
            <w:vAlign w:val="top"/>
          </w:tcPr>
          <w:p w14:paraId="37F8F83E">
            <w:pPr>
              <w:spacing w:before="188"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0.190</w:t>
            </w:r>
          </w:p>
        </w:tc>
        <w:tc>
          <w:tcPr>
            <w:tcW w:w="847" w:type="dxa"/>
            <w:vAlign w:val="top"/>
          </w:tcPr>
          <w:p w14:paraId="79549736">
            <w:pPr>
              <w:spacing w:before="188"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900" w:type="dxa"/>
            <w:vAlign w:val="top"/>
          </w:tcPr>
          <w:p w14:paraId="331A2FA2">
            <w:pPr>
              <w:spacing w:before="188"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0.0029</w:t>
            </w:r>
          </w:p>
        </w:tc>
        <w:tc>
          <w:tcPr>
            <w:tcW w:w="934" w:type="dxa"/>
            <w:vAlign w:val="top"/>
          </w:tcPr>
          <w:p w14:paraId="6A1D33B7">
            <w:pPr>
              <w:spacing w:before="188"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900" w:type="dxa"/>
            <w:vAlign w:val="top"/>
          </w:tcPr>
          <w:p w14:paraId="36353EA1">
            <w:pPr>
              <w:spacing w:before="188" w:line="195" w:lineRule="auto"/>
              <w:ind w:left="1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715" w:type="dxa"/>
            <w:vAlign w:val="top"/>
          </w:tcPr>
          <w:p w14:paraId="0D6C0820">
            <w:pPr>
              <w:spacing w:before="188"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912" w:type="dxa"/>
            <w:vAlign w:val="top"/>
          </w:tcPr>
          <w:p w14:paraId="08EE8AFC">
            <w:pPr>
              <w:spacing w:before="188" w:line="195" w:lineRule="auto"/>
              <w:ind w:left="1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815" w:type="dxa"/>
            <w:vAlign w:val="top"/>
          </w:tcPr>
          <w:p w14:paraId="24B2F72B">
            <w:pPr>
              <w:spacing w:before="188"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880" w:type="dxa"/>
            <w:vAlign w:val="top"/>
          </w:tcPr>
          <w:p w14:paraId="4F69A0B6">
            <w:pPr>
              <w:spacing w:before="188"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699" w:type="dxa"/>
            <w:vAlign w:val="top"/>
          </w:tcPr>
          <w:p w14:paraId="7FDBE3DF">
            <w:pPr>
              <w:spacing w:before="188"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824" w:type="dxa"/>
            <w:vAlign w:val="top"/>
          </w:tcPr>
          <w:p w14:paraId="1234D341">
            <w:pPr>
              <w:spacing w:before="188" w:line="195"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767" w:type="dxa"/>
            <w:tcBorders>
              <w:right w:val="single" w:color="000000" w:sz="10" w:space="0"/>
            </w:tcBorders>
            <w:vAlign w:val="top"/>
          </w:tcPr>
          <w:p w14:paraId="1626511D">
            <w:pPr>
              <w:spacing w:before="188"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358934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955" w:type="dxa"/>
            <w:tcBorders>
              <w:left w:val="single" w:color="000000" w:sz="10" w:space="0"/>
            </w:tcBorders>
            <w:vAlign w:val="top"/>
          </w:tcPr>
          <w:p w14:paraId="4DB39AFA">
            <w:pPr>
              <w:spacing w:before="189"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2024-01</w:t>
            </w:r>
          </w:p>
        </w:tc>
        <w:tc>
          <w:tcPr>
            <w:tcW w:w="700" w:type="dxa"/>
            <w:vAlign w:val="top"/>
          </w:tcPr>
          <w:p w14:paraId="7536514D">
            <w:pPr>
              <w:spacing w:before="189"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9.0</w:t>
            </w:r>
          </w:p>
        </w:tc>
        <w:tc>
          <w:tcPr>
            <w:tcW w:w="949" w:type="dxa"/>
            <w:vAlign w:val="top"/>
          </w:tcPr>
          <w:p w14:paraId="6347EE48">
            <w:pPr>
              <w:spacing w:before="189"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816" w:type="dxa"/>
            <w:vAlign w:val="top"/>
          </w:tcPr>
          <w:p w14:paraId="23381FCB">
            <w:pPr>
              <w:spacing w:before="69" w:line="195" w:lineRule="auto"/>
              <w:ind w:left="1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w:t>
            </w:r>
          </w:p>
          <w:p w14:paraId="5D1F02F6">
            <w:pPr>
              <w:spacing w:before="55" w:line="171"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847" w:type="dxa"/>
            <w:vAlign w:val="top"/>
          </w:tcPr>
          <w:p w14:paraId="53BBCFC1">
            <w:pPr>
              <w:spacing w:before="189"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765" w:type="dxa"/>
            <w:vAlign w:val="top"/>
          </w:tcPr>
          <w:p w14:paraId="0AA9E392">
            <w:pPr>
              <w:spacing w:before="189"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0.138</w:t>
            </w:r>
          </w:p>
        </w:tc>
        <w:tc>
          <w:tcPr>
            <w:tcW w:w="847" w:type="dxa"/>
            <w:vAlign w:val="top"/>
          </w:tcPr>
          <w:p w14:paraId="11F60E47">
            <w:pPr>
              <w:spacing w:before="189"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900" w:type="dxa"/>
            <w:vAlign w:val="top"/>
          </w:tcPr>
          <w:p w14:paraId="0EF8A6EA">
            <w:pPr>
              <w:spacing w:before="189"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0.0012</w:t>
            </w:r>
          </w:p>
        </w:tc>
        <w:tc>
          <w:tcPr>
            <w:tcW w:w="934" w:type="dxa"/>
            <w:vAlign w:val="top"/>
          </w:tcPr>
          <w:p w14:paraId="7F923FCE">
            <w:pPr>
              <w:spacing w:before="189"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900" w:type="dxa"/>
            <w:vAlign w:val="top"/>
          </w:tcPr>
          <w:p w14:paraId="068FF5C8">
            <w:pPr>
              <w:spacing w:before="189" w:line="195" w:lineRule="auto"/>
              <w:ind w:left="1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715" w:type="dxa"/>
            <w:vAlign w:val="top"/>
          </w:tcPr>
          <w:p w14:paraId="09EBE4FF">
            <w:pPr>
              <w:spacing w:before="189"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912" w:type="dxa"/>
            <w:vAlign w:val="top"/>
          </w:tcPr>
          <w:p w14:paraId="5F7F589F">
            <w:pPr>
              <w:spacing w:before="189" w:line="195" w:lineRule="auto"/>
              <w:ind w:left="1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815" w:type="dxa"/>
            <w:vAlign w:val="top"/>
          </w:tcPr>
          <w:p w14:paraId="7A03C461">
            <w:pPr>
              <w:spacing w:before="189"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880" w:type="dxa"/>
            <w:vAlign w:val="top"/>
          </w:tcPr>
          <w:p w14:paraId="41FD1CE6">
            <w:pPr>
              <w:spacing w:before="189"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699" w:type="dxa"/>
            <w:vAlign w:val="top"/>
          </w:tcPr>
          <w:p w14:paraId="1D674D8D">
            <w:pPr>
              <w:spacing w:before="189"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824" w:type="dxa"/>
            <w:vAlign w:val="top"/>
          </w:tcPr>
          <w:p w14:paraId="4011B952">
            <w:pPr>
              <w:spacing w:before="189" w:line="195"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767" w:type="dxa"/>
            <w:tcBorders>
              <w:right w:val="single" w:color="000000" w:sz="10" w:space="0"/>
            </w:tcBorders>
            <w:vAlign w:val="top"/>
          </w:tcPr>
          <w:p w14:paraId="7D814962">
            <w:pPr>
              <w:spacing w:before="189"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r>
      <w:tr w14:paraId="376A77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955" w:type="dxa"/>
            <w:tcBorders>
              <w:left w:val="single" w:color="000000" w:sz="10" w:space="0"/>
            </w:tcBorders>
            <w:vAlign w:val="top"/>
          </w:tcPr>
          <w:p w14:paraId="434A6727">
            <w:pPr>
              <w:spacing w:before="120"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2024-04</w:t>
            </w:r>
          </w:p>
        </w:tc>
        <w:tc>
          <w:tcPr>
            <w:tcW w:w="700" w:type="dxa"/>
            <w:vAlign w:val="top"/>
          </w:tcPr>
          <w:p w14:paraId="0D7844C6">
            <w:pPr>
              <w:spacing w:before="120"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6.7</w:t>
            </w:r>
          </w:p>
        </w:tc>
        <w:tc>
          <w:tcPr>
            <w:tcW w:w="949" w:type="dxa"/>
            <w:vAlign w:val="top"/>
          </w:tcPr>
          <w:p w14:paraId="107B05DD">
            <w:pPr>
              <w:spacing w:before="120" w:line="195" w:lineRule="auto"/>
              <w:ind w:left="35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1.3</w:t>
            </w:r>
          </w:p>
        </w:tc>
        <w:tc>
          <w:tcPr>
            <w:tcW w:w="816" w:type="dxa"/>
            <w:vAlign w:val="top"/>
          </w:tcPr>
          <w:p w14:paraId="2F2370D5">
            <w:pPr>
              <w:spacing w:before="120"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847" w:type="dxa"/>
            <w:vAlign w:val="top"/>
          </w:tcPr>
          <w:p w14:paraId="71C29504">
            <w:pPr>
              <w:spacing w:before="120"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0.025</w:t>
            </w:r>
          </w:p>
        </w:tc>
        <w:tc>
          <w:tcPr>
            <w:tcW w:w="765" w:type="dxa"/>
            <w:vAlign w:val="top"/>
          </w:tcPr>
          <w:p w14:paraId="45A39B74">
            <w:pPr>
              <w:spacing w:before="120"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0.120</w:t>
            </w:r>
          </w:p>
        </w:tc>
        <w:tc>
          <w:tcPr>
            <w:tcW w:w="847" w:type="dxa"/>
            <w:vAlign w:val="top"/>
          </w:tcPr>
          <w:p w14:paraId="0386CA22">
            <w:pPr>
              <w:spacing w:before="120"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900" w:type="dxa"/>
            <w:vAlign w:val="top"/>
          </w:tcPr>
          <w:p w14:paraId="717CD8A1">
            <w:pPr>
              <w:spacing w:before="120"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0.0011</w:t>
            </w:r>
          </w:p>
        </w:tc>
        <w:tc>
          <w:tcPr>
            <w:tcW w:w="934" w:type="dxa"/>
            <w:vAlign w:val="top"/>
          </w:tcPr>
          <w:p w14:paraId="34C18E94">
            <w:pPr>
              <w:spacing w:before="120"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900" w:type="dxa"/>
            <w:vAlign w:val="top"/>
          </w:tcPr>
          <w:p w14:paraId="05CB613B">
            <w:pPr>
              <w:spacing w:before="120" w:line="195" w:lineRule="auto"/>
              <w:ind w:left="1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715" w:type="dxa"/>
            <w:vAlign w:val="top"/>
          </w:tcPr>
          <w:p w14:paraId="474A66B7">
            <w:pPr>
              <w:spacing w:before="120"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912" w:type="dxa"/>
            <w:vAlign w:val="top"/>
          </w:tcPr>
          <w:p w14:paraId="7B329CB1">
            <w:pPr>
              <w:spacing w:before="120" w:line="195" w:lineRule="auto"/>
              <w:ind w:left="1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815" w:type="dxa"/>
            <w:vAlign w:val="top"/>
          </w:tcPr>
          <w:p w14:paraId="561237D5">
            <w:pPr>
              <w:spacing w:before="120"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880" w:type="dxa"/>
            <w:vAlign w:val="top"/>
          </w:tcPr>
          <w:p w14:paraId="60903FDD">
            <w:pPr>
              <w:spacing w:before="120"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w:t>
            </w:r>
          </w:p>
        </w:tc>
        <w:tc>
          <w:tcPr>
            <w:tcW w:w="699" w:type="dxa"/>
            <w:vAlign w:val="top"/>
          </w:tcPr>
          <w:p w14:paraId="3116592C">
            <w:pPr>
              <w:spacing w:before="120"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824" w:type="dxa"/>
            <w:vAlign w:val="top"/>
          </w:tcPr>
          <w:p w14:paraId="2EBA46DC">
            <w:pPr>
              <w:spacing w:before="120" w:line="195"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767" w:type="dxa"/>
            <w:tcBorders>
              <w:right w:val="single" w:color="000000" w:sz="10" w:space="0"/>
            </w:tcBorders>
            <w:vAlign w:val="top"/>
          </w:tcPr>
          <w:p w14:paraId="3608C957">
            <w:pPr>
              <w:spacing w:before="120"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48B19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955" w:type="dxa"/>
            <w:tcBorders>
              <w:left w:val="single" w:color="000000" w:sz="10" w:space="0"/>
            </w:tcBorders>
            <w:vAlign w:val="top"/>
          </w:tcPr>
          <w:p w14:paraId="6589D908">
            <w:pPr>
              <w:spacing w:before="122"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2024-07</w:t>
            </w:r>
          </w:p>
        </w:tc>
        <w:tc>
          <w:tcPr>
            <w:tcW w:w="700" w:type="dxa"/>
            <w:vAlign w:val="top"/>
          </w:tcPr>
          <w:p w14:paraId="44EAD03E">
            <w:pPr>
              <w:spacing w:before="122" w:line="195" w:lineRule="auto"/>
              <w:ind w:left="217"/>
              <w:rPr>
                <w:rFonts w:ascii="Times New Roman" w:hAnsi="Times New Roman" w:eastAsia="Times New Roman" w:cs="Times New Roman"/>
                <w:sz w:val="20"/>
                <w:szCs w:val="20"/>
              </w:rPr>
            </w:pPr>
            <w:r>
              <w:rPr>
                <w:rFonts w:ascii="Times New Roman" w:hAnsi="Times New Roman" w:eastAsia="Times New Roman" w:cs="Times New Roman"/>
                <w:sz w:val="20"/>
                <w:szCs w:val="20"/>
              </w:rPr>
              <w:t>8.5</w:t>
            </w:r>
          </w:p>
        </w:tc>
        <w:tc>
          <w:tcPr>
            <w:tcW w:w="949" w:type="dxa"/>
            <w:vAlign w:val="top"/>
          </w:tcPr>
          <w:p w14:paraId="00E27779">
            <w:pPr>
              <w:spacing w:before="122" w:line="195" w:lineRule="auto"/>
              <w:ind w:left="35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1.8</w:t>
            </w:r>
          </w:p>
        </w:tc>
        <w:tc>
          <w:tcPr>
            <w:tcW w:w="816" w:type="dxa"/>
            <w:vAlign w:val="top"/>
          </w:tcPr>
          <w:p w14:paraId="01C0021F">
            <w:pPr>
              <w:spacing w:before="122"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847" w:type="dxa"/>
            <w:vAlign w:val="top"/>
          </w:tcPr>
          <w:p w14:paraId="15169597">
            <w:pPr>
              <w:spacing w:before="122"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765" w:type="dxa"/>
            <w:vAlign w:val="top"/>
          </w:tcPr>
          <w:p w14:paraId="043A1C39">
            <w:pPr>
              <w:spacing w:before="122"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0.112</w:t>
            </w:r>
          </w:p>
        </w:tc>
        <w:tc>
          <w:tcPr>
            <w:tcW w:w="847" w:type="dxa"/>
            <w:vAlign w:val="top"/>
          </w:tcPr>
          <w:p w14:paraId="0FD518B3">
            <w:pPr>
              <w:spacing w:before="122"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900" w:type="dxa"/>
            <w:vAlign w:val="top"/>
          </w:tcPr>
          <w:p w14:paraId="0415E757">
            <w:pPr>
              <w:spacing w:before="122"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0.0018</w:t>
            </w:r>
          </w:p>
        </w:tc>
        <w:tc>
          <w:tcPr>
            <w:tcW w:w="934" w:type="dxa"/>
            <w:vAlign w:val="top"/>
          </w:tcPr>
          <w:p w14:paraId="0A14542D">
            <w:pPr>
              <w:spacing w:before="122"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900" w:type="dxa"/>
            <w:vAlign w:val="top"/>
          </w:tcPr>
          <w:p w14:paraId="7ABE1B33">
            <w:pPr>
              <w:spacing w:before="122" w:line="195" w:lineRule="auto"/>
              <w:ind w:left="1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715" w:type="dxa"/>
            <w:vAlign w:val="top"/>
          </w:tcPr>
          <w:p w14:paraId="63C7EBFF">
            <w:pPr>
              <w:spacing w:before="122"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912" w:type="dxa"/>
            <w:vAlign w:val="top"/>
          </w:tcPr>
          <w:p w14:paraId="3D4325A9">
            <w:pPr>
              <w:spacing w:before="122" w:line="195" w:lineRule="auto"/>
              <w:ind w:left="1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815" w:type="dxa"/>
            <w:vAlign w:val="top"/>
          </w:tcPr>
          <w:p w14:paraId="3CC8BCB7">
            <w:pPr>
              <w:spacing w:before="122"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880" w:type="dxa"/>
            <w:vAlign w:val="top"/>
          </w:tcPr>
          <w:p w14:paraId="6B6E1206">
            <w:pPr>
              <w:spacing w:before="122"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699" w:type="dxa"/>
            <w:vAlign w:val="top"/>
          </w:tcPr>
          <w:p w14:paraId="6F7C945B">
            <w:pPr>
              <w:spacing w:before="122"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824" w:type="dxa"/>
            <w:vAlign w:val="top"/>
          </w:tcPr>
          <w:p w14:paraId="0CD5837C">
            <w:pPr>
              <w:spacing w:before="122" w:line="195"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767" w:type="dxa"/>
            <w:tcBorders>
              <w:right w:val="single" w:color="000000" w:sz="10" w:space="0"/>
            </w:tcBorders>
            <w:vAlign w:val="top"/>
          </w:tcPr>
          <w:p w14:paraId="611FEDB3">
            <w:pPr>
              <w:spacing w:before="122"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52107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955" w:type="dxa"/>
            <w:tcBorders>
              <w:left w:val="single" w:color="000000" w:sz="10" w:space="0"/>
            </w:tcBorders>
            <w:vAlign w:val="top"/>
          </w:tcPr>
          <w:p w14:paraId="7722D078">
            <w:pPr>
              <w:spacing w:before="123"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2024-10</w:t>
            </w:r>
          </w:p>
        </w:tc>
        <w:tc>
          <w:tcPr>
            <w:tcW w:w="700" w:type="dxa"/>
            <w:vAlign w:val="top"/>
          </w:tcPr>
          <w:p w14:paraId="1DA5356B">
            <w:pPr>
              <w:spacing w:before="123"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9.4</w:t>
            </w:r>
          </w:p>
        </w:tc>
        <w:tc>
          <w:tcPr>
            <w:tcW w:w="949" w:type="dxa"/>
            <w:vAlign w:val="top"/>
          </w:tcPr>
          <w:p w14:paraId="363D2CD6">
            <w:pPr>
              <w:spacing w:before="123"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c>
          <w:tcPr>
            <w:tcW w:w="816" w:type="dxa"/>
            <w:vAlign w:val="top"/>
          </w:tcPr>
          <w:p w14:paraId="12CE5770">
            <w:pPr>
              <w:spacing w:before="123"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847" w:type="dxa"/>
            <w:vAlign w:val="top"/>
          </w:tcPr>
          <w:p w14:paraId="525D466D">
            <w:pPr>
              <w:spacing w:before="123"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0.025</w:t>
            </w:r>
          </w:p>
        </w:tc>
        <w:tc>
          <w:tcPr>
            <w:tcW w:w="765" w:type="dxa"/>
            <w:vAlign w:val="top"/>
          </w:tcPr>
          <w:p w14:paraId="5FBA82C9">
            <w:pPr>
              <w:spacing w:before="123"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0.122</w:t>
            </w:r>
          </w:p>
        </w:tc>
        <w:tc>
          <w:tcPr>
            <w:tcW w:w="847" w:type="dxa"/>
            <w:vAlign w:val="top"/>
          </w:tcPr>
          <w:p w14:paraId="5D5BCB5C">
            <w:pPr>
              <w:spacing w:before="123"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900" w:type="dxa"/>
            <w:vAlign w:val="top"/>
          </w:tcPr>
          <w:p w14:paraId="1D3EC1A1">
            <w:pPr>
              <w:spacing w:before="123"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0.0016</w:t>
            </w:r>
          </w:p>
        </w:tc>
        <w:tc>
          <w:tcPr>
            <w:tcW w:w="934" w:type="dxa"/>
            <w:vAlign w:val="top"/>
          </w:tcPr>
          <w:p w14:paraId="15BAC5AB">
            <w:pPr>
              <w:spacing w:before="123"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900" w:type="dxa"/>
            <w:vAlign w:val="top"/>
          </w:tcPr>
          <w:p w14:paraId="78357A8F">
            <w:pPr>
              <w:spacing w:before="123" w:line="195" w:lineRule="auto"/>
              <w:ind w:left="1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715" w:type="dxa"/>
            <w:vAlign w:val="top"/>
          </w:tcPr>
          <w:p w14:paraId="5CA81F55">
            <w:pPr>
              <w:spacing w:before="123"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912" w:type="dxa"/>
            <w:vAlign w:val="top"/>
          </w:tcPr>
          <w:p w14:paraId="454D7ACC">
            <w:pPr>
              <w:spacing w:before="123" w:line="195" w:lineRule="auto"/>
              <w:ind w:left="1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815" w:type="dxa"/>
            <w:vAlign w:val="top"/>
          </w:tcPr>
          <w:p w14:paraId="4D53646A">
            <w:pPr>
              <w:spacing w:before="123"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880" w:type="dxa"/>
            <w:vAlign w:val="top"/>
          </w:tcPr>
          <w:p w14:paraId="269A5273">
            <w:pPr>
              <w:spacing w:before="123"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699" w:type="dxa"/>
            <w:vAlign w:val="top"/>
          </w:tcPr>
          <w:p w14:paraId="09A0C8E3">
            <w:pPr>
              <w:spacing w:before="123"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824" w:type="dxa"/>
            <w:vAlign w:val="top"/>
          </w:tcPr>
          <w:p w14:paraId="7644B6F0">
            <w:pPr>
              <w:spacing w:before="123" w:line="195"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767" w:type="dxa"/>
            <w:tcBorders>
              <w:right w:val="single" w:color="000000" w:sz="10" w:space="0"/>
            </w:tcBorders>
            <w:vAlign w:val="top"/>
          </w:tcPr>
          <w:p w14:paraId="5A0FF121">
            <w:pPr>
              <w:spacing w:before="123"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68891B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955" w:type="dxa"/>
            <w:tcBorders>
              <w:left w:val="single" w:color="000000" w:sz="10" w:space="0"/>
            </w:tcBorders>
            <w:vAlign w:val="top"/>
          </w:tcPr>
          <w:p w14:paraId="37374201">
            <w:pPr>
              <w:spacing w:before="124"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2025-01</w:t>
            </w:r>
          </w:p>
        </w:tc>
        <w:tc>
          <w:tcPr>
            <w:tcW w:w="700" w:type="dxa"/>
            <w:vAlign w:val="top"/>
          </w:tcPr>
          <w:p w14:paraId="27D01B06">
            <w:pPr>
              <w:spacing w:before="124"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12.7</w:t>
            </w:r>
          </w:p>
        </w:tc>
        <w:tc>
          <w:tcPr>
            <w:tcW w:w="949" w:type="dxa"/>
            <w:vAlign w:val="top"/>
          </w:tcPr>
          <w:p w14:paraId="5D2D903A">
            <w:pPr>
              <w:spacing w:before="124" w:line="195" w:lineRule="auto"/>
              <w:ind w:left="35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816" w:type="dxa"/>
            <w:vAlign w:val="top"/>
          </w:tcPr>
          <w:p w14:paraId="7254B10A">
            <w:pPr>
              <w:spacing w:before="124"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847" w:type="dxa"/>
            <w:vAlign w:val="top"/>
          </w:tcPr>
          <w:p w14:paraId="616BE5AF">
            <w:pPr>
              <w:spacing w:before="124"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0.025</w:t>
            </w:r>
          </w:p>
        </w:tc>
        <w:tc>
          <w:tcPr>
            <w:tcW w:w="765" w:type="dxa"/>
            <w:vAlign w:val="top"/>
          </w:tcPr>
          <w:p w14:paraId="4BC94D45">
            <w:pPr>
              <w:spacing w:before="124"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0.097</w:t>
            </w:r>
          </w:p>
        </w:tc>
        <w:tc>
          <w:tcPr>
            <w:tcW w:w="847" w:type="dxa"/>
            <w:vAlign w:val="top"/>
          </w:tcPr>
          <w:p w14:paraId="3E9F82C0">
            <w:pPr>
              <w:spacing w:before="124"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900" w:type="dxa"/>
            <w:vAlign w:val="top"/>
          </w:tcPr>
          <w:p w14:paraId="5937B5E9">
            <w:pPr>
              <w:spacing w:before="124"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0.0015</w:t>
            </w:r>
          </w:p>
        </w:tc>
        <w:tc>
          <w:tcPr>
            <w:tcW w:w="934" w:type="dxa"/>
            <w:vAlign w:val="top"/>
          </w:tcPr>
          <w:p w14:paraId="2FD7A756">
            <w:pPr>
              <w:spacing w:before="124"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900" w:type="dxa"/>
            <w:vAlign w:val="top"/>
          </w:tcPr>
          <w:p w14:paraId="68770EAF">
            <w:pPr>
              <w:spacing w:before="124" w:line="195" w:lineRule="auto"/>
              <w:ind w:left="1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715" w:type="dxa"/>
            <w:vAlign w:val="top"/>
          </w:tcPr>
          <w:p w14:paraId="0D103860">
            <w:pPr>
              <w:spacing w:before="124"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912" w:type="dxa"/>
            <w:vAlign w:val="top"/>
          </w:tcPr>
          <w:p w14:paraId="21812807">
            <w:pPr>
              <w:spacing w:before="124" w:line="195" w:lineRule="auto"/>
              <w:ind w:left="1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c>
          <w:tcPr>
            <w:tcW w:w="815" w:type="dxa"/>
            <w:vAlign w:val="top"/>
          </w:tcPr>
          <w:p w14:paraId="44BBFA73">
            <w:pPr>
              <w:spacing w:before="124"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0.0005</w:t>
            </w:r>
          </w:p>
        </w:tc>
        <w:tc>
          <w:tcPr>
            <w:tcW w:w="880" w:type="dxa"/>
            <w:vAlign w:val="top"/>
          </w:tcPr>
          <w:p w14:paraId="040715F5">
            <w:pPr>
              <w:spacing w:before="124"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0.0007</w:t>
            </w:r>
          </w:p>
        </w:tc>
        <w:tc>
          <w:tcPr>
            <w:tcW w:w="699" w:type="dxa"/>
            <w:vAlign w:val="top"/>
          </w:tcPr>
          <w:p w14:paraId="3536F07C">
            <w:pPr>
              <w:spacing w:before="124"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824" w:type="dxa"/>
            <w:vAlign w:val="top"/>
          </w:tcPr>
          <w:p w14:paraId="4E4C7ED1">
            <w:pPr>
              <w:spacing w:before="124" w:line="195"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767" w:type="dxa"/>
            <w:tcBorders>
              <w:right w:val="single" w:color="000000" w:sz="10" w:space="0"/>
            </w:tcBorders>
            <w:vAlign w:val="top"/>
          </w:tcPr>
          <w:p w14:paraId="36FBFEBA">
            <w:pPr>
              <w:spacing w:before="124"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14:paraId="0E2C2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955" w:type="dxa"/>
            <w:tcBorders>
              <w:left w:val="single" w:color="000000" w:sz="10" w:space="0"/>
              <w:bottom w:val="single" w:color="000000" w:sz="10" w:space="0"/>
            </w:tcBorders>
            <w:vAlign w:val="top"/>
          </w:tcPr>
          <w:p w14:paraId="1E60A972">
            <w:pPr>
              <w:pStyle w:val="6"/>
              <w:spacing w:before="87" w:line="228" w:lineRule="auto"/>
              <w:ind w:left="151"/>
            </w:pPr>
            <w:r>
              <w:rPr>
                <w:spacing w:val="7"/>
              </w:rPr>
              <w:t>平均值</w:t>
            </w:r>
          </w:p>
        </w:tc>
        <w:tc>
          <w:tcPr>
            <w:tcW w:w="700" w:type="dxa"/>
            <w:tcBorders>
              <w:bottom w:val="single" w:color="000000" w:sz="10" w:space="0"/>
            </w:tcBorders>
            <w:vAlign w:val="top"/>
          </w:tcPr>
          <w:p w14:paraId="230F82AD">
            <w:pPr>
              <w:spacing w:before="126" w:line="195" w:lineRule="auto"/>
              <w:ind w:left="2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9.2</w:t>
            </w:r>
          </w:p>
        </w:tc>
        <w:tc>
          <w:tcPr>
            <w:tcW w:w="949" w:type="dxa"/>
            <w:tcBorders>
              <w:bottom w:val="single" w:color="000000" w:sz="10" w:space="0"/>
            </w:tcBorders>
            <w:vAlign w:val="top"/>
          </w:tcPr>
          <w:p w14:paraId="0C1F7C2B">
            <w:pPr>
              <w:spacing w:before="126"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0.9</w:t>
            </w:r>
          </w:p>
        </w:tc>
        <w:tc>
          <w:tcPr>
            <w:tcW w:w="816" w:type="dxa"/>
            <w:tcBorders>
              <w:bottom w:val="single" w:color="000000" w:sz="10" w:space="0"/>
            </w:tcBorders>
            <w:vAlign w:val="top"/>
          </w:tcPr>
          <w:p w14:paraId="712095B5">
            <w:pPr>
              <w:spacing w:before="126"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847" w:type="dxa"/>
            <w:tcBorders>
              <w:bottom w:val="single" w:color="000000" w:sz="10" w:space="0"/>
            </w:tcBorders>
            <w:vAlign w:val="top"/>
          </w:tcPr>
          <w:p w14:paraId="1C707547">
            <w:pPr>
              <w:spacing w:before="126"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0.011</w:t>
            </w:r>
          </w:p>
        </w:tc>
        <w:tc>
          <w:tcPr>
            <w:tcW w:w="765" w:type="dxa"/>
            <w:tcBorders>
              <w:bottom w:val="single" w:color="000000" w:sz="10" w:space="0"/>
            </w:tcBorders>
            <w:vAlign w:val="top"/>
          </w:tcPr>
          <w:p w14:paraId="737ABC8B">
            <w:pPr>
              <w:spacing w:before="126"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0.120</w:t>
            </w:r>
          </w:p>
        </w:tc>
        <w:tc>
          <w:tcPr>
            <w:tcW w:w="847" w:type="dxa"/>
            <w:tcBorders>
              <w:bottom w:val="single" w:color="000000" w:sz="10" w:space="0"/>
            </w:tcBorders>
            <w:vAlign w:val="top"/>
          </w:tcPr>
          <w:p w14:paraId="405D95BE">
            <w:pPr>
              <w:spacing w:before="126" w:line="195" w:lineRule="auto"/>
              <w:ind w:left="1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900" w:type="dxa"/>
            <w:tcBorders>
              <w:bottom w:val="single" w:color="000000" w:sz="10" w:space="0"/>
            </w:tcBorders>
            <w:vAlign w:val="top"/>
          </w:tcPr>
          <w:p w14:paraId="7DFC7E16">
            <w:pPr>
              <w:spacing w:before="126"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0.0016</w:t>
            </w:r>
          </w:p>
        </w:tc>
        <w:tc>
          <w:tcPr>
            <w:tcW w:w="934" w:type="dxa"/>
            <w:tcBorders>
              <w:bottom w:val="single" w:color="000000" w:sz="10" w:space="0"/>
            </w:tcBorders>
            <w:vAlign w:val="top"/>
          </w:tcPr>
          <w:p w14:paraId="0687C4CF">
            <w:pPr>
              <w:spacing w:before="126"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900" w:type="dxa"/>
            <w:tcBorders>
              <w:bottom w:val="single" w:color="000000" w:sz="10" w:space="0"/>
            </w:tcBorders>
            <w:vAlign w:val="top"/>
          </w:tcPr>
          <w:p w14:paraId="264E543A">
            <w:pPr>
              <w:spacing w:before="126" w:line="195" w:lineRule="auto"/>
              <w:ind w:left="1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0.00002</w:t>
            </w:r>
          </w:p>
        </w:tc>
        <w:tc>
          <w:tcPr>
            <w:tcW w:w="715" w:type="dxa"/>
            <w:tcBorders>
              <w:bottom w:val="single" w:color="000000" w:sz="10" w:space="0"/>
            </w:tcBorders>
            <w:vAlign w:val="top"/>
          </w:tcPr>
          <w:p w14:paraId="77F4ED79">
            <w:pPr>
              <w:spacing w:before="126"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0.002</w:t>
            </w:r>
          </w:p>
        </w:tc>
        <w:tc>
          <w:tcPr>
            <w:tcW w:w="912" w:type="dxa"/>
            <w:tcBorders>
              <w:bottom w:val="single" w:color="000000" w:sz="10" w:space="0"/>
            </w:tcBorders>
            <w:vAlign w:val="top"/>
          </w:tcPr>
          <w:p w14:paraId="7E21B32E">
            <w:pPr>
              <w:spacing w:before="126" w:line="195" w:lineRule="auto"/>
              <w:ind w:left="17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0.0002</w:t>
            </w:r>
          </w:p>
        </w:tc>
        <w:tc>
          <w:tcPr>
            <w:tcW w:w="815" w:type="dxa"/>
            <w:tcBorders>
              <w:bottom w:val="single" w:color="000000" w:sz="10" w:space="0"/>
            </w:tcBorders>
            <w:vAlign w:val="top"/>
          </w:tcPr>
          <w:p w14:paraId="0C36E0ED">
            <w:pPr>
              <w:spacing w:before="126"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0.001</w:t>
            </w:r>
          </w:p>
        </w:tc>
        <w:tc>
          <w:tcPr>
            <w:tcW w:w="880" w:type="dxa"/>
            <w:tcBorders>
              <w:bottom w:val="single" w:color="000000" w:sz="10" w:space="0"/>
            </w:tcBorders>
            <w:vAlign w:val="top"/>
          </w:tcPr>
          <w:p w14:paraId="0ED7CF4F">
            <w:pPr>
              <w:spacing w:before="126"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0.0003</w:t>
            </w:r>
          </w:p>
        </w:tc>
        <w:tc>
          <w:tcPr>
            <w:tcW w:w="699" w:type="dxa"/>
            <w:tcBorders>
              <w:bottom w:val="single" w:color="000000" w:sz="10" w:space="0"/>
            </w:tcBorders>
            <w:vAlign w:val="top"/>
          </w:tcPr>
          <w:p w14:paraId="53C2CD67">
            <w:pPr>
              <w:spacing w:before="126"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824" w:type="dxa"/>
            <w:tcBorders>
              <w:bottom w:val="single" w:color="000000" w:sz="10" w:space="0"/>
            </w:tcBorders>
            <w:vAlign w:val="top"/>
          </w:tcPr>
          <w:p w14:paraId="73CD5677">
            <w:pPr>
              <w:spacing w:before="126" w:line="195"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767" w:type="dxa"/>
            <w:tcBorders>
              <w:bottom w:val="single" w:color="000000" w:sz="10" w:space="0"/>
              <w:right w:val="single" w:color="000000" w:sz="10" w:space="0"/>
            </w:tcBorders>
            <w:vAlign w:val="top"/>
          </w:tcPr>
          <w:p w14:paraId="3EAED46E">
            <w:pPr>
              <w:spacing w:before="126"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w:t>
            </w:r>
          </w:p>
        </w:tc>
      </w:tr>
    </w:tbl>
    <w:p w14:paraId="00BBAC3B">
      <w:pPr>
        <w:pStyle w:val="2"/>
      </w:pPr>
    </w:p>
    <w:p w14:paraId="6964DF25">
      <w:pPr>
        <w:sectPr>
          <w:headerReference r:id="rId83" w:type="default"/>
          <w:footerReference r:id="rId84" w:type="default"/>
          <w:pgSz w:w="16840" w:h="11907"/>
          <w:pgMar w:top="1132" w:right="1294" w:bottom="1258" w:left="1294" w:header="829" w:footer="1096" w:gutter="0"/>
          <w:cols w:space="720" w:num="1"/>
        </w:sectPr>
      </w:pPr>
    </w:p>
    <w:p w14:paraId="7B4C373C">
      <w:pPr>
        <w:pStyle w:val="2"/>
        <w:spacing w:line="248" w:lineRule="auto"/>
      </w:pPr>
    </w:p>
    <w:p w14:paraId="6D6B5DEF">
      <w:pPr>
        <w:spacing w:before="65" w:line="228" w:lineRule="auto"/>
        <w:ind w:left="561"/>
        <w:rPr>
          <w:rFonts w:ascii="宋体" w:hAnsi="宋体" w:eastAsia="宋体" w:cs="宋体"/>
          <w:sz w:val="20"/>
          <w:szCs w:val="20"/>
        </w:rPr>
      </w:pPr>
      <w:r>
        <w:rPr>
          <w:rFonts w:ascii="宋体" w:hAnsi="宋体" w:eastAsia="宋体" w:cs="宋体"/>
          <w:b/>
          <w:bCs/>
          <w:spacing w:val="5"/>
          <w:sz w:val="20"/>
          <w:szCs w:val="20"/>
        </w:rPr>
        <w:t>（</w:t>
      </w:r>
      <w:r>
        <w:rPr>
          <w:rFonts w:ascii="Times New Roman" w:hAnsi="Times New Roman" w:eastAsia="Times New Roman" w:cs="Times New Roman"/>
          <w:b/>
          <w:bCs/>
          <w:spacing w:val="5"/>
          <w:sz w:val="20"/>
          <w:szCs w:val="20"/>
        </w:rPr>
        <w:t>2</w:t>
      </w:r>
      <w:r>
        <w:rPr>
          <w:rFonts w:ascii="宋体" w:hAnsi="宋体" w:eastAsia="宋体" w:cs="宋体"/>
          <w:b/>
          <w:bCs/>
          <w:spacing w:val="5"/>
          <w:sz w:val="20"/>
          <w:szCs w:val="20"/>
        </w:rPr>
        <w:t>）补充监测断面</w:t>
      </w:r>
    </w:p>
    <w:p w14:paraId="4D1DDD3E">
      <w:pPr>
        <w:spacing w:before="161" w:line="221" w:lineRule="auto"/>
        <w:ind w:left="1596"/>
        <w:rPr>
          <w:rFonts w:ascii="Times New Roman" w:hAnsi="Times New Roman" w:eastAsia="Times New Roman" w:cs="Times New Roman"/>
          <w:sz w:val="20"/>
          <w:szCs w:val="20"/>
        </w:rPr>
      </w:pPr>
      <w:r>
        <w:rPr>
          <w:rFonts w:ascii="宋体" w:hAnsi="宋体" w:eastAsia="宋体" w:cs="宋体"/>
          <w:b/>
          <w:bCs/>
          <w:spacing w:val="6"/>
          <w:sz w:val="20"/>
          <w:szCs w:val="20"/>
        </w:rPr>
        <w:t>表</w:t>
      </w:r>
      <w:r>
        <w:rPr>
          <w:rFonts w:ascii="Times New Roman" w:hAnsi="Times New Roman" w:eastAsia="Times New Roman" w:cs="Times New Roman"/>
          <w:b/>
          <w:bCs/>
          <w:spacing w:val="6"/>
          <w:sz w:val="20"/>
          <w:szCs w:val="20"/>
        </w:rPr>
        <w:t>4.3-10</w:t>
      </w:r>
      <w:r>
        <w:rPr>
          <w:rFonts w:ascii="宋体" w:hAnsi="宋体" w:eastAsia="宋体" w:cs="宋体"/>
          <w:b/>
          <w:bCs/>
          <w:spacing w:val="6"/>
          <w:sz w:val="20"/>
          <w:szCs w:val="20"/>
        </w:rPr>
        <w:t>现状水质监测结果统计分析（实测断面</w:t>
      </w:r>
      <w:r>
        <w:rPr>
          <w:rFonts w:ascii="宋体" w:hAnsi="宋体" w:eastAsia="宋体" w:cs="宋体"/>
          <w:b/>
          <w:bCs/>
          <w:spacing w:val="-4"/>
          <w:sz w:val="20"/>
          <w:szCs w:val="20"/>
        </w:rPr>
        <w:t>）（</w:t>
      </w:r>
      <w:r>
        <w:rPr>
          <w:rFonts w:ascii="Times New Roman" w:hAnsi="Times New Roman" w:eastAsia="Times New Roman" w:cs="Times New Roman"/>
          <w:b/>
          <w:bCs/>
          <w:sz w:val="20"/>
          <w:szCs w:val="20"/>
        </w:rPr>
        <w:t>mg</w:t>
      </w:r>
      <w:r>
        <w:rPr>
          <w:rFonts w:ascii="Times New Roman" w:hAnsi="Times New Roman" w:eastAsia="Times New Roman" w:cs="Times New Roman"/>
          <w:b/>
          <w:bCs/>
          <w:spacing w:val="6"/>
          <w:sz w:val="20"/>
          <w:szCs w:val="20"/>
        </w:rPr>
        <w:t>/L)</w:t>
      </w:r>
    </w:p>
    <w:p w14:paraId="56B48A56">
      <w:pPr>
        <w:spacing w:line="20" w:lineRule="auto"/>
        <w:rPr>
          <w:rFonts w:ascii="Arial"/>
          <w:sz w:val="2"/>
        </w:rPr>
      </w:pPr>
    </w:p>
    <w:tbl>
      <w:tblPr>
        <w:tblStyle w:val="5"/>
        <w:tblW w:w="872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7"/>
        <w:gridCol w:w="1440"/>
        <w:gridCol w:w="1190"/>
        <w:gridCol w:w="1229"/>
        <w:gridCol w:w="1255"/>
        <w:gridCol w:w="1279"/>
        <w:gridCol w:w="1294"/>
      </w:tblGrid>
      <w:tr w14:paraId="78661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037" w:type="dxa"/>
            <w:tcBorders>
              <w:top w:val="single" w:color="000000" w:sz="10" w:space="0"/>
              <w:left w:val="single" w:color="000000" w:sz="10" w:space="0"/>
            </w:tcBorders>
            <w:vAlign w:val="top"/>
          </w:tcPr>
          <w:p w14:paraId="3674287F">
            <w:pPr>
              <w:pStyle w:val="6"/>
              <w:spacing w:before="37" w:line="234" w:lineRule="auto"/>
              <w:ind w:left="403" w:right="203" w:hanging="208"/>
            </w:pPr>
            <w:r>
              <w:rPr>
                <w:b/>
                <w:bCs/>
                <w:spacing w:val="5"/>
              </w:rPr>
              <w:t>监测断</w:t>
            </w:r>
            <w:r>
              <w:rPr>
                <w:b/>
                <w:bCs/>
                <w:spacing w:val="-3"/>
              </w:rPr>
              <w:t>面</w:t>
            </w:r>
          </w:p>
        </w:tc>
        <w:tc>
          <w:tcPr>
            <w:tcW w:w="1440" w:type="dxa"/>
            <w:tcBorders>
              <w:top w:val="single" w:color="000000" w:sz="10" w:space="0"/>
            </w:tcBorders>
            <w:vAlign w:val="top"/>
          </w:tcPr>
          <w:p w14:paraId="19AED56B">
            <w:pPr>
              <w:pStyle w:val="6"/>
              <w:spacing w:before="170" w:line="228" w:lineRule="auto"/>
              <w:ind w:left="296"/>
            </w:pPr>
            <w:r>
              <w:rPr>
                <w:b/>
                <w:bCs/>
                <w:spacing w:val="6"/>
              </w:rPr>
              <w:t>监测因子</w:t>
            </w:r>
          </w:p>
        </w:tc>
        <w:tc>
          <w:tcPr>
            <w:tcW w:w="1190" w:type="dxa"/>
            <w:tcBorders>
              <w:top w:val="single" w:color="000000" w:sz="10" w:space="0"/>
            </w:tcBorders>
            <w:vAlign w:val="top"/>
          </w:tcPr>
          <w:p w14:paraId="55113034">
            <w:pPr>
              <w:spacing w:before="206" w:line="195" w:lineRule="auto"/>
              <w:ind w:left="180"/>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2025.6.11</w:t>
            </w:r>
          </w:p>
        </w:tc>
        <w:tc>
          <w:tcPr>
            <w:tcW w:w="1229" w:type="dxa"/>
            <w:tcBorders>
              <w:top w:val="single" w:color="000000" w:sz="10" w:space="0"/>
            </w:tcBorders>
            <w:vAlign w:val="top"/>
          </w:tcPr>
          <w:p w14:paraId="191BD379">
            <w:pPr>
              <w:spacing w:before="206" w:line="195" w:lineRule="auto"/>
              <w:ind w:left="197"/>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2025.6.12</w:t>
            </w:r>
          </w:p>
        </w:tc>
        <w:tc>
          <w:tcPr>
            <w:tcW w:w="1255" w:type="dxa"/>
            <w:tcBorders>
              <w:top w:val="single" w:color="000000" w:sz="10" w:space="0"/>
            </w:tcBorders>
            <w:vAlign w:val="top"/>
          </w:tcPr>
          <w:p w14:paraId="42B42DCC">
            <w:pPr>
              <w:spacing w:before="206" w:line="195" w:lineRule="auto"/>
              <w:ind w:left="213"/>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2025.6.13</w:t>
            </w:r>
          </w:p>
        </w:tc>
        <w:tc>
          <w:tcPr>
            <w:tcW w:w="1279" w:type="dxa"/>
            <w:tcBorders>
              <w:top w:val="single" w:color="000000" w:sz="10" w:space="0"/>
            </w:tcBorders>
            <w:vAlign w:val="top"/>
          </w:tcPr>
          <w:p w14:paraId="7616D406">
            <w:pPr>
              <w:pStyle w:val="6"/>
              <w:spacing w:before="35" w:line="228" w:lineRule="auto"/>
              <w:ind w:left="162"/>
              <w:rPr>
                <w:rFonts w:ascii="Times New Roman" w:hAnsi="Times New Roman" w:eastAsia="Times New Roman" w:cs="Times New Roman"/>
              </w:rPr>
            </w:pPr>
            <w:r>
              <w:rPr>
                <w:b/>
                <w:bCs/>
                <w:spacing w:val="7"/>
              </w:rPr>
              <w:t>标准值（</w:t>
            </w:r>
            <w:r>
              <w:rPr>
                <w:rFonts w:ascii="Times New Roman" w:hAnsi="Times New Roman" w:eastAsia="Times New Roman" w:cs="Times New Roman"/>
              </w:rPr>
              <w:t>II</w:t>
            </w:r>
          </w:p>
          <w:p w14:paraId="0837D4AD">
            <w:pPr>
              <w:pStyle w:val="6"/>
              <w:spacing w:before="24" w:line="219" w:lineRule="auto"/>
              <w:ind w:left="440"/>
            </w:pPr>
            <w:r>
              <w:rPr>
                <w:b/>
                <w:bCs/>
                <w:spacing w:val="-2"/>
              </w:rPr>
              <w:t>类）</w:t>
            </w:r>
          </w:p>
        </w:tc>
        <w:tc>
          <w:tcPr>
            <w:tcW w:w="1294" w:type="dxa"/>
            <w:tcBorders>
              <w:top w:val="single" w:color="000000" w:sz="10" w:space="0"/>
              <w:right w:val="single" w:color="000000" w:sz="10" w:space="0"/>
            </w:tcBorders>
            <w:vAlign w:val="top"/>
          </w:tcPr>
          <w:p w14:paraId="3FA2AE73">
            <w:pPr>
              <w:pStyle w:val="6"/>
              <w:spacing w:before="170" w:line="226" w:lineRule="auto"/>
              <w:ind w:left="444"/>
            </w:pPr>
            <w:r>
              <w:rPr>
                <w:b/>
                <w:bCs/>
                <w:spacing w:val="4"/>
              </w:rPr>
              <w:t>评价</w:t>
            </w:r>
          </w:p>
        </w:tc>
      </w:tr>
      <w:tr w14:paraId="0400C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1037" w:type="dxa"/>
            <w:vMerge w:val="restart"/>
            <w:tcBorders>
              <w:left w:val="single" w:color="000000" w:sz="10" w:space="0"/>
              <w:bottom w:val="nil"/>
            </w:tcBorders>
            <w:vAlign w:val="top"/>
          </w:tcPr>
          <w:p w14:paraId="050D8AF1">
            <w:pPr>
              <w:spacing w:line="244" w:lineRule="auto"/>
              <w:rPr>
                <w:rFonts w:ascii="Arial"/>
                <w:sz w:val="21"/>
              </w:rPr>
            </w:pPr>
          </w:p>
          <w:p w14:paraId="242034ED">
            <w:pPr>
              <w:spacing w:line="244" w:lineRule="auto"/>
              <w:rPr>
                <w:rFonts w:ascii="Arial"/>
                <w:sz w:val="21"/>
              </w:rPr>
            </w:pPr>
          </w:p>
          <w:p w14:paraId="72F6D103">
            <w:pPr>
              <w:spacing w:line="244" w:lineRule="auto"/>
              <w:rPr>
                <w:rFonts w:ascii="Arial"/>
                <w:sz w:val="21"/>
              </w:rPr>
            </w:pPr>
          </w:p>
          <w:p w14:paraId="7C89EE44">
            <w:pPr>
              <w:spacing w:line="244" w:lineRule="auto"/>
              <w:rPr>
                <w:rFonts w:ascii="Arial"/>
                <w:sz w:val="21"/>
              </w:rPr>
            </w:pPr>
          </w:p>
          <w:p w14:paraId="096FE416">
            <w:pPr>
              <w:spacing w:line="245" w:lineRule="auto"/>
              <w:rPr>
                <w:rFonts w:ascii="Arial"/>
                <w:sz w:val="21"/>
              </w:rPr>
            </w:pPr>
          </w:p>
          <w:p w14:paraId="43A981A3">
            <w:pPr>
              <w:spacing w:line="245" w:lineRule="auto"/>
              <w:rPr>
                <w:rFonts w:ascii="Arial"/>
                <w:sz w:val="21"/>
              </w:rPr>
            </w:pPr>
          </w:p>
          <w:p w14:paraId="796CC3C1">
            <w:pPr>
              <w:spacing w:line="245" w:lineRule="auto"/>
              <w:rPr>
                <w:rFonts w:ascii="Arial"/>
                <w:sz w:val="21"/>
              </w:rPr>
            </w:pPr>
          </w:p>
          <w:p w14:paraId="3EA0B3E5">
            <w:pPr>
              <w:spacing w:line="245" w:lineRule="auto"/>
              <w:rPr>
                <w:rFonts w:ascii="Arial"/>
                <w:sz w:val="21"/>
              </w:rPr>
            </w:pPr>
          </w:p>
          <w:p w14:paraId="1FFC7AAD">
            <w:pPr>
              <w:spacing w:line="245" w:lineRule="auto"/>
              <w:rPr>
                <w:rFonts w:ascii="Arial"/>
                <w:sz w:val="21"/>
              </w:rPr>
            </w:pPr>
          </w:p>
          <w:p w14:paraId="6F9F6129">
            <w:pPr>
              <w:spacing w:line="245" w:lineRule="auto"/>
              <w:rPr>
                <w:rFonts w:ascii="Arial"/>
                <w:sz w:val="21"/>
              </w:rPr>
            </w:pPr>
          </w:p>
          <w:p w14:paraId="06B4149D">
            <w:pPr>
              <w:spacing w:line="245" w:lineRule="auto"/>
              <w:rPr>
                <w:rFonts w:ascii="Arial"/>
                <w:sz w:val="21"/>
              </w:rPr>
            </w:pPr>
          </w:p>
          <w:p w14:paraId="49746DEE">
            <w:pPr>
              <w:spacing w:line="245" w:lineRule="auto"/>
              <w:rPr>
                <w:rFonts w:ascii="Arial"/>
                <w:sz w:val="21"/>
              </w:rPr>
            </w:pPr>
          </w:p>
          <w:p w14:paraId="3648B3A3">
            <w:pPr>
              <w:spacing w:line="245" w:lineRule="auto"/>
              <w:rPr>
                <w:rFonts w:ascii="Arial"/>
                <w:sz w:val="21"/>
              </w:rPr>
            </w:pPr>
          </w:p>
          <w:p w14:paraId="7ED168B7">
            <w:pPr>
              <w:spacing w:line="245" w:lineRule="auto"/>
              <w:rPr>
                <w:rFonts w:ascii="Arial"/>
                <w:sz w:val="21"/>
              </w:rPr>
            </w:pPr>
          </w:p>
          <w:p w14:paraId="130BE706">
            <w:pPr>
              <w:pStyle w:val="6"/>
              <w:spacing w:before="65" w:line="251" w:lineRule="auto"/>
              <w:ind w:left="193" w:right="115" w:hanging="86"/>
            </w:pPr>
            <w:r>
              <w:rPr>
                <w:spacing w:val="-1"/>
              </w:rPr>
              <w:t>赧水（工</w:t>
            </w:r>
            <w:r>
              <w:rPr>
                <w:spacing w:val="7"/>
              </w:rPr>
              <w:t>业污水</w:t>
            </w:r>
          </w:p>
          <w:p w14:paraId="12CFF4FC">
            <w:pPr>
              <w:pStyle w:val="6"/>
              <w:spacing w:line="228" w:lineRule="auto"/>
              <w:ind w:left="197"/>
            </w:pPr>
            <w:r>
              <w:rPr>
                <w:spacing w:val="6"/>
              </w:rPr>
              <w:t>厂一期</w:t>
            </w:r>
          </w:p>
          <w:p w14:paraId="6A42A293">
            <w:pPr>
              <w:pStyle w:val="6"/>
              <w:spacing w:before="24" w:line="251" w:lineRule="auto"/>
              <w:ind w:left="107" w:right="104" w:firstLine="86"/>
            </w:pPr>
            <w:r>
              <w:rPr>
                <w:spacing w:val="7"/>
              </w:rPr>
              <w:t>入河排</w:t>
            </w:r>
            <w:r>
              <w:rPr>
                <w:spacing w:val="2"/>
              </w:rPr>
              <w:t>污口处）</w:t>
            </w:r>
          </w:p>
          <w:p w14:paraId="4DA06A04">
            <w:pPr>
              <w:pStyle w:val="6"/>
              <w:spacing w:line="239" w:lineRule="auto"/>
              <w:ind w:left="159"/>
            </w:pPr>
            <w:r>
              <w:rPr>
                <w:spacing w:val="1"/>
              </w:rPr>
              <w:t>（</w:t>
            </w:r>
            <w:r>
              <w:rPr>
                <w:rFonts w:ascii="Times New Roman" w:hAnsi="Times New Roman" w:eastAsia="Times New Roman" w:cs="Times New Roman"/>
                <w:spacing w:val="1"/>
              </w:rPr>
              <w:t>W1</w:t>
            </w:r>
            <w:r>
              <w:rPr>
                <w:spacing w:val="1"/>
              </w:rPr>
              <w:t>）</w:t>
            </w:r>
          </w:p>
        </w:tc>
        <w:tc>
          <w:tcPr>
            <w:tcW w:w="1440" w:type="dxa"/>
            <w:vAlign w:val="top"/>
          </w:tcPr>
          <w:p w14:paraId="07718133">
            <w:pPr>
              <w:pStyle w:val="6"/>
              <w:spacing w:before="110" w:line="221" w:lineRule="auto"/>
              <w:ind w:left="95"/>
            </w:pPr>
            <w:r>
              <w:rPr>
                <w:rFonts w:ascii="Times New Roman" w:hAnsi="Times New Roman" w:eastAsia="Times New Roman" w:cs="Times New Roman"/>
              </w:rPr>
              <w:t>pH</w:t>
            </w:r>
            <w:r>
              <w:rPr>
                <w:spacing w:val="10"/>
              </w:rPr>
              <w:t>（无量纲）</w:t>
            </w:r>
          </w:p>
        </w:tc>
        <w:tc>
          <w:tcPr>
            <w:tcW w:w="1190" w:type="dxa"/>
            <w:vAlign w:val="top"/>
          </w:tcPr>
          <w:p w14:paraId="1D32D041">
            <w:pPr>
              <w:spacing w:before="149" w:line="192" w:lineRule="auto"/>
              <w:ind w:left="46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229" w:type="dxa"/>
            <w:vAlign w:val="top"/>
          </w:tcPr>
          <w:p w14:paraId="06B31317">
            <w:pPr>
              <w:spacing w:before="146" w:line="195"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7.6</w:t>
            </w:r>
          </w:p>
        </w:tc>
        <w:tc>
          <w:tcPr>
            <w:tcW w:w="1255" w:type="dxa"/>
            <w:vAlign w:val="top"/>
          </w:tcPr>
          <w:p w14:paraId="05F6CEC5">
            <w:pPr>
              <w:spacing w:before="146"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c>
          <w:tcPr>
            <w:tcW w:w="1279" w:type="dxa"/>
            <w:vAlign w:val="top"/>
          </w:tcPr>
          <w:p w14:paraId="7465689B">
            <w:pPr>
              <w:pStyle w:val="6"/>
              <w:spacing w:before="110" w:line="264" w:lineRule="exact"/>
              <w:ind w:left="443"/>
              <w:rPr>
                <w:rFonts w:ascii="Times New Roman" w:hAnsi="Times New Roman" w:eastAsia="Times New Roman" w:cs="Times New Roman"/>
              </w:rPr>
            </w:pPr>
            <w:r>
              <w:rPr>
                <w:rFonts w:ascii="Times New Roman" w:hAnsi="Times New Roman" w:eastAsia="Times New Roman" w:cs="Times New Roman"/>
                <w:spacing w:val="3"/>
                <w:position w:val="1"/>
              </w:rPr>
              <w:t>6</w:t>
            </w:r>
            <w:r>
              <w:rPr>
                <w:spacing w:val="3"/>
                <w:position w:val="1"/>
              </w:rPr>
              <w:t>～</w:t>
            </w:r>
            <w:r>
              <w:rPr>
                <w:rFonts w:ascii="Times New Roman" w:hAnsi="Times New Roman" w:eastAsia="Times New Roman" w:cs="Times New Roman"/>
                <w:spacing w:val="3"/>
                <w:position w:val="1"/>
              </w:rPr>
              <w:t>9</w:t>
            </w:r>
          </w:p>
        </w:tc>
        <w:tc>
          <w:tcPr>
            <w:tcW w:w="1294" w:type="dxa"/>
            <w:tcBorders>
              <w:right w:val="single" w:color="000000" w:sz="10" w:space="0"/>
            </w:tcBorders>
            <w:vAlign w:val="top"/>
          </w:tcPr>
          <w:p w14:paraId="41945911">
            <w:pPr>
              <w:pStyle w:val="6"/>
              <w:spacing w:before="111" w:line="228" w:lineRule="auto"/>
              <w:ind w:left="444"/>
            </w:pPr>
            <w:r>
              <w:rPr>
                <w:spacing w:val="5"/>
              </w:rPr>
              <w:t>达标</w:t>
            </w:r>
          </w:p>
        </w:tc>
      </w:tr>
      <w:tr w14:paraId="34D735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1037" w:type="dxa"/>
            <w:vMerge w:val="continue"/>
            <w:tcBorders>
              <w:top w:val="nil"/>
              <w:left w:val="single" w:color="000000" w:sz="10" w:space="0"/>
              <w:bottom w:val="nil"/>
            </w:tcBorders>
            <w:vAlign w:val="top"/>
          </w:tcPr>
          <w:p w14:paraId="05BD13D7">
            <w:pPr>
              <w:rPr>
                <w:rFonts w:ascii="Arial"/>
                <w:sz w:val="21"/>
              </w:rPr>
            </w:pPr>
          </w:p>
        </w:tc>
        <w:tc>
          <w:tcPr>
            <w:tcW w:w="1440" w:type="dxa"/>
            <w:vAlign w:val="top"/>
          </w:tcPr>
          <w:p w14:paraId="2418F5E6">
            <w:pPr>
              <w:pStyle w:val="6"/>
              <w:spacing w:before="112" w:line="227" w:lineRule="auto"/>
              <w:ind w:left="406"/>
            </w:pPr>
            <w:r>
              <w:rPr>
                <w:spacing w:val="6"/>
              </w:rPr>
              <w:t>溶解氧</w:t>
            </w:r>
          </w:p>
        </w:tc>
        <w:tc>
          <w:tcPr>
            <w:tcW w:w="1190" w:type="dxa"/>
            <w:vAlign w:val="top"/>
          </w:tcPr>
          <w:p w14:paraId="0884EB48">
            <w:pPr>
              <w:spacing w:before="148"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6.16</w:t>
            </w:r>
          </w:p>
        </w:tc>
        <w:tc>
          <w:tcPr>
            <w:tcW w:w="1229" w:type="dxa"/>
            <w:vAlign w:val="top"/>
          </w:tcPr>
          <w:p w14:paraId="256DD198">
            <w:pPr>
              <w:spacing w:before="148" w:line="195" w:lineRule="auto"/>
              <w:ind w:left="4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6.56</w:t>
            </w:r>
          </w:p>
        </w:tc>
        <w:tc>
          <w:tcPr>
            <w:tcW w:w="1255" w:type="dxa"/>
            <w:vAlign w:val="top"/>
          </w:tcPr>
          <w:p w14:paraId="46AA02C5">
            <w:pPr>
              <w:spacing w:before="148"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6.51</w:t>
            </w:r>
          </w:p>
        </w:tc>
        <w:tc>
          <w:tcPr>
            <w:tcW w:w="1279" w:type="dxa"/>
            <w:vAlign w:val="top"/>
          </w:tcPr>
          <w:p w14:paraId="3AF3C1AD">
            <w:pPr>
              <w:spacing w:before="148" w:line="195" w:lineRule="auto"/>
              <w:ind w:left="5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w:t>
            </w:r>
          </w:p>
        </w:tc>
        <w:tc>
          <w:tcPr>
            <w:tcW w:w="1294" w:type="dxa"/>
            <w:tcBorders>
              <w:right w:val="single" w:color="000000" w:sz="10" w:space="0"/>
            </w:tcBorders>
            <w:vAlign w:val="top"/>
          </w:tcPr>
          <w:p w14:paraId="3638E6FE">
            <w:pPr>
              <w:pStyle w:val="6"/>
              <w:spacing w:before="112" w:line="228" w:lineRule="auto"/>
              <w:ind w:left="444"/>
            </w:pPr>
            <w:r>
              <w:rPr>
                <w:spacing w:val="5"/>
              </w:rPr>
              <w:t>达标</w:t>
            </w:r>
          </w:p>
        </w:tc>
      </w:tr>
      <w:tr w14:paraId="312C3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1037" w:type="dxa"/>
            <w:vMerge w:val="continue"/>
            <w:tcBorders>
              <w:top w:val="nil"/>
              <w:left w:val="single" w:color="000000" w:sz="10" w:space="0"/>
              <w:bottom w:val="nil"/>
            </w:tcBorders>
            <w:vAlign w:val="top"/>
          </w:tcPr>
          <w:p w14:paraId="0D8AD8BA">
            <w:pPr>
              <w:rPr>
                <w:rFonts w:ascii="Arial"/>
                <w:sz w:val="21"/>
              </w:rPr>
            </w:pPr>
          </w:p>
        </w:tc>
        <w:tc>
          <w:tcPr>
            <w:tcW w:w="1440" w:type="dxa"/>
            <w:vAlign w:val="top"/>
          </w:tcPr>
          <w:p w14:paraId="0F41FF2A">
            <w:pPr>
              <w:pStyle w:val="6"/>
              <w:spacing w:before="111" w:line="227" w:lineRule="auto"/>
              <w:ind w:left="193"/>
            </w:pPr>
            <w:r>
              <w:rPr>
                <w:spacing w:val="7"/>
              </w:rPr>
              <w:t>化学需氧量</w:t>
            </w:r>
          </w:p>
        </w:tc>
        <w:tc>
          <w:tcPr>
            <w:tcW w:w="1190" w:type="dxa"/>
            <w:vAlign w:val="top"/>
          </w:tcPr>
          <w:p w14:paraId="039FB795">
            <w:pPr>
              <w:spacing w:before="147" w:line="195" w:lineRule="auto"/>
              <w:ind w:left="50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229" w:type="dxa"/>
            <w:vAlign w:val="top"/>
          </w:tcPr>
          <w:p w14:paraId="0F0EFD93">
            <w:pPr>
              <w:spacing w:before="147" w:line="195" w:lineRule="auto"/>
              <w:ind w:left="53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255" w:type="dxa"/>
            <w:vAlign w:val="top"/>
          </w:tcPr>
          <w:p w14:paraId="39F6C9A6">
            <w:pPr>
              <w:spacing w:before="147" w:line="195" w:lineRule="auto"/>
              <w:ind w:left="5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279" w:type="dxa"/>
            <w:vAlign w:val="top"/>
          </w:tcPr>
          <w:p w14:paraId="693DC0A0">
            <w:pPr>
              <w:spacing w:before="147"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294" w:type="dxa"/>
            <w:tcBorders>
              <w:right w:val="single" w:color="000000" w:sz="10" w:space="0"/>
            </w:tcBorders>
            <w:vAlign w:val="top"/>
          </w:tcPr>
          <w:p w14:paraId="65DCA87A">
            <w:pPr>
              <w:pStyle w:val="6"/>
              <w:spacing w:before="111" w:line="228" w:lineRule="auto"/>
              <w:ind w:left="444"/>
            </w:pPr>
            <w:r>
              <w:rPr>
                <w:spacing w:val="5"/>
              </w:rPr>
              <w:t>达标</w:t>
            </w:r>
          </w:p>
        </w:tc>
      </w:tr>
      <w:tr w14:paraId="1889A6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037" w:type="dxa"/>
            <w:vMerge w:val="continue"/>
            <w:tcBorders>
              <w:top w:val="nil"/>
              <w:left w:val="single" w:color="000000" w:sz="10" w:space="0"/>
              <w:bottom w:val="nil"/>
            </w:tcBorders>
            <w:vAlign w:val="top"/>
          </w:tcPr>
          <w:p w14:paraId="01FA00A3">
            <w:pPr>
              <w:rPr>
                <w:rFonts w:ascii="Arial"/>
                <w:sz w:val="21"/>
              </w:rPr>
            </w:pPr>
          </w:p>
        </w:tc>
        <w:tc>
          <w:tcPr>
            <w:tcW w:w="1440" w:type="dxa"/>
            <w:vAlign w:val="top"/>
          </w:tcPr>
          <w:p w14:paraId="1CF633EC">
            <w:pPr>
              <w:pStyle w:val="6"/>
              <w:spacing w:before="34" w:line="228" w:lineRule="auto"/>
              <w:ind w:left="196"/>
            </w:pPr>
            <w:r>
              <w:rPr>
                <w:spacing w:val="7"/>
              </w:rPr>
              <w:t>五日生化需</w:t>
            </w:r>
          </w:p>
          <w:p w14:paraId="71D0076C">
            <w:pPr>
              <w:pStyle w:val="6"/>
              <w:spacing w:before="25" w:line="213" w:lineRule="auto"/>
              <w:ind w:left="510"/>
            </w:pPr>
            <w:r>
              <w:rPr>
                <w:spacing w:val="4"/>
              </w:rPr>
              <w:t>氧量</w:t>
            </w:r>
          </w:p>
        </w:tc>
        <w:tc>
          <w:tcPr>
            <w:tcW w:w="1190" w:type="dxa"/>
            <w:vAlign w:val="top"/>
          </w:tcPr>
          <w:p w14:paraId="3C33DC32">
            <w:pPr>
              <w:spacing w:before="206" w:line="195" w:lineRule="auto"/>
              <w:ind w:left="4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229" w:type="dxa"/>
            <w:vAlign w:val="top"/>
          </w:tcPr>
          <w:p w14:paraId="616245BB">
            <w:pPr>
              <w:spacing w:before="206" w:line="195" w:lineRule="auto"/>
              <w:ind w:left="4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1255" w:type="dxa"/>
            <w:vAlign w:val="top"/>
          </w:tcPr>
          <w:p w14:paraId="766E8ACF">
            <w:pPr>
              <w:spacing w:before="206" w:line="195" w:lineRule="auto"/>
              <w:ind w:left="5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279" w:type="dxa"/>
            <w:vAlign w:val="top"/>
          </w:tcPr>
          <w:p w14:paraId="5612454D">
            <w:pPr>
              <w:spacing w:before="207" w:line="195" w:lineRule="auto"/>
              <w:ind w:left="5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w:t>
            </w:r>
          </w:p>
        </w:tc>
        <w:tc>
          <w:tcPr>
            <w:tcW w:w="1294" w:type="dxa"/>
            <w:tcBorders>
              <w:right w:val="single" w:color="000000" w:sz="10" w:space="0"/>
            </w:tcBorders>
            <w:vAlign w:val="top"/>
          </w:tcPr>
          <w:p w14:paraId="4C940BB3">
            <w:pPr>
              <w:pStyle w:val="6"/>
              <w:spacing w:before="168" w:line="228" w:lineRule="auto"/>
              <w:ind w:left="444"/>
            </w:pPr>
            <w:r>
              <w:rPr>
                <w:spacing w:val="5"/>
              </w:rPr>
              <w:t>达标</w:t>
            </w:r>
          </w:p>
        </w:tc>
      </w:tr>
      <w:tr w14:paraId="4B876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1037" w:type="dxa"/>
            <w:vMerge w:val="continue"/>
            <w:tcBorders>
              <w:top w:val="nil"/>
              <w:left w:val="single" w:color="000000" w:sz="10" w:space="0"/>
              <w:bottom w:val="nil"/>
            </w:tcBorders>
            <w:vAlign w:val="top"/>
          </w:tcPr>
          <w:p w14:paraId="7DA9FC7F">
            <w:pPr>
              <w:rPr>
                <w:rFonts w:ascii="Arial"/>
                <w:sz w:val="21"/>
              </w:rPr>
            </w:pPr>
          </w:p>
        </w:tc>
        <w:tc>
          <w:tcPr>
            <w:tcW w:w="1440" w:type="dxa"/>
            <w:vAlign w:val="top"/>
          </w:tcPr>
          <w:p w14:paraId="6F1490EB">
            <w:pPr>
              <w:pStyle w:val="6"/>
              <w:spacing w:before="114" w:line="227" w:lineRule="auto"/>
              <w:ind w:left="509"/>
            </w:pPr>
            <w:r>
              <w:rPr>
                <w:spacing w:val="4"/>
              </w:rPr>
              <w:t>氨氮</w:t>
            </w:r>
          </w:p>
        </w:tc>
        <w:tc>
          <w:tcPr>
            <w:tcW w:w="1190" w:type="dxa"/>
            <w:vAlign w:val="top"/>
          </w:tcPr>
          <w:p w14:paraId="10D96014">
            <w:pPr>
              <w:spacing w:before="150" w:line="195"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0.252</w:t>
            </w:r>
          </w:p>
        </w:tc>
        <w:tc>
          <w:tcPr>
            <w:tcW w:w="1229" w:type="dxa"/>
            <w:vAlign w:val="top"/>
          </w:tcPr>
          <w:p w14:paraId="540401E0">
            <w:pPr>
              <w:spacing w:before="150" w:line="195" w:lineRule="auto"/>
              <w:ind w:left="3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0.174</w:t>
            </w:r>
          </w:p>
        </w:tc>
        <w:tc>
          <w:tcPr>
            <w:tcW w:w="1255" w:type="dxa"/>
            <w:vAlign w:val="top"/>
          </w:tcPr>
          <w:p w14:paraId="56457184">
            <w:pPr>
              <w:spacing w:before="150"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0.296</w:t>
            </w:r>
          </w:p>
        </w:tc>
        <w:tc>
          <w:tcPr>
            <w:tcW w:w="1279" w:type="dxa"/>
            <w:vAlign w:val="top"/>
          </w:tcPr>
          <w:p w14:paraId="0B38095F">
            <w:pPr>
              <w:spacing w:before="150"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w:t>
            </w:r>
          </w:p>
        </w:tc>
        <w:tc>
          <w:tcPr>
            <w:tcW w:w="1294" w:type="dxa"/>
            <w:tcBorders>
              <w:right w:val="single" w:color="000000" w:sz="10" w:space="0"/>
            </w:tcBorders>
            <w:vAlign w:val="top"/>
          </w:tcPr>
          <w:p w14:paraId="60FA613E">
            <w:pPr>
              <w:pStyle w:val="6"/>
              <w:spacing w:before="114" w:line="228" w:lineRule="auto"/>
              <w:ind w:left="444"/>
            </w:pPr>
            <w:r>
              <w:rPr>
                <w:spacing w:val="5"/>
              </w:rPr>
              <w:t>达标</w:t>
            </w:r>
          </w:p>
        </w:tc>
      </w:tr>
      <w:tr w14:paraId="04379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1037" w:type="dxa"/>
            <w:vMerge w:val="continue"/>
            <w:tcBorders>
              <w:top w:val="nil"/>
              <w:left w:val="single" w:color="000000" w:sz="10" w:space="0"/>
              <w:bottom w:val="nil"/>
            </w:tcBorders>
            <w:vAlign w:val="top"/>
          </w:tcPr>
          <w:p w14:paraId="1F43DF49">
            <w:pPr>
              <w:rPr>
                <w:rFonts w:ascii="Arial"/>
                <w:sz w:val="21"/>
              </w:rPr>
            </w:pPr>
          </w:p>
        </w:tc>
        <w:tc>
          <w:tcPr>
            <w:tcW w:w="1440" w:type="dxa"/>
            <w:vAlign w:val="top"/>
          </w:tcPr>
          <w:p w14:paraId="3CCAD0AB">
            <w:pPr>
              <w:pStyle w:val="6"/>
              <w:spacing w:before="115" w:line="228" w:lineRule="auto"/>
              <w:ind w:left="515"/>
            </w:pPr>
            <w:r>
              <w:rPr>
                <w:spacing w:val="2"/>
              </w:rPr>
              <w:t>总磷</w:t>
            </w:r>
          </w:p>
        </w:tc>
        <w:tc>
          <w:tcPr>
            <w:tcW w:w="1190" w:type="dxa"/>
            <w:vAlign w:val="top"/>
          </w:tcPr>
          <w:p w14:paraId="354FFCFA">
            <w:pPr>
              <w:spacing w:before="151" w:line="195"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w:t>
            </w:r>
          </w:p>
        </w:tc>
        <w:tc>
          <w:tcPr>
            <w:tcW w:w="1229" w:type="dxa"/>
            <w:vAlign w:val="top"/>
          </w:tcPr>
          <w:p w14:paraId="0C2A5714">
            <w:pPr>
              <w:spacing w:before="151" w:line="195" w:lineRule="auto"/>
              <w:ind w:left="4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c>
          <w:tcPr>
            <w:tcW w:w="1255" w:type="dxa"/>
            <w:vAlign w:val="top"/>
          </w:tcPr>
          <w:p w14:paraId="5E4ABDE7">
            <w:pPr>
              <w:spacing w:before="151" w:line="195" w:lineRule="auto"/>
              <w:ind w:left="4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tc>
        <w:tc>
          <w:tcPr>
            <w:tcW w:w="1279" w:type="dxa"/>
            <w:vAlign w:val="top"/>
          </w:tcPr>
          <w:p w14:paraId="0A8A0918">
            <w:pPr>
              <w:spacing w:before="152"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w:t>
            </w:r>
          </w:p>
        </w:tc>
        <w:tc>
          <w:tcPr>
            <w:tcW w:w="1294" w:type="dxa"/>
            <w:tcBorders>
              <w:right w:val="single" w:color="000000" w:sz="10" w:space="0"/>
            </w:tcBorders>
            <w:vAlign w:val="top"/>
          </w:tcPr>
          <w:p w14:paraId="0DA5BCE6">
            <w:pPr>
              <w:pStyle w:val="6"/>
              <w:spacing w:before="116" w:line="228" w:lineRule="auto"/>
              <w:ind w:left="444"/>
            </w:pPr>
            <w:r>
              <w:rPr>
                <w:spacing w:val="5"/>
              </w:rPr>
              <w:t>达标</w:t>
            </w:r>
          </w:p>
        </w:tc>
      </w:tr>
      <w:tr w14:paraId="07D17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1037" w:type="dxa"/>
            <w:vMerge w:val="continue"/>
            <w:tcBorders>
              <w:top w:val="nil"/>
              <w:left w:val="single" w:color="000000" w:sz="10" w:space="0"/>
              <w:bottom w:val="nil"/>
            </w:tcBorders>
            <w:vAlign w:val="top"/>
          </w:tcPr>
          <w:p w14:paraId="552C9E33">
            <w:pPr>
              <w:rPr>
                <w:rFonts w:ascii="Arial"/>
                <w:sz w:val="21"/>
              </w:rPr>
            </w:pPr>
          </w:p>
        </w:tc>
        <w:tc>
          <w:tcPr>
            <w:tcW w:w="1440" w:type="dxa"/>
            <w:vAlign w:val="top"/>
          </w:tcPr>
          <w:p w14:paraId="34875056">
            <w:pPr>
              <w:pStyle w:val="6"/>
              <w:spacing w:before="117" w:line="229" w:lineRule="auto"/>
              <w:ind w:left="403"/>
            </w:pPr>
            <w:r>
              <w:rPr>
                <w:spacing w:val="7"/>
              </w:rPr>
              <w:t>硫化物</w:t>
            </w:r>
          </w:p>
        </w:tc>
        <w:tc>
          <w:tcPr>
            <w:tcW w:w="1190" w:type="dxa"/>
            <w:vAlign w:val="top"/>
          </w:tcPr>
          <w:p w14:paraId="49F2E553">
            <w:pPr>
              <w:spacing w:before="156" w:line="192" w:lineRule="auto"/>
              <w:ind w:left="43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29" w:type="dxa"/>
            <w:vAlign w:val="top"/>
          </w:tcPr>
          <w:p w14:paraId="56964919">
            <w:pPr>
              <w:spacing w:before="156" w:line="192"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55" w:type="dxa"/>
            <w:vAlign w:val="top"/>
          </w:tcPr>
          <w:p w14:paraId="6BC98F0F">
            <w:pPr>
              <w:spacing w:before="156" w:line="192"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79" w:type="dxa"/>
            <w:vAlign w:val="top"/>
          </w:tcPr>
          <w:p w14:paraId="20C3B792">
            <w:pPr>
              <w:spacing w:before="154"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w:t>
            </w:r>
          </w:p>
        </w:tc>
        <w:tc>
          <w:tcPr>
            <w:tcW w:w="1294" w:type="dxa"/>
            <w:tcBorders>
              <w:right w:val="single" w:color="000000" w:sz="10" w:space="0"/>
            </w:tcBorders>
            <w:vAlign w:val="top"/>
          </w:tcPr>
          <w:p w14:paraId="4F947A3F">
            <w:pPr>
              <w:pStyle w:val="6"/>
              <w:spacing w:before="117" w:line="228" w:lineRule="auto"/>
              <w:ind w:left="345"/>
            </w:pPr>
            <w:r>
              <w:rPr>
                <w:spacing w:val="5"/>
              </w:rPr>
              <w:t>未检出</w:t>
            </w:r>
          </w:p>
        </w:tc>
      </w:tr>
      <w:tr w14:paraId="398F6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37" w:type="dxa"/>
            <w:vMerge w:val="continue"/>
            <w:tcBorders>
              <w:top w:val="nil"/>
              <w:left w:val="single" w:color="000000" w:sz="10" w:space="0"/>
              <w:bottom w:val="nil"/>
            </w:tcBorders>
            <w:vAlign w:val="top"/>
          </w:tcPr>
          <w:p w14:paraId="1A3832E1">
            <w:pPr>
              <w:rPr>
                <w:rFonts w:ascii="Arial"/>
                <w:sz w:val="21"/>
              </w:rPr>
            </w:pPr>
          </w:p>
        </w:tc>
        <w:tc>
          <w:tcPr>
            <w:tcW w:w="1440" w:type="dxa"/>
            <w:vAlign w:val="top"/>
          </w:tcPr>
          <w:p w14:paraId="06109794">
            <w:pPr>
              <w:pStyle w:val="6"/>
              <w:spacing w:before="40" w:line="230" w:lineRule="auto"/>
              <w:ind w:left="407" w:right="201" w:hanging="198"/>
            </w:pPr>
            <w:r>
              <w:rPr>
                <w:spacing w:val="4"/>
              </w:rPr>
              <w:t>阴离子表面</w:t>
            </w:r>
            <w:r>
              <w:rPr>
                <w:spacing w:val="5"/>
              </w:rPr>
              <w:t>活性剂</w:t>
            </w:r>
          </w:p>
        </w:tc>
        <w:tc>
          <w:tcPr>
            <w:tcW w:w="1190" w:type="dxa"/>
            <w:vAlign w:val="top"/>
          </w:tcPr>
          <w:p w14:paraId="55F82646">
            <w:pPr>
              <w:spacing w:before="213" w:line="192" w:lineRule="auto"/>
              <w:ind w:left="43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29" w:type="dxa"/>
            <w:vAlign w:val="top"/>
          </w:tcPr>
          <w:p w14:paraId="4C9F4537">
            <w:pPr>
              <w:spacing w:before="213" w:line="192"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55" w:type="dxa"/>
            <w:vAlign w:val="top"/>
          </w:tcPr>
          <w:p w14:paraId="51531CC0">
            <w:pPr>
              <w:spacing w:before="213" w:line="192"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79" w:type="dxa"/>
            <w:vAlign w:val="top"/>
          </w:tcPr>
          <w:p w14:paraId="234452ED">
            <w:pPr>
              <w:spacing w:before="210"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w:t>
            </w:r>
          </w:p>
        </w:tc>
        <w:tc>
          <w:tcPr>
            <w:tcW w:w="1294" w:type="dxa"/>
            <w:tcBorders>
              <w:right w:val="single" w:color="000000" w:sz="10" w:space="0"/>
            </w:tcBorders>
            <w:vAlign w:val="top"/>
          </w:tcPr>
          <w:p w14:paraId="06B36D4D">
            <w:pPr>
              <w:pStyle w:val="6"/>
              <w:spacing w:before="174" w:line="228" w:lineRule="auto"/>
              <w:ind w:left="345"/>
            </w:pPr>
            <w:r>
              <w:rPr>
                <w:spacing w:val="5"/>
              </w:rPr>
              <w:t>未检出</w:t>
            </w:r>
          </w:p>
        </w:tc>
      </w:tr>
      <w:tr w14:paraId="0C7BB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1037" w:type="dxa"/>
            <w:vMerge w:val="continue"/>
            <w:tcBorders>
              <w:top w:val="nil"/>
              <w:left w:val="single" w:color="000000" w:sz="10" w:space="0"/>
              <w:bottom w:val="nil"/>
            </w:tcBorders>
            <w:vAlign w:val="top"/>
          </w:tcPr>
          <w:p w14:paraId="6F00923B">
            <w:pPr>
              <w:rPr>
                <w:rFonts w:ascii="Arial"/>
                <w:sz w:val="21"/>
              </w:rPr>
            </w:pPr>
          </w:p>
        </w:tc>
        <w:tc>
          <w:tcPr>
            <w:tcW w:w="1440" w:type="dxa"/>
            <w:vAlign w:val="top"/>
          </w:tcPr>
          <w:p w14:paraId="068F9E64">
            <w:pPr>
              <w:pStyle w:val="6"/>
              <w:spacing w:before="116" w:line="228" w:lineRule="auto"/>
              <w:ind w:left="404"/>
            </w:pPr>
            <w:r>
              <w:rPr>
                <w:spacing w:val="6"/>
              </w:rPr>
              <w:t>石油类</w:t>
            </w:r>
          </w:p>
        </w:tc>
        <w:tc>
          <w:tcPr>
            <w:tcW w:w="1190" w:type="dxa"/>
            <w:vAlign w:val="top"/>
          </w:tcPr>
          <w:p w14:paraId="548CCF1B">
            <w:pPr>
              <w:spacing w:before="156" w:line="192" w:lineRule="auto"/>
              <w:ind w:left="43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29" w:type="dxa"/>
            <w:vAlign w:val="top"/>
          </w:tcPr>
          <w:p w14:paraId="7F5E3A8C">
            <w:pPr>
              <w:spacing w:before="156" w:line="192"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55" w:type="dxa"/>
            <w:vAlign w:val="top"/>
          </w:tcPr>
          <w:p w14:paraId="71687CE9">
            <w:pPr>
              <w:spacing w:before="156" w:line="192"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79" w:type="dxa"/>
            <w:vAlign w:val="top"/>
          </w:tcPr>
          <w:p w14:paraId="4D7306CA">
            <w:pPr>
              <w:spacing w:before="153"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≤0.05</w:t>
            </w:r>
          </w:p>
        </w:tc>
        <w:tc>
          <w:tcPr>
            <w:tcW w:w="1294" w:type="dxa"/>
            <w:tcBorders>
              <w:right w:val="single" w:color="000000" w:sz="10" w:space="0"/>
            </w:tcBorders>
            <w:vAlign w:val="top"/>
          </w:tcPr>
          <w:p w14:paraId="349EB335">
            <w:pPr>
              <w:pStyle w:val="6"/>
              <w:spacing w:before="116" w:line="228" w:lineRule="auto"/>
              <w:ind w:left="345"/>
            </w:pPr>
            <w:r>
              <w:rPr>
                <w:spacing w:val="5"/>
              </w:rPr>
              <w:t>未检出</w:t>
            </w:r>
          </w:p>
        </w:tc>
      </w:tr>
      <w:tr w14:paraId="13528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1037" w:type="dxa"/>
            <w:vMerge w:val="continue"/>
            <w:tcBorders>
              <w:top w:val="nil"/>
              <w:left w:val="single" w:color="000000" w:sz="10" w:space="0"/>
              <w:bottom w:val="nil"/>
            </w:tcBorders>
            <w:vAlign w:val="top"/>
          </w:tcPr>
          <w:p w14:paraId="7DFD3F0B">
            <w:pPr>
              <w:rPr>
                <w:rFonts w:ascii="Arial"/>
                <w:sz w:val="21"/>
              </w:rPr>
            </w:pPr>
          </w:p>
        </w:tc>
        <w:tc>
          <w:tcPr>
            <w:tcW w:w="1440" w:type="dxa"/>
            <w:vAlign w:val="top"/>
          </w:tcPr>
          <w:p w14:paraId="57816567">
            <w:pPr>
              <w:pStyle w:val="6"/>
              <w:spacing w:before="119" w:line="228" w:lineRule="auto"/>
              <w:ind w:left="403"/>
            </w:pPr>
            <w:r>
              <w:rPr>
                <w:spacing w:val="7"/>
              </w:rPr>
              <w:t>挥发酚</w:t>
            </w:r>
          </w:p>
        </w:tc>
        <w:tc>
          <w:tcPr>
            <w:tcW w:w="1190" w:type="dxa"/>
            <w:vAlign w:val="top"/>
          </w:tcPr>
          <w:p w14:paraId="58F8F66D">
            <w:pPr>
              <w:spacing w:before="157" w:line="192" w:lineRule="auto"/>
              <w:ind w:left="43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29" w:type="dxa"/>
            <w:vAlign w:val="top"/>
          </w:tcPr>
          <w:p w14:paraId="43353CD8">
            <w:pPr>
              <w:spacing w:before="157" w:line="192"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55" w:type="dxa"/>
            <w:vAlign w:val="top"/>
          </w:tcPr>
          <w:p w14:paraId="73A9F14F">
            <w:pPr>
              <w:spacing w:before="157" w:line="192"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79" w:type="dxa"/>
            <w:vAlign w:val="top"/>
          </w:tcPr>
          <w:p w14:paraId="4DE9CA6B">
            <w:pPr>
              <w:spacing w:before="155" w:line="195"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≤0.002</w:t>
            </w:r>
          </w:p>
        </w:tc>
        <w:tc>
          <w:tcPr>
            <w:tcW w:w="1294" w:type="dxa"/>
            <w:tcBorders>
              <w:right w:val="single" w:color="000000" w:sz="10" w:space="0"/>
            </w:tcBorders>
            <w:vAlign w:val="top"/>
          </w:tcPr>
          <w:p w14:paraId="7A184BFA">
            <w:pPr>
              <w:pStyle w:val="6"/>
              <w:spacing w:before="118" w:line="228" w:lineRule="auto"/>
              <w:ind w:left="345"/>
            </w:pPr>
            <w:r>
              <w:rPr>
                <w:spacing w:val="5"/>
              </w:rPr>
              <w:t>未检出</w:t>
            </w:r>
          </w:p>
        </w:tc>
      </w:tr>
      <w:tr w14:paraId="65C9E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1037" w:type="dxa"/>
            <w:vMerge w:val="continue"/>
            <w:tcBorders>
              <w:top w:val="nil"/>
              <w:left w:val="single" w:color="000000" w:sz="10" w:space="0"/>
              <w:bottom w:val="nil"/>
            </w:tcBorders>
            <w:vAlign w:val="top"/>
          </w:tcPr>
          <w:p w14:paraId="1EE6D7C0">
            <w:pPr>
              <w:rPr>
                <w:rFonts w:ascii="Arial"/>
                <w:sz w:val="21"/>
              </w:rPr>
            </w:pPr>
          </w:p>
        </w:tc>
        <w:tc>
          <w:tcPr>
            <w:tcW w:w="1440" w:type="dxa"/>
            <w:vAlign w:val="top"/>
          </w:tcPr>
          <w:p w14:paraId="5E53DA60">
            <w:pPr>
              <w:pStyle w:val="6"/>
              <w:spacing w:before="120" w:line="228" w:lineRule="auto"/>
              <w:ind w:left="403"/>
            </w:pPr>
            <w:r>
              <w:rPr>
                <w:spacing w:val="7"/>
              </w:rPr>
              <w:t>氰化物</w:t>
            </w:r>
          </w:p>
        </w:tc>
        <w:tc>
          <w:tcPr>
            <w:tcW w:w="1190" w:type="dxa"/>
            <w:vAlign w:val="top"/>
          </w:tcPr>
          <w:p w14:paraId="19FF8152">
            <w:pPr>
              <w:spacing w:before="159" w:line="192" w:lineRule="auto"/>
              <w:ind w:left="43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29" w:type="dxa"/>
            <w:vAlign w:val="top"/>
          </w:tcPr>
          <w:p w14:paraId="6C546A25">
            <w:pPr>
              <w:spacing w:before="159" w:line="192"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55" w:type="dxa"/>
            <w:vAlign w:val="top"/>
          </w:tcPr>
          <w:p w14:paraId="22665B26">
            <w:pPr>
              <w:spacing w:before="159" w:line="192"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79" w:type="dxa"/>
            <w:vAlign w:val="top"/>
          </w:tcPr>
          <w:p w14:paraId="247ED4D5">
            <w:pPr>
              <w:spacing w:before="156"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w:t>
            </w:r>
          </w:p>
        </w:tc>
        <w:tc>
          <w:tcPr>
            <w:tcW w:w="1294" w:type="dxa"/>
            <w:tcBorders>
              <w:right w:val="single" w:color="000000" w:sz="10" w:space="0"/>
            </w:tcBorders>
            <w:vAlign w:val="top"/>
          </w:tcPr>
          <w:p w14:paraId="5A8B2DFB">
            <w:pPr>
              <w:pStyle w:val="6"/>
              <w:spacing w:before="120" w:line="228" w:lineRule="auto"/>
              <w:ind w:left="345"/>
            </w:pPr>
            <w:r>
              <w:rPr>
                <w:spacing w:val="5"/>
              </w:rPr>
              <w:t>未检出</w:t>
            </w:r>
          </w:p>
        </w:tc>
      </w:tr>
      <w:tr w14:paraId="0A518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1037" w:type="dxa"/>
            <w:vMerge w:val="continue"/>
            <w:tcBorders>
              <w:top w:val="nil"/>
              <w:left w:val="single" w:color="000000" w:sz="10" w:space="0"/>
              <w:bottom w:val="nil"/>
            </w:tcBorders>
            <w:vAlign w:val="top"/>
          </w:tcPr>
          <w:p w14:paraId="66EC9C17">
            <w:pPr>
              <w:rPr>
                <w:rFonts w:ascii="Arial"/>
                <w:sz w:val="21"/>
              </w:rPr>
            </w:pPr>
          </w:p>
        </w:tc>
        <w:tc>
          <w:tcPr>
            <w:tcW w:w="1440" w:type="dxa"/>
            <w:vAlign w:val="top"/>
          </w:tcPr>
          <w:p w14:paraId="55821C40">
            <w:pPr>
              <w:pStyle w:val="6"/>
              <w:spacing w:before="122" w:line="226" w:lineRule="auto"/>
              <w:ind w:left="405"/>
            </w:pPr>
            <w:r>
              <w:rPr>
                <w:spacing w:val="6"/>
              </w:rPr>
              <w:t>六价铬</w:t>
            </w:r>
          </w:p>
        </w:tc>
        <w:tc>
          <w:tcPr>
            <w:tcW w:w="1190" w:type="dxa"/>
            <w:vAlign w:val="top"/>
          </w:tcPr>
          <w:p w14:paraId="55874CA5">
            <w:pPr>
              <w:spacing w:before="160" w:line="192" w:lineRule="auto"/>
              <w:ind w:left="43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29" w:type="dxa"/>
            <w:vAlign w:val="top"/>
          </w:tcPr>
          <w:p w14:paraId="3DCAE079">
            <w:pPr>
              <w:spacing w:before="160" w:line="192"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55" w:type="dxa"/>
            <w:vAlign w:val="top"/>
          </w:tcPr>
          <w:p w14:paraId="79CA8CC9">
            <w:pPr>
              <w:spacing w:before="160" w:line="192"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79" w:type="dxa"/>
            <w:vAlign w:val="top"/>
          </w:tcPr>
          <w:p w14:paraId="5D1953F6">
            <w:pPr>
              <w:spacing w:before="158"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w:t>
            </w:r>
          </w:p>
        </w:tc>
        <w:tc>
          <w:tcPr>
            <w:tcW w:w="1294" w:type="dxa"/>
            <w:tcBorders>
              <w:right w:val="single" w:color="000000" w:sz="10" w:space="0"/>
            </w:tcBorders>
            <w:vAlign w:val="top"/>
          </w:tcPr>
          <w:p w14:paraId="7AC2313D">
            <w:pPr>
              <w:pStyle w:val="6"/>
              <w:spacing w:before="121" w:line="228" w:lineRule="auto"/>
              <w:ind w:left="345"/>
            </w:pPr>
            <w:r>
              <w:rPr>
                <w:spacing w:val="5"/>
              </w:rPr>
              <w:t>未检出</w:t>
            </w:r>
          </w:p>
        </w:tc>
      </w:tr>
      <w:tr w14:paraId="20D58D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1037" w:type="dxa"/>
            <w:vMerge w:val="continue"/>
            <w:tcBorders>
              <w:top w:val="nil"/>
              <w:left w:val="single" w:color="000000" w:sz="10" w:space="0"/>
              <w:bottom w:val="nil"/>
            </w:tcBorders>
            <w:vAlign w:val="top"/>
          </w:tcPr>
          <w:p w14:paraId="57F2E5E7">
            <w:pPr>
              <w:rPr>
                <w:rFonts w:ascii="Arial"/>
                <w:sz w:val="21"/>
              </w:rPr>
            </w:pPr>
          </w:p>
        </w:tc>
        <w:tc>
          <w:tcPr>
            <w:tcW w:w="1440" w:type="dxa"/>
            <w:vAlign w:val="top"/>
          </w:tcPr>
          <w:p w14:paraId="1633A686">
            <w:pPr>
              <w:pStyle w:val="6"/>
              <w:spacing w:before="120" w:line="228" w:lineRule="auto"/>
              <w:ind w:left="404"/>
            </w:pPr>
            <w:r>
              <w:rPr>
                <w:spacing w:val="6"/>
              </w:rPr>
              <w:t>氟化物</w:t>
            </w:r>
          </w:p>
        </w:tc>
        <w:tc>
          <w:tcPr>
            <w:tcW w:w="1190" w:type="dxa"/>
            <w:vAlign w:val="top"/>
          </w:tcPr>
          <w:p w14:paraId="1D0EA892">
            <w:pPr>
              <w:spacing w:before="160" w:line="192" w:lineRule="auto"/>
              <w:ind w:left="43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29" w:type="dxa"/>
            <w:vAlign w:val="top"/>
          </w:tcPr>
          <w:p w14:paraId="5AD46C2B">
            <w:pPr>
              <w:spacing w:before="160" w:line="192"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55" w:type="dxa"/>
            <w:vAlign w:val="top"/>
          </w:tcPr>
          <w:p w14:paraId="1032D0A4">
            <w:pPr>
              <w:spacing w:before="160" w:line="192"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79" w:type="dxa"/>
            <w:vAlign w:val="top"/>
          </w:tcPr>
          <w:p w14:paraId="7E1AC09B">
            <w:pPr>
              <w:spacing w:before="157"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p>
        </w:tc>
        <w:tc>
          <w:tcPr>
            <w:tcW w:w="1294" w:type="dxa"/>
            <w:tcBorders>
              <w:right w:val="single" w:color="000000" w:sz="10" w:space="0"/>
            </w:tcBorders>
            <w:vAlign w:val="top"/>
          </w:tcPr>
          <w:p w14:paraId="27A204DB">
            <w:pPr>
              <w:pStyle w:val="6"/>
              <w:spacing w:before="120" w:line="228" w:lineRule="auto"/>
              <w:ind w:left="345"/>
            </w:pPr>
            <w:r>
              <w:rPr>
                <w:spacing w:val="5"/>
              </w:rPr>
              <w:t>未检出</w:t>
            </w:r>
          </w:p>
        </w:tc>
      </w:tr>
      <w:tr w14:paraId="30A2A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1037" w:type="dxa"/>
            <w:vMerge w:val="continue"/>
            <w:tcBorders>
              <w:top w:val="nil"/>
              <w:left w:val="single" w:color="000000" w:sz="10" w:space="0"/>
              <w:bottom w:val="nil"/>
            </w:tcBorders>
            <w:vAlign w:val="top"/>
          </w:tcPr>
          <w:p w14:paraId="6C4F4C1E">
            <w:pPr>
              <w:rPr>
                <w:rFonts w:ascii="Arial"/>
                <w:sz w:val="21"/>
              </w:rPr>
            </w:pPr>
          </w:p>
        </w:tc>
        <w:tc>
          <w:tcPr>
            <w:tcW w:w="1440" w:type="dxa"/>
            <w:vAlign w:val="top"/>
          </w:tcPr>
          <w:p w14:paraId="6A6C457A">
            <w:pPr>
              <w:pStyle w:val="6"/>
              <w:spacing w:before="123" w:line="228" w:lineRule="auto"/>
              <w:ind w:left="611"/>
            </w:pPr>
            <w:r>
              <w:rPr>
                <w:spacing w:val="1"/>
              </w:rPr>
              <w:t>砷</w:t>
            </w:r>
          </w:p>
        </w:tc>
        <w:tc>
          <w:tcPr>
            <w:tcW w:w="1190" w:type="dxa"/>
            <w:vAlign w:val="top"/>
          </w:tcPr>
          <w:p w14:paraId="6A108EC6">
            <w:pPr>
              <w:pStyle w:val="6"/>
              <w:spacing w:before="122" w:line="265" w:lineRule="exact"/>
              <w:ind w:left="277"/>
              <w:rPr>
                <w:rFonts w:ascii="Times New Roman" w:hAnsi="Times New Roman" w:eastAsia="Times New Roman" w:cs="Times New Roman"/>
                <w:sz w:val="13"/>
                <w:szCs w:val="13"/>
              </w:rPr>
            </w:pPr>
            <w:r>
              <w:rPr>
                <w:rFonts w:ascii="Times New Roman" w:hAnsi="Times New Roman" w:eastAsia="Times New Roman" w:cs="Times New Roman"/>
                <w:spacing w:val="-12"/>
                <w:position w:val="1"/>
              </w:rPr>
              <w:t>3</w:t>
            </w:r>
            <w:r>
              <w:rPr>
                <w:spacing w:val="-12"/>
                <w:position w:val="1"/>
              </w:rPr>
              <w:t>×</w:t>
            </w:r>
            <w:r>
              <w:rPr>
                <w:rFonts w:ascii="Times New Roman" w:hAnsi="Times New Roman" w:eastAsia="Times New Roman" w:cs="Times New Roman"/>
                <w:spacing w:val="-12"/>
                <w:position w:val="1"/>
              </w:rPr>
              <w:t>10</w:t>
            </w:r>
            <w:r>
              <w:rPr>
                <w:rFonts w:ascii="Times New Roman" w:hAnsi="Times New Roman" w:eastAsia="Times New Roman" w:cs="Times New Roman"/>
                <w:spacing w:val="1"/>
                <w:position w:val="7"/>
                <w:sz w:val="13"/>
                <w:szCs w:val="13"/>
              </w:rPr>
              <w:t>-4</w:t>
            </w:r>
          </w:p>
        </w:tc>
        <w:tc>
          <w:tcPr>
            <w:tcW w:w="1229" w:type="dxa"/>
            <w:vAlign w:val="top"/>
          </w:tcPr>
          <w:p w14:paraId="339E94A7">
            <w:pPr>
              <w:pStyle w:val="6"/>
              <w:spacing w:before="122" w:line="265" w:lineRule="exact"/>
              <w:ind w:left="301"/>
              <w:rPr>
                <w:rFonts w:ascii="Times New Roman" w:hAnsi="Times New Roman" w:eastAsia="Times New Roman" w:cs="Times New Roman"/>
                <w:sz w:val="13"/>
                <w:szCs w:val="13"/>
              </w:rPr>
            </w:pPr>
            <w:r>
              <w:rPr>
                <w:rFonts w:ascii="Times New Roman" w:hAnsi="Times New Roman" w:eastAsia="Times New Roman" w:cs="Times New Roman"/>
                <w:spacing w:val="-12"/>
                <w:position w:val="1"/>
              </w:rPr>
              <w:t>3</w:t>
            </w:r>
            <w:r>
              <w:rPr>
                <w:spacing w:val="-12"/>
                <w:position w:val="1"/>
              </w:rPr>
              <w:t>×</w:t>
            </w:r>
            <w:r>
              <w:rPr>
                <w:rFonts w:ascii="Times New Roman" w:hAnsi="Times New Roman" w:eastAsia="Times New Roman" w:cs="Times New Roman"/>
                <w:spacing w:val="-12"/>
                <w:position w:val="1"/>
              </w:rPr>
              <w:t>10</w:t>
            </w:r>
            <w:r>
              <w:rPr>
                <w:rFonts w:ascii="Times New Roman" w:hAnsi="Times New Roman" w:eastAsia="Times New Roman" w:cs="Times New Roman"/>
                <w:spacing w:val="1"/>
                <w:position w:val="7"/>
                <w:sz w:val="13"/>
                <w:szCs w:val="13"/>
              </w:rPr>
              <w:t>-4</w:t>
            </w:r>
          </w:p>
        </w:tc>
        <w:tc>
          <w:tcPr>
            <w:tcW w:w="1255" w:type="dxa"/>
            <w:vAlign w:val="top"/>
          </w:tcPr>
          <w:p w14:paraId="6D7ED50E">
            <w:pPr>
              <w:pStyle w:val="6"/>
              <w:spacing w:before="122" w:line="265" w:lineRule="exact"/>
              <w:ind w:left="318"/>
              <w:rPr>
                <w:rFonts w:ascii="Times New Roman" w:hAnsi="Times New Roman" w:eastAsia="Times New Roman" w:cs="Times New Roman"/>
                <w:sz w:val="13"/>
                <w:szCs w:val="13"/>
              </w:rPr>
            </w:pPr>
            <w:r>
              <w:rPr>
                <w:rFonts w:ascii="Times New Roman" w:hAnsi="Times New Roman" w:eastAsia="Times New Roman" w:cs="Times New Roman"/>
                <w:spacing w:val="-12"/>
                <w:position w:val="1"/>
              </w:rPr>
              <w:t>3</w:t>
            </w:r>
            <w:r>
              <w:rPr>
                <w:spacing w:val="-12"/>
                <w:position w:val="1"/>
              </w:rPr>
              <w:t>×</w:t>
            </w:r>
            <w:r>
              <w:rPr>
                <w:rFonts w:ascii="Times New Roman" w:hAnsi="Times New Roman" w:eastAsia="Times New Roman" w:cs="Times New Roman"/>
                <w:spacing w:val="-12"/>
                <w:position w:val="1"/>
              </w:rPr>
              <w:t>10</w:t>
            </w:r>
            <w:r>
              <w:rPr>
                <w:rFonts w:ascii="Times New Roman" w:hAnsi="Times New Roman" w:eastAsia="Times New Roman" w:cs="Times New Roman"/>
                <w:spacing w:val="2"/>
                <w:position w:val="7"/>
                <w:sz w:val="13"/>
                <w:szCs w:val="13"/>
              </w:rPr>
              <w:t>-4</w:t>
            </w:r>
          </w:p>
        </w:tc>
        <w:tc>
          <w:tcPr>
            <w:tcW w:w="1279" w:type="dxa"/>
            <w:vAlign w:val="top"/>
          </w:tcPr>
          <w:p w14:paraId="2E3CB164">
            <w:pPr>
              <w:spacing w:before="159"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≤0.05</w:t>
            </w:r>
          </w:p>
        </w:tc>
        <w:tc>
          <w:tcPr>
            <w:tcW w:w="1294" w:type="dxa"/>
            <w:tcBorders>
              <w:right w:val="single" w:color="000000" w:sz="10" w:space="0"/>
            </w:tcBorders>
            <w:vAlign w:val="top"/>
          </w:tcPr>
          <w:p w14:paraId="12F28627">
            <w:pPr>
              <w:pStyle w:val="6"/>
              <w:spacing w:before="123" w:line="228" w:lineRule="auto"/>
              <w:ind w:left="444"/>
            </w:pPr>
            <w:r>
              <w:rPr>
                <w:spacing w:val="5"/>
              </w:rPr>
              <w:t>达标</w:t>
            </w:r>
          </w:p>
        </w:tc>
      </w:tr>
      <w:tr w14:paraId="6FC11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1037" w:type="dxa"/>
            <w:vMerge w:val="continue"/>
            <w:tcBorders>
              <w:top w:val="nil"/>
              <w:left w:val="single" w:color="000000" w:sz="10" w:space="0"/>
              <w:bottom w:val="nil"/>
            </w:tcBorders>
            <w:vAlign w:val="top"/>
          </w:tcPr>
          <w:p w14:paraId="2BD7A480">
            <w:pPr>
              <w:rPr>
                <w:rFonts w:ascii="Arial"/>
                <w:sz w:val="21"/>
              </w:rPr>
            </w:pPr>
          </w:p>
        </w:tc>
        <w:tc>
          <w:tcPr>
            <w:tcW w:w="1440" w:type="dxa"/>
            <w:vAlign w:val="top"/>
          </w:tcPr>
          <w:p w14:paraId="4053F414">
            <w:pPr>
              <w:pStyle w:val="6"/>
              <w:spacing w:before="124" w:line="228" w:lineRule="auto"/>
              <w:ind w:left="613"/>
            </w:pPr>
            <w:r>
              <w:t>汞</w:t>
            </w:r>
          </w:p>
        </w:tc>
        <w:tc>
          <w:tcPr>
            <w:tcW w:w="1190" w:type="dxa"/>
            <w:vAlign w:val="top"/>
          </w:tcPr>
          <w:p w14:paraId="066F43EA">
            <w:pPr>
              <w:spacing w:before="163" w:line="192" w:lineRule="auto"/>
              <w:ind w:left="43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29" w:type="dxa"/>
            <w:vAlign w:val="top"/>
          </w:tcPr>
          <w:p w14:paraId="5FD613FB">
            <w:pPr>
              <w:spacing w:before="163" w:line="192"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55" w:type="dxa"/>
            <w:vAlign w:val="top"/>
          </w:tcPr>
          <w:p w14:paraId="661F0EEB">
            <w:pPr>
              <w:spacing w:before="163" w:line="192" w:lineRule="auto"/>
              <w:ind w:left="52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79" w:type="dxa"/>
            <w:vAlign w:val="top"/>
          </w:tcPr>
          <w:p w14:paraId="641F9B93">
            <w:pPr>
              <w:spacing w:before="160"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≤0.00005</w:t>
            </w:r>
          </w:p>
        </w:tc>
        <w:tc>
          <w:tcPr>
            <w:tcW w:w="1294" w:type="dxa"/>
            <w:tcBorders>
              <w:right w:val="single" w:color="000000" w:sz="10" w:space="0"/>
            </w:tcBorders>
            <w:vAlign w:val="top"/>
          </w:tcPr>
          <w:p w14:paraId="793B454F">
            <w:pPr>
              <w:pStyle w:val="6"/>
              <w:spacing w:before="124" w:line="228" w:lineRule="auto"/>
              <w:ind w:left="345"/>
            </w:pPr>
            <w:r>
              <w:rPr>
                <w:spacing w:val="5"/>
              </w:rPr>
              <w:t>未检出</w:t>
            </w:r>
          </w:p>
        </w:tc>
      </w:tr>
      <w:tr w14:paraId="4B45F3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1037" w:type="dxa"/>
            <w:vMerge w:val="continue"/>
            <w:tcBorders>
              <w:top w:val="nil"/>
              <w:left w:val="single" w:color="000000" w:sz="10" w:space="0"/>
              <w:bottom w:val="nil"/>
            </w:tcBorders>
            <w:vAlign w:val="top"/>
          </w:tcPr>
          <w:p w14:paraId="15EFF14D">
            <w:pPr>
              <w:rPr>
                <w:rFonts w:ascii="Arial"/>
                <w:sz w:val="21"/>
              </w:rPr>
            </w:pPr>
          </w:p>
        </w:tc>
        <w:tc>
          <w:tcPr>
            <w:tcW w:w="1440" w:type="dxa"/>
            <w:vAlign w:val="top"/>
          </w:tcPr>
          <w:p w14:paraId="5BE954A4">
            <w:pPr>
              <w:pStyle w:val="6"/>
              <w:spacing w:before="126" w:line="229" w:lineRule="auto"/>
              <w:ind w:left="612"/>
            </w:pPr>
            <w:r>
              <w:t>铜</w:t>
            </w:r>
          </w:p>
        </w:tc>
        <w:tc>
          <w:tcPr>
            <w:tcW w:w="1190" w:type="dxa"/>
            <w:vAlign w:val="top"/>
          </w:tcPr>
          <w:p w14:paraId="4035DAB2">
            <w:pPr>
              <w:spacing w:before="164" w:line="192" w:lineRule="auto"/>
              <w:ind w:left="43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29" w:type="dxa"/>
            <w:vAlign w:val="top"/>
          </w:tcPr>
          <w:p w14:paraId="7EEE1F49">
            <w:pPr>
              <w:spacing w:before="164" w:line="192"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55" w:type="dxa"/>
            <w:vAlign w:val="top"/>
          </w:tcPr>
          <w:p w14:paraId="31533CE2">
            <w:pPr>
              <w:spacing w:before="164" w:line="192" w:lineRule="auto"/>
              <w:ind w:left="52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79" w:type="dxa"/>
            <w:vAlign w:val="top"/>
          </w:tcPr>
          <w:p w14:paraId="7767C9B2">
            <w:pPr>
              <w:spacing w:before="162"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p>
        </w:tc>
        <w:tc>
          <w:tcPr>
            <w:tcW w:w="1294" w:type="dxa"/>
            <w:tcBorders>
              <w:right w:val="single" w:color="000000" w:sz="10" w:space="0"/>
            </w:tcBorders>
            <w:vAlign w:val="top"/>
          </w:tcPr>
          <w:p w14:paraId="1E04E948">
            <w:pPr>
              <w:pStyle w:val="6"/>
              <w:spacing w:before="125" w:line="228" w:lineRule="auto"/>
              <w:ind w:left="345"/>
            </w:pPr>
            <w:r>
              <w:rPr>
                <w:spacing w:val="5"/>
              </w:rPr>
              <w:t>未检出</w:t>
            </w:r>
          </w:p>
        </w:tc>
      </w:tr>
      <w:tr w14:paraId="73D26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1037" w:type="dxa"/>
            <w:vMerge w:val="continue"/>
            <w:tcBorders>
              <w:top w:val="nil"/>
              <w:left w:val="single" w:color="000000" w:sz="10" w:space="0"/>
              <w:bottom w:val="nil"/>
            </w:tcBorders>
            <w:vAlign w:val="top"/>
          </w:tcPr>
          <w:p w14:paraId="2FC3F514">
            <w:pPr>
              <w:rPr>
                <w:rFonts w:ascii="Arial"/>
                <w:sz w:val="21"/>
              </w:rPr>
            </w:pPr>
          </w:p>
        </w:tc>
        <w:tc>
          <w:tcPr>
            <w:tcW w:w="1440" w:type="dxa"/>
            <w:vAlign w:val="top"/>
          </w:tcPr>
          <w:p w14:paraId="306515E3">
            <w:pPr>
              <w:pStyle w:val="6"/>
              <w:spacing w:before="125" w:line="228" w:lineRule="auto"/>
              <w:ind w:left="611"/>
            </w:pPr>
            <w:r>
              <w:rPr>
                <w:spacing w:val="1"/>
              </w:rPr>
              <w:t>锌</w:t>
            </w:r>
          </w:p>
        </w:tc>
        <w:tc>
          <w:tcPr>
            <w:tcW w:w="1190" w:type="dxa"/>
            <w:vAlign w:val="top"/>
          </w:tcPr>
          <w:p w14:paraId="4D7669C1">
            <w:pPr>
              <w:spacing w:before="164" w:line="192" w:lineRule="auto"/>
              <w:ind w:left="43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29" w:type="dxa"/>
            <w:vAlign w:val="top"/>
          </w:tcPr>
          <w:p w14:paraId="48B98B53">
            <w:pPr>
              <w:spacing w:before="164" w:line="192"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55" w:type="dxa"/>
            <w:vAlign w:val="top"/>
          </w:tcPr>
          <w:p w14:paraId="405589F0">
            <w:pPr>
              <w:spacing w:before="164" w:line="192"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79" w:type="dxa"/>
            <w:vAlign w:val="top"/>
          </w:tcPr>
          <w:p w14:paraId="67E00EEB">
            <w:pPr>
              <w:spacing w:before="161"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p>
        </w:tc>
        <w:tc>
          <w:tcPr>
            <w:tcW w:w="1294" w:type="dxa"/>
            <w:tcBorders>
              <w:right w:val="single" w:color="000000" w:sz="10" w:space="0"/>
            </w:tcBorders>
            <w:vAlign w:val="top"/>
          </w:tcPr>
          <w:p w14:paraId="044BAD07">
            <w:pPr>
              <w:pStyle w:val="6"/>
              <w:spacing w:before="124" w:line="228" w:lineRule="auto"/>
              <w:ind w:left="345"/>
            </w:pPr>
            <w:r>
              <w:rPr>
                <w:spacing w:val="5"/>
              </w:rPr>
              <w:t>未检出</w:t>
            </w:r>
          </w:p>
        </w:tc>
      </w:tr>
      <w:tr w14:paraId="5EC79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1037" w:type="dxa"/>
            <w:vMerge w:val="continue"/>
            <w:tcBorders>
              <w:top w:val="nil"/>
              <w:left w:val="single" w:color="000000" w:sz="10" w:space="0"/>
              <w:bottom w:val="nil"/>
            </w:tcBorders>
            <w:vAlign w:val="top"/>
          </w:tcPr>
          <w:p w14:paraId="798E8A87">
            <w:pPr>
              <w:rPr>
                <w:rFonts w:ascii="Arial"/>
                <w:sz w:val="21"/>
              </w:rPr>
            </w:pPr>
          </w:p>
        </w:tc>
        <w:tc>
          <w:tcPr>
            <w:tcW w:w="1440" w:type="dxa"/>
            <w:vAlign w:val="top"/>
          </w:tcPr>
          <w:p w14:paraId="7C5F850F">
            <w:pPr>
              <w:pStyle w:val="6"/>
              <w:spacing w:before="126" w:line="231" w:lineRule="auto"/>
              <w:ind w:left="611"/>
            </w:pPr>
            <w:r>
              <w:rPr>
                <w:spacing w:val="2"/>
              </w:rPr>
              <w:t>镉</w:t>
            </w:r>
          </w:p>
        </w:tc>
        <w:tc>
          <w:tcPr>
            <w:tcW w:w="1190" w:type="dxa"/>
            <w:vAlign w:val="top"/>
          </w:tcPr>
          <w:p w14:paraId="4EB337D2">
            <w:pPr>
              <w:pStyle w:val="6"/>
              <w:spacing w:before="126" w:line="265" w:lineRule="exact"/>
              <w:ind w:left="213"/>
              <w:rPr>
                <w:rFonts w:ascii="Times New Roman" w:hAnsi="Times New Roman" w:eastAsia="Times New Roman" w:cs="Times New Roman"/>
                <w:sz w:val="13"/>
                <w:szCs w:val="13"/>
              </w:rPr>
            </w:pPr>
            <w:r>
              <w:rPr>
                <w:rFonts w:ascii="Times New Roman" w:hAnsi="Times New Roman" w:eastAsia="Times New Roman" w:cs="Times New Roman"/>
                <w:spacing w:val="1"/>
                <w:position w:val="1"/>
              </w:rPr>
              <w:t>1.8</w:t>
            </w:r>
            <w:r>
              <w:rPr>
                <w:spacing w:val="1"/>
                <w:position w:val="1"/>
              </w:rPr>
              <w:t>×</w:t>
            </w:r>
            <w:r>
              <w:rPr>
                <w:rFonts w:ascii="Times New Roman" w:hAnsi="Times New Roman" w:eastAsia="Times New Roman" w:cs="Times New Roman"/>
                <w:spacing w:val="1"/>
                <w:position w:val="1"/>
              </w:rPr>
              <w:t>10</w:t>
            </w:r>
            <w:r>
              <w:rPr>
                <w:rFonts w:ascii="Times New Roman" w:hAnsi="Times New Roman" w:eastAsia="Times New Roman" w:cs="Times New Roman"/>
                <w:spacing w:val="1"/>
                <w:position w:val="7"/>
                <w:sz w:val="13"/>
                <w:szCs w:val="13"/>
              </w:rPr>
              <w:t>-4</w:t>
            </w:r>
          </w:p>
        </w:tc>
        <w:tc>
          <w:tcPr>
            <w:tcW w:w="1229" w:type="dxa"/>
            <w:vAlign w:val="top"/>
          </w:tcPr>
          <w:p w14:paraId="60F17B73">
            <w:pPr>
              <w:pStyle w:val="6"/>
              <w:spacing w:before="126" w:line="265" w:lineRule="exact"/>
              <w:ind w:left="218"/>
              <w:rPr>
                <w:rFonts w:ascii="Times New Roman" w:hAnsi="Times New Roman" w:eastAsia="Times New Roman" w:cs="Times New Roman"/>
                <w:sz w:val="13"/>
                <w:szCs w:val="13"/>
              </w:rPr>
            </w:pPr>
            <w:r>
              <w:rPr>
                <w:rFonts w:ascii="Times New Roman" w:hAnsi="Times New Roman" w:eastAsia="Times New Roman" w:cs="Times New Roman"/>
                <w:spacing w:val="3"/>
                <w:position w:val="1"/>
              </w:rPr>
              <w:t>2.0</w:t>
            </w:r>
            <w:r>
              <w:rPr>
                <w:spacing w:val="3"/>
                <w:position w:val="1"/>
              </w:rPr>
              <w:t>×</w:t>
            </w:r>
            <w:r>
              <w:rPr>
                <w:rFonts w:ascii="Times New Roman" w:hAnsi="Times New Roman" w:eastAsia="Times New Roman" w:cs="Times New Roman"/>
                <w:spacing w:val="3"/>
                <w:position w:val="1"/>
              </w:rPr>
              <w:t>10</w:t>
            </w:r>
            <w:r>
              <w:rPr>
                <w:rFonts w:ascii="Times New Roman" w:hAnsi="Times New Roman" w:eastAsia="Times New Roman" w:cs="Times New Roman"/>
                <w:spacing w:val="3"/>
                <w:position w:val="7"/>
                <w:sz w:val="13"/>
                <w:szCs w:val="13"/>
              </w:rPr>
              <w:t>-4</w:t>
            </w:r>
          </w:p>
        </w:tc>
        <w:tc>
          <w:tcPr>
            <w:tcW w:w="1255" w:type="dxa"/>
            <w:vAlign w:val="top"/>
          </w:tcPr>
          <w:p w14:paraId="41F29163">
            <w:pPr>
              <w:pStyle w:val="6"/>
              <w:spacing w:before="126" w:line="265" w:lineRule="exact"/>
              <w:ind w:left="254"/>
              <w:rPr>
                <w:rFonts w:ascii="Times New Roman" w:hAnsi="Times New Roman" w:eastAsia="Times New Roman" w:cs="Times New Roman"/>
                <w:sz w:val="13"/>
                <w:szCs w:val="13"/>
              </w:rPr>
            </w:pPr>
            <w:r>
              <w:rPr>
                <w:rFonts w:ascii="Times New Roman" w:hAnsi="Times New Roman" w:eastAsia="Times New Roman" w:cs="Times New Roman"/>
                <w:spacing w:val="1"/>
                <w:position w:val="1"/>
              </w:rPr>
              <w:t>1.9</w:t>
            </w:r>
            <w:r>
              <w:rPr>
                <w:spacing w:val="1"/>
                <w:position w:val="1"/>
              </w:rPr>
              <w:t>×</w:t>
            </w:r>
            <w:r>
              <w:rPr>
                <w:rFonts w:ascii="Times New Roman" w:hAnsi="Times New Roman" w:eastAsia="Times New Roman" w:cs="Times New Roman"/>
                <w:spacing w:val="1"/>
                <w:position w:val="1"/>
              </w:rPr>
              <w:t>10</w:t>
            </w:r>
            <w:r>
              <w:rPr>
                <w:rFonts w:ascii="Times New Roman" w:hAnsi="Times New Roman" w:eastAsia="Times New Roman" w:cs="Times New Roman"/>
                <w:spacing w:val="1"/>
                <w:position w:val="7"/>
                <w:sz w:val="13"/>
                <w:szCs w:val="13"/>
              </w:rPr>
              <w:t>-4</w:t>
            </w:r>
          </w:p>
        </w:tc>
        <w:tc>
          <w:tcPr>
            <w:tcW w:w="1279" w:type="dxa"/>
            <w:vAlign w:val="top"/>
          </w:tcPr>
          <w:p w14:paraId="519CCF21">
            <w:pPr>
              <w:spacing w:before="163" w:line="195"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≤0.005</w:t>
            </w:r>
          </w:p>
        </w:tc>
        <w:tc>
          <w:tcPr>
            <w:tcW w:w="1294" w:type="dxa"/>
            <w:tcBorders>
              <w:right w:val="single" w:color="000000" w:sz="10" w:space="0"/>
            </w:tcBorders>
            <w:vAlign w:val="top"/>
          </w:tcPr>
          <w:p w14:paraId="71579B15">
            <w:pPr>
              <w:pStyle w:val="6"/>
              <w:spacing w:before="127" w:line="228" w:lineRule="auto"/>
              <w:ind w:left="444"/>
            </w:pPr>
            <w:r>
              <w:rPr>
                <w:spacing w:val="5"/>
              </w:rPr>
              <w:t>达标</w:t>
            </w:r>
          </w:p>
        </w:tc>
      </w:tr>
      <w:tr w14:paraId="3E23C1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1037" w:type="dxa"/>
            <w:vMerge w:val="continue"/>
            <w:tcBorders>
              <w:top w:val="nil"/>
              <w:left w:val="single" w:color="000000" w:sz="10" w:space="0"/>
            </w:tcBorders>
            <w:vAlign w:val="top"/>
          </w:tcPr>
          <w:p w14:paraId="2A118787">
            <w:pPr>
              <w:rPr>
                <w:rFonts w:ascii="Arial"/>
                <w:sz w:val="21"/>
              </w:rPr>
            </w:pPr>
          </w:p>
        </w:tc>
        <w:tc>
          <w:tcPr>
            <w:tcW w:w="1440" w:type="dxa"/>
            <w:vAlign w:val="top"/>
          </w:tcPr>
          <w:p w14:paraId="7D98FEF3">
            <w:pPr>
              <w:pStyle w:val="6"/>
              <w:spacing w:before="128" w:line="232" w:lineRule="auto"/>
              <w:ind w:left="612"/>
            </w:pPr>
            <w:r>
              <w:t>铅</w:t>
            </w:r>
          </w:p>
        </w:tc>
        <w:tc>
          <w:tcPr>
            <w:tcW w:w="1190" w:type="dxa"/>
            <w:vAlign w:val="top"/>
          </w:tcPr>
          <w:p w14:paraId="253E75D7">
            <w:pPr>
              <w:spacing w:before="167" w:line="192" w:lineRule="auto"/>
              <w:ind w:left="43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29" w:type="dxa"/>
            <w:vAlign w:val="top"/>
          </w:tcPr>
          <w:p w14:paraId="41EC5D1F">
            <w:pPr>
              <w:spacing w:before="167" w:line="192"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55" w:type="dxa"/>
            <w:vAlign w:val="top"/>
          </w:tcPr>
          <w:p w14:paraId="016B4F55">
            <w:pPr>
              <w:spacing w:before="167" w:line="192"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79" w:type="dxa"/>
            <w:vAlign w:val="top"/>
          </w:tcPr>
          <w:p w14:paraId="1152D82A">
            <w:pPr>
              <w:spacing w:before="164"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w:t>
            </w:r>
          </w:p>
        </w:tc>
        <w:tc>
          <w:tcPr>
            <w:tcW w:w="1294" w:type="dxa"/>
            <w:tcBorders>
              <w:right w:val="single" w:color="000000" w:sz="10" w:space="0"/>
            </w:tcBorders>
            <w:vAlign w:val="top"/>
          </w:tcPr>
          <w:p w14:paraId="30D6F239">
            <w:pPr>
              <w:pStyle w:val="6"/>
              <w:spacing w:before="128" w:line="228" w:lineRule="auto"/>
              <w:ind w:left="345"/>
            </w:pPr>
            <w:r>
              <w:rPr>
                <w:spacing w:val="5"/>
              </w:rPr>
              <w:t>未检出</w:t>
            </w:r>
          </w:p>
        </w:tc>
      </w:tr>
      <w:tr w14:paraId="2FBC2B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1037" w:type="dxa"/>
            <w:vMerge w:val="restart"/>
            <w:tcBorders>
              <w:left w:val="single" w:color="000000" w:sz="10" w:space="0"/>
              <w:bottom w:val="nil"/>
            </w:tcBorders>
            <w:vAlign w:val="top"/>
          </w:tcPr>
          <w:p w14:paraId="2E6F618E">
            <w:pPr>
              <w:spacing w:line="287" w:lineRule="auto"/>
              <w:rPr>
                <w:rFonts w:ascii="Arial"/>
                <w:sz w:val="21"/>
              </w:rPr>
            </w:pPr>
          </w:p>
          <w:p w14:paraId="38F74E8D">
            <w:pPr>
              <w:spacing w:line="287" w:lineRule="auto"/>
              <w:rPr>
                <w:rFonts w:ascii="Arial"/>
                <w:sz w:val="21"/>
              </w:rPr>
            </w:pPr>
          </w:p>
          <w:p w14:paraId="50CC04BD">
            <w:pPr>
              <w:spacing w:line="288" w:lineRule="auto"/>
              <w:rPr>
                <w:rFonts w:ascii="Arial"/>
                <w:sz w:val="21"/>
              </w:rPr>
            </w:pPr>
          </w:p>
          <w:p w14:paraId="5514CF34">
            <w:pPr>
              <w:spacing w:line="288" w:lineRule="auto"/>
              <w:rPr>
                <w:rFonts w:ascii="Arial"/>
                <w:sz w:val="21"/>
              </w:rPr>
            </w:pPr>
          </w:p>
          <w:p w14:paraId="56D4C2C8">
            <w:pPr>
              <w:spacing w:line="288" w:lineRule="auto"/>
              <w:rPr>
                <w:rFonts w:ascii="Arial"/>
                <w:sz w:val="21"/>
              </w:rPr>
            </w:pPr>
          </w:p>
          <w:p w14:paraId="2F92A5B6">
            <w:pPr>
              <w:pStyle w:val="6"/>
              <w:spacing w:before="65" w:line="228" w:lineRule="auto"/>
              <w:ind w:left="196"/>
            </w:pPr>
            <w:r>
              <w:rPr>
                <w:spacing w:val="6"/>
              </w:rPr>
              <w:t>赧水新</w:t>
            </w:r>
          </w:p>
          <w:p w14:paraId="1E7B0814">
            <w:pPr>
              <w:pStyle w:val="6"/>
              <w:spacing w:before="26" w:line="227" w:lineRule="auto"/>
              <w:ind w:left="302"/>
            </w:pPr>
            <w:r>
              <w:rPr>
                <w:spacing w:val="3"/>
              </w:rPr>
              <w:t>元村</w:t>
            </w:r>
          </w:p>
          <w:p w14:paraId="4EC675B8">
            <w:pPr>
              <w:pStyle w:val="6"/>
              <w:spacing w:before="25"/>
              <w:ind w:left="159"/>
            </w:pPr>
            <w:r>
              <w:rPr>
                <w:spacing w:val="1"/>
              </w:rPr>
              <w:t>（</w:t>
            </w:r>
            <w:r>
              <w:rPr>
                <w:rFonts w:ascii="Times New Roman" w:hAnsi="Times New Roman" w:eastAsia="Times New Roman" w:cs="Times New Roman"/>
                <w:spacing w:val="1"/>
              </w:rPr>
              <w:t>W2</w:t>
            </w:r>
            <w:r>
              <w:rPr>
                <w:spacing w:val="1"/>
              </w:rPr>
              <w:t>）</w:t>
            </w:r>
          </w:p>
        </w:tc>
        <w:tc>
          <w:tcPr>
            <w:tcW w:w="1440" w:type="dxa"/>
            <w:vAlign w:val="top"/>
          </w:tcPr>
          <w:p w14:paraId="25D063E8">
            <w:pPr>
              <w:pStyle w:val="6"/>
              <w:spacing w:before="130" w:line="221" w:lineRule="auto"/>
              <w:ind w:left="95"/>
            </w:pPr>
            <w:r>
              <w:rPr>
                <w:rFonts w:ascii="Times New Roman" w:hAnsi="Times New Roman" w:eastAsia="Times New Roman" w:cs="Times New Roman"/>
              </w:rPr>
              <w:t>pH</w:t>
            </w:r>
            <w:r>
              <w:rPr>
                <w:spacing w:val="10"/>
              </w:rPr>
              <w:t>（无量纲）</w:t>
            </w:r>
          </w:p>
        </w:tc>
        <w:tc>
          <w:tcPr>
            <w:tcW w:w="1190" w:type="dxa"/>
            <w:vAlign w:val="top"/>
          </w:tcPr>
          <w:p w14:paraId="07D51DB6">
            <w:pPr>
              <w:spacing w:before="165" w:line="195" w:lineRule="auto"/>
              <w:ind w:left="46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7.4</w:t>
            </w:r>
          </w:p>
        </w:tc>
        <w:tc>
          <w:tcPr>
            <w:tcW w:w="1229" w:type="dxa"/>
            <w:vAlign w:val="top"/>
          </w:tcPr>
          <w:p w14:paraId="746938AE">
            <w:pPr>
              <w:spacing w:before="168" w:line="192"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1255" w:type="dxa"/>
            <w:vAlign w:val="top"/>
          </w:tcPr>
          <w:p w14:paraId="17700ED0">
            <w:pPr>
              <w:spacing w:before="165"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7.3</w:t>
            </w:r>
          </w:p>
        </w:tc>
        <w:tc>
          <w:tcPr>
            <w:tcW w:w="1279" w:type="dxa"/>
            <w:vAlign w:val="top"/>
          </w:tcPr>
          <w:p w14:paraId="772A5370">
            <w:pPr>
              <w:pStyle w:val="6"/>
              <w:spacing w:before="130" w:line="264" w:lineRule="exact"/>
              <w:ind w:left="443"/>
              <w:rPr>
                <w:rFonts w:ascii="Times New Roman" w:hAnsi="Times New Roman" w:eastAsia="Times New Roman" w:cs="Times New Roman"/>
              </w:rPr>
            </w:pPr>
            <w:r>
              <w:rPr>
                <w:rFonts w:ascii="Times New Roman" w:hAnsi="Times New Roman" w:eastAsia="Times New Roman" w:cs="Times New Roman"/>
                <w:spacing w:val="3"/>
                <w:position w:val="1"/>
              </w:rPr>
              <w:t>6</w:t>
            </w:r>
            <w:r>
              <w:rPr>
                <w:spacing w:val="3"/>
                <w:position w:val="1"/>
              </w:rPr>
              <w:t>～</w:t>
            </w:r>
            <w:r>
              <w:rPr>
                <w:rFonts w:ascii="Times New Roman" w:hAnsi="Times New Roman" w:eastAsia="Times New Roman" w:cs="Times New Roman"/>
                <w:spacing w:val="3"/>
                <w:position w:val="1"/>
              </w:rPr>
              <w:t>9</w:t>
            </w:r>
          </w:p>
        </w:tc>
        <w:tc>
          <w:tcPr>
            <w:tcW w:w="1294" w:type="dxa"/>
            <w:tcBorders>
              <w:right w:val="single" w:color="000000" w:sz="10" w:space="0"/>
            </w:tcBorders>
            <w:vAlign w:val="top"/>
          </w:tcPr>
          <w:p w14:paraId="2237B4AC">
            <w:pPr>
              <w:pStyle w:val="6"/>
              <w:spacing w:before="130" w:line="228" w:lineRule="auto"/>
              <w:ind w:left="444"/>
            </w:pPr>
            <w:r>
              <w:rPr>
                <w:spacing w:val="5"/>
              </w:rPr>
              <w:t>达标</w:t>
            </w:r>
          </w:p>
        </w:tc>
      </w:tr>
      <w:tr w14:paraId="04A83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1037" w:type="dxa"/>
            <w:vMerge w:val="continue"/>
            <w:tcBorders>
              <w:top w:val="nil"/>
              <w:left w:val="single" w:color="000000" w:sz="10" w:space="0"/>
              <w:bottom w:val="nil"/>
            </w:tcBorders>
            <w:vAlign w:val="top"/>
          </w:tcPr>
          <w:p w14:paraId="6976A192">
            <w:pPr>
              <w:rPr>
                <w:rFonts w:ascii="Arial"/>
                <w:sz w:val="21"/>
              </w:rPr>
            </w:pPr>
          </w:p>
        </w:tc>
        <w:tc>
          <w:tcPr>
            <w:tcW w:w="1440" w:type="dxa"/>
            <w:vAlign w:val="top"/>
          </w:tcPr>
          <w:p w14:paraId="795C091E">
            <w:pPr>
              <w:pStyle w:val="6"/>
              <w:spacing w:before="129" w:line="227" w:lineRule="auto"/>
              <w:ind w:left="406"/>
            </w:pPr>
            <w:r>
              <w:rPr>
                <w:spacing w:val="6"/>
              </w:rPr>
              <w:t>溶解氧</w:t>
            </w:r>
          </w:p>
        </w:tc>
        <w:tc>
          <w:tcPr>
            <w:tcW w:w="1190" w:type="dxa"/>
            <w:vAlign w:val="top"/>
          </w:tcPr>
          <w:p w14:paraId="4EABB9A2">
            <w:pPr>
              <w:spacing w:before="165"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6.07</w:t>
            </w:r>
          </w:p>
        </w:tc>
        <w:tc>
          <w:tcPr>
            <w:tcW w:w="1229" w:type="dxa"/>
            <w:vAlign w:val="top"/>
          </w:tcPr>
          <w:p w14:paraId="431438B6">
            <w:pPr>
              <w:spacing w:before="165" w:line="195" w:lineRule="auto"/>
              <w:ind w:left="4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6.77</w:t>
            </w:r>
          </w:p>
        </w:tc>
        <w:tc>
          <w:tcPr>
            <w:tcW w:w="1255" w:type="dxa"/>
            <w:vAlign w:val="top"/>
          </w:tcPr>
          <w:p w14:paraId="5A2FBEE7">
            <w:pPr>
              <w:spacing w:before="165" w:line="195"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6.63</w:t>
            </w:r>
          </w:p>
        </w:tc>
        <w:tc>
          <w:tcPr>
            <w:tcW w:w="1279" w:type="dxa"/>
            <w:vAlign w:val="top"/>
          </w:tcPr>
          <w:p w14:paraId="2D654DF3">
            <w:pPr>
              <w:spacing w:before="165" w:line="195" w:lineRule="auto"/>
              <w:ind w:left="5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w:t>
            </w:r>
          </w:p>
        </w:tc>
        <w:tc>
          <w:tcPr>
            <w:tcW w:w="1294" w:type="dxa"/>
            <w:tcBorders>
              <w:right w:val="single" w:color="000000" w:sz="10" w:space="0"/>
            </w:tcBorders>
            <w:vAlign w:val="top"/>
          </w:tcPr>
          <w:p w14:paraId="022EE8C0">
            <w:pPr>
              <w:pStyle w:val="6"/>
              <w:spacing w:before="129" w:line="228" w:lineRule="auto"/>
              <w:ind w:left="444"/>
            </w:pPr>
            <w:r>
              <w:rPr>
                <w:spacing w:val="5"/>
              </w:rPr>
              <w:t>达标</w:t>
            </w:r>
          </w:p>
        </w:tc>
      </w:tr>
      <w:tr w14:paraId="1F14F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1037" w:type="dxa"/>
            <w:vMerge w:val="continue"/>
            <w:tcBorders>
              <w:top w:val="nil"/>
              <w:left w:val="single" w:color="000000" w:sz="10" w:space="0"/>
              <w:bottom w:val="nil"/>
            </w:tcBorders>
            <w:vAlign w:val="top"/>
          </w:tcPr>
          <w:p w14:paraId="3BACFC46">
            <w:pPr>
              <w:rPr>
                <w:rFonts w:ascii="Arial"/>
                <w:sz w:val="21"/>
              </w:rPr>
            </w:pPr>
          </w:p>
        </w:tc>
        <w:tc>
          <w:tcPr>
            <w:tcW w:w="1440" w:type="dxa"/>
            <w:vAlign w:val="top"/>
          </w:tcPr>
          <w:p w14:paraId="52094FDE">
            <w:pPr>
              <w:pStyle w:val="6"/>
              <w:spacing w:before="129" w:line="227" w:lineRule="auto"/>
              <w:ind w:left="193"/>
            </w:pPr>
            <w:r>
              <w:rPr>
                <w:spacing w:val="7"/>
              </w:rPr>
              <w:t>化学需氧量</w:t>
            </w:r>
          </w:p>
        </w:tc>
        <w:tc>
          <w:tcPr>
            <w:tcW w:w="1190" w:type="dxa"/>
            <w:vAlign w:val="top"/>
          </w:tcPr>
          <w:p w14:paraId="5F44A4C3">
            <w:pPr>
              <w:spacing w:before="165" w:line="195" w:lineRule="auto"/>
              <w:ind w:left="50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229" w:type="dxa"/>
            <w:vAlign w:val="top"/>
          </w:tcPr>
          <w:p w14:paraId="311B9D99">
            <w:pPr>
              <w:spacing w:before="165" w:line="195" w:lineRule="auto"/>
              <w:ind w:left="535"/>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1255" w:type="dxa"/>
            <w:vAlign w:val="top"/>
          </w:tcPr>
          <w:p w14:paraId="68115965">
            <w:pPr>
              <w:spacing w:before="165" w:line="195" w:lineRule="auto"/>
              <w:ind w:left="54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279" w:type="dxa"/>
            <w:vAlign w:val="top"/>
          </w:tcPr>
          <w:p w14:paraId="239A6F94">
            <w:pPr>
              <w:spacing w:before="166"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294" w:type="dxa"/>
            <w:tcBorders>
              <w:right w:val="single" w:color="000000" w:sz="10" w:space="0"/>
            </w:tcBorders>
            <w:vAlign w:val="top"/>
          </w:tcPr>
          <w:p w14:paraId="6508BF8A">
            <w:pPr>
              <w:pStyle w:val="6"/>
              <w:spacing w:before="130" w:line="228" w:lineRule="auto"/>
              <w:ind w:left="444"/>
            </w:pPr>
            <w:r>
              <w:rPr>
                <w:spacing w:val="5"/>
              </w:rPr>
              <w:t>达标</w:t>
            </w:r>
          </w:p>
        </w:tc>
      </w:tr>
      <w:tr w14:paraId="1886D0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037" w:type="dxa"/>
            <w:vMerge w:val="continue"/>
            <w:tcBorders>
              <w:top w:val="nil"/>
              <w:left w:val="single" w:color="000000" w:sz="10" w:space="0"/>
              <w:bottom w:val="nil"/>
            </w:tcBorders>
            <w:vAlign w:val="top"/>
          </w:tcPr>
          <w:p w14:paraId="4ADB3358">
            <w:pPr>
              <w:rPr>
                <w:rFonts w:ascii="Arial"/>
                <w:sz w:val="21"/>
              </w:rPr>
            </w:pPr>
          </w:p>
        </w:tc>
        <w:tc>
          <w:tcPr>
            <w:tcW w:w="1440" w:type="dxa"/>
            <w:vAlign w:val="top"/>
          </w:tcPr>
          <w:p w14:paraId="5D8F8E67">
            <w:pPr>
              <w:pStyle w:val="6"/>
              <w:spacing w:before="52" w:line="228" w:lineRule="auto"/>
              <w:ind w:left="196"/>
            </w:pPr>
            <w:r>
              <w:rPr>
                <w:spacing w:val="7"/>
              </w:rPr>
              <w:t>五日生化需</w:t>
            </w:r>
          </w:p>
          <w:p w14:paraId="5CB12C75">
            <w:pPr>
              <w:pStyle w:val="6"/>
              <w:spacing w:before="23" w:line="199" w:lineRule="auto"/>
              <w:ind w:left="510"/>
            </w:pPr>
            <w:r>
              <w:rPr>
                <w:spacing w:val="4"/>
              </w:rPr>
              <w:t>氧量</w:t>
            </w:r>
          </w:p>
        </w:tc>
        <w:tc>
          <w:tcPr>
            <w:tcW w:w="1190" w:type="dxa"/>
            <w:vAlign w:val="top"/>
          </w:tcPr>
          <w:p w14:paraId="1049BA6E">
            <w:pPr>
              <w:spacing w:before="224" w:line="195" w:lineRule="auto"/>
              <w:ind w:left="4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229" w:type="dxa"/>
            <w:vAlign w:val="top"/>
          </w:tcPr>
          <w:p w14:paraId="5150F6D9">
            <w:pPr>
              <w:spacing w:before="224" w:line="195" w:lineRule="auto"/>
              <w:ind w:left="4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1255" w:type="dxa"/>
            <w:vAlign w:val="top"/>
          </w:tcPr>
          <w:p w14:paraId="615B7ADB">
            <w:pPr>
              <w:spacing w:before="224" w:line="195" w:lineRule="auto"/>
              <w:ind w:left="5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1279" w:type="dxa"/>
            <w:vAlign w:val="top"/>
          </w:tcPr>
          <w:p w14:paraId="247ADEA8">
            <w:pPr>
              <w:spacing w:before="225" w:line="195" w:lineRule="auto"/>
              <w:ind w:left="5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w:t>
            </w:r>
          </w:p>
        </w:tc>
        <w:tc>
          <w:tcPr>
            <w:tcW w:w="1294" w:type="dxa"/>
            <w:tcBorders>
              <w:right w:val="single" w:color="000000" w:sz="10" w:space="0"/>
            </w:tcBorders>
            <w:vAlign w:val="top"/>
          </w:tcPr>
          <w:p w14:paraId="43D832CA">
            <w:pPr>
              <w:pStyle w:val="6"/>
              <w:spacing w:before="187" w:line="228" w:lineRule="auto"/>
              <w:ind w:left="444"/>
            </w:pPr>
            <w:r>
              <w:rPr>
                <w:spacing w:val="5"/>
              </w:rPr>
              <w:t>达标</w:t>
            </w:r>
          </w:p>
        </w:tc>
      </w:tr>
      <w:tr w14:paraId="29E63B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1037" w:type="dxa"/>
            <w:vMerge w:val="continue"/>
            <w:tcBorders>
              <w:top w:val="nil"/>
              <w:left w:val="single" w:color="000000" w:sz="10" w:space="0"/>
              <w:bottom w:val="nil"/>
            </w:tcBorders>
            <w:vAlign w:val="top"/>
          </w:tcPr>
          <w:p w14:paraId="599DB5A7">
            <w:pPr>
              <w:rPr>
                <w:rFonts w:ascii="Arial"/>
                <w:sz w:val="21"/>
              </w:rPr>
            </w:pPr>
          </w:p>
        </w:tc>
        <w:tc>
          <w:tcPr>
            <w:tcW w:w="1440" w:type="dxa"/>
            <w:vAlign w:val="top"/>
          </w:tcPr>
          <w:p w14:paraId="60122593">
            <w:pPr>
              <w:pStyle w:val="6"/>
              <w:spacing w:before="131" w:line="227" w:lineRule="auto"/>
              <w:ind w:left="509"/>
            </w:pPr>
            <w:r>
              <w:rPr>
                <w:spacing w:val="4"/>
              </w:rPr>
              <w:t>氨氮</w:t>
            </w:r>
          </w:p>
        </w:tc>
        <w:tc>
          <w:tcPr>
            <w:tcW w:w="1190" w:type="dxa"/>
            <w:vAlign w:val="top"/>
          </w:tcPr>
          <w:p w14:paraId="32619677">
            <w:pPr>
              <w:spacing w:before="167" w:line="195"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0.167</w:t>
            </w:r>
          </w:p>
        </w:tc>
        <w:tc>
          <w:tcPr>
            <w:tcW w:w="1229" w:type="dxa"/>
            <w:vAlign w:val="top"/>
          </w:tcPr>
          <w:p w14:paraId="647366DA">
            <w:pPr>
              <w:spacing w:before="167" w:line="195" w:lineRule="auto"/>
              <w:ind w:left="3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0.105</w:t>
            </w:r>
          </w:p>
        </w:tc>
        <w:tc>
          <w:tcPr>
            <w:tcW w:w="1255" w:type="dxa"/>
            <w:vAlign w:val="top"/>
          </w:tcPr>
          <w:p w14:paraId="4F5CA6EB">
            <w:pPr>
              <w:spacing w:before="167"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0.177</w:t>
            </w:r>
          </w:p>
        </w:tc>
        <w:tc>
          <w:tcPr>
            <w:tcW w:w="1279" w:type="dxa"/>
            <w:vAlign w:val="top"/>
          </w:tcPr>
          <w:p w14:paraId="715137DC">
            <w:pPr>
              <w:spacing w:before="168"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w:t>
            </w:r>
          </w:p>
        </w:tc>
        <w:tc>
          <w:tcPr>
            <w:tcW w:w="1294" w:type="dxa"/>
            <w:tcBorders>
              <w:right w:val="single" w:color="000000" w:sz="10" w:space="0"/>
            </w:tcBorders>
            <w:vAlign w:val="top"/>
          </w:tcPr>
          <w:p w14:paraId="60965F04">
            <w:pPr>
              <w:pStyle w:val="6"/>
              <w:spacing w:before="132" w:line="228" w:lineRule="auto"/>
              <w:ind w:left="444"/>
            </w:pPr>
            <w:r>
              <w:rPr>
                <w:spacing w:val="5"/>
              </w:rPr>
              <w:t>达标</w:t>
            </w:r>
          </w:p>
        </w:tc>
      </w:tr>
      <w:tr w14:paraId="3A13B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1037" w:type="dxa"/>
            <w:vMerge w:val="continue"/>
            <w:tcBorders>
              <w:top w:val="nil"/>
              <w:left w:val="single" w:color="000000" w:sz="10" w:space="0"/>
              <w:bottom w:val="nil"/>
            </w:tcBorders>
            <w:vAlign w:val="top"/>
          </w:tcPr>
          <w:p w14:paraId="583354E9">
            <w:pPr>
              <w:rPr>
                <w:rFonts w:ascii="Arial"/>
                <w:sz w:val="21"/>
              </w:rPr>
            </w:pPr>
          </w:p>
        </w:tc>
        <w:tc>
          <w:tcPr>
            <w:tcW w:w="1440" w:type="dxa"/>
            <w:vAlign w:val="top"/>
          </w:tcPr>
          <w:p w14:paraId="4474DF97">
            <w:pPr>
              <w:pStyle w:val="6"/>
              <w:spacing w:before="133" w:line="228" w:lineRule="auto"/>
              <w:ind w:left="515"/>
            </w:pPr>
            <w:r>
              <w:rPr>
                <w:spacing w:val="2"/>
              </w:rPr>
              <w:t>总磷</w:t>
            </w:r>
          </w:p>
        </w:tc>
        <w:tc>
          <w:tcPr>
            <w:tcW w:w="1190" w:type="dxa"/>
            <w:vAlign w:val="top"/>
          </w:tcPr>
          <w:p w14:paraId="353CB2D3">
            <w:pPr>
              <w:spacing w:before="169" w:line="195"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c>
          <w:tcPr>
            <w:tcW w:w="1229" w:type="dxa"/>
            <w:vAlign w:val="top"/>
          </w:tcPr>
          <w:p w14:paraId="0D935176">
            <w:pPr>
              <w:spacing w:before="169" w:line="195" w:lineRule="auto"/>
              <w:ind w:left="4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c>
          <w:tcPr>
            <w:tcW w:w="1255" w:type="dxa"/>
            <w:vAlign w:val="top"/>
          </w:tcPr>
          <w:p w14:paraId="6065FB62">
            <w:pPr>
              <w:spacing w:before="169" w:line="195" w:lineRule="auto"/>
              <w:ind w:left="4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c>
          <w:tcPr>
            <w:tcW w:w="1279" w:type="dxa"/>
            <w:vAlign w:val="top"/>
          </w:tcPr>
          <w:p w14:paraId="7747581D">
            <w:pPr>
              <w:spacing w:before="169"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w:t>
            </w:r>
          </w:p>
        </w:tc>
        <w:tc>
          <w:tcPr>
            <w:tcW w:w="1294" w:type="dxa"/>
            <w:tcBorders>
              <w:right w:val="single" w:color="000000" w:sz="10" w:space="0"/>
            </w:tcBorders>
            <w:vAlign w:val="top"/>
          </w:tcPr>
          <w:p w14:paraId="0AB64679">
            <w:pPr>
              <w:pStyle w:val="6"/>
              <w:spacing w:before="133" w:line="228" w:lineRule="auto"/>
              <w:ind w:left="444"/>
            </w:pPr>
            <w:r>
              <w:rPr>
                <w:spacing w:val="5"/>
              </w:rPr>
              <w:t>达标</w:t>
            </w:r>
          </w:p>
        </w:tc>
      </w:tr>
      <w:tr w14:paraId="3699B7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1037" w:type="dxa"/>
            <w:vMerge w:val="continue"/>
            <w:tcBorders>
              <w:top w:val="nil"/>
              <w:left w:val="single" w:color="000000" w:sz="10" w:space="0"/>
              <w:bottom w:val="nil"/>
            </w:tcBorders>
            <w:vAlign w:val="top"/>
          </w:tcPr>
          <w:p w14:paraId="41F6B813">
            <w:pPr>
              <w:rPr>
                <w:rFonts w:ascii="Arial"/>
                <w:sz w:val="21"/>
              </w:rPr>
            </w:pPr>
          </w:p>
        </w:tc>
        <w:tc>
          <w:tcPr>
            <w:tcW w:w="1440" w:type="dxa"/>
            <w:vAlign w:val="top"/>
          </w:tcPr>
          <w:p w14:paraId="1B43F68F">
            <w:pPr>
              <w:pStyle w:val="6"/>
              <w:spacing w:before="134" w:line="229" w:lineRule="auto"/>
              <w:ind w:left="403"/>
            </w:pPr>
            <w:r>
              <w:rPr>
                <w:spacing w:val="7"/>
              </w:rPr>
              <w:t>硫化物</w:t>
            </w:r>
          </w:p>
        </w:tc>
        <w:tc>
          <w:tcPr>
            <w:tcW w:w="1190" w:type="dxa"/>
            <w:vAlign w:val="top"/>
          </w:tcPr>
          <w:p w14:paraId="731B7A36">
            <w:pPr>
              <w:spacing w:before="172" w:line="192" w:lineRule="auto"/>
              <w:ind w:left="43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29" w:type="dxa"/>
            <w:vAlign w:val="top"/>
          </w:tcPr>
          <w:p w14:paraId="729038A8">
            <w:pPr>
              <w:spacing w:before="172" w:line="192"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55" w:type="dxa"/>
            <w:vAlign w:val="top"/>
          </w:tcPr>
          <w:p w14:paraId="4C5608BF">
            <w:pPr>
              <w:spacing w:before="172" w:line="192"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79" w:type="dxa"/>
            <w:vAlign w:val="top"/>
          </w:tcPr>
          <w:p w14:paraId="40D406F9">
            <w:pPr>
              <w:spacing w:before="170"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w:t>
            </w:r>
          </w:p>
        </w:tc>
        <w:tc>
          <w:tcPr>
            <w:tcW w:w="1294" w:type="dxa"/>
            <w:tcBorders>
              <w:right w:val="single" w:color="000000" w:sz="10" w:space="0"/>
            </w:tcBorders>
            <w:vAlign w:val="top"/>
          </w:tcPr>
          <w:p w14:paraId="252E2413">
            <w:pPr>
              <w:pStyle w:val="6"/>
              <w:spacing w:before="133" w:line="228" w:lineRule="auto"/>
              <w:ind w:left="345"/>
            </w:pPr>
            <w:r>
              <w:rPr>
                <w:spacing w:val="5"/>
              </w:rPr>
              <w:t>未检出</w:t>
            </w:r>
          </w:p>
        </w:tc>
      </w:tr>
      <w:tr w14:paraId="50915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037" w:type="dxa"/>
            <w:vMerge w:val="continue"/>
            <w:tcBorders>
              <w:top w:val="nil"/>
              <w:left w:val="single" w:color="000000" w:sz="10" w:space="0"/>
              <w:bottom w:val="single" w:color="000000" w:sz="10" w:space="0"/>
            </w:tcBorders>
            <w:vAlign w:val="top"/>
          </w:tcPr>
          <w:p w14:paraId="3E416EFE">
            <w:pPr>
              <w:rPr>
                <w:rFonts w:ascii="Arial"/>
                <w:sz w:val="21"/>
              </w:rPr>
            </w:pPr>
          </w:p>
        </w:tc>
        <w:tc>
          <w:tcPr>
            <w:tcW w:w="1440" w:type="dxa"/>
            <w:tcBorders>
              <w:bottom w:val="single" w:color="000000" w:sz="10" w:space="0"/>
            </w:tcBorders>
            <w:vAlign w:val="top"/>
          </w:tcPr>
          <w:p w14:paraId="4F5EEA2A">
            <w:pPr>
              <w:pStyle w:val="6"/>
              <w:spacing w:before="57" w:line="232" w:lineRule="auto"/>
              <w:ind w:left="407" w:right="201" w:hanging="198"/>
            </w:pPr>
            <w:r>
              <w:rPr>
                <w:spacing w:val="4"/>
              </w:rPr>
              <w:t>阴离子表面</w:t>
            </w:r>
            <w:r>
              <w:rPr>
                <w:spacing w:val="5"/>
              </w:rPr>
              <w:t>活性剂</w:t>
            </w:r>
          </w:p>
        </w:tc>
        <w:tc>
          <w:tcPr>
            <w:tcW w:w="1190" w:type="dxa"/>
            <w:tcBorders>
              <w:bottom w:val="single" w:color="000000" w:sz="10" w:space="0"/>
            </w:tcBorders>
            <w:vAlign w:val="top"/>
          </w:tcPr>
          <w:p w14:paraId="4D14177D">
            <w:pPr>
              <w:spacing w:before="229" w:line="192" w:lineRule="auto"/>
              <w:ind w:left="43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29" w:type="dxa"/>
            <w:tcBorders>
              <w:bottom w:val="single" w:color="000000" w:sz="10" w:space="0"/>
            </w:tcBorders>
            <w:vAlign w:val="top"/>
          </w:tcPr>
          <w:p w14:paraId="6D69C214">
            <w:pPr>
              <w:spacing w:before="229" w:line="192"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55" w:type="dxa"/>
            <w:tcBorders>
              <w:bottom w:val="single" w:color="000000" w:sz="10" w:space="0"/>
            </w:tcBorders>
            <w:vAlign w:val="top"/>
          </w:tcPr>
          <w:p w14:paraId="03E96E7A">
            <w:pPr>
              <w:spacing w:before="229" w:line="192"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79" w:type="dxa"/>
            <w:tcBorders>
              <w:bottom w:val="single" w:color="000000" w:sz="10" w:space="0"/>
            </w:tcBorders>
            <w:vAlign w:val="top"/>
          </w:tcPr>
          <w:p w14:paraId="59C80AC7">
            <w:pPr>
              <w:spacing w:before="227"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w:t>
            </w:r>
          </w:p>
        </w:tc>
        <w:tc>
          <w:tcPr>
            <w:tcW w:w="1294" w:type="dxa"/>
            <w:tcBorders>
              <w:bottom w:val="single" w:color="000000" w:sz="10" w:space="0"/>
              <w:right w:val="single" w:color="000000" w:sz="10" w:space="0"/>
            </w:tcBorders>
            <w:vAlign w:val="top"/>
          </w:tcPr>
          <w:p w14:paraId="57F5BEAC">
            <w:pPr>
              <w:pStyle w:val="6"/>
              <w:spacing w:before="190" w:line="228" w:lineRule="auto"/>
              <w:ind w:left="345"/>
            </w:pPr>
            <w:r>
              <w:rPr>
                <w:spacing w:val="5"/>
              </w:rPr>
              <w:t>未检出</w:t>
            </w:r>
          </w:p>
        </w:tc>
      </w:tr>
    </w:tbl>
    <w:p w14:paraId="2957A4A8">
      <w:pPr>
        <w:pStyle w:val="2"/>
      </w:pPr>
    </w:p>
    <w:p w14:paraId="18D1E9E6">
      <w:pPr>
        <w:sectPr>
          <w:headerReference r:id="rId85" w:type="default"/>
          <w:footerReference r:id="rId86" w:type="default"/>
          <w:pgSz w:w="11907" w:h="16840"/>
          <w:pgMar w:top="1132" w:right="1578" w:bottom="1259" w:left="1578" w:header="829" w:footer="1097" w:gutter="0"/>
          <w:cols w:space="720" w:num="1"/>
        </w:sectPr>
      </w:pPr>
    </w:p>
    <w:p w14:paraId="1112572A">
      <w:pPr>
        <w:spacing w:before="42"/>
      </w:pPr>
    </w:p>
    <w:tbl>
      <w:tblPr>
        <w:tblStyle w:val="5"/>
        <w:tblW w:w="872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7"/>
        <w:gridCol w:w="1440"/>
        <w:gridCol w:w="1190"/>
        <w:gridCol w:w="1229"/>
        <w:gridCol w:w="1255"/>
        <w:gridCol w:w="1279"/>
        <w:gridCol w:w="1294"/>
      </w:tblGrid>
      <w:tr w14:paraId="6B822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037" w:type="dxa"/>
            <w:tcBorders>
              <w:top w:val="single" w:color="000000" w:sz="10" w:space="0"/>
              <w:left w:val="single" w:color="000000" w:sz="10" w:space="0"/>
            </w:tcBorders>
            <w:vAlign w:val="top"/>
          </w:tcPr>
          <w:p w14:paraId="377B2BE3">
            <w:pPr>
              <w:pStyle w:val="6"/>
              <w:spacing w:before="34" w:line="234" w:lineRule="auto"/>
              <w:ind w:left="403" w:right="203" w:hanging="208"/>
            </w:pPr>
            <w:r>
              <w:rPr>
                <w:b/>
                <w:bCs/>
                <w:spacing w:val="5"/>
              </w:rPr>
              <w:t>监测断</w:t>
            </w:r>
            <w:r>
              <w:rPr>
                <w:b/>
                <w:bCs/>
                <w:spacing w:val="-3"/>
              </w:rPr>
              <w:t>面</w:t>
            </w:r>
          </w:p>
        </w:tc>
        <w:tc>
          <w:tcPr>
            <w:tcW w:w="1440" w:type="dxa"/>
            <w:tcBorders>
              <w:top w:val="single" w:color="000000" w:sz="10" w:space="0"/>
            </w:tcBorders>
            <w:vAlign w:val="top"/>
          </w:tcPr>
          <w:p w14:paraId="75862040">
            <w:pPr>
              <w:pStyle w:val="6"/>
              <w:spacing w:before="172" w:line="228" w:lineRule="auto"/>
              <w:ind w:left="296"/>
            </w:pPr>
            <w:r>
              <w:rPr>
                <w:b/>
                <w:bCs/>
                <w:spacing w:val="6"/>
              </w:rPr>
              <w:t>监测因子</w:t>
            </w:r>
          </w:p>
        </w:tc>
        <w:tc>
          <w:tcPr>
            <w:tcW w:w="1190" w:type="dxa"/>
            <w:tcBorders>
              <w:top w:val="single" w:color="000000" w:sz="10" w:space="0"/>
            </w:tcBorders>
            <w:vAlign w:val="top"/>
          </w:tcPr>
          <w:p w14:paraId="3F3D444D">
            <w:pPr>
              <w:spacing w:before="208" w:line="195" w:lineRule="auto"/>
              <w:ind w:left="180"/>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2025.6.11</w:t>
            </w:r>
          </w:p>
        </w:tc>
        <w:tc>
          <w:tcPr>
            <w:tcW w:w="1229" w:type="dxa"/>
            <w:tcBorders>
              <w:top w:val="single" w:color="000000" w:sz="10" w:space="0"/>
            </w:tcBorders>
            <w:vAlign w:val="top"/>
          </w:tcPr>
          <w:p w14:paraId="2BA5EE48">
            <w:pPr>
              <w:spacing w:before="208" w:line="195" w:lineRule="auto"/>
              <w:ind w:left="197"/>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2025.6.12</w:t>
            </w:r>
          </w:p>
        </w:tc>
        <w:tc>
          <w:tcPr>
            <w:tcW w:w="1255" w:type="dxa"/>
            <w:tcBorders>
              <w:top w:val="single" w:color="000000" w:sz="10" w:space="0"/>
            </w:tcBorders>
            <w:vAlign w:val="top"/>
          </w:tcPr>
          <w:p w14:paraId="4F613609">
            <w:pPr>
              <w:spacing w:before="208" w:line="195" w:lineRule="auto"/>
              <w:ind w:left="213"/>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2025.6.13</w:t>
            </w:r>
          </w:p>
        </w:tc>
        <w:tc>
          <w:tcPr>
            <w:tcW w:w="1279" w:type="dxa"/>
            <w:tcBorders>
              <w:top w:val="single" w:color="000000" w:sz="10" w:space="0"/>
            </w:tcBorders>
            <w:vAlign w:val="top"/>
          </w:tcPr>
          <w:p w14:paraId="3B71057D">
            <w:pPr>
              <w:pStyle w:val="6"/>
              <w:spacing w:before="35" w:line="228" w:lineRule="auto"/>
              <w:ind w:left="162"/>
              <w:rPr>
                <w:rFonts w:ascii="Times New Roman" w:hAnsi="Times New Roman" w:eastAsia="Times New Roman" w:cs="Times New Roman"/>
              </w:rPr>
            </w:pPr>
            <w:r>
              <w:rPr>
                <w:b/>
                <w:bCs/>
                <w:spacing w:val="7"/>
              </w:rPr>
              <w:t>标准值（</w:t>
            </w:r>
            <w:r>
              <w:rPr>
                <w:rFonts w:ascii="Times New Roman" w:hAnsi="Times New Roman" w:eastAsia="Times New Roman" w:cs="Times New Roman"/>
              </w:rPr>
              <w:t>II</w:t>
            </w:r>
          </w:p>
          <w:p w14:paraId="2411A9C3">
            <w:pPr>
              <w:pStyle w:val="6"/>
              <w:spacing w:before="27" w:line="215" w:lineRule="auto"/>
              <w:ind w:left="440"/>
            </w:pPr>
            <w:r>
              <w:rPr>
                <w:b/>
                <w:bCs/>
                <w:spacing w:val="-2"/>
              </w:rPr>
              <w:t>类）</w:t>
            </w:r>
          </w:p>
        </w:tc>
        <w:tc>
          <w:tcPr>
            <w:tcW w:w="1294" w:type="dxa"/>
            <w:tcBorders>
              <w:top w:val="single" w:color="000000" w:sz="10" w:space="0"/>
              <w:right w:val="single" w:color="000000" w:sz="10" w:space="0"/>
            </w:tcBorders>
            <w:vAlign w:val="top"/>
          </w:tcPr>
          <w:p w14:paraId="1A93B509">
            <w:pPr>
              <w:pStyle w:val="6"/>
              <w:spacing w:before="172" w:line="226" w:lineRule="auto"/>
              <w:ind w:left="444"/>
            </w:pPr>
            <w:r>
              <w:rPr>
                <w:b/>
                <w:bCs/>
                <w:spacing w:val="4"/>
              </w:rPr>
              <w:t>评价</w:t>
            </w:r>
          </w:p>
        </w:tc>
      </w:tr>
      <w:tr w14:paraId="31739B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1037" w:type="dxa"/>
            <w:vMerge w:val="restart"/>
            <w:tcBorders>
              <w:left w:val="single" w:color="000000" w:sz="10" w:space="0"/>
              <w:bottom w:val="nil"/>
            </w:tcBorders>
            <w:vAlign w:val="top"/>
          </w:tcPr>
          <w:p w14:paraId="0DE7FD50">
            <w:pPr>
              <w:rPr>
                <w:rFonts w:ascii="Arial"/>
                <w:sz w:val="21"/>
              </w:rPr>
            </w:pPr>
          </w:p>
        </w:tc>
        <w:tc>
          <w:tcPr>
            <w:tcW w:w="1440" w:type="dxa"/>
            <w:vAlign w:val="top"/>
          </w:tcPr>
          <w:p w14:paraId="7E090851">
            <w:pPr>
              <w:pStyle w:val="6"/>
              <w:spacing w:before="111" w:line="228" w:lineRule="auto"/>
              <w:ind w:left="404"/>
            </w:pPr>
            <w:r>
              <w:rPr>
                <w:spacing w:val="6"/>
              </w:rPr>
              <w:t>石油类</w:t>
            </w:r>
          </w:p>
        </w:tc>
        <w:tc>
          <w:tcPr>
            <w:tcW w:w="1190" w:type="dxa"/>
            <w:vAlign w:val="top"/>
          </w:tcPr>
          <w:p w14:paraId="08A09C80">
            <w:pPr>
              <w:spacing w:before="150" w:line="192" w:lineRule="auto"/>
              <w:ind w:left="43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29" w:type="dxa"/>
            <w:vAlign w:val="top"/>
          </w:tcPr>
          <w:p w14:paraId="6D14D8F3">
            <w:pPr>
              <w:spacing w:before="150" w:line="192"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55" w:type="dxa"/>
            <w:vAlign w:val="top"/>
          </w:tcPr>
          <w:p w14:paraId="418E74CA">
            <w:pPr>
              <w:spacing w:before="150" w:line="192"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79" w:type="dxa"/>
            <w:vAlign w:val="top"/>
          </w:tcPr>
          <w:p w14:paraId="4EBEC78E">
            <w:pPr>
              <w:spacing w:before="148"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≤0.05</w:t>
            </w:r>
          </w:p>
        </w:tc>
        <w:tc>
          <w:tcPr>
            <w:tcW w:w="1294" w:type="dxa"/>
            <w:tcBorders>
              <w:right w:val="single" w:color="000000" w:sz="10" w:space="0"/>
            </w:tcBorders>
            <w:vAlign w:val="top"/>
          </w:tcPr>
          <w:p w14:paraId="111663E9">
            <w:pPr>
              <w:pStyle w:val="6"/>
              <w:spacing w:before="111" w:line="228" w:lineRule="auto"/>
              <w:ind w:left="345"/>
            </w:pPr>
            <w:r>
              <w:rPr>
                <w:spacing w:val="5"/>
              </w:rPr>
              <w:t>未检出</w:t>
            </w:r>
          </w:p>
        </w:tc>
      </w:tr>
      <w:tr w14:paraId="7F7B0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1037" w:type="dxa"/>
            <w:vMerge w:val="continue"/>
            <w:tcBorders>
              <w:top w:val="nil"/>
              <w:left w:val="single" w:color="000000" w:sz="10" w:space="0"/>
              <w:bottom w:val="nil"/>
            </w:tcBorders>
            <w:vAlign w:val="top"/>
          </w:tcPr>
          <w:p w14:paraId="240A7562">
            <w:pPr>
              <w:rPr>
                <w:rFonts w:ascii="Arial"/>
                <w:sz w:val="21"/>
              </w:rPr>
            </w:pPr>
          </w:p>
        </w:tc>
        <w:tc>
          <w:tcPr>
            <w:tcW w:w="1440" w:type="dxa"/>
            <w:vAlign w:val="top"/>
          </w:tcPr>
          <w:p w14:paraId="13BBFE0F">
            <w:pPr>
              <w:pStyle w:val="6"/>
              <w:spacing w:before="115" w:line="228" w:lineRule="auto"/>
              <w:ind w:left="403"/>
            </w:pPr>
            <w:r>
              <w:rPr>
                <w:spacing w:val="7"/>
              </w:rPr>
              <w:t>挥发酚</w:t>
            </w:r>
          </w:p>
        </w:tc>
        <w:tc>
          <w:tcPr>
            <w:tcW w:w="1190" w:type="dxa"/>
            <w:vAlign w:val="top"/>
          </w:tcPr>
          <w:p w14:paraId="7D9DCEF8">
            <w:pPr>
              <w:spacing w:before="153" w:line="192" w:lineRule="auto"/>
              <w:ind w:left="43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29" w:type="dxa"/>
            <w:vAlign w:val="top"/>
          </w:tcPr>
          <w:p w14:paraId="0AF19F8B">
            <w:pPr>
              <w:spacing w:before="153" w:line="192"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55" w:type="dxa"/>
            <w:vAlign w:val="top"/>
          </w:tcPr>
          <w:p w14:paraId="4EFE2682">
            <w:pPr>
              <w:spacing w:before="153" w:line="192"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79" w:type="dxa"/>
            <w:vAlign w:val="top"/>
          </w:tcPr>
          <w:p w14:paraId="0BC5C15E">
            <w:pPr>
              <w:spacing w:before="151" w:line="195"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≤0.002</w:t>
            </w:r>
          </w:p>
        </w:tc>
        <w:tc>
          <w:tcPr>
            <w:tcW w:w="1294" w:type="dxa"/>
            <w:tcBorders>
              <w:right w:val="single" w:color="000000" w:sz="10" w:space="0"/>
            </w:tcBorders>
            <w:vAlign w:val="top"/>
          </w:tcPr>
          <w:p w14:paraId="7F8B32E1">
            <w:pPr>
              <w:pStyle w:val="6"/>
              <w:spacing w:before="114" w:line="228" w:lineRule="auto"/>
              <w:ind w:left="345"/>
            </w:pPr>
            <w:r>
              <w:rPr>
                <w:spacing w:val="5"/>
              </w:rPr>
              <w:t>未检出</w:t>
            </w:r>
          </w:p>
        </w:tc>
      </w:tr>
      <w:tr w14:paraId="7E962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1037" w:type="dxa"/>
            <w:vMerge w:val="continue"/>
            <w:tcBorders>
              <w:top w:val="nil"/>
              <w:left w:val="single" w:color="000000" w:sz="10" w:space="0"/>
              <w:bottom w:val="nil"/>
            </w:tcBorders>
            <w:vAlign w:val="top"/>
          </w:tcPr>
          <w:p w14:paraId="159BB22C">
            <w:pPr>
              <w:rPr>
                <w:rFonts w:ascii="Arial"/>
                <w:sz w:val="21"/>
              </w:rPr>
            </w:pPr>
          </w:p>
        </w:tc>
        <w:tc>
          <w:tcPr>
            <w:tcW w:w="1440" w:type="dxa"/>
            <w:vAlign w:val="top"/>
          </w:tcPr>
          <w:p w14:paraId="052C3A71">
            <w:pPr>
              <w:pStyle w:val="6"/>
              <w:spacing w:before="116" w:line="228" w:lineRule="auto"/>
              <w:ind w:left="403"/>
            </w:pPr>
            <w:r>
              <w:rPr>
                <w:spacing w:val="7"/>
              </w:rPr>
              <w:t>氰化物</w:t>
            </w:r>
          </w:p>
        </w:tc>
        <w:tc>
          <w:tcPr>
            <w:tcW w:w="1190" w:type="dxa"/>
            <w:vAlign w:val="top"/>
          </w:tcPr>
          <w:p w14:paraId="24F75C99">
            <w:pPr>
              <w:spacing w:before="156" w:line="192" w:lineRule="auto"/>
              <w:ind w:left="43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29" w:type="dxa"/>
            <w:vAlign w:val="top"/>
          </w:tcPr>
          <w:p w14:paraId="009D41AC">
            <w:pPr>
              <w:spacing w:before="156" w:line="192"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55" w:type="dxa"/>
            <w:vAlign w:val="top"/>
          </w:tcPr>
          <w:p w14:paraId="4F67ABB0">
            <w:pPr>
              <w:spacing w:before="156" w:line="192"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79" w:type="dxa"/>
            <w:vAlign w:val="top"/>
          </w:tcPr>
          <w:p w14:paraId="62446D1A">
            <w:pPr>
              <w:spacing w:before="153"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w:t>
            </w:r>
          </w:p>
        </w:tc>
        <w:tc>
          <w:tcPr>
            <w:tcW w:w="1294" w:type="dxa"/>
            <w:tcBorders>
              <w:right w:val="single" w:color="000000" w:sz="10" w:space="0"/>
            </w:tcBorders>
            <w:vAlign w:val="top"/>
          </w:tcPr>
          <w:p w14:paraId="6F3949AA">
            <w:pPr>
              <w:pStyle w:val="6"/>
              <w:spacing w:before="116" w:line="228" w:lineRule="auto"/>
              <w:ind w:left="345"/>
            </w:pPr>
            <w:r>
              <w:rPr>
                <w:spacing w:val="5"/>
              </w:rPr>
              <w:t>未检出</w:t>
            </w:r>
          </w:p>
        </w:tc>
      </w:tr>
      <w:tr w14:paraId="7F2DD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1037" w:type="dxa"/>
            <w:vMerge w:val="continue"/>
            <w:tcBorders>
              <w:top w:val="nil"/>
              <w:left w:val="single" w:color="000000" w:sz="10" w:space="0"/>
              <w:bottom w:val="nil"/>
            </w:tcBorders>
            <w:vAlign w:val="top"/>
          </w:tcPr>
          <w:p w14:paraId="3D9F388B">
            <w:pPr>
              <w:rPr>
                <w:rFonts w:ascii="Arial"/>
                <w:sz w:val="21"/>
              </w:rPr>
            </w:pPr>
          </w:p>
        </w:tc>
        <w:tc>
          <w:tcPr>
            <w:tcW w:w="1440" w:type="dxa"/>
            <w:vAlign w:val="top"/>
          </w:tcPr>
          <w:p w14:paraId="2ABEA3E8">
            <w:pPr>
              <w:pStyle w:val="6"/>
              <w:spacing w:before="117" w:line="226" w:lineRule="auto"/>
              <w:ind w:left="405"/>
            </w:pPr>
            <w:r>
              <w:rPr>
                <w:spacing w:val="6"/>
              </w:rPr>
              <w:t>六价铬</w:t>
            </w:r>
          </w:p>
        </w:tc>
        <w:tc>
          <w:tcPr>
            <w:tcW w:w="1190" w:type="dxa"/>
            <w:vAlign w:val="top"/>
          </w:tcPr>
          <w:p w14:paraId="5790E40E">
            <w:pPr>
              <w:spacing w:before="156" w:line="192" w:lineRule="auto"/>
              <w:ind w:left="43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29" w:type="dxa"/>
            <w:vAlign w:val="top"/>
          </w:tcPr>
          <w:p w14:paraId="49181C9B">
            <w:pPr>
              <w:spacing w:before="156" w:line="192"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55" w:type="dxa"/>
            <w:vAlign w:val="top"/>
          </w:tcPr>
          <w:p w14:paraId="54E8CB45">
            <w:pPr>
              <w:spacing w:before="156" w:line="192"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79" w:type="dxa"/>
            <w:vAlign w:val="top"/>
          </w:tcPr>
          <w:p w14:paraId="20E56D17">
            <w:pPr>
              <w:spacing w:before="153"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w:t>
            </w:r>
          </w:p>
        </w:tc>
        <w:tc>
          <w:tcPr>
            <w:tcW w:w="1294" w:type="dxa"/>
            <w:tcBorders>
              <w:right w:val="single" w:color="000000" w:sz="10" w:space="0"/>
            </w:tcBorders>
            <w:vAlign w:val="top"/>
          </w:tcPr>
          <w:p w14:paraId="10D558FF">
            <w:pPr>
              <w:pStyle w:val="6"/>
              <w:spacing w:before="117" w:line="228" w:lineRule="auto"/>
              <w:ind w:left="345"/>
            </w:pPr>
            <w:r>
              <w:rPr>
                <w:spacing w:val="5"/>
              </w:rPr>
              <w:t>未检出</w:t>
            </w:r>
          </w:p>
        </w:tc>
      </w:tr>
      <w:tr w14:paraId="3E6AE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1037" w:type="dxa"/>
            <w:vMerge w:val="continue"/>
            <w:tcBorders>
              <w:top w:val="nil"/>
              <w:left w:val="single" w:color="000000" w:sz="10" w:space="0"/>
              <w:bottom w:val="nil"/>
            </w:tcBorders>
            <w:vAlign w:val="top"/>
          </w:tcPr>
          <w:p w14:paraId="3FB16F38">
            <w:pPr>
              <w:rPr>
                <w:rFonts w:ascii="Arial"/>
                <w:sz w:val="21"/>
              </w:rPr>
            </w:pPr>
          </w:p>
        </w:tc>
        <w:tc>
          <w:tcPr>
            <w:tcW w:w="1440" w:type="dxa"/>
            <w:vAlign w:val="top"/>
          </w:tcPr>
          <w:p w14:paraId="78014443">
            <w:pPr>
              <w:pStyle w:val="6"/>
              <w:spacing w:before="119" w:line="228" w:lineRule="auto"/>
              <w:ind w:left="404"/>
            </w:pPr>
            <w:r>
              <w:rPr>
                <w:spacing w:val="6"/>
              </w:rPr>
              <w:t>氟化物</w:t>
            </w:r>
          </w:p>
        </w:tc>
        <w:tc>
          <w:tcPr>
            <w:tcW w:w="1190" w:type="dxa"/>
            <w:vAlign w:val="top"/>
          </w:tcPr>
          <w:p w14:paraId="2B025FC4">
            <w:pPr>
              <w:spacing w:before="158" w:line="192" w:lineRule="auto"/>
              <w:ind w:left="43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29" w:type="dxa"/>
            <w:vAlign w:val="top"/>
          </w:tcPr>
          <w:p w14:paraId="2E3D43C8">
            <w:pPr>
              <w:spacing w:before="158" w:line="192"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55" w:type="dxa"/>
            <w:vAlign w:val="top"/>
          </w:tcPr>
          <w:p w14:paraId="6C432D15">
            <w:pPr>
              <w:spacing w:before="158" w:line="192"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79" w:type="dxa"/>
            <w:vAlign w:val="top"/>
          </w:tcPr>
          <w:p w14:paraId="1B1CA63D">
            <w:pPr>
              <w:spacing w:before="156"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p>
        </w:tc>
        <w:tc>
          <w:tcPr>
            <w:tcW w:w="1294" w:type="dxa"/>
            <w:tcBorders>
              <w:right w:val="single" w:color="000000" w:sz="10" w:space="0"/>
            </w:tcBorders>
            <w:vAlign w:val="top"/>
          </w:tcPr>
          <w:p w14:paraId="0A147AA5">
            <w:pPr>
              <w:pStyle w:val="6"/>
              <w:spacing w:before="119" w:line="228" w:lineRule="auto"/>
              <w:ind w:left="345"/>
            </w:pPr>
            <w:r>
              <w:rPr>
                <w:spacing w:val="5"/>
              </w:rPr>
              <w:t>未检出</w:t>
            </w:r>
          </w:p>
        </w:tc>
      </w:tr>
      <w:tr w14:paraId="450E4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1037" w:type="dxa"/>
            <w:vMerge w:val="continue"/>
            <w:tcBorders>
              <w:top w:val="nil"/>
              <w:left w:val="single" w:color="000000" w:sz="10" w:space="0"/>
              <w:bottom w:val="nil"/>
            </w:tcBorders>
            <w:vAlign w:val="top"/>
          </w:tcPr>
          <w:p w14:paraId="1F97FA80">
            <w:pPr>
              <w:rPr>
                <w:rFonts w:ascii="Arial"/>
                <w:sz w:val="21"/>
              </w:rPr>
            </w:pPr>
          </w:p>
        </w:tc>
        <w:tc>
          <w:tcPr>
            <w:tcW w:w="1440" w:type="dxa"/>
            <w:vAlign w:val="top"/>
          </w:tcPr>
          <w:p w14:paraId="4812CBAB">
            <w:pPr>
              <w:pStyle w:val="6"/>
              <w:spacing w:before="123" w:line="228" w:lineRule="auto"/>
              <w:ind w:left="611"/>
            </w:pPr>
            <w:r>
              <w:rPr>
                <w:spacing w:val="1"/>
              </w:rPr>
              <w:t>砷</w:t>
            </w:r>
          </w:p>
        </w:tc>
        <w:tc>
          <w:tcPr>
            <w:tcW w:w="1190" w:type="dxa"/>
            <w:vAlign w:val="top"/>
          </w:tcPr>
          <w:p w14:paraId="33CB0F0A">
            <w:pPr>
              <w:pStyle w:val="6"/>
              <w:spacing w:before="122" w:line="265" w:lineRule="exact"/>
              <w:ind w:left="277"/>
              <w:rPr>
                <w:rFonts w:ascii="Times New Roman" w:hAnsi="Times New Roman" w:eastAsia="Times New Roman" w:cs="Times New Roman"/>
                <w:sz w:val="13"/>
                <w:szCs w:val="13"/>
              </w:rPr>
            </w:pPr>
            <w:r>
              <w:rPr>
                <w:rFonts w:ascii="Times New Roman" w:hAnsi="Times New Roman" w:eastAsia="Times New Roman" w:cs="Times New Roman"/>
                <w:spacing w:val="-12"/>
                <w:position w:val="1"/>
              </w:rPr>
              <w:t>3</w:t>
            </w:r>
            <w:r>
              <w:rPr>
                <w:spacing w:val="-12"/>
                <w:position w:val="1"/>
              </w:rPr>
              <w:t>×</w:t>
            </w:r>
            <w:r>
              <w:rPr>
                <w:rFonts w:ascii="Times New Roman" w:hAnsi="Times New Roman" w:eastAsia="Times New Roman" w:cs="Times New Roman"/>
                <w:spacing w:val="-12"/>
                <w:position w:val="1"/>
              </w:rPr>
              <w:t>10</w:t>
            </w:r>
            <w:r>
              <w:rPr>
                <w:rFonts w:ascii="Times New Roman" w:hAnsi="Times New Roman" w:eastAsia="Times New Roman" w:cs="Times New Roman"/>
                <w:spacing w:val="1"/>
                <w:position w:val="7"/>
                <w:sz w:val="13"/>
                <w:szCs w:val="13"/>
              </w:rPr>
              <w:t>-4</w:t>
            </w:r>
          </w:p>
        </w:tc>
        <w:tc>
          <w:tcPr>
            <w:tcW w:w="1229" w:type="dxa"/>
            <w:vAlign w:val="top"/>
          </w:tcPr>
          <w:p w14:paraId="786AF2D5">
            <w:pPr>
              <w:spacing w:before="161" w:line="192"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55" w:type="dxa"/>
            <w:vAlign w:val="top"/>
          </w:tcPr>
          <w:p w14:paraId="6BCF8636">
            <w:pPr>
              <w:pStyle w:val="6"/>
              <w:spacing w:before="122" w:line="265" w:lineRule="exact"/>
              <w:ind w:left="318"/>
              <w:rPr>
                <w:rFonts w:ascii="Times New Roman" w:hAnsi="Times New Roman" w:eastAsia="Times New Roman" w:cs="Times New Roman"/>
                <w:sz w:val="13"/>
                <w:szCs w:val="13"/>
              </w:rPr>
            </w:pPr>
            <w:r>
              <w:rPr>
                <w:rFonts w:ascii="Times New Roman" w:hAnsi="Times New Roman" w:eastAsia="Times New Roman" w:cs="Times New Roman"/>
                <w:spacing w:val="-12"/>
                <w:position w:val="1"/>
              </w:rPr>
              <w:t>3</w:t>
            </w:r>
            <w:r>
              <w:rPr>
                <w:spacing w:val="-12"/>
                <w:position w:val="1"/>
              </w:rPr>
              <w:t>×</w:t>
            </w:r>
            <w:r>
              <w:rPr>
                <w:rFonts w:ascii="Times New Roman" w:hAnsi="Times New Roman" w:eastAsia="Times New Roman" w:cs="Times New Roman"/>
                <w:spacing w:val="-12"/>
                <w:position w:val="1"/>
              </w:rPr>
              <w:t>10</w:t>
            </w:r>
            <w:r>
              <w:rPr>
                <w:rFonts w:ascii="Times New Roman" w:hAnsi="Times New Roman" w:eastAsia="Times New Roman" w:cs="Times New Roman"/>
                <w:spacing w:val="2"/>
                <w:position w:val="7"/>
                <w:sz w:val="13"/>
                <w:szCs w:val="13"/>
              </w:rPr>
              <w:t>-4</w:t>
            </w:r>
          </w:p>
        </w:tc>
        <w:tc>
          <w:tcPr>
            <w:tcW w:w="1279" w:type="dxa"/>
            <w:vAlign w:val="top"/>
          </w:tcPr>
          <w:p w14:paraId="50179D7F">
            <w:pPr>
              <w:spacing w:before="159"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≤0.05</w:t>
            </w:r>
          </w:p>
        </w:tc>
        <w:tc>
          <w:tcPr>
            <w:tcW w:w="1294" w:type="dxa"/>
            <w:tcBorders>
              <w:right w:val="single" w:color="000000" w:sz="10" w:space="0"/>
            </w:tcBorders>
            <w:vAlign w:val="top"/>
          </w:tcPr>
          <w:p w14:paraId="01F5F923">
            <w:pPr>
              <w:pStyle w:val="6"/>
              <w:spacing w:before="123" w:line="228" w:lineRule="auto"/>
              <w:ind w:left="444"/>
            </w:pPr>
            <w:r>
              <w:rPr>
                <w:spacing w:val="5"/>
              </w:rPr>
              <w:t>达标</w:t>
            </w:r>
          </w:p>
        </w:tc>
      </w:tr>
      <w:tr w14:paraId="16D91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1037" w:type="dxa"/>
            <w:vMerge w:val="continue"/>
            <w:tcBorders>
              <w:top w:val="nil"/>
              <w:left w:val="single" w:color="000000" w:sz="10" w:space="0"/>
              <w:bottom w:val="nil"/>
            </w:tcBorders>
            <w:vAlign w:val="top"/>
          </w:tcPr>
          <w:p w14:paraId="57DF8A23">
            <w:pPr>
              <w:rPr>
                <w:rFonts w:ascii="Arial"/>
                <w:sz w:val="21"/>
              </w:rPr>
            </w:pPr>
          </w:p>
        </w:tc>
        <w:tc>
          <w:tcPr>
            <w:tcW w:w="1440" w:type="dxa"/>
            <w:vAlign w:val="top"/>
          </w:tcPr>
          <w:p w14:paraId="3EC7CAD3">
            <w:pPr>
              <w:pStyle w:val="6"/>
              <w:spacing w:before="125" w:line="228" w:lineRule="auto"/>
              <w:ind w:left="613"/>
            </w:pPr>
            <w:r>
              <w:t>汞</w:t>
            </w:r>
          </w:p>
        </w:tc>
        <w:tc>
          <w:tcPr>
            <w:tcW w:w="1190" w:type="dxa"/>
            <w:vAlign w:val="top"/>
          </w:tcPr>
          <w:p w14:paraId="2A521649">
            <w:pPr>
              <w:spacing w:before="164" w:line="192" w:lineRule="auto"/>
              <w:ind w:left="43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29" w:type="dxa"/>
            <w:vAlign w:val="top"/>
          </w:tcPr>
          <w:p w14:paraId="6204716A">
            <w:pPr>
              <w:spacing w:before="164" w:line="192"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55" w:type="dxa"/>
            <w:vAlign w:val="top"/>
          </w:tcPr>
          <w:p w14:paraId="3C70918C">
            <w:pPr>
              <w:spacing w:before="164" w:line="192" w:lineRule="auto"/>
              <w:ind w:left="52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79" w:type="dxa"/>
            <w:vAlign w:val="top"/>
          </w:tcPr>
          <w:p w14:paraId="1E75C4F9">
            <w:pPr>
              <w:spacing w:before="161"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≤0.00005</w:t>
            </w:r>
          </w:p>
        </w:tc>
        <w:tc>
          <w:tcPr>
            <w:tcW w:w="1294" w:type="dxa"/>
            <w:tcBorders>
              <w:right w:val="single" w:color="000000" w:sz="10" w:space="0"/>
            </w:tcBorders>
            <w:vAlign w:val="top"/>
          </w:tcPr>
          <w:p w14:paraId="7F1C8AD9">
            <w:pPr>
              <w:pStyle w:val="6"/>
              <w:spacing w:before="124" w:line="228" w:lineRule="auto"/>
              <w:ind w:left="345"/>
            </w:pPr>
            <w:r>
              <w:rPr>
                <w:spacing w:val="5"/>
              </w:rPr>
              <w:t>未检出</w:t>
            </w:r>
          </w:p>
        </w:tc>
      </w:tr>
      <w:tr w14:paraId="200494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1037" w:type="dxa"/>
            <w:vMerge w:val="continue"/>
            <w:tcBorders>
              <w:top w:val="nil"/>
              <w:left w:val="single" w:color="000000" w:sz="10" w:space="0"/>
              <w:bottom w:val="nil"/>
            </w:tcBorders>
            <w:vAlign w:val="top"/>
          </w:tcPr>
          <w:p w14:paraId="2F4B8FE0">
            <w:pPr>
              <w:rPr>
                <w:rFonts w:ascii="Arial"/>
                <w:sz w:val="21"/>
              </w:rPr>
            </w:pPr>
          </w:p>
        </w:tc>
        <w:tc>
          <w:tcPr>
            <w:tcW w:w="1440" w:type="dxa"/>
            <w:vAlign w:val="top"/>
          </w:tcPr>
          <w:p w14:paraId="16F9D5F4">
            <w:pPr>
              <w:pStyle w:val="6"/>
              <w:spacing w:before="125" w:line="229" w:lineRule="auto"/>
              <w:ind w:left="612"/>
            </w:pPr>
            <w:r>
              <w:t>铜</w:t>
            </w:r>
          </w:p>
        </w:tc>
        <w:tc>
          <w:tcPr>
            <w:tcW w:w="1190" w:type="dxa"/>
            <w:vAlign w:val="top"/>
          </w:tcPr>
          <w:p w14:paraId="397CEDBA">
            <w:pPr>
              <w:spacing w:before="164" w:line="192" w:lineRule="auto"/>
              <w:ind w:left="43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29" w:type="dxa"/>
            <w:vAlign w:val="top"/>
          </w:tcPr>
          <w:p w14:paraId="3F180B78">
            <w:pPr>
              <w:spacing w:before="164" w:line="192"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55" w:type="dxa"/>
            <w:vAlign w:val="top"/>
          </w:tcPr>
          <w:p w14:paraId="1C3F3298">
            <w:pPr>
              <w:spacing w:before="164" w:line="192" w:lineRule="auto"/>
              <w:ind w:left="52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79" w:type="dxa"/>
            <w:vAlign w:val="top"/>
          </w:tcPr>
          <w:p w14:paraId="77FA6A26">
            <w:pPr>
              <w:spacing w:before="161"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p>
        </w:tc>
        <w:tc>
          <w:tcPr>
            <w:tcW w:w="1294" w:type="dxa"/>
            <w:tcBorders>
              <w:right w:val="single" w:color="000000" w:sz="10" w:space="0"/>
            </w:tcBorders>
            <w:vAlign w:val="top"/>
          </w:tcPr>
          <w:p w14:paraId="29A02746">
            <w:pPr>
              <w:pStyle w:val="6"/>
              <w:spacing w:before="125" w:line="228" w:lineRule="auto"/>
              <w:ind w:left="345"/>
            </w:pPr>
            <w:r>
              <w:rPr>
                <w:spacing w:val="5"/>
              </w:rPr>
              <w:t>未检出</w:t>
            </w:r>
          </w:p>
        </w:tc>
      </w:tr>
      <w:tr w14:paraId="1D638C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1037" w:type="dxa"/>
            <w:vMerge w:val="continue"/>
            <w:tcBorders>
              <w:top w:val="nil"/>
              <w:left w:val="single" w:color="000000" w:sz="10" w:space="0"/>
              <w:bottom w:val="nil"/>
            </w:tcBorders>
            <w:vAlign w:val="top"/>
          </w:tcPr>
          <w:p w14:paraId="71B35500">
            <w:pPr>
              <w:rPr>
                <w:rFonts w:ascii="Arial"/>
                <w:sz w:val="21"/>
              </w:rPr>
            </w:pPr>
          </w:p>
        </w:tc>
        <w:tc>
          <w:tcPr>
            <w:tcW w:w="1440" w:type="dxa"/>
            <w:vAlign w:val="top"/>
          </w:tcPr>
          <w:p w14:paraId="6DB32D2B">
            <w:pPr>
              <w:pStyle w:val="6"/>
              <w:spacing w:before="128" w:line="228" w:lineRule="auto"/>
              <w:ind w:left="611"/>
            </w:pPr>
            <w:r>
              <w:rPr>
                <w:spacing w:val="1"/>
              </w:rPr>
              <w:t>锌</w:t>
            </w:r>
          </w:p>
        </w:tc>
        <w:tc>
          <w:tcPr>
            <w:tcW w:w="1190" w:type="dxa"/>
            <w:vAlign w:val="top"/>
          </w:tcPr>
          <w:p w14:paraId="794BA44A">
            <w:pPr>
              <w:spacing w:before="166" w:line="192" w:lineRule="auto"/>
              <w:ind w:left="43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29" w:type="dxa"/>
            <w:vAlign w:val="top"/>
          </w:tcPr>
          <w:p w14:paraId="194077D7">
            <w:pPr>
              <w:spacing w:before="166" w:line="192"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55" w:type="dxa"/>
            <w:vAlign w:val="top"/>
          </w:tcPr>
          <w:p w14:paraId="1137235C">
            <w:pPr>
              <w:spacing w:before="166" w:line="192"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79" w:type="dxa"/>
            <w:vAlign w:val="top"/>
          </w:tcPr>
          <w:p w14:paraId="2113FB3B">
            <w:pPr>
              <w:spacing w:before="164"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w:t>
            </w:r>
          </w:p>
        </w:tc>
        <w:tc>
          <w:tcPr>
            <w:tcW w:w="1294" w:type="dxa"/>
            <w:tcBorders>
              <w:right w:val="single" w:color="000000" w:sz="10" w:space="0"/>
            </w:tcBorders>
            <w:vAlign w:val="top"/>
          </w:tcPr>
          <w:p w14:paraId="6BD229EC">
            <w:pPr>
              <w:pStyle w:val="6"/>
              <w:spacing w:before="127" w:line="228" w:lineRule="auto"/>
              <w:ind w:left="345"/>
            </w:pPr>
            <w:r>
              <w:rPr>
                <w:spacing w:val="5"/>
              </w:rPr>
              <w:t>未检出</w:t>
            </w:r>
          </w:p>
        </w:tc>
      </w:tr>
      <w:tr w14:paraId="0654F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1037" w:type="dxa"/>
            <w:vMerge w:val="continue"/>
            <w:tcBorders>
              <w:top w:val="nil"/>
              <w:left w:val="single" w:color="000000" w:sz="10" w:space="0"/>
              <w:bottom w:val="nil"/>
            </w:tcBorders>
            <w:vAlign w:val="top"/>
          </w:tcPr>
          <w:p w14:paraId="35532499">
            <w:pPr>
              <w:rPr>
                <w:rFonts w:ascii="Arial"/>
                <w:sz w:val="21"/>
              </w:rPr>
            </w:pPr>
          </w:p>
        </w:tc>
        <w:tc>
          <w:tcPr>
            <w:tcW w:w="1440" w:type="dxa"/>
            <w:vAlign w:val="top"/>
          </w:tcPr>
          <w:p w14:paraId="1693E2DE">
            <w:pPr>
              <w:pStyle w:val="6"/>
              <w:spacing w:before="130" w:line="231" w:lineRule="auto"/>
              <w:ind w:left="611"/>
            </w:pPr>
            <w:r>
              <w:rPr>
                <w:spacing w:val="2"/>
              </w:rPr>
              <w:t>镉</w:t>
            </w:r>
          </w:p>
        </w:tc>
        <w:tc>
          <w:tcPr>
            <w:tcW w:w="1190" w:type="dxa"/>
            <w:vAlign w:val="top"/>
          </w:tcPr>
          <w:p w14:paraId="798A568A">
            <w:pPr>
              <w:pStyle w:val="6"/>
              <w:spacing w:before="130" w:line="264" w:lineRule="exact"/>
              <w:ind w:left="213"/>
              <w:rPr>
                <w:rFonts w:ascii="Times New Roman" w:hAnsi="Times New Roman" w:eastAsia="Times New Roman" w:cs="Times New Roman"/>
                <w:sz w:val="13"/>
                <w:szCs w:val="13"/>
              </w:rPr>
            </w:pPr>
            <w:r>
              <w:rPr>
                <w:rFonts w:ascii="Times New Roman" w:hAnsi="Times New Roman" w:eastAsia="Times New Roman" w:cs="Times New Roman"/>
                <w:spacing w:val="1"/>
                <w:position w:val="1"/>
              </w:rPr>
              <w:t>1.9</w:t>
            </w:r>
            <w:r>
              <w:rPr>
                <w:spacing w:val="1"/>
                <w:position w:val="1"/>
              </w:rPr>
              <w:t>×</w:t>
            </w:r>
            <w:r>
              <w:rPr>
                <w:rFonts w:ascii="Times New Roman" w:hAnsi="Times New Roman" w:eastAsia="Times New Roman" w:cs="Times New Roman"/>
                <w:spacing w:val="1"/>
                <w:position w:val="1"/>
              </w:rPr>
              <w:t>10</w:t>
            </w:r>
            <w:r>
              <w:rPr>
                <w:rFonts w:ascii="Times New Roman" w:hAnsi="Times New Roman" w:eastAsia="Times New Roman" w:cs="Times New Roman"/>
                <w:spacing w:val="1"/>
                <w:position w:val="7"/>
                <w:sz w:val="13"/>
                <w:szCs w:val="13"/>
              </w:rPr>
              <w:t>-4</w:t>
            </w:r>
          </w:p>
        </w:tc>
        <w:tc>
          <w:tcPr>
            <w:tcW w:w="1229" w:type="dxa"/>
            <w:vAlign w:val="top"/>
          </w:tcPr>
          <w:p w14:paraId="645810A6">
            <w:pPr>
              <w:pStyle w:val="6"/>
              <w:spacing w:before="130" w:line="264" w:lineRule="exact"/>
              <w:ind w:left="238"/>
              <w:rPr>
                <w:rFonts w:ascii="Times New Roman" w:hAnsi="Times New Roman" w:eastAsia="Times New Roman" w:cs="Times New Roman"/>
                <w:sz w:val="13"/>
                <w:szCs w:val="13"/>
              </w:rPr>
            </w:pPr>
            <w:r>
              <w:rPr>
                <w:rFonts w:ascii="Times New Roman" w:hAnsi="Times New Roman" w:eastAsia="Times New Roman" w:cs="Times New Roman"/>
                <w:spacing w:val="1"/>
                <w:position w:val="1"/>
              </w:rPr>
              <w:t>1.6</w:t>
            </w:r>
            <w:r>
              <w:rPr>
                <w:spacing w:val="1"/>
                <w:position w:val="1"/>
              </w:rPr>
              <w:t>×</w:t>
            </w:r>
            <w:r>
              <w:rPr>
                <w:rFonts w:ascii="Times New Roman" w:hAnsi="Times New Roman" w:eastAsia="Times New Roman" w:cs="Times New Roman"/>
                <w:spacing w:val="1"/>
                <w:position w:val="1"/>
              </w:rPr>
              <w:t>10</w:t>
            </w:r>
            <w:r>
              <w:rPr>
                <w:rFonts w:ascii="Times New Roman" w:hAnsi="Times New Roman" w:eastAsia="Times New Roman" w:cs="Times New Roman"/>
                <w:spacing w:val="1"/>
                <w:position w:val="7"/>
                <w:sz w:val="13"/>
                <w:szCs w:val="13"/>
              </w:rPr>
              <w:t>-4</w:t>
            </w:r>
          </w:p>
        </w:tc>
        <w:tc>
          <w:tcPr>
            <w:tcW w:w="1255" w:type="dxa"/>
            <w:vAlign w:val="top"/>
          </w:tcPr>
          <w:p w14:paraId="11864F81">
            <w:pPr>
              <w:pStyle w:val="6"/>
              <w:spacing w:before="130" w:line="264" w:lineRule="exact"/>
              <w:ind w:left="234"/>
              <w:rPr>
                <w:rFonts w:ascii="Times New Roman" w:hAnsi="Times New Roman" w:eastAsia="Times New Roman" w:cs="Times New Roman"/>
                <w:sz w:val="13"/>
                <w:szCs w:val="13"/>
              </w:rPr>
            </w:pPr>
            <w:r>
              <w:rPr>
                <w:rFonts w:ascii="Times New Roman" w:hAnsi="Times New Roman" w:eastAsia="Times New Roman" w:cs="Times New Roman"/>
                <w:spacing w:val="3"/>
                <w:position w:val="1"/>
              </w:rPr>
              <w:t>2.2</w:t>
            </w:r>
            <w:r>
              <w:rPr>
                <w:spacing w:val="3"/>
                <w:position w:val="1"/>
              </w:rPr>
              <w:t>×</w:t>
            </w:r>
            <w:r>
              <w:rPr>
                <w:rFonts w:ascii="Times New Roman" w:hAnsi="Times New Roman" w:eastAsia="Times New Roman" w:cs="Times New Roman"/>
                <w:spacing w:val="3"/>
                <w:position w:val="1"/>
              </w:rPr>
              <w:t>10</w:t>
            </w:r>
            <w:r>
              <w:rPr>
                <w:rFonts w:ascii="Times New Roman" w:hAnsi="Times New Roman" w:eastAsia="Times New Roman" w:cs="Times New Roman"/>
                <w:spacing w:val="3"/>
                <w:position w:val="7"/>
                <w:sz w:val="13"/>
                <w:szCs w:val="13"/>
              </w:rPr>
              <w:t>-4</w:t>
            </w:r>
          </w:p>
        </w:tc>
        <w:tc>
          <w:tcPr>
            <w:tcW w:w="1279" w:type="dxa"/>
            <w:vAlign w:val="top"/>
          </w:tcPr>
          <w:p w14:paraId="153F7BB4">
            <w:pPr>
              <w:spacing w:before="167" w:line="195"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≤0.005</w:t>
            </w:r>
          </w:p>
        </w:tc>
        <w:tc>
          <w:tcPr>
            <w:tcW w:w="1294" w:type="dxa"/>
            <w:tcBorders>
              <w:right w:val="single" w:color="000000" w:sz="10" w:space="0"/>
            </w:tcBorders>
            <w:vAlign w:val="top"/>
          </w:tcPr>
          <w:p w14:paraId="2A701FC1">
            <w:pPr>
              <w:pStyle w:val="6"/>
              <w:spacing w:before="131" w:line="228" w:lineRule="auto"/>
              <w:ind w:left="444"/>
            </w:pPr>
            <w:r>
              <w:rPr>
                <w:spacing w:val="5"/>
              </w:rPr>
              <w:t>达标</w:t>
            </w:r>
          </w:p>
        </w:tc>
      </w:tr>
      <w:tr w14:paraId="5CA33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037" w:type="dxa"/>
            <w:vMerge w:val="continue"/>
            <w:tcBorders>
              <w:top w:val="nil"/>
              <w:left w:val="single" w:color="000000" w:sz="10" w:space="0"/>
              <w:bottom w:val="single" w:color="000000" w:sz="10" w:space="0"/>
            </w:tcBorders>
            <w:vAlign w:val="top"/>
          </w:tcPr>
          <w:p w14:paraId="30147A47">
            <w:pPr>
              <w:rPr>
                <w:rFonts w:ascii="Arial"/>
                <w:sz w:val="21"/>
              </w:rPr>
            </w:pPr>
          </w:p>
        </w:tc>
        <w:tc>
          <w:tcPr>
            <w:tcW w:w="1440" w:type="dxa"/>
            <w:tcBorders>
              <w:bottom w:val="single" w:color="000000" w:sz="10" w:space="0"/>
            </w:tcBorders>
            <w:vAlign w:val="top"/>
          </w:tcPr>
          <w:p w14:paraId="3A101DAA">
            <w:pPr>
              <w:pStyle w:val="6"/>
              <w:spacing w:before="133" w:line="232" w:lineRule="auto"/>
              <w:ind w:left="612"/>
            </w:pPr>
            <w:r>
              <w:t>铅</w:t>
            </w:r>
          </w:p>
        </w:tc>
        <w:tc>
          <w:tcPr>
            <w:tcW w:w="1190" w:type="dxa"/>
            <w:tcBorders>
              <w:bottom w:val="single" w:color="000000" w:sz="10" w:space="0"/>
            </w:tcBorders>
            <w:vAlign w:val="top"/>
          </w:tcPr>
          <w:p w14:paraId="33730938">
            <w:pPr>
              <w:spacing w:before="172" w:line="192" w:lineRule="auto"/>
              <w:ind w:left="434"/>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29" w:type="dxa"/>
            <w:tcBorders>
              <w:bottom w:val="single" w:color="000000" w:sz="10" w:space="0"/>
            </w:tcBorders>
            <w:vAlign w:val="top"/>
          </w:tcPr>
          <w:p w14:paraId="7AE2F2EC">
            <w:pPr>
              <w:spacing w:before="172" w:line="192"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55" w:type="dxa"/>
            <w:tcBorders>
              <w:bottom w:val="single" w:color="000000" w:sz="10" w:space="0"/>
            </w:tcBorders>
            <w:vAlign w:val="top"/>
          </w:tcPr>
          <w:p w14:paraId="4658D831">
            <w:pPr>
              <w:spacing w:before="172" w:line="192"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279" w:type="dxa"/>
            <w:tcBorders>
              <w:bottom w:val="single" w:color="000000" w:sz="10" w:space="0"/>
            </w:tcBorders>
            <w:vAlign w:val="top"/>
          </w:tcPr>
          <w:p w14:paraId="203EC2F3">
            <w:pPr>
              <w:spacing w:before="169"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w:t>
            </w:r>
          </w:p>
        </w:tc>
        <w:tc>
          <w:tcPr>
            <w:tcW w:w="1294" w:type="dxa"/>
            <w:tcBorders>
              <w:bottom w:val="single" w:color="000000" w:sz="10" w:space="0"/>
              <w:right w:val="single" w:color="000000" w:sz="10" w:space="0"/>
            </w:tcBorders>
            <w:vAlign w:val="top"/>
          </w:tcPr>
          <w:p w14:paraId="13E008A0">
            <w:pPr>
              <w:pStyle w:val="6"/>
              <w:spacing w:before="132" w:line="228" w:lineRule="auto"/>
              <w:ind w:left="345"/>
            </w:pPr>
            <w:r>
              <w:rPr>
                <w:spacing w:val="5"/>
              </w:rPr>
              <w:t>未检出</w:t>
            </w:r>
          </w:p>
        </w:tc>
      </w:tr>
    </w:tbl>
    <w:p w14:paraId="340B3638">
      <w:pPr>
        <w:spacing w:before="37" w:line="356" w:lineRule="auto"/>
        <w:ind w:left="131" w:right="123" w:firstLine="480"/>
        <w:jc w:val="both"/>
        <w:rPr>
          <w:rFonts w:ascii="宋体" w:hAnsi="宋体" w:eastAsia="宋体" w:cs="宋体"/>
          <w:sz w:val="24"/>
          <w:szCs w:val="24"/>
        </w:rPr>
      </w:pPr>
      <w:r>
        <w:rPr>
          <w:rFonts w:ascii="宋体" w:hAnsi="宋体" w:eastAsia="宋体" w:cs="宋体"/>
          <w:spacing w:val="3"/>
          <w:sz w:val="24"/>
          <w:szCs w:val="24"/>
        </w:rPr>
        <w:t>根据上述表中的监测数据进行分析，监测期间赧水该段水域</w:t>
      </w:r>
      <w:r>
        <w:rPr>
          <w:rFonts w:ascii="宋体" w:hAnsi="宋体" w:eastAsia="宋体" w:cs="宋体"/>
          <w:spacing w:val="2"/>
          <w:sz w:val="24"/>
          <w:szCs w:val="24"/>
        </w:rPr>
        <w:t>的所有监测因子</w:t>
      </w:r>
      <w:r>
        <w:rPr>
          <w:rFonts w:ascii="宋体" w:hAnsi="宋体" w:eastAsia="宋体" w:cs="宋体"/>
          <w:sz w:val="24"/>
          <w:szCs w:val="24"/>
        </w:rPr>
        <w:t>均达到《地表水环境质量标准》</w:t>
      </w:r>
      <w:r>
        <w:rPr>
          <w:rFonts w:ascii="Times New Roman" w:hAnsi="Times New Roman" w:eastAsia="Times New Roman" w:cs="Times New Roman"/>
          <w:sz w:val="24"/>
          <w:szCs w:val="24"/>
        </w:rPr>
        <w:t>(GB3838-2002)</w:t>
      </w:r>
      <w:r>
        <w:rPr>
          <w:rFonts w:ascii="宋体" w:hAnsi="宋体" w:eastAsia="宋体" w:cs="宋体"/>
          <w:sz w:val="24"/>
          <w:szCs w:val="24"/>
        </w:rPr>
        <w:t>中Ⅱ类水质标准，满足其水功能区</w:t>
      </w:r>
      <w:r>
        <w:rPr>
          <w:rFonts w:ascii="宋体" w:hAnsi="宋体" w:eastAsia="宋体" w:cs="宋体"/>
          <w:spacing w:val="-2"/>
          <w:sz w:val="24"/>
          <w:szCs w:val="24"/>
        </w:rPr>
        <w:t>划管理目标。</w:t>
      </w:r>
    </w:p>
    <w:p w14:paraId="49BFAB63">
      <w:pPr>
        <w:spacing w:line="356" w:lineRule="auto"/>
        <w:rPr>
          <w:rFonts w:ascii="宋体" w:hAnsi="宋体" w:eastAsia="宋体" w:cs="宋体"/>
          <w:sz w:val="24"/>
          <w:szCs w:val="24"/>
        </w:rPr>
        <w:sectPr>
          <w:footerReference r:id="rId87" w:type="default"/>
          <w:pgSz w:w="11907" w:h="16840"/>
          <w:pgMar w:top="1132" w:right="1578" w:bottom="1259" w:left="1578" w:header="829" w:footer="1097" w:gutter="0"/>
          <w:cols w:space="720" w:num="1"/>
        </w:sectPr>
      </w:pPr>
    </w:p>
    <w:p w14:paraId="0F70B78F">
      <w:pPr>
        <w:pStyle w:val="2"/>
        <w:spacing w:line="282" w:lineRule="auto"/>
      </w:pPr>
    </w:p>
    <w:p w14:paraId="1FE98029">
      <w:pPr>
        <w:pStyle w:val="2"/>
        <w:spacing w:line="283" w:lineRule="auto"/>
      </w:pPr>
    </w:p>
    <w:p w14:paraId="0BC1228D">
      <w:pPr>
        <w:pStyle w:val="2"/>
        <w:spacing w:line="8052" w:lineRule="exact"/>
        <w:ind w:firstLine="1856"/>
      </w:pPr>
      <w:r>
        <w:rPr>
          <w:position w:val="-161"/>
        </w:rPr>
        <w:pict>
          <v:group id="_x0000_s1026" o:spid="_x0000_s1026" o:spt="203" style="height:402.65pt;width:521.65pt;" coordsize="10433,8052">
            <o:lock v:ext="edit"/>
            <v:shape id="_x0000_s1027" o:spid="_x0000_s1027" o:spt="75" type="#_x0000_t75" style="position:absolute;left:0;top:0;height:8052;width:10433;" filled="f" stroked="f" coordsize="21600,21600">
              <v:path/>
              <v:fill on="f" focussize="0,0"/>
              <v:stroke on="f"/>
              <v:imagedata r:id="rId202" o:title=""/>
              <o:lock v:ext="edit" aspectratio="t"/>
            </v:shape>
            <v:shape id="_x0000_s1028" o:spid="_x0000_s1028" o:spt="202" type="#_x0000_t202" style="position:absolute;left:-20;top:-20;height:8092;width:10473;" filled="f" stroked="f" coordsize="21600,21600">
              <v:path/>
              <v:fill on="f" focussize="0,0"/>
              <v:stroke on="f"/>
              <v:imagedata o:title=""/>
              <o:lock v:ext="edit" aspectratio="f"/>
              <v:textbox inset="0mm,0mm,0mm,0mm">
                <w:txbxContent>
                  <w:p w14:paraId="1317A201">
                    <w:pPr>
                      <w:spacing w:line="245" w:lineRule="auto"/>
                      <w:rPr>
                        <w:rFonts w:ascii="Arial"/>
                        <w:sz w:val="21"/>
                      </w:rPr>
                    </w:pPr>
                  </w:p>
                  <w:p w14:paraId="47A293FB">
                    <w:pPr>
                      <w:spacing w:before="65" w:line="228" w:lineRule="auto"/>
                      <w:ind w:left="3813"/>
                      <w:rPr>
                        <w:rFonts w:ascii="宋体" w:hAnsi="宋体" w:eastAsia="宋体" w:cs="宋体"/>
                        <w:sz w:val="20"/>
                        <w:szCs w:val="20"/>
                      </w:rPr>
                    </w:pPr>
                    <w:r>
                      <w:rPr>
                        <w:rFonts w:ascii="宋体" w:hAnsi="宋体" w:eastAsia="宋体" w:cs="宋体"/>
                        <w:b/>
                        <w:bCs/>
                        <w:color w:val="00B0F0"/>
                        <w:spacing w:val="-3"/>
                        <w:sz w:val="20"/>
                        <w:szCs w:val="20"/>
                      </w:rPr>
                      <w:t>辰</w:t>
                    </w:r>
                  </w:p>
                  <w:p w14:paraId="589278A0">
                    <w:pPr>
                      <w:spacing w:before="232" w:line="228" w:lineRule="auto"/>
                      <w:ind w:left="4101"/>
                      <w:rPr>
                        <w:rFonts w:ascii="宋体" w:hAnsi="宋体" w:eastAsia="宋体" w:cs="宋体"/>
                        <w:sz w:val="20"/>
                        <w:szCs w:val="20"/>
                      </w:rPr>
                    </w:pPr>
                    <w:r>
                      <w:rPr>
                        <w:rFonts w:ascii="宋体" w:hAnsi="宋体" w:eastAsia="宋体" w:cs="宋体"/>
                        <w:b/>
                        <w:bCs/>
                        <w:color w:val="00B0F0"/>
                        <w:spacing w:val="-3"/>
                        <w:sz w:val="20"/>
                        <w:szCs w:val="20"/>
                      </w:rPr>
                      <w:t>水</w:t>
                    </w:r>
                  </w:p>
                </w:txbxContent>
              </v:textbox>
            </v:shape>
            <w10:wrap type="none"/>
            <w10:anchorlock/>
          </v:group>
        </w:pict>
      </w:r>
    </w:p>
    <w:p w14:paraId="3BF3DC3A">
      <w:pPr>
        <w:spacing w:before="32" w:line="227" w:lineRule="auto"/>
        <w:ind w:left="6049"/>
        <w:rPr>
          <w:rFonts w:ascii="宋体" w:hAnsi="宋体" w:eastAsia="宋体" w:cs="宋体"/>
          <w:sz w:val="20"/>
          <w:szCs w:val="20"/>
        </w:rPr>
      </w:pPr>
      <w:r>
        <w:rPr>
          <w:rFonts w:ascii="宋体" w:hAnsi="宋体" w:eastAsia="宋体" w:cs="宋体"/>
          <w:b/>
          <w:bCs/>
          <w:spacing w:val="3"/>
          <w:sz w:val="20"/>
          <w:szCs w:val="20"/>
        </w:rPr>
        <w:t>图</w:t>
      </w:r>
      <w:r>
        <w:rPr>
          <w:rFonts w:ascii="Times New Roman" w:hAnsi="Times New Roman" w:eastAsia="Times New Roman" w:cs="Times New Roman"/>
          <w:b/>
          <w:bCs/>
          <w:spacing w:val="3"/>
          <w:sz w:val="20"/>
          <w:szCs w:val="20"/>
        </w:rPr>
        <w:t>4.3-1</w:t>
      </w:r>
      <w:r>
        <w:rPr>
          <w:rFonts w:ascii="宋体" w:hAnsi="宋体" w:eastAsia="宋体" w:cs="宋体"/>
          <w:b/>
          <w:bCs/>
          <w:spacing w:val="3"/>
          <w:sz w:val="20"/>
          <w:szCs w:val="20"/>
        </w:rPr>
        <w:t>监测布点图</w:t>
      </w:r>
    </w:p>
    <w:p w14:paraId="519EB2A2">
      <w:pPr>
        <w:spacing w:line="227" w:lineRule="auto"/>
        <w:rPr>
          <w:rFonts w:ascii="宋体" w:hAnsi="宋体" w:eastAsia="宋体" w:cs="宋体"/>
          <w:sz w:val="20"/>
          <w:szCs w:val="20"/>
        </w:rPr>
        <w:sectPr>
          <w:headerReference r:id="rId88" w:type="default"/>
          <w:footerReference r:id="rId89" w:type="default"/>
          <w:pgSz w:w="16840" w:h="11907"/>
          <w:pgMar w:top="1132" w:right="1416" w:bottom="1258" w:left="1417" w:header="829" w:footer="1096" w:gutter="0"/>
          <w:cols w:space="720" w:num="1"/>
        </w:sectPr>
      </w:pPr>
    </w:p>
    <w:p w14:paraId="523C656B">
      <w:pPr>
        <w:spacing w:before="325" w:line="220" w:lineRule="auto"/>
        <w:ind w:left="7"/>
        <w:outlineLvl w:val="1"/>
        <w:rPr>
          <w:rFonts w:ascii="宋体" w:hAnsi="宋体" w:eastAsia="宋体" w:cs="宋体"/>
          <w:sz w:val="28"/>
          <w:szCs w:val="28"/>
        </w:rPr>
      </w:pPr>
      <w:bookmarkStart w:id="22" w:name="bookmark22"/>
      <w:bookmarkEnd w:id="22"/>
      <w:r>
        <w:rPr>
          <w:rFonts w:ascii="Times New Roman" w:hAnsi="Times New Roman" w:eastAsia="Times New Roman" w:cs="Times New Roman"/>
          <w:b/>
          <w:bCs/>
          <w:spacing w:val="-2"/>
          <w:sz w:val="28"/>
          <w:szCs w:val="28"/>
        </w:rPr>
        <w:t>4.4</w:t>
      </w:r>
      <w:r>
        <w:rPr>
          <w:rFonts w:ascii="宋体" w:hAnsi="宋体" w:eastAsia="宋体" w:cs="宋体"/>
          <w:b/>
          <w:bCs/>
          <w:spacing w:val="-2"/>
          <w:sz w:val="28"/>
          <w:szCs w:val="28"/>
        </w:rPr>
        <w:t>水生态调查分析</w:t>
      </w:r>
    </w:p>
    <w:p w14:paraId="73179224">
      <w:pPr>
        <w:spacing w:before="204" w:line="359" w:lineRule="auto"/>
        <w:ind w:left="9" w:right="78" w:firstLine="481"/>
        <w:jc w:val="both"/>
        <w:rPr>
          <w:rFonts w:ascii="宋体" w:hAnsi="宋体" w:eastAsia="宋体" w:cs="宋体"/>
          <w:sz w:val="24"/>
          <w:szCs w:val="24"/>
        </w:rPr>
      </w:pPr>
      <w:r>
        <w:rPr>
          <w:rFonts w:ascii="宋体" w:hAnsi="宋体" w:eastAsia="宋体" w:cs="宋体"/>
          <w:spacing w:val="3"/>
          <w:sz w:val="24"/>
          <w:szCs w:val="24"/>
        </w:rPr>
        <w:t>赧水河鱼类以鲤科为主，常见物种包括鲤鱼、鲫鱼、餐条等广</w:t>
      </w:r>
      <w:r>
        <w:rPr>
          <w:rFonts w:ascii="宋体" w:hAnsi="宋体" w:eastAsia="宋体" w:cs="宋体"/>
          <w:spacing w:val="2"/>
          <w:sz w:val="24"/>
          <w:szCs w:val="24"/>
        </w:rPr>
        <w:t>布性鱼类，同</w:t>
      </w:r>
      <w:r>
        <w:rPr>
          <w:rFonts w:ascii="宋体" w:hAnsi="宋体" w:eastAsia="宋体" w:cs="宋体"/>
          <w:spacing w:val="3"/>
          <w:sz w:val="24"/>
          <w:szCs w:val="24"/>
        </w:rPr>
        <w:t>时栖息着翘嘴鲌、黄颡鱼等肉食性鱼类，体现了河</w:t>
      </w:r>
      <w:r>
        <w:rPr>
          <w:rFonts w:ascii="宋体" w:hAnsi="宋体" w:eastAsia="宋体" w:cs="宋体"/>
          <w:spacing w:val="2"/>
          <w:sz w:val="24"/>
          <w:szCs w:val="24"/>
        </w:rPr>
        <w:t>流生态的食物链完整性。赧水</w:t>
      </w:r>
      <w:r>
        <w:rPr>
          <w:rFonts w:ascii="宋体" w:hAnsi="宋体" w:eastAsia="宋体" w:cs="宋体"/>
          <w:spacing w:val="3"/>
          <w:sz w:val="24"/>
          <w:szCs w:val="24"/>
        </w:rPr>
        <w:t>隆回段流速减缓，浅滩区域成为麦穗鱼、鳑鲏的繁</w:t>
      </w:r>
      <w:r>
        <w:rPr>
          <w:rFonts w:ascii="宋体" w:hAnsi="宋体" w:eastAsia="宋体" w:cs="宋体"/>
          <w:spacing w:val="2"/>
          <w:sz w:val="24"/>
          <w:szCs w:val="24"/>
        </w:rPr>
        <w:t>殖场，后者依赖淡水蚌类完成</w:t>
      </w:r>
      <w:r>
        <w:rPr>
          <w:rFonts w:ascii="宋体" w:hAnsi="宋体" w:eastAsia="宋体" w:cs="宋体"/>
          <w:spacing w:val="3"/>
          <w:sz w:val="24"/>
          <w:szCs w:val="24"/>
        </w:rPr>
        <w:t>繁殖，反映出物种间的协同关系。近年来，因水利工程</w:t>
      </w:r>
      <w:r>
        <w:rPr>
          <w:rFonts w:ascii="宋体" w:hAnsi="宋体" w:eastAsia="宋体" w:cs="宋体"/>
          <w:spacing w:val="2"/>
          <w:sz w:val="24"/>
          <w:szCs w:val="24"/>
        </w:rPr>
        <w:t>建设，部分洄游性鱼类如</w:t>
      </w:r>
      <w:r>
        <w:rPr>
          <w:rFonts w:ascii="宋体" w:hAnsi="宋体" w:eastAsia="宋体" w:cs="宋体"/>
          <w:spacing w:val="-1"/>
          <w:sz w:val="24"/>
          <w:szCs w:val="24"/>
        </w:rPr>
        <w:t>鳗鲡数量减少，需通过生态调度改善栖息地连通性。</w:t>
      </w:r>
    </w:p>
    <w:p w14:paraId="5A84BBD0">
      <w:pPr>
        <w:spacing w:before="1" w:line="359" w:lineRule="auto"/>
        <w:ind w:left="8" w:right="18" w:firstLine="483"/>
        <w:jc w:val="both"/>
        <w:rPr>
          <w:rFonts w:ascii="宋体" w:hAnsi="宋体" w:eastAsia="宋体" w:cs="宋体"/>
          <w:sz w:val="24"/>
          <w:szCs w:val="24"/>
        </w:rPr>
      </w:pPr>
      <w:r>
        <w:rPr>
          <w:rFonts w:ascii="宋体" w:hAnsi="宋体" w:eastAsia="宋体" w:cs="宋体"/>
          <w:spacing w:val="3"/>
          <w:sz w:val="24"/>
          <w:szCs w:val="24"/>
        </w:rPr>
        <w:t>水体中藻类以硅藻（如舟形藻、羽纹藻）和绿藻（衣藻、栅</w:t>
      </w:r>
      <w:r>
        <w:rPr>
          <w:rFonts w:ascii="宋体" w:hAnsi="宋体" w:eastAsia="宋体" w:cs="宋体"/>
          <w:spacing w:val="2"/>
          <w:sz w:val="24"/>
          <w:szCs w:val="24"/>
        </w:rPr>
        <w:t>藻）为主，硅藻</w:t>
      </w:r>
      <w:r>
        <w:rPr>
          <w:rFonts w:ascii="宋体" w:hAnsi="宋体" w:eastAsia="宋体" w:cs="宋体"/>
          <w:spacing w:val="3"/>
          <w:sz w:val="24"/>
          <w:szCs w:val="24"/>
        </w:rPr>
        <w:t>在低温季节占优，绿藻则在夏季水温升高时成为优势类群</w:t>
      </w:r>
      <w:r>
        <w:rPr>
          <w:rFonts w:ascii="宋体" w:hAnsi="宋体" w:eastAsia="宋体" w:cs="宋体"/>
          <w:spacing w:val="2"/>
          <w:sz w:val="24"/>
          <w:szCs w:val="24"/>
        </w:rPr>
        <w:t>，二者共同构成初级生</w:t>
      </w:r>
      <w:r>
        <w:rPr>
          <w:rFonts w:ascii="宋体" w:hAnsi="宋体" w:eastAsia="宋体" w:cs="宋体"/>
          <w:spacing w:val="-2"/>
          <w:sz w:val="24"/>
          <w:szCs w:val="24"/>
        </w:rPr>
        <w:t>产力的核心。河岸带以挺水植物为主，芦苇、菖蒲沿</w:t>
      </w:r>
      <w:r>
        <w:rPr>
          <w:rFonts w:ascii="宋体" w:hAnsi="宋体" w:eastAsia="宋体" w:cs="宋体"/>
          <w:spacing w:val="-3"/>
          <w:sz w:val="24"/>
          <w:szCs w:val="24"/>
        </w:rPr>
        <w:t>浅滩密集生长，形成缓冲带，</w:t>
      </w:r>
      <w:r>
        <w:rPr>
          <w:rFonts w:ascii="宋体" w:hAnsi="宋体" w:eastAsia="宋体" w:cs="宋体"/>
          <w:spacing w:val="-4"/>
          <w:sz w:val="24"/>
          <w:szCs w:val="24"/>
        </w:rPr>
        <w:t>可拦截泥沙和污染物；沉水植物如苦草、黑藻分布于水深</w:t>
      </w:r>
      <w:r>
        <w:rPr>
          <w:rFonts w:ascii="Times New Roman" w:hAnsi="Times New Roman" w:eastAsia="Times New Roman" w:cs="Times New Roman"/>
          <w:spacing w:val="-4"/>
          <w:sz w:val="24"/>
          <w:szCs w:val="24"/>
        </w:rPr>
        <w:t>1-3</w:t>
      </w:r>
      <w:r>
        <w:rPr>
          <w:rFonts w:ascii="宋体" w:hAnsi="宋体" w:eastAsia="宋体" w:cs="宋体"/>
          <w:spacing w:val="-4"/>
          <w:sz w:val="24"/>
          <w:szCs w:val="24"/>
        </w:rPr>
        <w:t>米区域，为鱼类提供</w:t>
      </w:r>
      <w:r>
        <w:rPr>
          <w:rFonts w:ascii="宋体" w:hAnsi="宋体" w:eastAsia="宋体" w:cs="宋体"/>
          <w:spacing w:val="3"/>
          <w:sz w:val="24"/>
          <w:szCs w:val="24"/>
        </w:rPr>
        <w:t>产卵场和隐蔽所，其光合作用释放的氧气能改善水体溶氧</w:t>
      </w:r>
      <w:r>
        <w:rPr>
          <w:rFonts w:ascii="宋体" w:hAnsi="宋体" w:eastAsia="宋体" w:cs="宋体"/>
          <w:spacing w:val="2"/>
          <w:sz w:val="24"/>
          <w:szCs w:val="24"/>
        </w:rPr>
        <w:t>条件。中下游库区因水</w:t>
      </w:r>
      <w:r>
        <w:rPr>
          <w:rFonts w:ascii="宋体" w:hAnsi="宋体" w:eastAsia="宋体" w:cs="宋体"/>
          <w:spacing w:val="3"/>
          <w:sz w:val="24"/>
          <w:szCs w:val="24"/>
        </w:rPr>
        <w:t>位波动大，水生植物群落稳定性较差，常出现季节性消亡</w:t>
      </w:r>
      <w:r>
        <w:rPr>
          <w:rFonts w:ascii="宋体" w:hAnsi="宋体" w:eastAsia="宋体" w:cs="宋体"/>
          <w:spacing w:val="2"/>
          <w:sz w:val="24"/>
          <w:szCs w:val="24"/>
        </w:rPr>
        <w:t>，影响生态系统的物质</w:t>
      </w:r>
      <w:r>
        <w:rPr>
          <w:rFonts w:ascii="宋体" w:hAnsi="宋体" w:eastAsia="宋体" w:cs="宋体"/>
          <w:spacing w:val="-3"/>
          <w:sz w:val="24"/>
          <w:szCs w:val="24"/>
        </w:rPr>
        <w:t>循环。</w:t>
      </w:r>
    </w:p>
    <w:p w14:paraId="5D285C38">
      <w:pPr>
        <w:spacing w:before="1" w:line="361" w:lineRule="auto"/>
        <w:ind w:left="10" w:firstLine="480"/>
        <w:rPr>
          <w:rFonts w:ascii="宋体" w:hAnsi="宋体" w:eastAsia="宋体" w:cs="宋体"/>
          <w:sz w:val="24"/>
          <w:szCs w:val="24"/>
        </w:rPr>
      </w:pPr>
      <w:r>
        <w:rPr>
          <w:rFonts w:ascii="宋体" w:hAnsi="宋体" w:eastAsia="宋体" w:cs="宋体"/>
          <w:spacing w:val="3"/>
          <w:sz w:val="24"/>
          <w:szCs w:val="24"/>
        </w:rPr>
        <w:t>整体而言，赧水河的水生态系统依赖于河流形态的完整性和水质</w:t>
      </w:r>
      <w:r>
        <w:rPr>
          <w:rFonts w:ascii="宋体" w:hAnsi="宋体" w:eastAsia="宋体" w:cs="宋体"/>
          <w:spacing w:val="2"/>
          <w:sz w:val="24"/>
          <w:szCs w:val="24"/>
        </w:rPr>
        <w:t>清洁度，保</w:t>
      </w:r>
      <w:r>
        <w:rPr>
          <w:rFonts w:ascii="宋体" w:hAnsi="宋体" w:eastAsia="宋体" w:cs="宋体"/>
          <w:spacing w:val="-2"/>
          <w:sz w:val="24"/>
          <w:szCs w:val="24"/>
        </w:rPr>
        <w:t>护鱼类栖息地、控制藻类失衡、维护水生植物多样性，是维系其生态功能的关键。</w:t>
      </w:r>
    </w:p>
    <w:p w14:paraId="5EF9D4C7">
      <w:pPr>
        <w:spacing w:before="1" w:line="219" w:lineRule="auto"/>
        <w:ind w:left="7"/>
        <w:outlineLvl w:val="1"/>
        <w:rPr>
          <w:rFonts w:ascii="宋体" w:hAnsi="宋体" w:eastAsia="宋体" w:cs="宋体"/>
          <w:sz w:val="28"/>
          <w:szCs w:val="28"/>
        </w:rPr>
      </w:pPr>
      <w:bookmarkStart w:id="23" w:name="bookmark23"/>
      <w:bookmarkEnd w:id="23"/>
      <w:r>
        <w:rPr>
          <w:rFonts w:ascii="Times New Roman" w:hAnsi="Times New Roman" w:eastAsia="Times New Roman" w:cs="Times New Roman"/>
          <w:b/>
          <w:bCs/>
          <w:spacing w:val="-2"/>
          <w:sz w:val="28"/>
          <w:szCs w:val="28"/>
        </w:rPr>
        <w:t>4.5</w:t>
      </w:r>
      <w:r>
        <w:rPr>
          <w:rFonts w:ascii="宋体" w:hAnsi="宋体" w:eastAsia="宋体" w:cs="宋体"/>
          <w:b/>
          <w:bCs/>
          <w:spacing w:val="-2"/>
          <w:sz w:val="28"/>
          <w:szCs w:val="28"/>
        </w:rPr>
        <w:t>生态环境分区管控要求调查分析</w:t>
      </w:r>
    </w:p>
    <w:p w14:paraId="6493DA83">
      <w:pPr>
        <w:spacing w:before="206" w:line="219" w:lineRule="auto"/>
        <w:ind w:left="6"/>
        <w:outlineLvl w:val="2"/>
        <w:rPr>
          <w:rFonts w:ascii="宋体" w:hAnsi="宋体" w:eastAsia="宋体" w:cs="宋体"/>
          <w:sz w:val="24"/>
          <w:szCs w:val="24"/>
        </w:rPr>
      </w:pPr>
      <w:r>
        <w:rPr>
          <w:rFonts w:ascii="Times New Roman" w:hAnsi="Times New Roman" w:eastAsia="Times New Roman" w:cs="Times New Roman"/>
          <w:b/>
          <w:bCs/>
          <w:spacing w:val="-3"/>
          <w:sz w:val="24"/>
          <w:szCs w:val="24"/>
        </w:rPr>
        <w:t>4.5.1</w:t>
      </w:r>
      <w:r>
        <w:rPr>
          <w:rFonts w:ascii="宋体" w:hAnsi="宋体" w:eastAsia="宋体" w:cs="宋体"/>
          <w:b/>
          <w:bCs/>
          <w:spacing w:val="-3"/>
          <w:sz w:val="24"/>
          <w:szCs w:val="24"/>
        </w:rPr>
        <w:t>与湖南省“三线一单”符合性</w:t>
      </w:r>
      <w:r>
        <w:rPr>
          <w:rFonts w:ascii="宋体" w:hAnsi="宋体" w:eastAsia="宋体" w:cs="宋体"/>
          <w:b/>
          <w:bCs/>
          <w:spacing w:val="-4"/>
          <w:sz w:val="24"/>
          <w:szCs w:val="24"/>
        </w:rPr>
        <w:t>分析</w:t>
      </w:r>
    </w:p>
    <w:p w14:paraId="7A907004">
      <w:pPr>
        <w:spacing w:before="182" w:line="361" w:lineRule="auto"/>
        <w:ind w:left="9" w:right="78" w:firstLine="480"/>
        <w:jc w:val="both"/>
        <w:rPr>
          <w:rFonts w:ascii="宋体" w:hAnsi="宋体" w:eastAsia="宋体" w:cs="宋体"/>
          <w:sz w:val="24"/>
          <w:szCs w:val="24"/>
        </w:rPr>
      </w:pPr>
      <w:r>
        <w:rPr>
          <w:rFonts w:ascii="宋体" w:hAnsi="宋体" w:eastAsia="宋体" w:cs="宋体"/>
          <w:spacing w:val="-4"/>
          <w:sz w:val="24"/>
          <w:szCs w:val="24"/>
        </w:rPr>
        <w:t>本项目排污口位于重点管控单元，经分析，本项目与《湖南省</w:t>
      </w:r>
      <w:r>
        <w:rPr>
          <w:rFonts w:ascii="Times New Roman" w:hAnsi="Times New Roman" w:eastAsia="Times New Roman" w:cs="Times New Roman"/>
          <w:spacing w:val="-4"/>
          <w:sz w:val="24"/>
          <w:szCs w:val="24"/>
        </w:rPr>
        <w:t>“</w:t>
      </w:r>
      <w:r>
        <w:rPr>
          <w:rFonts w:ascii="宋体" w:hAnsi="宋体" w:eastAsia="宋体" w:cs="宋体"/>
          <w:spacing w:val="-4"/>
          <w:sz w:val="24"/>
          <w:szCs w:val="24"/>
        </w:rPr>
        <w:t>三线一单</w:t>
      </w:r>
      <w:r>
        <w:rPr>
          <w:rFonts w:ascii="Times New Roman" w:hAnsi="Times New Roman" w:eastAsia="Times New Roman" w:cs="Times New Roman"/>
          <w:spacing w:val="-4"/>
          <w:sz w:val="24"/>
          <w:szCs w:val="24"/>
        </w:rPr>
        <w:t>”</w:t>
      </w:r>
      <w:r>
        <w:rPr>
          <w:rFonts w:ascii="宋体" w:hAnsi="宋体" w:eastAsia="宋体" w:cs="宋体"/>
          <w:spacing w:val="-4"/>
          <w:sz w:val="24"/>
          <w:szCs w:val="24"/>
        </w:rPr>
        <w:t>生态</w:t>
      </w:r>
      <w:r>
        <w:rPr>
          <w:rFonts w:ascii="宋体" w:hAnsi="宋体" w:eastAsia="宋体" w:cs="宋体"/>
          <w:spacing w:val="3"/>
          <w:sz w:val="24"/>
          <w:szCs w:val="24"/>
        </w:rPr>
        <w:t>环境总体管控要求暨省级以上产业园区生态环境准入清</w:t>
      </w:r>
      <w:r>
        <w:rPr>
          <w:rFonts w:ascii="宋体" w:hAnsi="宋体" w:eastAsia="宋体" w:cs="宋体"/>
          <w:spacing w:val="2"/>
          <w:sz w:val="24"/>
          <w:szCs w:val="24"/>
        </w:rPr>
        <w:t>单》生态环境管控要求不</w:t>
      </w:r>
      <w:r>
        <w:rPr>
          <w:rFonts w:ascii="宋体" w:hAnsi="宋体" w:eastAsia="宋体" w:cs="宋体"/>
          <w:spacing w:val="-1"/>
          <w:sz w:val="24"/>
          <w:szCs w:val="24"/>
        </w:rPr>
        <w:t>冲突，符合性分析如下。</w:t>
      </w:r>
    </w:p>
    <w:p w14:paraId="4D642FB7">
      <w:pPr>
        <w:spacing w:line="361" w:lineRule="auto"/>
        <w:rPr>
          <w:rFonts w:ascii="宋体" w:hAnsi="宋体" w:eastAsia="宋体" w:cs="宋体"/>
          <w:sz w:val="24"/>
          <w:szCs w:val="24"/>
        </w:rPr>
        <w:sectPr>
          <w:headerReference r:id="rId90" w:type="default"/>
          <w:footerReference r:id="rId91" w:type="default"/>
          <w:pgSz w:w="11907" w:h="16840"/>
          <w:pgMar w:top="1132" w:right="1621" w:bottom="1259" w:left="1701" w:header="829" w:footer="1097" w:gutter="0"/>
          <w:cols w:space="720" w:num="1"/>
        </w:sectPr>
      </w:pPr>
    </w:p>
    <w:p w14:paraId="1039A8B1">
      <w:pPr>
        <w:pStyle w:val="2"/>
        <w:spacing w:line="261" w:lineRule="auto"/>
      </w:pPr>
    </w:p>
    <w:p w14:paraId="332F03D6">
      <w:pPr>
        <w:pStyle w:val="2"/>
        <w:spacing w:line="261" w:lineRule="auto"/>
      </w:pPr>
    </w:p>
    <w:p w14:paraId="4AB6B4CB">
      <w:pPr>
        <w:spacing w:before="78" w:line="212" w:lineRule="auto"/>
        <w:ind w:left="4684"/>
        <w:rPr>
          <w:rFonts w:ascii="宋体" w:hAnsi="宋体" w:eastAsia="宋体" w:cs="宋体"/>
          <w:sz w:val="24"/>
          <w:szCs w:val="24"/>
        </w:rPr>
      </w:pPr>
      <w:r>
        <w:rPr>
          <w:rFonts w:ascii="宋体" w:hAnsi="宋体" w:eastAsia="宋体" w:cs="宋体"/>
          <w:b/>
          <w:bCs/>
          <w:spacing w:val="-2"/>
          <w:sz w:val="24"/>
          <w:szCs w:val="24"/>
        </w:rPr>
        <w:t>表</w:t>
      </w:r>
      <w:r>
        <w:rPr>
          <w:rFonts w:ascii="Times New Roman" w:hAnsi="Times New Roman" w:eastAsia="Times New Roman" w:cs="Times New Roman"/>
          <w:b/>
          <w:bCs/>
          <w:spacing w:val="-2"/>
          <w:sz w:val="24"/>
          <w:szCs w:val="24"/>
        </w:rPr>
        <w:t>4.5-1</w:t>
      </w:r>
      <w:r>
        <w:rPr>
          <w:rFonts w:ascii="宋体" w:hAnsi="宋体" w:eastAsia="宋体" w:cs="宋体"/>
          <w:b/>
          <w:bCs/>
          <w:spacing w:val="-2"/>
          <w:sz w:val="24"/>
          <w:szCs w:val="24"/>
        </w:rPr>
        <w:t>项目与湖南省</w:t>
      </w:r>
      <w:r>
        <w:rPr>
          <w:rFonts w:ascii="Times New Roman" w:hAnsi="Times New Roman" w:eastAsia="Times New Roman" w:cs="Times New Roman"/>
          <w:b/>
          <w:bCs/>
          <w:spacing w:val="-2"/>
          <w:sz w:val="24"/>
          <w:szCs w:val="24"/>
        </w:rPr>
        <w:t>“</w:t>
      </w:r>
      <w:r>
        <w:rPr>
          <w:rFonts w:ascii="宋体" w:hAnsi="宋体" w:eastAsia="宋体" w:cs="宋体"/>
          <w:b/>
          <w:bCs/>
          <w:spacing w:val="-2"/>
          <w:sz w:val="24"/>
          <w:szCs w:val="24"/>
        </w:rPr>
        <w:t>三线一单</w:t>
      </w:r>
      <w:r>
        <w:rPr>
          <w:rFonts w:ascii="Times New Roman" w:hAnsi="Times New Roman" w:eastAsia="Times New Roman" w:cs="Times New Roman"/>
          <w:b/>
          <w:bCs/>
          <w:spacing w:val="-2"/>
          <w:sz w:val="24"/>
          <w:szCs w:val="24"/>
        </w:rPr>
        <w:t>”</w:t>
      </w:r>
      <w:r>
        <w:rPr>
          <w:rFonts w:ascii="宋体" w:hAnsi="宋体" w:eastAsia="宋体" w:cs="宋体"/>
          <w:b/>
          <w:bCs/>
          <w:spacing w:val="-2"/>
          <w:sz w:val="24"/>
          <w:szCs w:val="24"/>
        </w:rPr>
        <w:t>相符性分析</w:t>
      </w:r>
    </w:p>
    <w:tbl>
      <w:tblPr>
        <w:tblStyle w:val="5"/>
        <w:tblW w:w="14028" w:type="dxa"/>
        <w:tblInd w:w="1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8"/>
        <w:gridCol w:w="988"/>
        <w:gridCol w:w="8205"/>
        <w:gridCol w:w="2590"/>
        <w:gridCol w:w="1307"/>
      </w:tblGrid>
      <w:tr w14:paraId="4C43C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938" w:type="dxa"/>
            <w:tcBorders>
              <w:top w:val="single" w:color="000000" w:sz="10" w:space="0"/>
              <w:left w:val="single" w:color="000000" w:sz="10" w:space="0"/>
            </w:tcBorders>
            <w:vAlign w:val="top"/>
          </w:tcPr>
          <w:p w14:paraId="5357EFA4">
            <w:pPr>
              <w:pStyle w:val="6"/>
              <w:spacing w:before="68" w:line="228" w:lineRule="auto"/>
              <w:ind w:left="18"/>
            </w:pPr>
            <w:r>
              <w:rPr>
                <w:b/>
                <w:bCs/>
                <w:spacing w:val="5"/>
              </w:rPr>
              <w:t>管控对象</w:t>
            </w:r>
          </w:p>
        </w:tc>
        <w:tc>
          <w:tcPr>
            <w:tcW w:w="988" w:type="dxa"/>
            <w:tcBorders>
              <w:top w:val="single" w:color="000000" w:sz="10" w:space="0"/>
            </w:tcBorders>
            <w:vAlign w:val="top"/>
          </w:tcPr>
          <w:p w14:paraId="4FF7399A">
            <w:pPr>
              <w:pStyle w:val="6"/>
              <w:spacing w:before="69" w:line="227" w:lineRule="auto"/>
            </w:pPr>
            <w:r>
              <w:rPr>
                <w:b/>
                <w:bCs/>
                <w:spacing w:val="6"/>
              </w:rPr>
              <w:t>基本内容</w:t>
            </w:r>
          </w:p>
        </w:tc>
        <w:tc>
          <w:tcPr>
            <w:tcW w:w="8205" w:type="dxa"/>
            <w:tcBorders>
              <w:top w:val="single" w:color="000000" w:sz="10" w:space="0"/>
            </w:tcBorders>
            <w:vAlign w:val="top"/>
          </w:tcPr>
          <w:p w14:paraId="283C3E7D">
            <w:pPr>
              <w:pStyle w:val="6"/>
              <w:spacing w:before="68" w:line="228" w:lineRule="auto"/>
              <w:ind w:left="3689"/>
            </w:pPr>
            <w:r>
              <w:rPr>
                <w:b/>
                <w:bCs/>
                <w:spacing w:val="5"/>
              </w:rPr>
              <w:t>管控要求</w:t>
            </w:r>
          </w:p>
        </w:tc>
        <w:tc>
          <w:tcPr>
            <w:tcW w:w="2590" w:type="dxa"/>
            <w:tcBorders>
              <w:top w:val="single" w:color="000000" w:sz="10" w:space="0"/>
            </w:tcBorders>
            <w:vAlign w:val="top"/>
          </w:tcPr>
          <w:p w14:paraId="52458E7F">
            <w:pPr>
              <w:pStyle w:val="6"/>
              <w:spacing w:before="69" w:line="227" w:lineRule="auto"/>
              <w:ind w:left="570"/>
            </w:pPr>
            <w:r>
              <w:rPr>
                <w:b/>
                <w:bCs/>
                <w:spacing w:val="7"/>
              </w:rPr>
              <w:t>本项目实际情况</w:t>
            </w:r>
          </w:p>
        </w:tc>
        <w:tc>
          <w:tcPr>
            <w:tcW w:w="1307" w:type="dxa"/>
            <w:tcBorders>
              <w:top w:val="single" w:color="000000" w:sz="10" w:space="0"/>
              <w:right w:val="single" w:color="000000" w:sz="10" w:space="0"/>
            </w:tcBorders>
            <w:vAlign w:val="top"/>
          </w:tcPr>
          <w:p w14:paraId="7E4664E8">
            <w:pPr>
              <w:pStyle w:val="6"/>
              <w:spacing w:before="68" w:line="228" w:lineRule="auto"/>
              <w:ind w:left="132"/>
            </w:pPr>
            <w:r>
              <w:rPr>
                <w:b/>
                <w:bCs/>
                <w:spacing w:val="6"/>
              </w:rPr>
              <w:t>符合性分析</w:t>
            </w:r>
          </w:p>
        </w:tc>
      </w:tr>
      <w:tr w14:paraId="71D20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2" w:hRule="atLeast"/>
        </w:trPr>
        <w:tc>
          <w:tcPr>
            <w:tcW w:w="938" w:type="dxa"/>
            <w:tcBorders>
              <w:left w:val="single" w:color="000000" w:sz="10" w:space="0"/>
              <w:bottom w:val="single" w:color="000000" w:sz="10" w:space="0"/>
            </w:tcBorders>
            <w:vAlign w:val="top"/>
          </w:tcPr>
          <w:p w14:paraId="464ADDD1">
            <w:pPr>
              <w:spacing w:line="296" w:lineRule="auto"/>
              <w:rPr>
                <w:rFonts w:ascii="Arial"/>
                <w:sz w:val="21"/>
              </w:rPr>
            </w:pPr>
          </w:p>
          <w:p w14:paraId="063D3116">
            <w:pPr>
              <w:spacing w:line="297" w:lineRule="auto"/>
              <w:rPr>
                <w:rFonts w:ascii="Arial"/>
                <w:sz w:val="21"/>
              </w:rPr>
            </w:pPr>
          </w:p>
          <w:p w14:paraId="646E4D84">
            <w:pPr>
              <w:spacing w:line="297" w:lineRule="auto"/>
              <w:rPr>
                <w:rFonts w:ascii="Arial"/>
                <w:sz w:val="21"/>
              </w:rPr>
            </w:pPr>
          </w:p>
          <w:p w14:paraId="5CA340CF">
            <w:pPr>
              <w:spacing w:line="297" w:lineRule="auto"/>
              <w:rPr>
                <w:rFonts w:ascii="Arial"/>
                <w:sz w:val="21"/>
              </w:rPr>
            </w:pPr>
          </w:p>
          <w:p w14:paraId="77B752F7">
            <w:pPr>
              <w:pStyle w:val="6"/>
              <w:spacing w:before="65" w:line="228" w:lineRule="auto"/>
              <w:ind w:left="15"/>
            </w:pPr>
            <w:r>
              <w:rPr>
                <w:b/>
                <w:bCs/>
                <w:spacing w:val="5"/>
              </w:rPr>
              <w:t>水环境重</w:t>
            </w:r>
          </w:p>
          <w:p w14:paraId="56659557">
            <w:pPr>
              <w:pStyle w:val="6"/>
              <w:spacing w:before="24" w:line="228" w:lineRule="auto"/>
              <w:ind w:left="24"/>
            </w:pPr>
            <w:r>
              <w:rPr>
                <w:b/>
                <w:bCs/>
                <w:spacing w:val="3"/>
              </w:rPr>
              <w:t>点管控区</w:t>
            </w:r>
          </w:p>
        </w:tc>
        <w:tc>
          <w:tcPr>
            <w:tcW w:w="988" w:type="dxa"/>
            <w:tcBorders>
              <w:bottom w:val="single" w:color="000000" w:sz="10" w:space="0"/>
            </w:tcBorders>
            <w:vAlign w:val="top"/>
          </w:tcPr>
          <w:p w14:paraId="10B29325">
            <w:pPr>
              <w:spacing w:line="259" w:lineRule="auto"/>
              <w:rPr>
                <w:rFonts w:ascii="Arial"/>
                <w:sz w:val="21"/>
              </w:rPr>
            </w:pPr>
          </w:p>
          <w:p w14:paraId="7204FE3D">
            <w:pPr>
              <w:spacing w:line="260" w:lineRule="auto"/>
              <w:rPr>
                <w:rFonts w:ascii="Arial"/>
                <w:sz w:val="21"/>
              </w:rPr>
            </w:pPr>
          </w:p>
          <w:p w14:paraId="2ABFC3F0">
            <w:pPr>
              <w:spacing w:line="260" w:lineRule="auto"/>
              <w:rPr>
                <w:rFonts w:ascii="Arial"/>
                <w:sz w:val="21"/>
              </w:rPr>
            </w:pPr>
          </w:p>
          <w:p w14:paraId="1E9EE05C">
            <w:pPr>
              <w:pStyle w:val="6"/>
              <w:spacing w:before="65" w:line="228" w:lineRule="auto"/>
              <w:ind w:left="3"/>
            </w:pPr>
            <w:r>
              <w:rPr>
                <w:spacing w:val="6"/>
              </w:rPr>
              <w:t>省级以上</w:t>
            </w:r>
          </w:p>
          <w:p w14:paraId="2E0D29A6">
            <w:pPr>
              <w:pStyle w:val="6"/>
              <w:spacing w:before="24" w:line="228" w:lineRule="auto"/>
            </w:pPr>
            <w:r>
              <w:rPr>
                <w:spacing w:val="7"/>
              </w:rPr>
              <w:t>产业园区</w:t>
            </w:r>
          </w:p>
          <w:p w14:paraId="60F36E00">
            <w:pPr>
              <w:pStyle w:val="6"/>
              <w:spacing w:before="26" w:line="228" w:lineRule="auto"/>
            </w:pPr>
            <w:r>
              <w:rPr>
                <w:spacing w:val="7"/>
              </w:rPr>
              <w:t>所属水环</w:t>
            </w:r>
          </w:p>
          <w:p w14:paraId="11C683FB">
            <w:pPr>
              <w:pStyle w:val="6"/>
              <w:spacing w:before="27" w:line="252" w:lineRule="auto"/>
              <w:ind w:right="153"/>
            </w:pPr>
            <w:r>
              <w:rPr>
                <w:spacing w:val="7"/>
              </w:rPr>
              <w:t>境控制区</w:t>
            </w:r>
            <w:r>
              <w:t>域</w:t>
            </w:r>
          </w:p>
        </w:tc>
        <w:tc>
          <w:tcPr>
            <w:tcW w:w="8205" w:type="dxa"/>
            <w:tcBorders>
              <w:bottom w:val="single" w:color="000000" w:sz="10" w:space="0"/>
            </w:tcBorders>
            <w:vAlign w:val="top"/>
          </w:tcPr>
          <w:p w14:paraId="415ECDE9">
            <w:pPr>
              <w:pStyle w:val="6"/>
              <w:spacing w:before="33" w:line="246" w:lineRule="auto"/>
              <w:ind w:right="18" w:firstLine="436"/>
            </w:pPr>
            <w:r>
              <w:rPr>
                <w:rFonts w:ascii="Times New Roman" w:hAnsi="Times New Roman" w:eastAsia="Times New Roman" w:cs="Times New Roman"/>
                <w:spacing w:val="8"/>
              </w:rPr>
              <w:t>1.</w:t>
            </w:r>
            <w:r>
              <w:rPr>
                <w:spacing w:val="8"/>
              </w:rPr>
              <w:t>排放工业废水的企业应当采取有效措施，收集和处理产生的全部废水，防止污染</w:t>
            </w:r>
            <w:r>
              <w:rPr>
                <w:spacing w:val="10"/>
              </w:rPr>
              <w:t>环境。含有毒有害水污染物的工业废水应当分类收集和处理，不</w:t>
            </w:r>
            <w:r>
              <w:rPr>
                <w:spacing w:val="9"/>
              </w:rPr>
              <w:t>得稀释排放。向污水集中</w:t>
            </w:r>
            <w:r>
              <w:rPr>
                <w:spacing w:val="10"/>
              </w:rPr>
              <w:t>处理设施排放工业废水的，应当按照国家有关规定进行预处理，</w:t>
            </w:r>
            <w:r>
              <w:rPr>
                <w:spacing w:val="9"/>
              </w:rPr>
              <w:t>达到集中处理设施处理工</w:t>
            </w:r>
            <w:r>
              <w:rPr>
                <w:spacing w:val="7"/>
              </w:rPr>
              <w:t>艺要求后方可排放。</w:t>
            </w:r>
          </w:p>
          <w:p w14:paraId="02F2B52A">
            <w:pPr>
              <w:pStyle w:val="6"/>
              <w:spacing w:before="22" w:line="247" w:lineRule="auto"/>
              <w:ind w:right="18" w:firstLine="417"/>
            </w:pPr>
            <w:r>
              <w:rPr>
                <w:rFonts w:ascii="Times New Roman" w:hAnsi="Times New Roman" w:eastAsia="Times New Roman" w:cs="Times New Roman"/>
                <w:spacing w:val="9"/>
              </w:rPr>
              <w:t>2.</w:t>
            </w:r>
            <w:r>
              <w:rPr>
                <w:spacing w:val="9"/>
              </w:rPr>
              <w:t>建设项目所在水环境控制单元或断面总磷超标的，实施总磷排放量</w:t>
            </w:r>
            <w:r>
              <w:rPr>
                <w:rFonts w:ascii="Times New Roman" w:hAnsi="Times New Roman" w:eastAsia="Times New Roman" w:cs="Times New Roman"/>
                <w:spacing w:val="9"/>
              </w:rPr>
              <w:t>2</w:t>
            </w:r>
            <w:r>
              <w:rPr>
                <w:spacing w:val="9"/>
              </w:rPr>
              <w:t>倍或以上削减</w:t>
            </w:r>
            <w:r>
              <w:rPr>
                <w:spacing w:val="10"/>
              </w:rPr>
              <w:t>替代。所在水环境控制单元或断面总磷达标的，实施总磷排放量等</w:t>
            </w:r>
            <w:r>
              <w:rPr>
                <w:spacing w:val="9"/>
              </w:rPr>
              <w:t>量或以上削减替代。替</w:t>
            </w:r>
            <w:r>
              <w:rPr>
                <w:spacing w:val="10"/>
              </w:rPr>
              <w:t>代量应来源于项目同一水环境控制单元或断面上游拟实施关停、升</w:t>
            </w:r>
            <w:r>
              <w:rPr>
                <w:spacing w:val="9"/>
              </w:rPr>
              <w:t>级改造的工业企业，不</w:t>
            </w:r>
            <w:r>
              <w:rPr>
                <w:spacing w:val="10"/>
              </w:rPr>
              <w:t>得来源于农业源、城镇污水处理厂或已列入流域环境质量改善计划</w:t>
            </w:r>
            <w:r>
              <w:rPr>
                <w:spacing w:val="9"/>
              </w:rPr>
              <w:t>的工业企业。相应的减</w:t>
            </w:r>
            <w:r>
              <w:rPr>
                <w:spacing w:val="8"/>
              </w:rPr>
              <w:t>排措施应确保在项目投产前完成。</w:t>
            </w:r>
          </w:p>
          <w:p w14:paraId="2983C9A3">
            <w:pPr>
              <w:pStyle w:val="6"/>
              <w:spacing w:before="25" w:line="234" w:lineRule="auto"/>
              <w:ind w:right="71" w:firstLine="420"/>
            </w:pPr>
            <w:r>
              <w:rPr>
                <w:rFonts w:ascii="Times New Roman" w:hAnsi="Times New Roman" w:eastAsia="Times New Roman" w:cs="Times New Roman"/>
                <w:spacing w:val="9"/>
              </w:rPr>
              <w:t>3.</w:t>
            </w:r>
            <w:r>
              <w:rPr>
                <w:spacing w:val="9"/>
              </w:rPr>
              <w:t>建立健全湘江流域重点水污染物排放总量控制、排污许可、水污染物排放监测和水</w:t>
            </w:r>
            <w:r>
              <w:rPr>
                <w:spacing w:val="8"/>
              </w:rPr>
              <w:t>环境质量监测等水环境保护制度。</w:t>
            </w:r>
          </w:p>
        </w:tc>
        <w:tc>
          <w:tcPr>
            <w:tcW w:w="2590" w:type="dxa"/>
            <w:tcBorders>
              <w:bottom w:val="single" w:color="000000" w:sz="10" w:space="0"/>
            </w:tcBorders>
            <w:vAlign w:val="top"/>
          </w:tcPr>
          <w:p w14:paraId="41E0EC2B">
            <w:pPr>
              <w:spacing w:line="255" w:lineRule="auto"/>
              <w:rPr>
                <w:rFonts w:ascii="Arial"/>
                <w:sz w:val="21"/>
              </w:rPr>
            </w:pPr>
          </w:p>
          <w:p w14:paraId="7FD4D437">
            <w:pPr>
              <w:spacing w:line="255" w:lineRule="auto"/>
              <w:rPr>
                <w:rFonts w:ascii="Arial"/>
                <w:sz w:val="21"/>
              </w:rPr>
            </w:pPr>
          </w:p>
          <w:p w14:paraId="7D732AAE">
            <w:pPr>
              <w:pStyle w:val="6"/>
              <w:spacing w:before="65" w:line="251" w:lineRule="auto"/>
              <w:ind w:left="15" w:right="59" w:firstLine="420"/>
              <w:jc w:val="both"/>
            </w:pPr>
            <w:r>
              <w:rPr>
                <w:spacing w:val="8"/>
              </w:rPr>
              <w:t>本项目工业废水预处理</w:t>
            </w:r>
            <w:r>
              <w:rPr>
                <w:spacing w:val="9"/>
              </w:rPr>
              <w:t>后采取集中收集处理达标排</w:t>
            </w:r>
            <w:r>
              <w:t>放：</w:t>
            </w:r>
          </w:p>
          <w:p w14:paraId="378D1F50">
            <w:pPr>
              <w:pStyle w:val="6"/>
              <w:spacing w:before="2" w:line="252" w:lineRule="auto"/>
              <w:ind w:left="15" w:right="59" w:firstLine="420"/>
            </w:pPr>
            <w:r>
              <w:rPr>
                <w:spacing w:val="8"/>
              </w:rPr>
              <w:t>所在水环境控制单元或断面不存在总磷超标情况；</w:t>
            </w:r>
            <w:r>
              <w:rPr>
                <w:spacing w:val="9"/>
              </w:rPr>
              <w:t>已取得排污许可，并建立健</w:t>
            </w:r>
            <w:r>
              <w:rPr>
                <w:spacing w:val="7"/>
              </w:rPr>
              <w:t>全水环境保护制度。</w:t>
            </w:r>
          </w:p>
        </w:tc>
        <w:tc>
          <w:tcPr>
            <w:tcW w:w="1307" w:type="dxa"/>
            <w:tcBorders>
              <w:bottom w:val="single" w:color="000000" w:sz="10" w:space="0"/>
              <w:right w:val="single" w:color="000000" w:sz="10" w:space="0"/>
            </w:tcBorders>
            <w:vAlign w:val="top"/>
          </w:tcPr>
          <w:p w14:paraId="2A8564EB">
            <w:pPr>
              <w:spacing w:line="264" w:lineRule="auto"/>
              <w:rPr>
                <w:rFonts w:ascii="Arial"/>
                <w:sz w:val="21"/>
              </w:rPr>
            </w:pPr>
          </w:p>
          <w:p w14:paraId="4DA0AD57">
            <w:pPr>
              <w:spacing w:line="264" w:lineRule="auto"/>
              <w:rPr>
                <w:rFonts w:ascii="Arial"/>
                <w:sz w:val="21"/>
              </w:rPr>
            </w:pPr>
          </w:p>
          <w:p w14:paraId="3D5D0E16">
            <w:pPr>
              <w:spacing w:line="264" w:lineRule="auto"/>
              <w:rPr>
                <w:rFonts w:ascii="Arial"/>
                <w:sz w:val="21"/>
              </w:rPr>
            </w:pPr>
          </w:p>
          <w:p w14:paraId="7B3AE420">
            <w:pPr>
              <w:spacing w:line="264" w:lineRule="auto"/>
              <w:rPr>
                <w:rFonts w:ascii="Arial"/>
                <w:sz w:val="21"/>
              </w:rPr>
            </w:pPr>
          </w:p>
          <w:p w14:paraId="49A9370F">
            <w:pPr>
              <w:spacing w:line="265" w:lineRule="auto"/>
              <w:rPr>
                <w:rFonts w:ascii="Arial"/>
                <w:sz w:val="21"/>
              </w:rPr>
            </w:pPr>
          </w:p>
          <w:p w14:paraId="5377A01E">
            <w:pPr>
              <w:pStyle w:val="6"/>
              <w:spacing w:before="65" w:line="228" w:lineRule="auto"/>
              <w:ind w:left="451"/>
            </w:pPr>
            <w:r>
              <w:rPr>
                <w:spacing w:val="3"/>
              </w:rPr>
              <w:t>符合</w:t>
            </w:r>
          </w:p>
        </w:tc>
      </w:tr>
    </w:tbl>
    <w:p w14:paraId="018A174B">
      <w:pPr>
        <w:spacing w:before="157" w:line="219" w:lineRule="auto"/>
        <w:ind w:left="3420"/>
        <w:rPr>
          <w:rFonts w:ascii="宋体" w:hAnsi="宋体" w:eastAsia="宋体" w:cs="宋体"/>
          <w:sz w:val="24"/>
          <w:szCs w:val="24"/>
        </w:rPr>
      </w:pPr>
      <w:r>
        <w:rPr>
          <w:rFonts w:ascii="宋体" w:hAnsi="宋体" w:eastAsia="宋体" w:cs="宋体"/>
          <w:b/>
          <w:bCs/>
          <w:spacing w:val="-2"/>
          <w:sz w:val="24"/>
          <w:szCs w:val="24"/>
        </w:rPr>
        <w:t>表</w:t>
      </w:r>
      <w:r>
        <w:rPr>
          <w:rFonts w:ascii="Times New Roman" w:hAnsi="Times New Roman" w:eastAsia="Times New Roman" w:cs="Times New Roman"/>
          <w:b/>
          <w:bCs/>
          <w:spacing w:val="-2"/>
          <w:sz w:val="24"/>
          <w:szCs w:val="24"/>
        </w:rPr>
        <w:t>4.5-2</w:t>
      </w:r>
      <w:r>
        <w:rPr>
          <w:rFonts w:ascii="宋体" w:hAnsi="宋体" w:eastAsia="宋体" w:cs="宋体"/>
          <w:b/>
          <w:bCs/>
          <w:spacing w:val="-2"/>
          <w:sz w:val="24"/>
          <w:szCs w:val="24"/>
        </w:rPr>
        <w:t>项目与隆回高新技术产业开发区生态环境准入清单相符性分析</w:t>
      </w:r>
    </w:p>
    <w:p w14:paraId="2921BB5A">
      <w:pPr>
        <w:spacing w:line="145" w:lineRule="exact"/>
      </w:pPr>
    </w:p>
    <w:tbl>
      <w:tblPr>
        <w:tblStyle w:val="5"/>
        <w:tblW w:w="1421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2"/>
        <w:gridCol w:w="8566"/>
        <w:gridCol w:w="3618"/>
        <w:gridCol w:w="938"/>
      </w:tblGrid>
      <w:tr w14:paraId="68029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092" w:type="dxa"/>
            <w:tcBorders>
              <w:top w:val="single" w:color="000000" w:sz="10" w:space="0"/>
              <w:left w:val="single" w:color="000000" w:sz="10" w:space="0"/>
            </w:tcBorders>
            <w:vAlign w:val="top"/>
          </w:tcPr>
          <w:p w14:paraId="7D857DDE">
            <w:pPr>
              <w:pStyle w:val="6"/>
              <w:spacing w:before="170" w:line="228" w:lineRule="auto"/>
              <w:ind w:left="121"/>
            </w:pPr>
            <w:r>
              <w:rPr>
                <w:b/>
                <w:bCs/>
                <w:spacing w:val="5"/>
              </w:rPr>
              <w:t>管控维度</w:t>
            </w:r>
          </w:p>
        </w:tc>
        <w:tc>
          <w:tcPr>
            <w:tcW w:w="8566" w:type="dxa"/>
            <w:tcBorders>
              <w:top w:val="single" w:color="000000" w:sz="10" w:space="0"/>
            </w:tcBorders>
            <w:vAlign w:val="top"/>
          </w:tcPr>
          <w:p w14:paraId="63F2504F">
            <w:pPr>
              <w:pStyle w:val="6"/>
              <w:spacing w:before="170" w:line="228" w:lineRule="auto"/>
              <w:ind w:left="3868"/>
            </w:pPr>
            <w:r>
              <w:rPr>
                <w:b/>
                <w:bCs/>
                <w:spacing w:val="5"/>
              </w:rPr>
              <w:t>管控要求</w:t>
            </w:r>
          </w:p>
        </w:tc>
        <w:tc>
          <w:tcPr>
            <w:tcW w:w="3618" w:type="dxa"/>
            <w:tcBorders>
              <w:top w:val="single" w:color="000000" w:sz="10" w:space="0"/>
            </w:tcBorders>
            <w:vAlign w:val="top"/>
          </w:tcPr>
          <w:p w14:paraId="1E86C713">
            <w:pPr>
              <w:pStyle w:val="6"/>
              <w:spacing w:before="170" w:line="227" w:lineRule="auto"/>
              <w:ind w:left="1084"/>
            </w:pPr>
            <w:r>
              <w:rPr>
                <w:b/>
                <w:bCs/>
                <w:spacing w:val="7"/>
              </w:rPr>
              <w:t>本项目实际情况</w:t>
            </w:r>
          </w:p>
        </w:tc>
        <w:tc>
          <w:tcPr>
            <w:tcW w:w="938" w:type="dxa"/>
            <w:tcBorders>
              <w:top w:val="single" w:color="000000" w:sz="10" w:space="0"/>
              <w:right w:val="single" w:color="000000" w:sz="10" w:space="0"/>
            </w:tcBorders>
            <w:vAlign w:val="top"/>
          </w:tcPr>
          <w:p w14:paraId="0E43A438">
            <w:pPr>
              <w:pStyle w:val="6"/>
              <w:spacing w:before="36" w:line="233" w:lineRule="auto"/>
              <w:ind w:left="271" w:right="136" w:hanging="106"/>
            </w:pPr>
            <w:r>
              <w:rPr>
                <w:b/>
                <w:bCs/>
                <w:spacing w:val="5"/>
              </w:rPr>
              <w:t>符合性</w:t>
            </w:r>
            <w:r>
              <w:rPr>
                <w:b/>
                <w:bCs/>
                <w:spacing w:val="2"/>
              </w:rPr>
              <w:t>分析</w:t>
            </w:r>
          </w:p>
        </w:tc>
      </w:tr>
      <w:tr w14:paraId="36A3D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8" w:hRule="atLeast"/>
        </w:trPr>
        <w:tc>
          <w:tcPr>
            <w:tcW w:w="1092" w:type="dxa"/>
            <w:tcBorders>
              <w:left w:val="single" w:color="000000" w:sz="10" w:space="0"/>
            </w:tcBorders>
            <w:vAlign w:val="top"/>
          </w:tcPr>
          <w:p w14:paraId="7C6248D3">
            <w:pPr>
              <w:spacing w:line="375" w:lineRule="auto"/>
              <w:rPr>
                <w:rFonts w:ascii="Arial"/>
                <w:sz w:val="21"/>
              </w:rPr>
            </w:pPr>
          </w:p>
          <w:p w14:paraId="7F9DA963">
            <w:pPr>
              <w:pStyle w:val="6"/>
              <w:spacing w:before="65" w:line="227" w:lineRule="auto"/>
              <w:ind w:left="111"/>
            </w:pPr>
            <w:r>
              <w:rPr>
                <w:b/>
                <w:bCs/>
                <w:spacing w:val="4"/>
              </w:rPr>
              <w:t>空间布局</w:t>
            </w:r>
          </w:p>
          <w:p w14:paraId="1FD8750B">
            <w:pPr>
              <w:pStyle w:val="6"/>
              <w:spacing w:before="24" w:line="228" w:lineRule="auto"/>
              <w:ind w:left="109"/>
            </w:pPr>
            <w:r>
              <w:rPr>
                <w:b/>
                <w:bCs/>
                <w:spacing w:val="1"/>
              </w:rPr>
              <w:t>约束</w:t>
            </w:r>
          </w:p>
        </w:tc>
        <w:tc>
          <w:tcPr>
            <w:tcW w:w="8566" w:type="dxa"/>
            <w:vAlign w:val="top"/>
          </w:tcPr>
          <w:p w14:paraId="4EECBB92">
            <w:pPr>
              <w:pStyle w:val="6"/>
              <w:spacing w:before="35" w:line="251" w:lineRule="auto"/>
              <w:ind w:left="120" w:right="102" w:hanging="8"/>
            </w:pPr>
            <w:r>
              <w:rPr>
                <w:spacing w:val="6"/>
              </w:rPr>
              <w:t>（</w:t>
            </w:r>
            <w:r>
              <w:rPr>
                <w:rFonts w:ascii="Times New Roman" w:hAnsi="Times New Roman" w:eastAsia="Times New Roman" w:cs="Times New Roman"/>
                <w:spacing w:val="6"/>
              </w:rPr>
              <w:t>1.1</w:t>
            </w:r>
            <w:r>
              <w:rPr>
                <w:spacing w:val="6"/>
              </w:rPr>
              <w:t>）禁止建设制浆造纸等废水、废气、噪声排放量大的工业企业。在上瑞高速公路一定范围内不得设置工业企业。</w:t>
            </w:r>
          </w:p>
          <w:p w14:paraId="0B96D46D">
            <w:pPr>
              <w:pStyle w:val="6"/>
              <w:spacing w:before="1" w:line="236" w:lineRule="auto"/>
              <w:ind w:left="104" w:right="1731" w:firstLine="8"/>
              <w:jc w:val="both"/>
            </w:pPr>
            <w:r>
              <w:rPr>
                <w:spacing w:val="8"/>
              </w:rPr>
              <w:t>（</w:t>
            </w:r>
            <w:r>
              <w:rPr>
                <w:rFonts w:ascii="Times New Roman" w:hAnsi="Times New Roman" w:eastAsia="Times New Roman" w:cs="Times New Roman"/>
                <w:spacing w:val="8"/>
              </w:rPr>
              <w:t>1.2</w:t>
            </w:r>
            <w:r>
              <w:rPr>
                <w:spacing w:val="8"/>
              </w:rPr>
              <w:t>）扩高新区不设三类工业用地、不得引进排水涉一类污</w:t>
            </w:r>
            <w:r>
              <w:rPr>
                <w:spacing w:val="7"/>
              </w:rPr>
              <w:t>染物的项目。</w:t>
            </w:r>
            <w:r>
              <w:rPr>
                <w:spacing w:val="9"/>
              </w:rPr>
              <w:t>（</w:t>
            </w:r>
            <w:r>
              <w:rPr>
                <w:rFonts w:ascii="Times New Roman" w:hAnsi="Times New Roman" w:eastAsia="Times New Roman" w:cs="Times New Roman"/>
                <w:spacing w:val="9"/>
              </w:rPr>
              <w:t>1.3</w:t>
            </w:r>
            <w:r>
              <w:rPr>
                <w:spacing w:val="9"/>
              </w:rPr>
              <w:t>）合理优化工业布局，在不同性质的工业企业间、工业用地与居住用地、其他配套服务用地间设置合理的间隔距离，防止互相干扰。</w:t>
            </w:r>
          </w:p>
        </w:tc>
        <w:tc>
          <w:tcPr>
            <w:tcW w:w="3618" w:type="dxa"/>
            <w:vAlign w:val="top"/>
          </w:tcPr>
          <w:p w14:paraId="37CFDC9F">
            <w:pPr>
              <w:rPr>
                <w:rFonts w:ascii="Arial"/>
                <w:sz w:val="21"/>
              </w:rPr>
            </w:pPr>
          </w:p>
          <w:p w14:paraId="1B811264">
            <w:pPr>
              <w:pStyle w:val="6"/>
              <w:spacing w:before="65" w:line="251" w:lineRule="auto"/>
              <w:ind w:left="119" w:right="144" w:firstLine="420"/>
            </w:pPr>
            <w:r>
              <w:rPr>
                <w:spacing w:val="9"/>
              </w:rPr>
              <w:t>本项目纳污范围内未引进电镀、屠宰、造纸等禁止行业企业，园区内</w:t>
            </w:r>
            <w:r>
              <w:rPr>
                <w:spacing w:val="7"/>
              </w:rPr>
              <w:t>无涉重废水企业。</w:t>
            </w:r>
          </w:p>
        </w:tc>
        <w:tc>
          <w:tcPr>
            <w:tcW w:w="938" w:type="dxa"/>
            <w:tcBorders>
              <w:right w:val="single" w:color="000000" w:sz="10" w:space="0"/>
            </w:tcBorders>
            <w:vAlign w:val="top"/>
          </w:tcPr>
          <w:p w14:paraId="2267DD8F">
            <w:pPr>
              <w:spacing w:line="255" w:lineRule="auto"/>
              <w:rPr>
                <w:rFonts w:ascii="Arial"/>
                <w:sz w:val="21"/>
              </w:rPr>
            </w:pPr>
          </w:p>
          <w:p w14:paraId="3230C113">
            <w:pPr>
              <w:spacing w:line="255" w:lineRule="auto"/>
              <w:rPr>
                <w:rFonts w:ascii="Arial"/>
                <w:sz w:val="21"/>
              </w:rPr>
            </w:pPr>
          </w:p>
          <w:p w14:paraId="42843143">
            <w:pPr>
              <w:pStyle w:val="6"/>
              <w:spacing w:before="65" w:line="228" w:lineRule="auto"/>
              <w:ind w:left="126"/>
            </w:pPr>
            <w:r>
              <w:rPr>
                <w:spacing w:val="3"/>
              </w:rPr>
              <w:t>符合</w:t>
            </w:r>
          </w:p>
        </w:tc>
      </w:tr>
      <w:tr w14:paraId="12AB5C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2" w:hRule="atLeast"/>
        </w:trPr>
        <w:tc>
          <w:tcPr>
            <w:tcW w:w="1092" w:type="dxa"/>
            <w:tcBorders>
              <w:left w:val="single" w:color="000000" w:sz="10" w:space="0"/>
              <w:bottom w:val="single" w:color="000000" w:sz="10" w:space="0"/>
            </w:tcBorders>
            <w:vAlign w:val="top"/>
          </w:tcPr>
          <w:p w14:paraId="658945A4">
            <w:pPr>
              <w:spacing w:line="263" w:lineRule="auto"/>
              <w:rPr>
                <w:rFonts w:ascii="Arial"/>
                <w:sz w:val="21"/>
              </w:rPr>
            </w:pPr>
          </w:p>
          <w:p w14:paraId="11D4CFF6">
            <w:pPr>
              <w:spacing w:line="263" w:lineRule="auto"/>
              <w:rPr>
                <w:rFonts w:ascii="Arial"/>
                <w:sz w:val="21"/>
              </w:rPr>
            </w:pPr>
          </w:p>
          <w:p w14:paraId="333C1966">
            <w:pPr>
              <w:spacing w:line="263" w:lineRule="auto"/>
              <w:rPr>
                <w:rFonts w:ascii="Arial"/>
                <w:sz w:val="21"/>
              </w:rPr>
            </w:pPr>
          </w:p>
          <w:p w14:paraId="326366C6">
            <w:pPr>
              <w:pStyle w:val="6"/>
              <w:spacing w:before="65" w:line="252" w:lineRule="auto"/>
              <w:ind w:left="221" w:right="126" w:hanging="103"/>
            </w:pPr>
            <w:r>
              <w:rPr>
                <w:b/>
                <w:bCs/>
                <w:spacing w:val="6"/>
              </w:rPr>
              <w:t>污染物排</w:t>
            </w:r>
            <w:r>
              <w:rPr>
                <w:b/>
                <w:bCs/>
                <w:spacing w:val="5"/>
              </w:rPr>
              <w:t>放管控</w:t>
            </w:r>
          </w:p>
        </w:tc>
        <w:tc>
          <w:tcPr>
            <w:tcW w:w="8566" w:type="dxa"/>
            <w:tcBorders>
              <w:bottom w:val="single" w:color="000000" w:sz="10" w:space="0"/>
            </w:tcBorders>
            <w:vAlign w:val="top"/>
          </w:tcPr>
          <w:p w14:paraId="79238796">
            <w:pPr>
              <w:pStyle w:val="6"/>
              <w:spacing w:before="44" w:line="228" w:lineRule="auto"/>
              <w:ind w:left="112"/>
            </w:pPr>
            <w:r>
              <w:rPr>
                <w:spacing w:val="1"/>
              </w:rPr>
              <w:t>（</w:t>
            </w:r>
            <w:r>
              <w:rPr>
                <w:rFonts w:ascii="Times New Roman" w:hAnsi="Times New Roman" w:eastAsia="Times New Roman" w:cs="Times New Roman"/>
                <w:spacing w:val="1"/>
              </w:rPr>
              <w:t>2.1</w:t>
            </w:r>
            <w:r>
              <w:rPr>
                <w:spacing w:val="1"/>
              </w:rPr>
              <w:t>）废水</w:t>
            </w:r>
          </w:p>
          <w:p w14:paraId="63D16AC4">
            <w:pPr>
              <w:pStyle w:val="6"/>
              <w:spacing w:before="24" w:line="228" w:lineRule="auto"/>
              <w:ind w:left="112"/>
            </w:pPr>
            <w:r>
              <w:rPr>
                <w:spacing w:val="7"/>
              </w:rPr>
              <w:t>（</w:t>
            </w:r>
            <w:r>
              <w:rPr>
                <w:rFonts w:ascii="Times New Roman" w:hAnsi="Times New Roman" w:eastAsia="Times New Roman" w:cs="Times New Roman"/>
                <w:spacing w:val="7"/>
              </w:rPr>
              <w:t>2.1.1</w:t>
            </w:r>
            <w:r>
              <w:rPr>
                <w:spacing w:val="7"/>
              </w:rPr>
              <w:t>）区块一的新扩区域及区块三加快配套截污管网建设，实行雨污分流。</w:t>
            </w:r>
          </w:p>
          <w:p w14:paraId="19C8A58B">
            <w:pPr>
              <w:pStyle w:val="6"/>
              <w:spacing w:before="24" w:line="252" w:lineRule="auto"/>
              <w:ind w:left="101" w:right="102" w:firstLine="10"/>
            </w:pPr>
            <w:r>
              <w:rPr>
                <w:spacing w:val="7"/>
              </w:rPr>
              <w:t>（</w:t>
            </w:r>
            <w:r>
              <w:rPr>
                <w:rFonts w:ascii="Times New Roman" w:hAnsi="Times New Roman" w:eastAsia="Times New Roman" w:cs="Times New Roman"/>
                <w:spacing w:val="7"/>
              </w:rPr>
              <w:t>2.1.2</w:t>
            </w:r>
            <w:r>
              <w:rPr>
                <w:spacing w:val="7"/>
              </w:rPr>
              <w:t>）区块一城东南区工业废水和生活污水经预处理后引入隆回工业污水处理厂处理后排</w:t>
            </w:r>
            <w:r>
              <w:rPr>
                <w:spacing w:val="9"/>
              </w:rPr>
              <w:t>入赧水；区块二城南食品加工区工业废水和生活污水引入隆回县华茂污水处理有</w:t>
            </w:r>
            <w:r>
              <w:rPr>
                <w:spacing w:val="8"/>
              </w:rPr>
              <w:t>限公司处理</w:t>
            </w:r>
            <w:r>
              <w:rPr>
                <w:spacing w:val="6"/>
              </w:rPr>
              <w:t>后排入赧水。</w:t>
            </w:r>
          </w:p>
          <w:p w14:paraId="5A188B63">
            <w:pPr>
              <w:pStyle w:val="6"/>
              <w:spacing w:line="251" w:lineRule="auto"/>
              <w:ind w:left="112" w:right="101"/>
            </w:pPr>
            <w:r>
              <w:rPr>
                <w:spacing w:val="8"/>
              </w:rPr>
              <w:t>（</w:t>
            </w:r>
            <w:r>
              <w:rPr>
                <w:rFonts w:ascii="Times New Roman" w:hAnsi="Times New Roman" w:eastAsia="Times New Roman" w:cs="Times New Roman"/>
                <w:spacing w:val="8"/>
              </w:rPr>
              <w:t>2.1.3</w:t>
            </w:r>
            <w:r>
              <w:rPr>
                <w:spacing w:val="8"/>
              </w:rPr>
              <w:t>）区块三迈迹塘区食品加工废水</w:t>
            </w:r>
            <w:r>
              <w:rPr>
                <w:spacing w:val="7"/>
              </w:rPr>
              <w:t>和生活废水引入隆回城西污水处理厂处理排入赧水。</w:t>
            </w:r>
            <w:r>
              <w:rPr>
                <w:spacing w:val="4"/>
              </w:rPr>
              <w:t>（</w:t>
            </w:r>
            <w:r>
              <w:rPr>
                <w:rFonts w:ascii="Times New Roman" w:hAnsi="Times New Roman" w:eastAsia="Times New Roman" w:cs="Times New Roman"/>
                <w:spacing w:val="4"/>
              </w:rPr>
              <w:t>2.2</w:t>
            </w:r>
            <w:r>
              <w:rPr>
                <w:spacing w:val="4"/>
              </w:rPr>
              <w:t>）废气</w:t>
            </w:r>
          </w:p>
          <w:p w14:paraId="696B56DF">
            <w:pPr>
              <w:pStyle w:val="6"/>
              <w:spacing w:line="214" w:lineRule="auto"/>
              <w:ind w:left="112"/>
            </w:pPr>
            <w:r>
              <w:rPr>
                <w:spacing w:val="7"/>
              </w:rPr>
              <w:t>（</w:t>
            </w:r>
            <w:r>
              <w:rPr>
                <w:rFonts w:ascii="Times New Roman" w:hAnsi="Times New Roman" w:eastAsia="Times New Roman" w:cs="Times New Roman"/>
                <w:spacing w:val="7"/>
              </w:rPr>
              <w:t>2.2.1</w:t>
            </w:r>
            <w:r>
              <w:rPr>
                <w:spacing w:val="7"/>
              </w:rPr>
              <w:t>）对各企业工艺废气污染源，配置废气收集与处置净化装置，做到稳定达标排放，达</w:t>
            </w:r>
          </w:p>
        </w:tc>
        <w:tc>
          <w:tcPr>
            <w:tcW w:w="3618" w:type="dxa"/>
            <w:tcBorders>
              <w:bottom w:val="single" w:color="000000" w:sz="10" w:space="0"/>
            </w:tcBorders>
            <w:vAlign w:val="top"/>
          </w:tcPr>
          <w:p w14:paraId="3B3B8AFC">
            <w:pPr>
              <w:pStyle w:val="6"/>
              <w:spacing w:before="45" w:line="250" w:lineRule="auto"/>
              <w:ind w:left="118" w:right="144" w:firstLine="437"/>
            </w:pPr>
            <w:r>
              <w:rPr>
                <w:spacing w:val="8"/>
              </w:rPr>
              <w:t>园区排水实行雨污分流，雨水就</w:t>
            </w:r>
            <w:r>
              <w:rPr>
                <w:spacing w:val="7"/>
              </w:rPr>
              <w:t>近排入自然水体。</w:t>
            </w:r>
          </w:p>
          <w:p w14:paraId="12739A84">
            <w:pPr>
              <w:pStyle w:val="6"/>
              <w:spacing w:before="2" w:line="251" w:lineRule="auto"/>
              <w:ind w:left="120" w:right="144" w:firstLine="418"/>
              <w:jc w:val="both"/>
            </w:pPr>
            <w:r>
              <w:rPr>
                <w:spacing w:val="9"/>
              </w:rPr>
              <w:t>城东南区工业生活污水及企业废水均排入园区工业污水处理工程达标</w:t>
            </w:r>
            <w:r>
              <w:rPr>
                <w:spacing w:val="6"/>
              </w:rPr>
              <w:t>后排入赧水。</w:t>
            </w:r>
          </w:p>
          <w:p w14:paraId="3F49D4B8">
            <w:pPr>
              <w:pStyle w:val="6"/>
              <w:spacing w:before="3" w:line="238" w:lineRule="auto"/>
              <w:ind w:left="118" w:right="144" w:firstLine="437"/>
              <w:jc w:val="both"/>
            </w:pPr>
            <w:r>
              <w:rPr>
                <w:spacing w:val="8"/>
              </w:rPr>
              <w:t>园区内固废经分类收集、转运和</w:t>
            </w:r>
            <w:r>
              <w:rPr>
                <w:spacing w:val="9"/>
              </w:rPr>
              <w:t>综合利用处理或无害化处理。园区企业固体废物特别是危险固废均按国家</w:t>
            </w:r>
          </w:p>
        </w:tc>
        <w:tc>
          <w:tcPr>
            <w:tcW w:w="938" w:type="dxa"/>
            <w:tcBorders>
              <w:bottom w:val="single" w:color="000000" w:sz="10" w:space="0"/>
              <w:right w:val="single" w:color="000000" w:sz="10" w:space="0"/>
            </w:tcBorders>
            <w:vAlign w:val="top"/>
          </w:tcPr>
          <w:p w14:paraId="4C882FDC">
            <w:pPr>
              <w:spacing w:line="307" w:lineRule="auto"/>
              <w:rPr>
                <w:rFonts w:ascii="Arial"/>
                <w:sz w:val="21"/>
              </w:rPr>
            </w:pPr>
          </w:p>
          <w:p w14:paraId="4B69201F">
            <w:pPr>
              <w:spacing w:line="308" w:lineRule="auto"/>
              <w:rPr>
                <w:rFonts w:ascii="Arial"/>
                <w:sz w:val="21"/>
              </w:rPr>
            </w:pPr>
          </w:p>
          <w:p w14:paraId="7ECFFEE9">
            <w:pPr>
              <w:spacing w:line="308" w:lineRule="auto"/>
              <w:rPr>
                <w:rFonts w:ascii="Arial"/>
                <w:sz w:val="21"/>
              </w:rPr>
            </w:pPr>
          </w:p>
          <w:p w14:paraId="6E21DC5C">
            <w:pPr>
              <w:pStyle w:val="6"/>
              <w:spacing w:before="65" w:line="228" w:lineRule="auto"/>
              <w:ind w:left="126"/>
            </w:pPr>
            <w:r>
              <w:rPr>
                <w:spacing w:val="3"/>
              </w:rPr>
              <w:t>符合</w:t>
            </w:r>
          </w:p>
        </w:tc>
      </w:tr>
    </w:tbl>
    <w:p w14:paraId="70E3606A">
      <w:pPr>
        <w:pStyle w:val="2"/>
      </w:pPr>
    </w:p>
    <w:p w14:paraId="2FADE978">
      <w:pPr>
        <w:sectPr>
          <w:headerReference r:id="rId92" w:type="default"/>
          <w:footerReference r:id="rId93" w:type="default"/>
          <w:pgSz w:w="16840" w:h="11907"/>
          <w:pgMar w:top="1132" w:right="1305" w:bottom="1255" w:left="1294" w:header="829" w:footer="1096" w:gutter="0"/>
          <w:cols w:space="720" w:num="1"/>
        </w:sectPr>
      </w:pPr>
    </w:p>
    <w:p w14:paraId="52D5F874">
      <w:pPr>
        <w:spacing w:before="43"/>
      </w:pPr>
    </w:p>
    <w:p w14:paraId="6D625768">
      <w:pPr>
        <w:spacing w:before="42"/>
      </w:pPr>
    </w:p>
    <w:tbl>
      <w:tblPr>
        <w:tblStyle w:val="5"/>
        <w:tblW w:w="1421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2"/>
        <w:gridCol w:w="8566"/>
        <w:gridCol w:w="3618"/>
        <w:gridCol w:w="938"/>
      </w:tblGrid>
      <w:tr w14:paraId="2034D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092" w:type="dxa"/>
            <w:tcBorders>
              <w:top w:val="single" w:color="000000" w:sz="10" w:space="0"/>
              <w:left w:val="single" w:color="000000" w:sz="10" w:space="0"/>
            </w:tcBorders>
            <w:vAlign w:val="top"/>
          </w:tcPr>
          <w:p w14:paraId="7A034F9E">
            <w:pPr>
              <w:pStyle w:val="6"/>
              <w:spacing w:before="171" w:line="228" w:lineRule="auto"/>
              <w:ind w:left="121"/>
            </w:pPr>
            <w:r>
              <w:rPr>
                <w:b/>
                <w:bCs/>
                <w:spacing w:val="5"/>
              </w:rPr>
              <w:t>管控维度</w:t>
            </w:r>
          </w:p>
        </w:tc>
        <w:tc>
          <w:tcPr>
            <w:tcW w:w="8566" w:type="dxa"/>
            <w:tcBorders>
              <w:top w:val="single" w:color="000000" w:sz="10" w:space="0"/>
            </w:tcBorders>
            <w:vAlign w:val="top"/>
          </w:tcPr>
          <w:p w14:paraId="001F5A81">
            <w:pPr>
              <w:pStyle w:val="6"/>
              <w:spacing w:before="171" w:line="228" w:lineRule="auto"/>
              <w:ind w:left="3868"/>
            </w:pPr>
            <w:r>
              <w:rPr>
                <w:b/>
                <w:bCs/>
                <w:spacing w:val="5"/>
              </w:rPr>
              <w:t>管控要求</w:t>
            </w:r>
          </w:p>
        </w:tc>
        <w:tc>
          <w:tcPr>
            <w:tcW w:w="3618" w:type="dxa"/>
            <w:tcBorders>
              <w:top w:val="single" w:color="000000" w:sz="10" w:space="0"/>
            </w:tcBorders>
            <w:vAlign w:val="top"/>
          </w:tcPr>
          <w:p w14:paraId="624AF11E">
            <w:pPr>
              <w:pStyle w:val="6"/>
              <w:spacing w:before="171" w:line="227" w:lineRule="auto"/>
              <w:ind w:left="1084"/>
            </w:pPr>
            <w:r>
              <w:rPr>
                <w:b/>
                <w:bCs/>
                <w:spacing w:val="7"/>
              </w:rPr>
              <w:t>本项目实际情况</w:t>
            </w:r>
          </w:p>
        </w:tc>
        <w:tc>
          <w:tcPr>
            <w:tcW w:w="938" w:type="dxa"/>
            <w:tcBorders>
              <w:top w:val="single" w:color="000000" w:sz="10" w:space="0"/>
              <w:right w:val="single" w:color="000000" w:sz="10" w:space="0"/>
            </w:tcBorders>
            <w:vAlign w:val="top"/>
          </w:tcPr>
          <w:p w14:paraId="21154F78">
            <w:pPr>
              <w:pStyle w:val="6"/>
              <w:spacing w:before="35" w:line="234" w:lineRule="auto"/>
              <w:ind w:left="271" w:right="136" w:hanging="106"/>
            </w:pPr>
            <w:r>
              <w:rPr>
                <w:b/>
                <w:bCs/>
                <w:spacing w:val="5"/>
              </w:rPr>
              <w:t>符合性</w:t>
            </w:r>
            <w:r>
              <w:rPr>
                <w:b/>
                <w:bCs/>
                <w:spacing w:val="2"/>
              </w:rPr>
              <w:t>分析</w:t>
            </w:r>
          </w:p>
        </w:tc>
      </w:tr>
      <w:tr w14:paraId="4B637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5" w:hRule="atLeast"/>
        </w:trPr>
        <w:tc>
          <w:tcPr>
            <w:tcW w:w="1092" w:type="dxa"/>
            <w:tcBorders>
              <w:left w:val="single" w:color="000000" w:sz="10" w:space="0"/>
            </w:tcBorders>
            <w:vAlign w:val="top"/>
          </w:tcPr>
          <w:p w14:paraId="2AF33ACB">
            <w:pPr>
              <w:rPr>
                <w:rFonts w:ascii="Arial"/>
                <w:sz w:val="21"/>
              </w:rPr>
            </w:pPr>
          </w:p>
        </w:tc>
        <w:tc>
          <w:tcPr>
            <w:tcW w:w="8566" w:type="dxa"/>
            <w:vAlign w:val="top"/>
          </w:tcPr>
          <w:p w14:paraId="6E595F43">
            <w:pPr>
              <w:pStyle w:val="6"/>
              <w:spacing w:before="34" w:line="250" w:lineRule="auto"/>
              <w:ind w:left="105" w:right="102" w:firstLine="3"/>
            </w:pPr>
            <w:r>
              <w:rPr>
                <w:spacing w:val="9"/>
              </w:rPr>
              <w:t>到排放标准要求；采取有效措施，减少园区内工艺废气的无组织排</w:t>
            </w:r>
            <w:r>
              <w:rPr>
                <w:spacing w:val="8"/>
              </w:rPr>
              <w:t>放。重污染天气预警期间</w:t>
            </w:r>
            <w:r>
              <w:rPr>
                <w:spacing w:val="9"/>
              </w:rPr>
              <w:t>大气排放重点企业执行《隆回县重污染天气应急预案》中限产限排要求。</w:t>
            </w:r>
          </w:p>
          <w:p w14:paraId="1F62DA05">
            <w:pPr>
              <w:pStyle w:val="6"/>
              <w:spacing w:before="2" w:line="251" w:lineRule="auto"/>
              <w:ind w:left="105" w:right="101" w:firstLine="7"/>
            </w:pPr>
            <w:r>
              <w:rPr>
                <w:spacing w:val="8"/>
              </w:rPr>
              <w:t>（</w:t>
            </w:r>
            <w:r>
              <w:rPr>
                <w:rFonts w:ascii="Times New Roman" w:hAnsi="Times New Roman" w:eastAsia="Times New Roman" w:cs="Times New Roman"/>
                <w:spacing w:val="8"/>
              </w:rPr>
              <w:t>2.2.2</w:t>
            </w:r>
            <w:r>
              <w:rPr>
                <w:spacing w:val="8"/>
              </w:rPr>
              <w:t>）加强挥发性有机物综合治理，改造升级低效挥发性有机物处理设施，实施企业</w:t>
            </w:r>
            <w:r>
              <w:rPr>
                <w:spacing w:val="7"/>
              </w:rPr>
              <w:t>挥发</w:t>
            </w:r>
            <w:r>
              <w:rPr>
                <w:spacing w:val="9"/>
              </w:rPr>
              <w:t>性有机物原料替代、排放全过程控制。大力推进挥发性有机物、氮氧化物协</w:t>
            </w:r>
            <w:r>
              <w:rPr>
                <w:spacing w:val="8"/>
              </w:rPr>
              <w:t>同治理和减排。</w:t>
            </w:r>
            <w:r>
              <w:rPr>
                <w:spacing w:val="5"/>
              </w:rPr>
              <w:t>（</w:t>
            </w:r>
            <w:r>
              <w:rPr>
                <w:rFonts w:ascii="Times New Roman" w:hAnsi="Times New Roman" w:eastAsia="Times New Roman" w:cs="Times New Roman"/>
                <w:spacing w:val="5"/>
              </w:rPr>
              <w:t>2.3</w:t>
            </w:r>
            <w:r>
              <w:rPr>
                <w:spacing w:val="5"/>
              </w:rPr>
              <w:t>）固废</w:t>
            </w:r>
          </w:p>
          <w:p w14:paraId="0A5F034B">
            <w:pPr>
              <w:pStyle w:val="6"/>
              <w:spacing w:line="251" w:lineRule="auto"/>
              <w:ind w:left="101" w:right="102" w:firstLine="10"/>
            </w:pPr>
            <w:r>
              <w:rPr>
                <w:spacing w:val="7"/>
              </w:rPr>
              <w:t>（</w:t>
            </w:r>
            <w:r>
              <w:rPr>
                <w:rFonts w:ascii="Times New Roman" w:hAnsi="Times New Roman" w:eastAsia="Times New Roman" w:cs="Times New Roman"/>
                <w:spacing w:val="7"/>
              </w:rPr>
              <w:t>2.3.1</w:t>
            </w:r>
            <w:r>
              <w:rPr>
                <w:spacing w:val="7"/>
              </w:rPr>
              <w:t>）做好工业固体废物和生活垃圾的分类收集、转运、综合利用和无害化处理，工业企</w:t>
            </w:r>
            <w:r>
              <w:rPr>
                <w:spacing w:val="9"/>
              </w:rPr>
              <w:t>业产生固体废物按国家有关规定综合利用或妥善处置，严防二次污染。</w:t>
            </w:r>
          </w:p>
          <w:p w14:paraId="06EE426B">
            <w:pPr>
              <w:pStyle w:val="6"/>
              <w:spacing w:line="208" w:lineRule="auto"/>
              <w:ind w:left="112"/>
            </w:pPr>
            <w:r>
              <w:rPr>
                <w:spacing w:val="8"/>
              </w:rPr>
              <w:t>（</w:t>
            </w:r>
            <w:r>
              <w:rPr>
                <w:rFonts w:ascii="Times New Roman" w:hAnsi="Times New Roman" w:eastAsia="Times New Roman" w:cs="Times New Roman"/>
                <w:spacing w:val="8"/>
              </w:rPr>
              <w:t>2.3.2</w:t>
            </w:r>
            <w:r>
              <w:rPr>
                <w:spacing w:val="8"/>
              </w:rPr>
              <w:t>）提升危险废物信息化监管能力和水平，实现危险废物全过程在线监管。</w:t>
            </w:r>
          </w:p>
        </w:tc>
        <w:tc>
          <w:tcPr>
            <w:tcW w:w="3618" w:type="dxa"/>
            <w:vAlign w:val="top"/>
          </w:tcPr>
          <w:p w14:paraId="07A34EB4">
            <w:pPr>
              <w:pStyle w:val="6"/>
              <w:spacing w:before="33" w:line="228" w:lineRule="auto"/>
              <w:ind w:left="119"/>
            </w:pPr>
            <w:r>
              <w:rPr>
                <w:spacing w:val="8"/>
              </w:rPr>
              <w:t>有关规定综合利用或妥善处置。</w:t>
            </w:r>
          </w:p>
        </w:tc>
        <w:tc>
          <w:tcPr>
            <w:tcW w:w="938" w:type="dxa"/>
            <w:tcBorders>
              <w:right w:val="single" w:color="000000" w:sz="10" w:space="0"/>
            </w:tcBorders>
            <w:vAlign w:val="top"/>
          </w:tcPr>
          <w:p w14:paraId="1358F46D">
            <w:pPr>
              <w:rPr>
                <w:rFonts w:ascii="Arial"/>
                <w:sz w:val="21"/>
              </w:rPr>
            </w:pPr>
          </w:p>
        </w:tc>
      </w:tr>
      <w:tr w14:paraId="1287D5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5" w:hRule="atLeast"/>
        </w:trPr>
        <w:tc>
          <w:tcPr>
            <w:tcW w:w="1092" w:type="dxa"/>
            <w:tcBorders>
              <w:left w:val="single" w:color="000000" w:sz="10" w:space="0"/>
            </w:tcBorders>
            <w:vAlign w:val="top"/>
          </w:tcPr>
          <w:p w14:paraId="3ACCC3E0">
            <w:pPr>
              <w:spacing w:line="326" w:lineRule="auto"/>
              <w:rPr>
                <w:rFonts w:ascii="Arial"/>
                <w:sz w:val="21"/>
              </w:rPr>
            </w:pPr>
          </w:p>
          <w:p w14:paraId="2FAA4184">
            <w:pPr>
              <w:spacing w:line="326" w:lineRule="auto"/>
              <w:rPr>
                <w:rFonts w:ascii="Arial"/>
                <w:sz w:val="21"/>
              </w:rPr>
            </w:pPr>
          </w:p>
          <w:p w14:paraId="77D9208B">
            <w:pPr>
              <w:pStyle w:val="6"/>
              <w:spacing w:before="65" w:line="252" w:lineRule="auto"/>
              <w:ind w:left="117" w:right="138" w:hanging="13"/>
            </w:pPr>
            <w:r>
              <w:rPr>
                <w:b/>
                <w:bCs/>
                <w:spacing w:val="6"/>
              </w:rPr>
              <w:t>环境风险</w:t>
            </w:r>
            <w:r>
              <w:rPr>
                <w:b/>
                <w:bCs/>
                <w:spacing w:val="-3"/>
              </w:rPr>
              <w:t>防控</w:t>
            </w:r>
          </w:p>
        </w:tc>
        <w:tc>
          <w:tcPr>
            <w:tcW w:w="8566" w:type="dxa"/>
            <w:vAlign w:val="top"/>
          </w:tcPr>
          <w:p w14:paraId="06544733">
            <w:pPr>
              <w:pStyle w:val="6"/>
              <w:spacing w:before="42" w:line="250" w:lineRule="auto"/>
              <w:ind w:left="115" w:right="102" w:hanging="3"/>
            </w:pPr>
            <w:r>
              <w:rPr>
                <w:spacing w:val="6"/>
              </w:rPr>
              <w:t>（</w:t>
            </w:r>
            <w:r>
              <w:rPr>
                <w:rFonts w:ascii="Times New Roman" w:hAnsi="Times New Roman" w:eastAsia="Times New Roman" w:cs="Times New Roman"/>
                <w:spacing w:val="6"/>
              </w:rPr>
              <w:t>3.1</w:t>
            </w:r>
            <w:r>
              <w:rPr>
                <w:spacing w:val="6"/>
              </w:rPr>
              <w:t>）园区应严格落实《隆回高新技术产业开发区突发环境事件应急预案》的相关要求，严</w:t>
            </w:r>
            <w:r>
              <w:rPr>
                <w:spacing w:val="8"/>
              </w:rPr>
              <w:t>防环境突发事件发生，提高应急处置能力。</w:t>
            </w:r>
          </w:p>
          <w:p w14:paraId="3B0D7CEC">
            <w:pPr>
              <w:pStyle w:val="6"/>
              <w:spacing w:before="4" w:line="241" w:lineRule="auto"/>
              <w:ind w:left="102" w:right="102" w:firstLine="10"/>
            </w:pPr>
            <w:r>
              <w:rPr>
                <w:spacing w:val="7"/>
              </w:rPr>
              <w:t>（</w:t>
            </w:r>
            <w:r>
              <w:rPr>
                <w:rFonts w:ascii="Times New Roman" w:hAnsi="Times New Roman" w:eastAsia="Times New Roman" w:cs="Times New Roman"/>
                <w:spacing w:val="7"/>
              </w:rPr>
              <w:t>3.2</w:t>
            </w:r>
            <w:r>
              <w:rPr>
                <w:spacing w:val="7"/>
              </w:rPr>
              <w:t>）园区可能发生突发环境事件的污染物排放企业，生产、储存、运输、使用危险化学品</w:t>
            </w:r>
            <w:r>
              <w:rPr>
                <w:spacing w:val="9"/>
              </w:rPr>
              <w:t>的企业，产生、收集、贮存、运输、利用、处置危险废物的企业；鼓励其他企</w:t>
            </w:r>
            <w:r>
              <w:rPr>
                <w:spacing w:val="8"/>
              </w:rPr>
              <w:t>业制定单独的</w:t>
            </w:r>
            <w:r>
              <w:rPr>
                <w:spacing w:val="9"/>
              </w:rPr>
              <w:t>环境应急预案，或在突发事件应急预案中制定环境应急预案专章，并备案。以</w:t>
            </w:r>
            <w:r>
              <w:rPr>
                <w:spacing w:val="8"/>
              </w:rPr>
              <w:t>腾退工矿企业</w:t>
            </w:r>
            <w:r>
              <w:rPr>
                <w:spacing w:val="9"/>
              </w:rPr>
              <w:t>用地、用途变更为住宅和公共管理与公共服务用地的地块为重点，依法开展土</w:t>
            </w:r>
            <w:r>
              <w:rPr>
                <w:spacing w:val="8"/>
              </w:rPr>
              <w:t>壤污染状况调</w:t>
            </w:r>
            <w:r>
              <w:rPr>
                <w:spacing w:val="7"/>
              </w:rPr>
              <w:t>查和风险评估。</w:t>
            </w:r>
          </w:p>
        </w:tc>
        <w:tc>
          <w:tcPr>
            <w:tcW w:w="3618" w:type="dxa"/>
            <w:vAlign w:val="top"/>
          </w:tcPr>
          <w:p w14:paraId="4EADA246">
            <w:pPr>
              <w:pStyle w:val="6"/>
              <w:spacing w:before="176" w:line="251" w:lineRule="auto"/>
              <w:ind w:left="118" w:right="144" w:firstLine="433"/>
              <w:jc w:val="both"/>
            </w:pPr>
            <w:r>
              <w:rPr>
                <w:spacing w:val="8"/>
              </w:rPr>
              <w:t>隆回高新技术产业开发区已建立</w:t>
            </w:r>
            <w:r>
              <w:rPr>
                <w:spacing w:val="9"/>
              </w:rPr>
              <w:t>了健全的环境风险防控体系，编制了</w:t>
            </w:r>
            <w:r>
              <w:rPr>
                <w:spacing w:val="8"/>
              </w:rPr>
              <w:t>应急预案，并定期演练。</w:t>
            </w:r>
          </w:p>
          <w:p w14:paraId="0B20BA6E">
            <w:pPr>
              <w:pStyle w:val="6"/>
              <w:spacing w:before="1" w:line="252" w:lineRule="auto"/>
              <w:ind w:left="122" w:right="144" w:firstLine="433"/>
              <w:jc w:val="both"/>
            </w:pPr>
            <w:r>
              <w:rPr>
                <w:spacing w:val="8"/>
              </w:rPr>
              <w:t>园区可能发生突发环境事件的污</w:t>
            </w:r>
            <w:r>
              <w:rPr>
                <w:spacing w:val="9"/>
              </w:rPr>
              <w:t>染物排放企业，也编制了应急预案，</w:t>
            </w:r>
            <w:r>
              <w:rPr>
                <w:spacing w:val="6"/>
              </w:rPr>
              <w:t>并定期演练。</w:t>
            </w:r>
          </w:p>
        </w:tc>
        <w:tc>
          <w:tcPr>
            <w:tcW w:w="938" w:type="dxa"/>
            <w:tcBorders>
              <w:right w:val="single" w:color="000000" w:sz="10" w:space="0"/>
            </w:tcBorders>
            <w:vAlign w:val="top"/>
          </w:tcPr>
          <w:p w14:paraId="6915EF82">
            <w:pPr>
              <w:spacing w:line="262" w:lineRule="auto"/>
              <w:rPr>
                <w:rFonts w:ascii="Arial"/>
                <w:sz w:val="21"/>
              </w:rPr>
            </w:pPr>
          </w:p>
          <w:p w14:paraId="473FABF1">
            <w:pPr>
              <w:spacing w:line="263" w:lineRule="auto"/>
              <w:rPr>
                <w:rFonts w:ascii="Arial"/>
                <w:sz w:val="21"/>
              </w:rPr>
            </w:pPr>
          </w:p>
          <w:p w14:paraId="6635922B">
            <w:pPr>
              <w:spacing w:line="263" w:lineRule="auto"/>
              <w:rPr>
                <w:rFonts w:ascii="Arial"/>
                <w:sz w:val="21"/>
              </w:rPr>
            </w:pPr>
          </w:p>
          <w:p w14:paraId="35B1DDA7">
            <w:pPr>
              <w:pStyle w:val="6"/>
              <w:spacing w:before="65" w:line="228" w:lineRule="auto"/>
              <w:ind w:left="270"/>
            </w:pPr>
            <w:r>
              <w:rPr>
                <w:spacing w:val="3"/>
              </w:rPr>
              <w:t>符合</w:t>
            </w:r>
          </w:p>
        </w:tc>
      </w:tr>
      <w:tr w14:paraId="7433B6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3" w:hRule="atLeast"/>
        </w:trPr>
        <w:tc>
          <w:tcPr>
            <w:tcW w:w="1092" w:type="dxa"/>
            <w:tcBorders>
              <w:left w:val="single" w:color="000000" w:sz="10" w:space="0"/>
              <w:bottom w:val="single" w:color="000000" w:sz="10" w:space="0"/>
            </w:tcBorders>
            <w:vAlign w:val="top"/>
          </w:tcPr>
          <w:p w14:paraId="374FCEDF">
            <w:pPr>
              <w:spacing w:line="266" w:lineRule="auto"/>
              <w:rPr>
                <w:rFonts w:ascii="Arial"/>
                <w:sz w:val="21"/>
              </w:rPr>
            </w:pPr>
          </w:p>
          <w:p w14:paraId="25D4F4FF">
            <w:pPr>
              <w:spacing w:line="266" w:lineRule="auto"/>
              <w:rPr>
                <w:rFonts w:ascii="Arial"/>
                <w:sz w:val="21"/>
              </w:rPr>
            </w:pPr>
          </w:p>
          <w:p w14:paraId="6A1B870A">
            <w:pPr>
              <w:spacing w:line="266" w:lineRule="auto"/>
              <w:rPr>
                <w:rFonts w:ascii="Arial"/>
                <w:sz w:val="21"/>
              </w:rPr>
            </w:pPr>
          </w:p>
          <w:p w14:paraId="5FBB760A">
            <w:pPr>
              <w:spacing w:line="267" w:lineRule="auto"/>
              <w:rPr>
                <w:rFonts w:ascii="Arial"/>
                <w:sz w:val="21"/>
              </w:rPr>
            </w:pPr>
          </w:p>
          <w:p w14:paraId="5EFA2D72">
            <w:pPr>
              <w:pStyle w:val="6"/>
              <w:spacing w:before="65" w:line="228" w:lineRule="auto"/>
              <w:ind w:left="113"/>
            </w:pPr>
            <w:r>
              <w:rPr>
                <w:b/>
                <w:bCs/>
                <w:spacing w:val="4"/>
              </w:rPr>
              <w:t>资源开发</w:t>
            </w:r>
          </w:p>
          <w:p w14:paraId="5E550E98">
            <w:pPr>
              <w:pStyle w:val="6"/>
              <w:spacing w:before="23" w:line="228" w:lineRule="auto"/>
              <w:ind w:left="109"/>
            </w:pPr>
            <w:r>
              <w:rPr>
                <w:b/>
                <w:bCs/>
                <w:spacing w:val="5"/>
              </w:rPr>
              <w:t>效率要求</w:t>
            </w:r>
          </w:p>
        </w:tc>
        <w:tc>
          <w:tcPr>
            <w:tcW w:w="8566" w:type="dxa"/>
            <w:tcBorders>
              <w:bottom w:val="single" w:color="000000" w:sz="10" w:space="0"/>
            </w:tcBorders>
            <w:vAlign w:val="top"/>
          </w:tcPr>
          <w:p w14:paraId="3652980D">
            <w:pPr>
              <w:pStyle w:val="6"/>
              <w:spacing w:before="49" w:line="251" w:lineRule="auto"/>
              <w:ind w:left="101" w:right="102" w:firstLine="10"/>
            </w:pPr>
            <w:r>
              <w:rPr>
                <w:spacing w:val="6"/>
              </w:rPr>
              <w:t>（</w:t>
            </w:r>
            <w:r>
              <w:rPr>
                <w:rFonts w:ascii="Times New Roman" w:hAnsi="Times New Roman" w:eastAsia="Times New Roman" w:cs="Times New Roman"/>
                <w:spacing w:val="6"/>
              </w:rPr>
              <w:t>4.1</w:t>
            </w:r>
            <w:r>
              <w:rPr>
                <w:spacing w:val="6"/>
              </w:rPr>
              <w:t>）能源：鼓励采取综合能源方式，推广使用清洁能源、低碳能源；持续推进工业循环经</w:t>
            </w:r>
            <w:r>
              <w:rPr>
                <w:spacing w:val="8"/>
              </w:rPr>
              <w:t>济发展和绿色园区创建工作；</w:t>
            </w:r>
            <w:r>
              <w:rPr>
                <w:rFonts w:ascii="Times New Roman" w:hAnsi="Times New Roman" w:eastAsia="Times New Roman" w:cs="Times New Roman"/>
                <w:spacing w:val="8"/>
              </w:rPr>
              <w:t>2025</w:t>
            </w:r>
            <w:r>
              <w:rPr>
                <w:spacing w:val="8"/>
              </w:rPr>
              <w:t>年年综合能源消费量预测</w:t>
            </w:r>
            <w:r>
              <w:rPr>
                <w:spacing w:val="7"/>
              </w:rPr>
              <w:t>当量值为</w:t>
            </w:r>
            <w:r>
              <w:rPr>
                <w:rFonts w:ascii="Times New Roman" w:hAnsi="Times New Roman" w:eastAsia="Times New Roman" w:cs="Times New Roman"/>
                <w:spacing w:val="7"/>
              </w:rPr>
              <w:t>233476.56</w:t>
            </w:r>
            <w:r>
              <w:rPr>
                <w:rFonts w:ascii="Times New Roman" w:hAnsi="Times New Roman" w:eastAsia="Times New Roman" w:cs="Times New Roman"/>
              </w:rPr>
              <w:t>tce</w:t>
            </w:r>
            <w:r>
              <w:rPr>
                <w:spacing w:val="7"/>
              </w:rPr>
              <w:t>，单位</w:t>
            </w:r>
            <w:r>
              <w:rPr>
                <w:rFonts w:ascii="Times New Roman" w:hAnsi="Times New Roman" w:eastAsia="Times New Roman" w:cs="Times New Roman"/>
              </w:rPr>
              <w:t>GDP</w:t>
            </w:r>
            <w:r>
              <w:rPr>
                <w:spacing w:val="8"/>
              </w:rPr>
              <w:t>能耗为</w:t>
            </w:r>
            <w:r>
              <w:rPr>
                <w:rFonts w:ascii="Times New Roman" w:hAnsi="Times New Roman" w:eastAsia="Times New Roman" w:cs="Times New Roman"/>
                <w:spacing w:val="8"/>
              </w:rPr>
              <w:t>0.1927</w:t>
            </w:r>
            <w:r>
              <w:rPr>
                <w:rFonts w:ascii="Times New Roman" w:hAnsi="Times New Roman" w:eastAsia="Times New Roman" w:cs="Times New Roman"/>
              </w:rPr>
              <w:t>tce</w:t>
            </w:r>
            <w:r>
              <w:rPr>
                <w:rFonts w:ascii="Times New Roman" w:hAnsi="Times New Roman" w:eastAsia="Times New Roman" w:cs="Times New Roman"/>
                <w:spacing w:val="8"/>
              </w:rPr>
              <w:t>/</w:t>
            </w:r>
            <w:r>
              <w:rPr>
                <w:spacing w:val="8"/>
              </w:rPr>
              <w:t>万元，单位工业增加值能耗为</w:t>
            </w:r>
            <w:r>
              <w:rPr>
                <w:rFonts w:ascii="Times New Roman" w:hAnsi="Times New Roman" w:eastAsia="Times New Roman" w:cs="Times New Roman"/>
                <w:spacing w:val="8"/>
              </w:rPr>
              <w:t>0.5745</w:t>
            </w:r>
            <w:r>
              <w:rPr>
                <w:rFonts w:ascii="Times New Roman" w:hAnsi="Times New Roman" w:eastAsia="Times New Roman" w:cs="Times New Roman"/>
              </w:rPr>
              <w:t>tce</w:t>
            </w:r>
            <w:r>
              <w:rPr>
                <w:rFonts w:ascii="Times New Roman" w:hAnsi="Times New Roman" w:eastAsia="Times New Roman" w:cs="Times New Roman"/>
                <w:spacing w:val="8"/>
              </w:rPr>
              <w:t>/</w:t>
            </w:r>
            <w:r>
              <w:rPr>
                <w:spacing w:val="7"/>
              </w:rPr>
              <w:t>万元，</w:t>
            </w:r>
            <w:r>
              <w:rPr>
                <w:rFonts w:ascii="Times New Roman" w:hAnsi="Times New Roman" w:eastAsia="Times New Roman" w:cs="Times New Roman"/>
                <w:spacing w:val="7"/>
              </w:rPr>
              <w:t>“</w:t>
            </w:r>
            <w:r>
              <w:rPr>
                <w:spacing w:val="7"/>
              </w:rPr>
              <w:t>十四五</w:t>
            </w:r>
            <w:r>
              <w:rPr>
                <w:rFonts w:ascii="Times New Roman" w:hAnsi="Times New Roman" w:eastAsia="Times New Roman" w:cs="Times New Roman"/>
                <w:spacing w:val="7"/>
              </w:rPr>
              <w:t>”</w:t>
            </w:r>
            <w:r>
              <w:rPr>
                <w:spacing w:val="7"/>
              </w:rPr>
              <w:t>期间能源消</w:t>
            </w:r>
            <w:r>
              <w:rPr>
                <w:spacing w:val="5"/>
              </w:rPr>
              <w:t>费强度降低</w:t>
            </w:r>
            <w:r>
              <w:rPr>
                <w:rFonts w:ascii="Times New Roman" w:hAnsi="Times New Roman" w:eastAsia="Times New Roman" w:cs="Times New Roman"/>
                <w:spacing w:val="5"/>
              </w:rPr>
              <w:t>16%</w:t>
            </w:r>
            <w:r>
              <w:rPr>
                <w:spacing w:val="5"/>
              </w:rPr>
              <w:t>，能源消费增量</w:t>
            </w:r>
            <w:r>
              <w:rPr>
                <w:rFonts w:ascii="Times New Roman" w:hAnsi="Times New Roman" w:eastAsia="Times New Roman" w:cs="Times New Roman"/>
                <w:spacing w:val="5"/>
              </w:rPr>
              <w:t>74682.48</w:t>
            </w:r>
            <w:r>
              <w:rPr>
                <w:rFonts w:ascii="Times New Roman" w:hAnsi="Times New Roman" w:eastAsia="Times New Roman" w:cs="Times New Roman"/>
              </w:rPr>
              <w:t>tce</w:t>
            </w:r>
            <w:r>
              <w:rPr>
                <w:spacing w:val="5"/>
              </w:rPr>
              <w:t>。</w:t>
            </w:r>
          </w:p>
          <w:p w14:paraId="478DC5EE">
            <w:pPr>
              <w:pStyle w:val="6"/>
              <w:spacing w:before="3" w:line="245" w:lineRule="auto"/>
              <w:ind w:left="101" w:right="31" w:firstLine="10"/>
            </w:pPr>
            <w:r>
              <w:rPr>
                <w:spacing w:val="7"/>
              </w:rPr>
              <w:t>（</w:t>
            </w:r>
            <w:r>
              <w:rPr>
                <w:rFonts w:ascii="Times New Roman" w:hAnsi="Times New Roman" w:eastAsia="Times New Roman" w:cs="Times New Roman"/>
                <w:spacing w:val="7"/>
              </w:rPr>
              <w:t>4.2</w:t>
            </w:r>
            <w:r>
              <w:rPr>
                <w:spacing w:val="7"/>
              </w:rPr>
              <w:t>）水资源：实行水资源消耗总量和强度控制，实施节水行动，强化工业节水减排，推行</w:t>
            </w:r>
            <w:r>
              <w:rPr>
                <w:spacing w:val="9"/>
              </w:rPr>
              <w:t>工业水效</w:t>
            </w:r>
            <w:r>
              <w:rPr>
                <w:rFonts w:ascii="Times New Roman" w:hAnsi="Times New Roman" w:eastAsia="Times New Roman" w:cs="Times New Roman"/>
                <w:spacing w:val="9"/>
              </w:rPr>
              <w:t>“</w:t>
            </w:r>
            <w:r>
              <w:rPr>
                <w:spacing w:val="9"/>
              </w:rPr>
              <w:t>领跑者</w:t>
            </w:r>
            <w:r>
              <w:rPr>
                <w:rFonts w:ascii="Times New Roman" w:hAnsi="Times New Roman" w:eastAsia="Times New Roman" w:cs="Times New Roman"/>
                <w:spacing w:val="9"/>
              </w:rPr>
              <w:t>”</w:t>
            </w:r>
            <w:r>
              <w:rPr>
                <w:spacing w:val="9"/>
              </w:rPr>
              <w:t>制度；推进水资源化利用；到</w:t>
            </w:r>
            <w:r>
              <w:rPr>
                <w:rFonts w:ascii="Times New Roman" w:hAnsi="Times New Roman" w:eastAsia="Times New Roman" w:cs="Times New Roman"/>
                <w:spacing w:val="9"/>
              </w:rPr>
              <w:t>2</w:t>
            </w:r>
            <w:r>
              <w:rPr>
                <w:rFonts w:ascii="Times New Roman" w:hAnsi="Times New Roman" w:eastAsia="Times New Roman" w:cs="Times New Roman"/>
                <w:spacing w:val="8"/>
              </w:rPr>
              <w:t>025</w:t>
            </w:r>
            <w:r>
              <w:rPr>
                <w:spacing w:val="8"/>
              </w:rPr>
              <w:t>年，园区指标应符合相应行政区域的</w:t>
            </w:r>
            <w:r>
              <w:rPr>
                <w:spacing w:val="4"/>
              </w:rPr>
              <w:t>管控要求，隆回县用水总量不超过</w:t>
            </w:r>
            <w:r>
              <w:rPr>
                <w:rFonts w:ascii="Times New Roman" w:hAnsi="Times New Roman" w:eastAsia="Times New Roman" w:cs="Times New Roman"/>
                <w:spacing w:val="4"/>
              </w:rPr>
              <w:t>3.771</w:t>
            </w:r>
            <w:r>
              <w:rPr>
                <w:spacing w:val="4"/>
              </w:rPr>
              <w:t>亿</w:t>
            </w:r>
            <w:r>
              <w:rPr>
                <w:rFonts w:ascii="Times New Roman" w:hAnsi="Times New Roman" w:eastAsia="Times New Roman" w:cs="Times New Roman"/>
                <w:spacing w:val="4"/>
              </w:rPr>
              <w:t>m</w:t>
            </w:r>
            <w:r>
              <w:rPr>
                <w:rFonts w:ascii="Times New Roman" w:hAnsi="Times New Roman" w:eastAsia="Times New Roman" w:cs="Times New Roman"/>
                <w:spacing w:val="4"/>
                <w:position w:val="6"/>
                <w:sz w:val="13"/>
                <w:szCs w:val="13"/>
              </w:rPr>
              <w:t>3</w:t>
            </w:r>
            <w:r>
              <w:rPr>
                <w:spacing w:val="4"/>
              </w:rPr>
              <w:t>，万元工业增</w:t>
            </w:r>
            <w:r>
              <w:rPr>
                <w:spacing w:val="3"/>
              </w:rPr>
              <w:t>加值用水量比</w:t>
            </w:r>
            <w:r>
              <w:rPr>
                <w:rFonts w:ascii="Times New Roman" w:hAnsi="Times New Roman" w:eastAsia="Times New Roman" w:cs="Times New Roman"/>
                <w:spacing w:val="3"/>
              </w:rPr>
              <w:t>2020</w:t>
            </w:r>
            <w:r>
              <w:rPr>
                <w:spacing w:val="3"/>
              </w:rPr>
              <w:t>年下降</w:t>
            </w:r>
            <w:r>
              <w:rPr>
                <w:rFonts w:ascii="Times New Roman" w:hAnsi="Times New Roman" w:eastAsia="Times New Roman" w:cs="Times New Roman"/>
                <w:spacing w:val="3"/>
              </w:rPr>
              <w:t>12.13%</w:t>
            </w:r>
            <w:r>
              <w:rPr>
                <w:spacing w:val="3"/>
              </w:rPr>
              <w:t>。</w:t>
            </w:r>
            <w:r>
              <w:rPr>
                <w:spacing w:val="4"/>
              </w:rPr>
              <w:t>（</w:t>
            </w:r>
            <w:r>
              <w:rPr>
                <w:rFonts w:ascii="Times New Roman" w:hAnsi="Times New Roman" w:eastAsia="Times New Roman" w:cs="Times New Roman"/>
                <w:spacing w:val="4"/>
              </w:rPr>
              <w:t>4.3</w:t>
            </w:r>
            <w:r>
              <w:rPr>
                <w:spacing w:val="4"/>
              </w:rPr>
              <w:t>）土地资源：强化土地集约利用，严格执行土地使用标准，加强土地开发利用动态监管。</w:t>
            </w:r>
            <w:r>
              <w:rPr>
                <w:spacing w:val="9"/>
              </w:rPr>
              <w:t>鼓励对现有工业用地通过追加投资、转型改造，提高单位土地面积投资强度和使</w:t>
            </w:r>
            <w:r>
              <w:rPr>
                <w:spacing w:val="8"/>
              </w:rPr>
              <w:t>用效率。工</w:t>
            </w:r>
            <w:r>
              <w:rPr>
                <w:spacing w:val="7"/>
              </w:rPr>
              <w:t>业用地固定资产投入强度达到</w:t>
            </w:r>
            <w:r>
              <w:rPr>
                <w:rFonts w:ascii="Times New Roman" w:hAnsi="Times New Roman" w:eastAsia="Times New Roman" w:cs="Times New Roman"/>
                <w:spacing w:val="7"/>
              </w:rPr>
              <w:t>220</w:t>
            </w:r>
            <w:r>
              <w:rPr>
                <w:spacing w:val="7"/>
              </w:rPr>
              <w:t>万元</w:t>
            </w:r>
            <w:r>
              <w:rPr>
                <w:rFonts w:ascii="Times New Roman" w:hAnsi="Times New Roman" w:eastAsia="Times New Roman" w:cs="Times New Roman"/>
                <w:spacing w:val="7"/>
              </w:rPr>
              <w:t>/</w:t>
            </w:r>
            <w:r>
              <w:rPr>
                <w:spacing w:val="7"/>
              </w:rPr>
              <w:t>亩，工业用地地均税收</w:t>
            </w:r>
            <w:r>
              <w:rPr>
                <w:rFonts w:ascii="Times New Roman" w:hAnsi="Times New Roman" w:eastAsia="Times New Roman" w:cs="Times New Roman"/>
                <w:spacing w:val="7"/>
              </w:rPr>
              <w:t>13</w:t>
            </w:r>
            <w:r>
              <w:rPr>
                <w:spacing w:val="7"/>
              </w:rPr>
              <w:t>万元</w:t>
            </w:r>
            <w:r>
              <w:rPr>
                <w:rFonts w:ascii="Times New Roman" w:hAnsi="Times New Roman" w:eastAsia="Times New Roman" w:cs="Times New Roman"/>
                <w:spacing w:val="7"/>
              </w:rPr>
              <w:t>/</w:t>
            </w:r>
            <w:r>
              <w:rPr>
                <w:spacing w:val="7"/>
              </w:rPr>
              <w:t>亩。</w:t>
            </w:r>
          </w:p>
        </w:tc>
        <w:tc>
          <w:tcPr>
            <w:tcW w:w="3618" w:type="dxa"/>
            <w:tcBorders>
              <w:bottom w:val="single" w:color="000000" w:sz="10" w:space="0"/>
            </w:tcBorders>
            <w:vAlign w:val="top"/>
          </w:tcPr>
          <w:p w14:paraId="578A3B44">
            <w:pPr>
              <w:spacing w:line="266" w:lineRule="auto"/>
              <w:rPr>
                <w:rFonts w:ascii="Arial"/>
                <w:sz w:val="21"/>
              </w:rPr>
            </w:pPr>
          </w:p>
          <w:p w14:paraId="6A9FBA77">
            <w:pPr>
              <w:spacing w:line="266" w:lineRule="auto"/>
              <w:rPr>
                <w:rFonts w:ascii="Arial"/>
                <w:sz w:val="21"/>
              </w:rPr>
            </w:pPr>
          </w:p>
          <w:p w14:paraId="0405A360">
            <w:pPr>
              <w:spacing w:line="266" w:lineRule="auto"/>
              <w:rPr>
                <w:rFonts w:ascii="Arial"/>
                <w:sz w:val="21"/>
              </w:rPr>
            </w:pPr>
          </w:p>
          <w:p w14:paraId="564EAE81">
            <w:pPr>
              <w:spacing w:line="267" w:lineRule="auto"/>
              <w:rPr>
                <w:rFonts w:ascii="Arial"/>
                <w:sz w:val="21"/>
              </w:rPr>
            </w:pPr>
          </w:p>
          <w:p w14:paraId="283DBC79">
            <w:pPr>
              <w:pStyle w:val="6"/>
              <w:spacing w:before="65" w:line="252" w:lineRule="auto"/>
              <w:ind w:left="119" w:right="144" w:firstLine="436"/>
            </w:pPr>
            <w:r>
              <w:rPr>
                <w:spacing w:val="8"/>
              </w:rPr>
              <w:t>园区企业均采用清洁能源，无用</w:t>
            </w:r>
            <w:r>
              <w:rPr>
                <w:spacing w:val="5"/>
              </w:rPr>
              <w:t>燃煤企业。</w:t>
            </w:r>
          </w:p>
        </w:tc>
        <w:tc>
          <w:tcPr>
            <w:tcW w:w="938" w:type="dxa"/>
            <w:tcBorders>
              <w:bottom w:val="single" w:color="000000" w:sz="10" w:space="0"/>
              <w:right w:val="single" w:color="000000" w:sz="10" w:space="0"/>
            </w:tcBorders>
            <w:vAlign w:val="top"/>
          </w:tcPr>
          <w:p w14:paraId="6ACBB16F">
            <w:pPr>
              <w:spacing w:line="299" w:lineRule="auto"/>
              <w:rPr>
                <w:rFonts w:ascii="Arial"/>
                <w:sz w:val="21"/>
              </w:rPr>
            </w:pPr>
          </w:p>
          <w:p w14:paraId="24C066DC">
            <w:pPr>
              <w:spacing w:line="299" w:lineRule="auto"/>
              <w:rPr>
                <w:rFonts w:ascii="Arial"/>
                <w:sz w:val="21"/>
              </w:rPr>
            </w:pPr>
          </w:p>
          <w:p w14:paraId="0D25F832">
            <w:pPr>
              <w:spacing w:line="300" w:lineRule="auto"/>
              <w:rPr>
                <w:rFonts w:ascii="Arial"/>
                <w:sz w:val="21"/>
              </w:rPr>
            </w:pPr>
          </w:p>
          <w:p w14:paraId="06C778B6">
            <w:pPr>
              <w:spacing w:line="300" w:lineRule="auto"/>
              <w:rPr>
                <w:rFonts w:ascii="Arial"/>
                <w:sz w:val="21"/>
              </w:rPr>
            </w:pPr>
          </w:p>
          <w:p w14:paraId="4B7B3E03">
            <w:pPr>
              <w:pStyle w:val="6"/>
              <w:spacing w:before="65" w:line="228" w:lineRule="auto"/>
              <w:ind w:left="270"/>
            </w:pPr>
            <w:r>
              <w:rPr>
                <w:spacing w:val="3"/>
              </w:rPr>
              <w:t>符合</w:t>
            </w:r>
          </w:p>
        </w:tc>
      </w:tr>
    </w:tbl>
    <w:p w14:paraId="3B1E147A">
      <w:pPr>
        <w:pStyle w:val="2"/>
      </w:pPr>
    </w:p>
    <w:p w14:paraId="0D6D52B7">
      <w:pPr>
        <w:sectPr>
          <w:footerReference r:id="rId94" w:type="default"/>
          <w:pgSz w:w="16840" w:h="11907"/>
          <w:pgMar w:top="1132" w:right="1305" w:bottom="1258" w:left="1294" w:header="829" w:footer="1096" w:gutter="0"/>
          <w:cols w:space="720" w:num="1"/>
        </w:sectPr>
      </w:pPr>
    </w:p>
    <w:p w14:paraId="44F58AFE">
      <w:pPr>
        <w:pStyle w:val="2"/>
        <w:spacing w:line="241" w:lineRule="auto"/>
      </w:pPr>
    </w:p>
    <w:p w14:paraId="2FD0CBDF">
      <w:pPr>
        <w:spacing w:before="78" w:line="219" w:lineRule="auto"/>
        <w:ind w:left="6"/>
        <w:outlineLvl w:val="2"/>
        <w:rPr>
          <w:rFonts w:ascii="宋体" w:hAnsi="宋体" w:eastAsia="宋体" w:cs="宋体"/>
          <w:sz w:val="24"/>
          <w:szCs w:val="24"/>
        </w:rPr>
      </w:pPr>
      <w:r>
        <w:rPr>
          <w:rFonts w:ascii="Times New Roman" w:hAnsi="Times New Roman" w:eastAsia="Times New Roman" w:cs="Times New Roman"/>
          <w:b/>
          <w:bCs/>
          <w:spacing w:val="-3"/>
          <w:sz w:val="24"/>
          <w:szCs w:val="24"/>
        </w:rPr>
        <w:t>4.5.2</w:t>
      </w:r>
      <w:r>
        <w:rPr>
          <w:rFonts w:ascii="宋体" w:hAnsi="宋体" w:eastAsia="宋体" w:cs="宋体"/>
          <w:b/>
          <w:bCs/>
          <w:spacing w:val="-3"/>
          <w:sz w:val="24"/>
          <w:szCs w:val="24"/>
        </w:rPr>
        <w:t>与邵阳市“三线一单”符合性</w:t>
      </w:r>
      <w:r>
        <w:rPr>
          <w:rFonts w:ascii="宋体" w:hAnsi="宋体" w:eastAsia="宋体" w:cs="宋体"/>
          <w:b/>
          <w:bCs/>
          <w:spacing w:val="-4"/>
          <w:sz w:val="24"/>
          <w:szCs w:val="24"/>
        </w:rPr>
        <w:t>分析</w:t>
      </w:r>
    </w:p>
    <w:p w14:paraId="656C8F2C">
      <w:pPr>
        <w:spacing w:before="181" w:line="359" w:lineRule="auto"/>
        <w:ind w:left="9" w:right="2" w:firstLine="479"/>
        <w:jc w:val="both"/>
        <w:rPr>
          <w:rFonts w:ascii="宋体" w:hAnsi="宋体" w:eastAsia="宋体" w:cs="宋体"/>
          <w:sz w:val="24"/>
          <w:szCs w:val="24"/>
        </w:rPr>
      </w:pPr>
      <w:r>
        <w:rPr>
          <w:rFonts w:ascii="宋体" w:hAnsi="宋体" w:eastAsia="宋体" w:cs="宋体"/>
          <w:spacing w:val="-3"/>
          <w:sz w:val="24"/>
          <w:szCs w:val="24"/>
        </w:rPr>
        <w:t>入河排污口位于邵阳市隆回县北山镇，根据《</w:t>
      </w:r>
      <w:r>
        <w:rPr>
          <w:rFonts w:ascii="宋体" w:hAnsi="宋体" w:eastAsia="宋体" w:cs="宋体"/>
          <w:spacing w:val="-4"/>
          <w:sz w:val="24"/>
          <w:szCs w:val="24"/>
        </w:rPr>
        <w:t>邵阳市关于</w:t>
      </w:r>
      <w:r>
        <w:rPr>
          <w:rFonts w:ascii="Times New Roman" w:hAnsi="Times New Roman" w:eastAsia="Times New Roman" w:cs="Times New Roman"/>
          <w:spacing w:val="-4"/>
          <w:sz w:val="24"/>
          <w:szCs w:val="24"/>
        </w:rPr>
        <w:t>“</w:t>
      </w:r>
      <w:r>
        <w:rPr>
          <w:rFonts w:ascii="宋体" w:hAnsi="宋体" w:eastAsia="宋体" w:cs="宋体"/>
          <w:spacing w:val="-4"/>
          <w:sz w:val="24"/>
          <w:szCs w:val="24"/>
        </w:rPr>
        <w:t>三线一单</w:t>
      </w:r>
      <w:r>
        <w:rPr>
          <w:rFonts w:ascii="Times New Roman" w:hAnsi="Times New Roman" w:eastAsia="Times New Roman" w:cs="Times New Roman"/>
          <w:spacing w:val="-4"/>
          <w:sz w:val="24"/>
          <w:szCs w:val="24"/>
        </w:rPr>
        <w:t>”</w:t>
      </w:r>
      <w:r>
        <w:rPr>
          <w:rFonts w:ascii="宋体" w:hAnsi="宋体" w:eastAsia="宋体" w:cs="宋体"/>
          <w:spacing w:val="-4"/>
          <w:sz w:val="24"/>
          <w:szCs w:val="24"/>
        </w:rPr>
        <w:t>生态环境</w:t>
      </w:r>
      <w:r>
        <w:rPr>
          <w:rFonts w:ascii="宋体" w:hAnsi="宋体" w:eastAsia="宋体" w:cs="宋体"/>
          <w:spacing w:val="3"/>
          <w:sz w:val="24"/>
          <w:szCs w:val="24"/>
        </w:rPr>
        <w:t>分区管控的实施意见》可知，观音滩镇管控分类为</w:t>
      </w:r>
      <w:r>
        <w:rPr>
          <w:rFonts w:ascii="宋体" w:hAnsi="宋体" w:eastAsia="宋体" w:cs="宋体"/>
          <w:spacing w:val="2"/>
          <w:sz w:val="24"/>
          <w:szCs w:val="24"/>
        </w:rPr>
        <w:t>属于重点管控单元，区域的主</w:t>
      </w:r>
      <w:r>
        <w:rPr>
          <w:rFonts w:ascii="宋体" w:hAnsi="宋体" w:eastAsia="宋体" w:cs="宋体"/>
          <w:spacing w:val="-1"/>
          <w:sz w:val="24"/>
          <w:szCs w:val="24"/>
        </w:rPr>
        <w:t>体功能定位为国家层面重点生态功能区。</w:t>
      </w:r>
    </w:p>
    <w:p w14:paraId="52F24C3F">
      <w:pPr>
        <w:spacing w:before="2" w:line="312" w:lineRule="auto"/>
        <w:ind w:left="10" w:firstLine="490"/>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）生态红线。</w:t>
      </w:r>
      <w:r>
        <w:rPr>
          <w:rFonts w:ascii="Times New Roman" w:hAnsi="Times New Roman" w:eastAsia="Times New Roman" w:cs="Times New Roman"/>
          <w:sz w:val="24"/>
          <w:szCs w:val="24"/>
        </w:rPr>
        <w:t>“</w:t>
      </w:r>
      <w:r>
        <w:rPr>
          <w:rFonts w:ascii="宋体" w:hAnsi="宋体" w:eastAsia="宋体" w:cs="宋体"/>
          <w:sz w:val="24"/>
          <w:szCs w:val="24"/>
        </w:rPr>
        <w:t>生态保护红线</w:t>
      </w:r>
      <w:r>
        <w:rPr>
          <w:rFonts w:ascii="Times New Roman" w:hAnsi="Times New Roman" w:eastAsia="Times New Roman" w:cs="Times New Roman"/>
          <w:sz w:val="24"/>
          <w:szCs w:val="24"/>
        </w:rPr>
        <w:t>”</w:t>
      </w:r>
      <w:r>
        <w:rPr>
          <w:rFonts w:ascii="宋体" w:hAnsi="宋体" w:eastAsia="宋体" w:cs="宋体"/>
          <w:sz w:val="24"/>
          <w:szCs w:val="24"/>
        </w:rPr>
        <w:t>是生态空间范围内具</w:t>
      </w:r>
      <w:r>
        <w:rPr>
          <w:rFonts w:ascii="宋体" w:hAnsi="宋体" w:eastAsia="宋体" w:cs="宋体"/>
          <w:spacing w:val="-1"/>
          <w:sz w:val="24"/>
          <w:szCs w:val="24"/>
        </w:rPr>
        <w:t>有特殊重要生态功能必</w:t>
      </w:r>
      <w:r>
        <w:rPr>
          <w:rFonts w:ascii="宋体" w:hAnsi="宋体" w:eastAsia="宋体" w:cs="宋体"/>
          <w:spacing w:val="3"/>
          <w:sz w:val="24"/>
          <w:szCs w:val="24"/>
        </w:rPr>
        <w:t>须实行强制性严格保护的区域。经核实，本项目拟建地</w:t>
      </w:r>
      <w:r>
        <w:rPr>
          <w:rFonts w:ascii="宋体" w:hAnsi="宋体" w:eastAsia="宋体" w:cs="宋体"/>
          <w:spacing w:val="2"/>
          <w:sz w:val="24"/>
          <w:szCs w:val="24"/>
        </w:rPr>
        <w:t>不在生态红线范围内，符</w:t>
      </w:r>
      <w:r>
        <w:rPr>
          <w:rFonts w:ascii="宋体" w:hAnsi="宋体" w:eastAsia="宋体" w:cs="宋体"/>
          <w:spacing w:val="-2"/>
          <w:sz w:val="24"/>
          <w:szCs w:val="24"/>
        </w:rPr>
        <w:t>合生态红线要求。</w:t>
      </w:r>
    </w:p>
    <w:p w14:paraId="5FC2B5F8">
      <w:pPr>
        <w:spacing w:before="180" w:line="312" w:lineRule="auto"/>
        <w:ind w:left="10" w:firstLine="490"/>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）环境质量底线。</w:t>
      </w:r>
      <w:r>
        <w:rPr>
          <w:rFonts w:ascii="Times New Roman" w:hAnsi="Times New Roman" w:eastAsia="Times New Roman" w:cs="Times New Roman"/>
          <w:sz w:val="24"/>
          <w:szCs w:val="24"/>
        </w:rPr>
        <w:t>“</w:t>
      </w:r>
      <w:r>
        <w:rPr>
          <w:rFonts w:ascii="宋体" w:hAnsi="宋体" w:eastAsia="宋体" w:cs="宋体"/>
          <w:sz w:val="24"/>
          <w:szCs w:val="24"/>
        </w:rPr>
        <w:t>环境质量底线</w:t>
      </w:r>
      <w:r>
        <w:rPr>
          <w:rFonts w:ascii="Times New Roman" w:hAnsi="Times New Roman" w:eastAsia="Times New Roman" w:cs="Times New Roman"/>
          <w:sz w:val="24"/>
          <w:szCs w:val="24"/>
        </w:rPr>
        <w:t>”</w:t>
      </w:r>
      <w:r>
        <w:rPr>
          <w:rFonts w:ascii="宋体" w:hAnsi="宋体" w:eastAsia="宋体" w:cs="宋体"/>
          <w:sz w:val="24"/>
          <w:szCs w:val="24"/>
        </w:rPr>
        <w:t>是国家和地方设</w:t>
      </w:r>
      <w:r>
        <w:rPr>
          <w:rFonts w:ascii="宋体" w:hAnsi="宋体" w:eastAsia="宋体" w:cs="宋体"/>
          <w:spacing w:val="-1"/>
          <w:sz w:val="24"/>
          <w:szCs w:val="24"/>
        </w:rPr>
        <w:t>置的大气、水和土壤环境质量目标，也是改善环境质量的基准线。隆回县</w:t>
      </w:r>
      <w:r>
        <w:rPr>
          <w:rFonts w:ascii="Times New Roman" w:hAnsi="Times New Roman" w:eastAsia="Times New Roman" w:cs="Times New Roman"/>
          <w:spacing w:val="-1"/>
          <w:sz w:val="24"/>
          <w:szCs w:val="24"/>
        </w:rPr>
        <w:t>2024</w:t>
      </w:r>
      <w:r>
        <w:rPr>
          <w:rFonts w:ascii="宋体" w:hAnsi="宋体" w:eastAsia="宋体" w:cs="宋体"/>
          <w:spacing w:val="-1"/>
          <w:sz w:val="24"/>
          <w:szCs w:val="24"/>
        </w:rPr>
        <w:t>年区域地表水体满足相应功能要求。本项目建设符合环境质量底线要求的。</w:t>
      </w:r>
    </w:p>
    <w:p w14:paraId="1845C081">
      <w:pPr>
        <w:spacing w:before="186" w:line="324" w:lineRule="auto"/>
        <w:ind w:left="9" w:firstLine="491"/>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）资源利用上线。资源是环境的载体，</w:t>
      </w:r>
      <w:r>
        <w:rPr>
          <w:rFonts w:ascii="Times New Roman" w:hAnsi="Times New Roman" w:eastAsia="Times New Roman" w:cs="Times New Roman"/>
          <w:sz w:val="24"/>
          <w:szCs w:val="24"/>
        </w:rPr>
        <w:t>“</w:t>
      </w:r>
      <w:r>
        <w:rPr>
          <w:rFonts w:ascii="宋体" w:hAnsi="宋体" w:eastAsia="宋体" w:cs="宋体"/>
          <w:sz w:val="24"/>
          <w:szCs w:val="24"/>
        </w:rPr>
        <w:t>资源利</w:t>
      </w:r>
      <w:r>
        <w:rPr>
          <w:rFonts w:ascii="宋体" w:hAnsi="宋体" w:eastAsia="宋体" w:cs="宋体"/>
          <w:spacing w:val="-1"/>
          <w:sz w:val="24"/>
          <w:szCs w:val="24"/>
        </w:rPr>
        <w:t>用上线</w:t>
      </w:r>
      <w:r>
        <w:rPr>
          <w:rFonts w:ascii="Times New Roman" w:hAnsi="Times New Roman" w:eastAsia="Times New Roman" w:cs="Times New Roman"/>
          <w:spacing w:val="-1"/>
          <w:sz w:val="24"/>
          <w:szCs w:val="24"/>
        </w:rPr>
        <w:t>”</w:t>
      </w:r>
      <w:r>
        <w:rPr>
          <w:rFonts w:ascii="宋体" w:hAnsi="宋体" w:eastAsia="宋体" w:cs="宋体"/>
          <w:spacing w:val="-1"/>
          <w:sz w:val="24"/>
          <w:szCs w:val="24"/>
        </w:rPr>
        <w:t>地区能源、水、土</w:t>
      </w:r>
      <w:r>
        <w:rPr>
          <w:rFonts w:ascii="宋体" w:hAnsi="宋体" w:eastAsia="宋体" w:cs="宋体"/>
          <w:spacing w:val="-3"/>
          <w:sz w:val="24"/>
          <w:szCs w:val="24"/>
        </w:rPr>
        <w:t>地等资源消耗不得突破的</w:t>
      </w:r>
      <w:r>
        <w:rPr>
          <w:rFonts w:ascii="Times New Roman" w:hAnsi="Times New Roman" w:eastAsia="Times New Roman" w:cs="Times New Roman"/>
          <w:spacing w:val="-3"/>
          <w:sz w:val="24"/>
          <w:szCs w:val="24"/>
        </w:rPr>
        <w:t>“</w:t>
      </w:r>
      <w:r>
        <w:rPr>
          <w:rFonts w:ascii="宋体" w:hAnsi="宋体" w:eastAsia="宋体" w:cs="宋体"/>
          <w:spacing w:val="-3"/>
          <w:sz w:val="24"/>
          <w:szCs w:val="24"/>
        </w:rPr>
        <w:t>天花板</w:t>
      </w:r>
      <w:r>
        <w:rPr>
          <w:rFonts w:ascii="Times New Roman" w:hAnsi="Times New Roman" w:eastAsia="Times New Roman" w:cs="Times New Roman"/>
          <w:spacing w:val="-3"/>
          <w:sz w:val="24"/>
          <w:szCs w:val="24"/>
        </w:rPr>
        <w:t>”</w:t>
      </w:r>
      <w:r>
        <w:rPr>
          <w:rFonts w:ascii="宋体" w:hAnsi="宋体" w:eastAsia="宋体" w:cs="宋体"/>
          <w:spacing w:val="-3"/>
          <w:sz w:val="24"/>
          <w:szCs w:val="24"/>
        </w:rPr>
        <w:t>。项目为工业废水和生活</w:t>
      </w:r>
      <w:r>
        <w:rPr>
          <w:rFonts w:ascii="宋体" w:hAnsi="宋体" w:eastAsia="宋体" w:cs="宋体"/>
          <w:spacing w:val="-4"/>
          <w:sz w:val="24"/>
          <w:szCs w:val="24"/>
        </w:rPr>
        <w:t>污水集中处理，属于环</w:t>
      </w:r>
      <w:r>
        <w:rPr>
          <w:rFonts w:ascii="宋体" w:hAnsi="宋体" w:eastAsia="宋体" w:cs="宋体"/>
          <w:spacing w:val="3"/>
          <w:sz w:val="24"/>
          <w:szCs w:val="24"/>
        </w:rPr>
        <w:t>境治理工程；资源、能源消耗较少，消耗符合资源利用</w:t>
      </w:r>
      <w:r>
        <w:rPr>
          <w:rFonts w:ascii="宋体" w:hAnsi="宋体" w:eastAsia="宋体" w:cs="宋体"/>
          <w:spacing w:val="2"/>
          <w:sz w:val="24"/>
          <w:szCs w:val="24"/>
        </w:rPr>
        <w:t>要求。因此，项目资源利</w:t>
      </w:r>
      <w:r>
        <w:rPr>
          <w:rFonts w:ascii="宋体" w:hAnsi="宋体" w:eastAsia="宋体" w:cs="宋体"/>
          <w:spacing w:val="-2"/>
          <w:sz w:val="24"/>
          <w:szCs w:val="24"/>
        </w:rPr>
        <w:t>用满足要求。</w:t>
      </w:r>
    </w:p>
    <w:p w14:paraId="720AD46D">
      <w:pPr>
        <w:spacing w:before="180" w:line="219" w:lineRule="auto"/>
        <w:ind w:left="490"/>
        <w:rPr>
          <w:rFonts w:ascii="宋体" w:hAnsi="宋体" w:eastAsia="宋体" w:cs="宋体"/>
          <w:sz w:val="24"/>
          <w:szCs w:val="24"/>
        </w:rPr>
      </w:pPr>
      <w:r>
        <w:rPr>
          <w:rFonts w:ascii="宋体" w:hAnsi="宋体" w:eastAsia="宋体" w:cs="宋体"/>
          <w:spacing w:val="-2"/>
          <w:sz w:val="24"/>
          <w:szCs w:val="24"/>
        </w:rPr>
        <w:t>本项目与邵阳市“三线一单”符合性分析详见表</w:t>
      </w:r>
      <w:r>
        <w:rPr>
          <w:rFonts w:ascii="Times New Roman" w:hAnsi="Times New Roman" w:eastAsia="Times New Roman" w:cs="Times New Roman"/>
          <w:spacing w:val="-2"/>
          <w:sz w:val="24"/>
          <w:szCs w:val="24"/>
        </w:rPr>
        <w:t>4.5-3</w:t>
      </w:r>
      <w:r>
        <w:rPr>
          <w:rFonts w:ascii="宋体" w:hAnsi="宋体" w:eastAsia="宋体" w:cs="宋体"/>
          <w:spacing w:val="-2"/>
          <w:sz w:val="24"/>
          <w:szCs w:val="24"/>
        </w:rPr>
        <w:t>。</w:t>
      </w:r>
    </w:p>
    <w:p w14:paraId="45CC96CD">
      <w:pPr>
        <w:spacing w:line="219" w:lineRule="auto"/>
        <w:rPr>
          <w:rFonts w:ascii="宋体" w:hAnsi="宋体" w:eastAsia="宋体" w:cs="宋体"/>
          <w:sz w:val="24"/>
          <w:szCs w:val="24"/>
        </w:rPr>
        <w:sectPr>
          <w:headerReference r:id="rId95" w:type="default"/>
          <w:footerReference r:id="rId96" w:type="default"/>
          <w:pgSz w:w="11907" w:h="16840"/>
          <w:pgMar w:top="1132" w:right="1699" w:bottom="1256" w:left="1701" w:header="829" w:footer="1097" w:gutter="0"/>
          <w:cols w:space="720" w:num="1"/>
        </w:sectPr>
      </w:pPr>
    </w:p>
    <w:p w14:paraId="0AF4F4E7">
      <w:pPr>
        <w:pStyle w:val="2"/>
        <w:spacing w:line="261" w:lineRule="auto"/>
      </w:pPr>
    </w:p>
    <w:p w14:paraId="649519C1">
      <w:pPr>
        <w:pStyle w:val="2"/>
        <w:spacing w:line="261" w:lineRule="auto"/>
      </w:pPr>
    </w:p>
    <w:p w14:paraId="465E3219">
      <w:pPr>
        <w:spacing w:before="78" w:line="212" w:lineRule="auto"/>
        <w:ind w:left="2724"/>
        <w:rPr>
          <w:rFonts w:ascii="宋体" w:hAnsi="宋体" w:eastAsia="宋体" w:cs="宋体"/>
          <w:sz w:val="24"/>
          <w:szCs w:val="24"/>
        </w:rPr>
      </w:pPr>
      <w:r>
        <w:rPr>
          <w:rFonts w:ascii="宋体" w:hAnsi="宋体" w:eastAsia="宋体" w:cs="宋体"/>
          <w:b/>
          <w:bCs/>
          <w:spacing w:val="-1"/>
          <w:sz w:val="24"/>
          <w:szCs w:val="24"/>
        </w:rPr>
        <w:t>表</w:t>
      </w:r>
      <w:r>
        <w:rPr>
          <w:rFonts w:ascii="Times New Roman" w:hAnsi="Times New Roman" w:eastAsia="Times New Roman" w:cs="Times New Roman"/>
          <w:b/>
          <w:bCs/>
          <w:spacing w:val="-1"/>
          <w:sz w:val="24"/>
          <w:szCs w:val="24"/>
        </w:rPr>
        <w:t>4.4-3</w:t>
      </w:r>
      <w:r>
        <w:rPr>
          <w:rFonts w:ascii="宋体" w:hAnsi="宋体" w:eastAsia="宋体" w:cs="宋体"/>
          <w:b/>
          <w:bCs/>
          <w:spacing w:val="-1"/>
          <w:sz w:val="24"/>
          <w:szCs w:val="24"/>
        </w:rPr>
        <w:t>项目与邵阳市关于</w:t>
      </w:r>
      <w:r>
        <w:rPr>
          <w:rFonts w:ascii="Times New Roman" w:hAnsi="Times New Roman" w:eastAsia="Times New Roman" w:cs="Times New Roman"/>
          <w:b/>
          <w:bCs/>
          <w:spacing w:val="-1"/>
          <w:sz w:val="24"/>
          <w:szCs w:val="24"/>
        </w:rPr>
        <w:t>“</w:t>
      </w:r>
      <w:r>
        <w:rPr>
          <w:rFonts w:ascii="宋体" w:hAnsi="宋体" w:eastAsia="宋体" w:cs="宋体"/>
          <w:b/>
          <w:bCs/>
          <w:spacing w:val="-1"/>
          <w:sz w:val="24"/>
          <w:szCs w:val="24"/>
        </w:rPr>
        <w:t>三线一</w:t>
      </w:r>
      <w:r>
        <w:rPr>
          <w:rFonts w:ascii="宋体" w:hAnsi="宋体" w:eastAsia="宋体" w:cs="宋体"/>
          <w:b/>
          <w:bCs/>
          <w:spacing w:val="-2"/>
          <w:sz w:val="24"/>
          <w:szCs w:val="24"/>
        </w:rPr>
        <w:t>单</w:t>
      </w:r>
      <w:r>
        <w:rPr>
          <w:rFonts w:ascii="Times New Roman" w:hAnsi="Times New Roman" w:eastAsia="Times New Roman" w:cs="Times New Roman"/>
          <w:b/>
          <w:bCs/>
          <w:spacing w:val="-2"/>
          <w:sz w:val="24"/>
          <w:szCs w:val="24"/>
        </w:rPr>
        <w:t>”</w:t>
      </w:r>
      <w:r>
        <w:rPr>
          <w:rFonts w:ascii="宋体" w:hAnsi="宋体" w:eastAsia="宋体" w:cs="宋体"/>
          <w:b/>
          <w:bCs/>
          <w:spacing w:val="-2"/>
          <w:sz w:val="24"/>
          <w:szCs w:val="24"/>
        </w:rPr>
        <w:t>生态环境分区管控的实施意见相符性分析</w:t>
      </w:r>
    </w:p>
    <w:tbl>
      <w:tblPr>
        <w:tblStyle w:val="5"/>
        <w:tblW w:w="1403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4"/>
        <w:gridCol w:w="543"/>
        <w:gridCol w:w="389"/>
        <w:gridCol w:w="344"/>
        <w:gridCol w:w="344"/>
        <w:gridCol w:w="584"/>
        <w:gridCol w:w="629"/>
        <w:gridCol w:w="824"/>
        <w:gridCol w:w="1077"/>
        <w:gridCol w:w="3962"/>
        <w:gridCol w:w="4529"/>
      </w:tblGrid>
      <w:tr w14:paraId="12354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814" w:type="dxa"/>
            <w:vMerge w:val="restart"/>
            <w:tcBorders>
              <w:top w:val="single" w:color="000000" w:sz="10" w:space="0"/>
              <w:left w:val="single" w:color="000000" w:sz="10" w:space="0"/>
              <w:bottom w:val="nil"/>
            </w:tcBorders>
            <w:vAlign w:val="top"/>
          </w:tcPr>
          <w:p w14:paraId="1B5586D3">
            <w:pPr>
              <w:pStyle w:val="6"/>
              <w:spacing w:before="97" w:line="228" w:lineRule="auto"/>
              <w:ind w:left="83"/>
            </w:pPr>
            <w:r>
              <w:rPr>
                <w:spacing w:val="6"/>
              </w:rPr>
              <w:t>环境管</w:t>
            </w:r>
          </w:p>
          <w:p w14:paraId="20D995B8">
            <w:pPr>
              <w:pStyle w:val="6"/>
              <w:spacing w:before="24" w:line="252" w:lineRule="auto"/>
              <w:ind w:left="187" w:right="94" w:hanging="105"/>
            </w:pPr>
            <w:r>
              <w:rPr>
                <w:spacing w:val="7"/>
              </w:rPr>
              <w:t>控单元</w:t>
            </w:r>
            <w:r>
              <w:rPr>
                <w:spacing w:val="3"/>
              </w:rPr>
              <w:t>编码</w:t>
            </w:r>
          </w:p>
        </w:tc>
        <w:tc>
          <w:tcPr>
            <w:tcW w:w="543" w:type="dxa"/>
            <w:vMerge w:val="restart"/>
            <w:tcBorders>
              <w:top w:val="single" w:color="000000" w:sz="10" w:space="0"/>
              <w:bottom w:val="nil"/>
            </w:tcBorders>
            <w:vAlign w:val="top"/>
          </w:tcPr>
          <w:p w14:paraId="7B9AA559">
            <w:pPr>
              <w:pStyle w:val="6"/>
              <w:spacing w:before="232" w:line="228" w:lineRule="auto"/>
              <w:ind w:left="58"/>
            </w:pPr>
            <w:r>
              <w:rPr>
                <w:spacing w:val="3"/>
              </w:rPr>
              <w:t>单元</w:t>
            </w:r>
          </w:p>
          <w:p w14:paraId="1372DF6A">
            <w:pPr>
              <w:pStyle w:val="6"/>
              <w:spacing w:before="25" w:line="230" w:lineRule="auto"/>
              <w:ind w:left="59"/>
            </w:pPr>
            <w:r>
              <w:rPr>
                <w:spacing w:val="3"/>
              </w:rPr>
              <w:t>名称</w:t>
            </w:r>
          </w:p>
        </w:tc>
        <w:tc>
          <w:tcPr>
            <w:tcW w:w="1077" w:type="dxa"/>
            <w:gridSpan w:val="3"/>
            <w:tcBorders>
              <w:top w:val="single" w:color="000000" w:sz="10" w:space="0"/>
            </w:tcBorders>
            <w:vAlign w:val="top"/>
          </w:tcPr>
          <w:p w14:paraId="4A5ED8D6">
            <w:pPr>
              <w:pStyle w:val="6"/>
              <w:spacing w:before="105" w:line="228" w:lineRule="auto"/>
              <w:ind w:left="119"/>
            </w:pPr>
            <w:r>
              <w:rPr>
                <w:spacing w:val="6"/>
              </w:rPr>
              <w:t>行政区划</w:t>
            </w:r>
          </w:p>
        </w:tc>
        <w:tc>
          <w:tcPr>
            <w:tcW w:w="584" w:type="dxa"/>
            <w:vMerge w:val="restart"/>
            <w:tcBorders>
              <w:top w:val="single" w:color="000000" w:sz="10" w:space="0"/>
              <w:bottom w:val="nil"/>
            </w:tcBorders>
            <w:vAlign w:val="top"/>
          </w:tcPr>
          <w:p w14:paraId="4E3F14C7">
            <w:pPr>
              <w:pStyle w:val="6"/>
              <w:spacing w:before="232" w:line="228" w:lineRule="auto"/>
              <w:ind w:left="82"/>
            </w:pPr>
            <w:r>
              <w:rPr>
                <w:spacing w:val="3"/>
              </w:rPr>
              <w:t>单元</w:t>
            </w:r>
          </w:p>
          <w:p w14:paraId="215F9741">
            <w:pPr>
              <w:pStyle w:val="6"/>
              <w:spacing w:before="25" w:line="228" w:lineRule="auto"/>
              <w:ind w:left="83"/>
            </w:pPr>
            <w:r>
              <w:rPr>
                <w:spacing w:val="3"/>
              </w:rPr>
              <w:t>分类</w:t>
            </w:r>
          </w:p>
        </w:tc>
        <w:tc>
          <w:tcPr>
            <w:tcW w:w="629" w:type="dxa"/>
            <w:vMerge w:val="restart"/>
            <w:tcBorders>
              <w:top w:val="single" w:color="000000" w:sz="10" w:space="0"/>
              <w:bottom w:val="nil"/>
            </w:tcBorders>
            <w:vAlign w:val="top"/>
          </w:tcPr>
          <w:p w14:paraId="6DF72D77">
            <w:pPr>
              <w:pStyle w:val="6"/>
              <w:spacing w:before="112" w:line="228" w:lineRule="auto"/>
              <w:ind w:left="106"/>
            </w:pPr>
            <w:r>
              <w:rPr>
                <w:spacing w:val="3"/>
              </w:rPr>
              <w:t>单元</w:t>
            </w:r>
          </w:p>
          <w:p w14:paraId="1FEEDD7C">
            <w:pPr>
              <w:pStyle w:val="6"/>
              <w:spacing w:before="24" w:line="202" w:lineRule="auto"/>
              <w:ind w:left="105"/>
            </w:pPr>
            <w:r>
              <w:rPr>
                <w:spacing w:val="4"/>
              </w:rPr>
              <w:t>面积</w:t>
            </w:r>
          </w:p>
          <w:p w14:paraId="5D2EF9FB">
            <w:pPr>
              <w:spacing w:line="284" w:lineRule="exact"/>
              <w:ind w:left="70"/>
              <w:rPr>
                <w:rFonts w:ascii="Arial" w:hAnsi="Arial" w:eastAsia="Arial" w:cs="Arial"/>
                <w:sz w:val="20"/>
                <w:szCs w:val="20"/>
              </w:rPr>
            </w:pPr>
            <w:r>
              <w:rPr>
                <w:rFonts w:ascii="Arial" w:hAnsi="Arial" w:eastAsia="Arial" w:cs="Arial"/>
                <w:spacing w:val="3"/>
                <w:position w:val="3"/>
                <w:sz w:val="20"/>
                <w:szCs w:val="20"/>
              </w:rPr>
              <w:t>(</w:t>
            </w:r>
            <w:r>
              <w:rPr>
                <w:rFonts w:ascii="Arial" w:hAnsi="Arial" w:eastAsia="Arial" w:cs="Arial"/>
                <w:position w:val="3"/>
                <w:sz w:val="20"/>
                <w:szCs w:val="20"/>
              </w:rPr>
              <w:t>km</w:t>
            </w:r>
            <w:r>
              <w:rPr>
                <w:rFonts w:ascii="Arial" w:hAnsi="Arial" w:eastAsia="Arial" w:cs="Arial"/>
                <w:spacing w:val="3"/>
                <w:position w:val="9"/>
                <w:sz w:val="13"/>
                <w:szCs w:val="13"/>
              </w:rPr>
              <w:t>2</w:t>
            </w:r>
            <w:r>
              <w:rPr>
                <w:rFonts w:ascii="Arial" w:hAnsi="Arial" w:eastAsia="Arial" w:cs="Arial"/>
                <w:spacing w:val="3"/>
                <w:position w:val="3"/>
                <w:sz w:val="20"/>
                <w:szCs w:val="20"/>
              </w:rPr>
              <w:t>)</w:t>
            </w:r>
          </w:p>
        </w:tc>
        <w:tc>
          <w:tcPr>
            <w:tcW w:w="824" w:type="dxa"/>
            <w:vMerge w:val="restart"/>
            <w:tcBorders>
              <w:top w:val="single" w:color="000000" w:sz="10" w:space="0"/>
              <w:bottom w:val="nil"/>
            </w:tcBorders>
            <w:vAlign w:val="top"/>
          </w:tcPr>
          <w:p w14:paraId="671B23DF">
            <w:pPr>
              <w:pStyle w:val="6"/>
              <w:spacing w:before="98" w:line="229" w:lineRule="auto"/>
              <w:ind w:left="98"/>
            </w:pPr>
            <w:r>
              <w:rPr>
                <w:spacing w:val="6"/>
              </w:rPr>
              <w:t>涉及乡</w:t>
            </w:r>
          </w:p>
          <w:p w14:paraId="58BD4823">
            <w:pPr>
              <w:pStyle w:val="6"/>
              <w:spacing w:before="22" w:line="218" w:lineRule="auto"/>
              <w:ind w:left="308"/>
            </w:pPr>
            <w:r>
              <w:t>镇</w:t>
            </w:r>
          </w:p>
          <w:p w14:paraId="3A08BDBF">
            <w:pPr>
              <w:pStyle w:val="6"/>
              <w:spacing w:line="284" w:lineRule="exact"/>
              <w:ind w:left="137"/>
              <w:rPr>
                <w:rFonts w:ascii="Arial" w:hAnsi="Arial" w:eastAsia="Arial" w:cs="Arial"/>
              </w:rPr>
            </w:pPr>
            <w:r>
              <w:rPr>
                <w:rFonts w:ascii="Arial" w:hAnsi="Arial" w:eastAsia="Arial" w:cs="Arial"/>
                <w:spacing w:val="3"/>
                <w:position w:val="2"/>
              </w:rPr>
              <w:t>(</w:t>
            </w:r>
            <w:r>
              <w:rPr>
                <w:spacing w:val="3"/>
                <w:position w:val="2"/>
              </w:rPr>
              <w:t>街道</w:t>
            </w:r>
            <w:r>
              <w:rPr>
                <w:rFonts w:ascii="Arial" w:hAnsi="Arial" w:eastAsia="Arial" w:cs="Arial"/>
                <w:spacing w:val="3"/>
                <w:position w:val="2"/>
              </w:rPr>
              <w:t>)</w:t>
            </w:r>
          </w:p>
        </w:tc>
        <w:tc>
          <w:tcPr>
            <w:tcW w:w="1077" w:type="dxa"/>
            <w:vMerge w:val="restart"/>
            <w:tcBorders>
              <w:top w:val="single" w:color="000000" w:sz="10" w:space="0"/>
              <w:bottom w:val="nil"/>
            </w:tcBorders>
            <w:vAlign w:val="top"/>
          </w:tcPr>
          <w:p w14:paraId="1A683C43">
            <w:pPr>
              <w:pStyle w:val="6"/>
              <w:spacing w:before="232" w:line="228" w:lineRule="auto"/>
              <w:ind w:left="135"/>
            </w:pPr>
            <w:r>
              <w:rPr>
                <w:spacing w:val="3"/>
              </w:rPr>
              <w:t>区域主体</w:t>
            </w:r>
          </w:p>
          <w:p w14:paraId="1CFE57FC">
            <w:pPr>
              <w:pStyle w:val="6"/>
              <w:spacing w:before="26" w:line="228" w:lineRule="auto"/>
              <w:ind w:left="123"/>
            </w:pPr>
            <w:r>
              <w:rPr>
                <w:spacing w:val="6"/>
              </w:rPr>
              <w:t>功能定位</w:t>
            </w:r>
          </w:p>
        </w:tc>
        <w:tc>
          <w:tcPr>
            <w:tcW w:w="3962" w:type="dxa"/>
            <w:vMerge w:val="restart"/>
            <w:tcBorders>
              <w:top w:val="single" w:color="000000" w:sz="10" w:space="0"/>
              <w:bottom w:val="nil"/>
            </w:tcBorders>
            <w:vAlign w:val="top"/>
          </w:tcPr>
          <w:p w14:paraId="1EAEFE4D">
            <w:pPr>
              <w:spacing w:line="302" w:lineRule="auto"/>
              <w:rPr>
                <w:rFonts w:ascii="Arial"/>
                <w:sz w:val="21"/>
              </w:rPr>
            </w:pPr>
          </w:p>
          <w:p w14:paraId="40AC479B">
            <w:pPr>
              <w:pStyle w:val="6"/>
              <w:spacing w:before="65" w:line="227" w:lineRule="auto"/>
              <w:ind w:left="1358"/>
            </w:pPr>
            <w:r>
              <w:rPr>
                <w:spacing w:val="7"/>
              </w:rPr>
              <w:t>经济产业布局</w:t>
            </w:r>
          </w:p>
        </w:tc>
        <w:tc>
          <w:tcPr>
            <w:tcW w:w="4529" w:type="dxa"/>
            <w:vMerge w:val="restart"/>
            <w:tcBorders>
              <w:top w:val="single" w:color="000000" w:sz="10" w:space="0"/>
              <w:bottom w:val="nil"/>
              <w:right w:val="single" w:color="000000" w:sz="10" w:space="0"/>
            </w:tcBorders>
            <w:vAlign w:val="top"/>
          </w:tcPr>
          <w:p w14:paraId="0DCE4E2D">
            <w:pPr>
              <w:spacing w:line="302" w:lineRule="auto"/>
              <w:rPr>
                <w:rFonts w:ascii="Arial"/>
                <w:sz w:val="21"/>
              </w:rPr>
            </w:pPr>
          </w:p>
          <w:p w14:paraId="6C518330">
            <w:pPr>
              <w:pStyle w:val="6"/>
              <w:spacing w:before="65" w:line="228" w:lineRule="auto"/>
              <w:ind w:left="907"/>
            </w:pPr>
            <w:r>
              <w:rPr>
                <w:spacing w:val="9"/>
              </w:rPr>
              <w:t>主要环境问题和重要敏感目标</w:t>
            </w:r>
          </w:p>
        </w:tc>
      </w:tr>
      <w:tr w14:paraId="1598A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814" w:type="dxa"/>
            <w:vMerge w:val="continue"/>
            <w:tcBorders>
              <w:top w:val="nil"/>
              <w:left w:val="single" w:color="000000" w:sz="10" w:space="0"/>
            </w:tcBorders>
            <w:vAlign w:val="top"/>
          </w:tcPr>
          <w:p w14:paraId="583D0FAC">
            <w:pPr>
              <w:rPr>
                <w:rFonts w:ascii="Arial"/>
                <w:sz w:val="21"/>
              </w:rPr>
            </w:pPr>
          </w:p>
        </w:tc>
        <w:tc>
          <w:tcPr>
            <w:tcW w:w="543" w:type="dxa"/>
            <w:vMerge w:val="continue"/>
            <w:tcBorders>
              <w:top w:val="nil"/>
            </w:tcBorders>
            <w:vAlign w:val="top"/>
          </w:tcPr>
          <w:p w14:paraId="4E7D5D66">
            <w:pPr>
              <w:rPr>
                <w:rFonts w:ascii="Arial"/>
                <w:sz w:val="21"/>
              </w:rPr>
            </w:pPr>
          </w:p>
        </w:tc>
        <w:tc>
          <w:tcPr>
            <w:tcW w:w="389" w:type="dxa"/>
            <w:vAlign w:val="top"/>
          </w:tcPr>
          <w:p w14:paraId="208B9D47">
            <w:pPr>
              <w:pStyle w:val="6"/>
              <w:spacing w:before="160" w:line="228" w:lineRule="auto"/>
              <w:ind w:left="88"/>
            </w:pPr>
            <w:r>
              <w:t>省</w:t>
            </w:r>
          </w:p>
        </w:tc>
        <w:tc>
          <w:tcPr>
            <w:tcW w:w="344" w:type="dxa"/>
            <w:vAlign w:val="top"/>
          </w:tcPr>
          <w:p w14:paraId="6D7BF78F">
            <w:pPr>
              <w:pStyle w:val="6"/>
              <w:spacing w:before="160" w:line="228" w:lineRule="auto"/>
              <w:ind w:left="69"/>
            </w:pPr>
            <w:r>
              <w:t>市</w:t>
            </w:r>
          </w:p>
        </w:tc>
        <w:tc>
          <w:tcPr>
            <w:tcW w:w="344" w:type="dxa"/>
            <w:vAlign w:val="top"/>
          </w:tcPr>
          <w:p w14:paraId="5864D279">
            <w:pPr>
              <w:pStyle w:val="6"/>
              <w:spacing w:before="161" w:line="232" w:lineRule="auto"/>
              <w:ind w:left="65"/>
            </w:pPr>
            <w:r>
              <w:t>县</w:t>
            </w:r>
          </w:p>
        </w:tc>
        <w:tc>
          <w:tcPr>
            <w:tcW w:w="584" w:type="dxa"/>
            <w:vMerge w:val="continue"/>
            <w:tcBorders>
              <w:top w:val="nil"/>
            </w:tcBorders>
            <w:vAlign w:val="top"/>
          </w:tcPr>
          <w:p w14:paraId="1D0B2991">
            <w:pPr>
              <w:rPr>
                <w:rFonts w:ascii="Arial"/>
                <w:sz w:val="21"/>
              </w:rPr>
            </w:pPr>
          </w:p>
        </w:tc>
        <w:tc>
          <w:tcPr>
            <w:tcW w:w="629" w:type="dxa"/>
            <w:vMerge w:val="continue"/>
            <w:tcBorders>
              <w:top w:val="nil"/>
            </w:tcBorders>
            <w:vAlign w:val="top"/>
          </w:tcPr>
          <w:p w14:paraId="6B3A6EAB">
            <w:pPr>
              <w:rPr>
                <w:rFonts w:ascii="Arial"/>
                <w:sz w:val="21"/>
              </w:rPr>
            </w:pPr>
          </w:p>
        </w:tc>
        <w:tc>
          <w:tcPr>
            <w:tcW w:w="824" w:type="dxa"/>
            <w:vMerge w:val="continue"/>
            <w:tcBorders>
              <w:top w:val="nil"/>
            </w:tcBorders>
            <w:vAlign w:val="top"/>
          </w:tcPr>
          <w:p w14:paraId="780C3CC5">
            <w:pPr>
              <w:rPr>
                <w:rFonts w:ascii="Arial"/>
                <w:sz w:val="21"/>
              </w:rPr>
            </w:pPr>
          </w:p>
        </w:tc>
        <w:tc>
          <w:tcPr>
            <w:tcW w:w="1077" w:type="dxa"/>
            <w:vMerge w:val="continue"/>
            <w:tcBorders>
              <w:top w:val="nil"/>
            </w:tcBorders>
            <w:vAlign w:val="top"/>
          </w:tcPr>
          <w:p w14:paraId="480B982A">
            <w:pPr>
              <w:rPr>
                <w:rFonts w:ascii="Arial"/>
                <w:sz w:val="21"/>
              </w:rPr>
            </w:pPr>
          </w:p>
        </w:tc>
        <w:tc>
          <w:tcPr>
            <w:tcW w:w="3962" w:type="dxa"/>
            <w:vMerge w:val="continue"/>
            <w:tcBorders>
              <w:top w:val="nil"/>
            </w:tcBorders>
            <w:vAlign w:val="top"/>
          </w:tcPr>
          <w:p w14:paraId="569FCBDD">
            <w:pPr>
              <w:rPr>
                <w:rFonts w:ascii="Arial"/>
                <w:sz w:val="21"/>
              </w:rPr>
            </w:pPr>
          </w:p>
        </w:tc>
        <w:tc>
          <w:tcPr>
            <w:tcW w:w="4529" w:type="dxa"/>
            <w:vMerge w:val="continue"/>
            <w:tcBorders>
              <w:top w:val="nil"/>
              <w:right w:val="single" w:color="000000" w:sz="10" w:space="0"/>
            </w:tcBorders>
            <w:vAlign w:val="top"/>
          </w:tcPr>
          <w:p w14:paraId="7ED86014">
            <w:pPr>
              <w:rPr>
                <w:rFonts w:ascii="Arial"/>
                <w:sz w:val="21"/>
              </w:rPr>
            </w:pPr>
          </w:p>
        </w:tc>
      </w:tr>
      <w:tr w14:paraId="690E5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0" w:hRule="atLeast"/>
        </w:trPr>
        <w:tc>
          <w:tcPr>
            <w:tcW w:w="814" w:type="dxa"/>
            <w:tcBorders>
              <w:left w:val="single" w:color="000000" w:sz="10" w:space="0"/>
            </w:tcBorders>
            <w:vAlign w:val="top"/>
          </w:tcPr>
          <w:p w14:paraId="571ACDEE">
            <w:pPr>
              <w:spacing w:line="253" w:lineRule="auto"/>
              <w:rPr>
                <w:rFonts w:ascii="Arial"/>
                <w:sz w:val="21"/>
              </w:rPr>
            </w:pPr>
          </w:p>
          <w:p w14:paraId="3706CEBE">
            <w:pPr>
              <w:spacing w:line="254" w:lineRule="auto"/>
              <w:rPr>
                <w:rFonts w:ascii="Arial"/>
                <w:sz w:val="21"/>
              </w:rPr>
            </w:pPr>
          </w:p>
          <w:p w14:paraId="31372CEB">
            <w:pPr>
              <w:spacing w:line="254" w:lineRule="auto"/>
              <w:rPr>
                <w:rFonts w:ascii="Arial"/>
                <w:sz w:val="21"/>
              </w:rPr>
            </w:pPr>
          </w:p>
          <w:p w14:paraId="0F4F62D3">
            <w:pPr>
              <w:spacing w:line="254" w:lineRule="auto"/>
              <w:rPr>
                <w:rFonts w:ascii="Arial"/>
                <w:sz w:val="21"/>
              </w:rPr>
            </w:pPr>
          </w:p>
          <w:p w14:paraId="03FA1E2E">
            <w:pPr>
              <w:spacing w:line="254" w:lineRule="auto"/>
              <w:rPr>
                <w:rFonts w:ascii="Arial"/>
                <w:sz w:val="21"/>
              </w:rPr>
            </w:pPr>
          </w:p>
          <w:p w14:paraId="403E8C9A">
            <w:pPr>
              <w:spacing w:line="254" w:lineRule="auto"/>
              <w:rPr>
                <w:rFonts w:ascii="Arial"/>
                <w:sz w:val="21"/>
              </w:rPr>
            </w:pPr>
          </w:p>
          <w:p w14:paraId="5B301F86">
            <w:pPr>
              <w:spacing w:line="254" w:lineRule="auto"/>
              <w:rPr>
                <w:rFonts w:ascii="Arial"/>
                <w:sz w:val="21"/>
              </w:rPr>
            </w:pPr>
          </w:p>
          <w:p w14:paraId="247AA52A">
            <w:pPr>
              <w:spacing w:line="254" w:lineRule="auto"/>
              <w:rPr>
                <w:rFonts w:ascii="Arial"/>
                <w:sz w:val="21"/>
              </w:rPr>
            </w:pPr>
          </w:p>
          <w:p w14:paraId="6092EFA6">
            <w:pPr>
              <w:spacing w:line="254" w:lineRule="auto"/>
              <w:rPr>
                <w:rFonts w:ascii="Arial"/>
                <w:sz w:val="21"/>
              </w:rPr>
            </w:pPr>
          </w:p>
          <w:p w14:paraId="13340EEF">
            <w:pPr>
              <w:spacing w:before="58" w:line="263" w:lineRule="exact"/>
              <w:ind w:left="19"/>
              <w:rPr>
                <w:rFonts w:ascii="Arial" w:hAnsi="Arial" w:eastAsia="Arial" w:cs="Arial"/>
                <w:sz w:val="20"/>
                <w:szCs w:val="20"/>
              </w:rPr>
            </w:pPr>
            <w:r>
              <w:rPr>
                <w:rFonts w:ascii="Arial" w:hAnsi="Arial" w:eastAsia="Arial" w:cs="Arial"/>
                <w:position w:val="1"/>
                <w:sz w:val="20"/>
                <w:szCs w:val="20"/>
              </w:rPr>
              <w:t>ZH</w:t>
            </w:r>
            <w:r>
              <w:rPr>
                <w:rFonts w:ascii="Arial" w:hAnsi="Arial" w:eastAsia="Arial" w:cs="Arial"/>
                <w:spacing w:val="7"/>
                <w:position w:val="1"/>
                <w:sz w:val="20"/>
                <w:szCs w:val="20"/>
              </w:rPr>
              <w:t>4305</w:t>
            </w:r>
          </w:p>
          <w:p w14:paraId="3FBCE2FF">
            <w:pPr>
              <w:spacing w:line="263" w:lineRule="exact"/>
              <w:ind w:left="45"/>
              <w:rPr>
                <w:rFonts w:ascii="Arial" w:hAnsi="Arial" w:eastAsia="Arial" w:cs="Arial"/>
                <w:sz w:val="20"/>
                <w:szCs w:val="20"/>
              </w:rPr>
            </w:pPr>
            <w:r>
              <w:rPr>
                <w:rFonts w:ascii="Arial" w:hAnsi="Arial" w:eastAsia="Arial" w:cs="Arial"/>
                <w:spacing w:val="4"/>
                <w:position w:val="1"/>
                <w:sz w:val="20"/>
                <w:szCs w:val="20"/>
              </w:rPr>
              <w:t>242000</w:t>
            </w:r>
          </w:p>
          <w:p w14:paraId="03146339">
            <w:pPr>
              <w:spacing w:before="20" w:line="203" w:lineRule="auto"/>
              <w:ind w:left="354"/>
              <w:rPr>
                <w:rFonts w:ascii="Arial" w:hAnsi="Arial" w:eastAsia="Arial" w:cs="Arial"/>
                <w:sz w:val="20"/>
                <w:szCs w:val="20"/>
              </w:rPr>
            </w:pPr>
            <w:r>
              <w:rPr>
                <w:rFonts w:ascii="Arial" w:hAnsi="Arial" w:eastAsia="Arial" w:cs="Arial"/>
                <w:sz w:val="20"/>
                <w:szCs w:val="20"/>
              </w:rPr>
              <w:t>1</w:t>
            </w:r>
          </w:p>
        </w:tc>
        <w:tc>
          <w:tcPr>
            <w:tcW w:w="543" w:type="dxa"/>
            <w:vAlign w:val="top"/>
          </w:tcPr>
          <w:p w14:paraId="7AFEB7BE">
            <w:pPr>
              <w:rPr>
                <w:rFonts w:ascii="Arial"/>
                <w:sz w:val="21"/>
              </w:rPr>
            </w:pPr>
          </w:p>
          <w:p w14:paraId="6BDBCCE1">
            <w:pPr>
              <w:spacing w:line="241" w:lineRule="auto"/>
              <w:rPr>
                <w:rFonts w:ascii="Arial"/>
                <w:sz w:val="21"/>
              </w:rPr>
            </w:pPr>
          </w:p>
          <w:p w14:paraId="5FE5675A">
            <w:pPr>
              <w:spacing w:line="241" w:lineRule="auto"/>
              <w:rPr>
                <w:rFonts w:ascii="Arial"/>
                <w:sz w:val="21"/>
              </w:rPr>
            </w:pPr>
          </w:p>
          <w:p w14:paraId="696E9DF5">
            <w:pPr>
              <w:spacing w:line="241" w:lineRule="auto"/>
              <w:rPr>
                <w:rFonts w:ascii="Arial"/>
                <w:sz w:val="21"/>
              </w:rPr>
            </w:pPr>
          </w:p>
          <w:p w14:paraId="270C2344">
            <w:pPr>
              <w:spacing w:line="241" w:lineRule="auto"/>
              <w:rPr>
                <w:rFonts w:ascii="Arial"/>
                <w:sz w:val="21"/>
              </w:rPr>
            </w:pPr>
          </w:p>
          <w:p w14:paraId="19FD5730">
            <w:pPr>
              <w:pStyle w:val="6"/>
              <w:spacing w:before="65" w:line="251" w:lineRule="auto"/>
              <w:ind w:left="25" w:right="39" w:firstLine="29"/>
              <w:jc w:val="both"/>
            </w:pPr>
            <w:r>
              <w:rPr>
                <w:b/>
                <w:bCs/>
                <w:spacing w:val="3"/>
              </w:rPr>
              <w:t>花门</w:t>
            </w:r>
            <w:r>
              <w:rPr>
                <w:b/>
                <w:bCs/>
                <w:spacing w:val="4"/>
              </w:rPr>
              <w:t>街道</w:t>
            </w:r>
            <w:r>
              <w:rPr>
                <w:rFonts w:ascii="Arial" w:hAnsi="Arial" w:eastAsia="Arial" w:cs="Arial"/>
                <w:b/>
                <w:bCs/>
                <w:spacing w:val="4"/>
              </w:rPr>
              <w:t>/</w:t>
            </w:r>
            <w:r>
              <w:rPr>
                <w:b/>
                <w:bCs/>
                <w:spacing w:val="18"/>
              </w:rPr>
              <w:t>桃花</w:t>
            </w:r>
          </w:p>
          <w:p w14:paraId="7F9C2DA6">
            <w:pPr>
              <w:pStyle w:val="6"/>
              <w:spacing w:line="251" w:lineRule="auto"/>
              <w:ind w:left="25" w:right="42" w:firstLine="29"/>
            </w:pPr>
            <w:r>
              <w:rPr>
                <w:b/>
                <w:bCs/>
                <w:spacing w:val="3"/>
              </w:rPr>
              <w:t>坪街道</w:t>
            </w:r>
            <w:r>
              <w:rPr>
                <w:rFonts w:ascii="Arial" w:hAnsi="Arial" w:eastAsia="Arial" w:cs="Arial"/>
                <w:b/>
                <w:bCs/>
                <w:spacing w:val="3"/>
              </w:rPr>
              <w:t>/</w:t>
            </w:r>
            <w:r>
              <w:rPr>
                <w:b/>
                <w:bCs/>
                <w:spacing w:val="3"/>
              </w:rPr>
              <w:t>北</w:t>
            </w:r>
          </w:p>
          <w:p w14:paraId="43502644">
            <w:pPr>
              <w:pStyle w:val="6"/>
              <w:spacing w:before="1" w:line="251" w:lineRule="auto"/>
              <w:ind w:left="34" w:right="39" w:firstLine="10"/>
              <w:jc w:val="both"/>
            </w:pPr>
            <w:r>
              <w:rPr>
                <w:b/>
                <w:bCs/>
                <w:spacing w:val="-3"/>
              </w:rPr>
              <w:t>山镇</w:t>
            </w:r>
            <w:r>
              <w:rPr>
                <w:rFonts w:ascii="Arial" w:hAnsi="Arial" w:eastAsia="Arial" w:cs="Arial"/>
                <w:b/>
                <w:bCs/>
                <w:spacing w:val="-3"/>
              </w:rPr>
              <w:t>/</w:t>
            </w:r>
            <w:r>
              <w:rPr>
                <w:b/>
                <w:bCs/>
                <w:spacing w:val="14"/>
              </w:rPr>
              <w:t>三阁</w:t>
            </w:r>
            <w:r>
              <w:rPr>
                <w:b/>
                <w:bCs/>
                <w:spacing w:val="1"/>
              </w:rPr>
              <w:t>司镇</w:t>
            </w:r>
            <w:r>
              <w:rPr>
                <w:rFonts w:ascii="Arial" w:hAnsi="Arial" w:eastAsia="Arial" w:cs="Arial"/>
                <w:b/>
                <w:bCs/>
                <w:spacing w:val="1"/>
              </w:rPr>
              <w:t>/</w:t>
            </w:r>
            <w:r>
              <w:rPr>
                <w:b/>
                <w:bCs/>
                <w:spacing w:val="14"/>
              </w:rPr>
              <w:t>山界</w:t>
            </w:r>
          </w:p>
          <w:p w14:paraId="4DB26B6E">
            <w:pPr>
              <w:pStyle w:val="6"/>
              <w:spacing w:before="1" w:line="252" w:lineRule="auto"/>
              <w:ind w:left="169" w:right="71" w:hanging="94"/>
            </w:pPr>
            <w:r>
              <w:rPr>
                <w:b/>
                <w:bCs/>
                <w:spacing w:val="-7"/>
              </w:rPr>
              <w:t>回族</w:t>
            </w:r>
            <w:r>
              <w:rPr>
                <w:b/>
                <w:bCs/>
                <w:spacing w:val="-3"/>
              </w:rPr>
              <w:t>乡</w:t>
            </w:r>
          </w:p>
        </w:tc>
        <w:tc>
          <w:tcPr>
            <w:tcW w:w="389" w:type="dxa"/>
            <w:textDirection w:val="tbRlV"/>
            <w:vAlign w:val="top"/>
          </w:tcPr>
          <w:p w14:paraId="3DB1C1A2">
            <w:pPr>
              <w:pStyle w:val="6"/>
              <w:spacing w:before="98" w:line="216" w:lineRule="auto"/>
              <w:ind w:left="2363"/>
            </w:pPr>
            <w:r>
              <w:rPr>
                <w:spacing w:val="8"/>
              </w:rPr>
              <w:t>湖南省</w:t>
            </w:r>
          </w:p>
        </w:tc>
        <w:tc>
          <w:tcPr>
            <w:tcW w:w="344" w:type="dxa"/>
            <w:textDirection w:val="tbRlV"/>
            <w:vAlign w:val="top"/>
          </w:tcPr>
          <w:p w14:paraId="13A7E8A4">
            <w:pPr>
              <w:pStyle w:val="6"/>
              <w:spacing w:before="74" w:line="216" w:lineRule="auto"/>
              <w:ind w:left="2363"/>
            </w:pPr>
            <w:r>
              <w:rPr>
                <w:spacing w:val="8"/>
              </w:rPr>
              <w:t>邵阳市</w:t>
            </w:r>
          </w:p>
        </w:tc>
        <w:tc>
          <w:tcPr>
            <w:tcW w:w="344" w:type="dxa"/>
            <w:textDirection w:val="tbRlV"/>
            <w:vAlign w:val="top"/>
          </w:tcPr>
          <w:p w14:paraId="1EBE6E98">
            <w:pPr>
              <w:pStyle w:val="6"/>
              <w:spacing w:before="72" w:line="215" w:lineRule="auto"/>
              <w:ind w:left="2363"/>
            </w:pPr>
            <w:r>
              <w:rPr>
                <w:spacing w:val="8"/>
              </w:rPr>
              <w:t>隆回县</w:t>
            </w:r>
          </w:p>
        </w:tc>
        <w:tc>
          <w:tcPr>
            <w:tcW w:w="584" w:type="dxa"/>
            <w:vAlign w:val="top"/>
          </w:tcPr>
          <w:p w14:paraId="5375C8D2">
            <w:pPr>
              <w:spacing w:line="253" w:lineRule="auto"/>
              <w:rPr>
                <w:rFonts w:ascii="Arial"/>
                <w:sz w:val="21"/>
              </w:rPr>
            </w:pPr>
          </w:p>
          <w:p w14:paraId="245398FD">
            <w:pPr>
              <w:spacing w:line="253" w:lineRule="auto"/>
              <w:rPr>
                <w:rFonts w:ascii="Arial"/>
                <w:sz w:val="21"/>
              </w:rPr>
            </w:pPr>
          </w:p>
          <w:p w14:paraId="528BF053">
            <w:pPr>
              <w:spacing w:line="254" w:lineRule="auto"/>
              <w:rPr>
                <w:rFonts w:ascii="Arial"/>
                <w:sz w:val="21"/>
              </w:rPr>
            </w:pPr>
          </w:p>
          <w:p w14:paraId="653C0C00">
            <w:pPr>
              <w:spacing w:line="254" w:lineRule="auto"/>
              <w:rPr>
                <w:rFonts w:ascii="Arial"/>
                <w:sz w:val="21"/>
              </w:rPr>
            </w:pPr>
          </w:p>
          <w:p w14:paraId="17F201A9">
            <w:pPr>
              <w:spacing w:line="254" w:lineRule="auto"/>
              <w:rPr>
                <w:rFonts w:ascii="Arial"/>
                <w:sz w:val="21"/>
              </w:rPr>
            </w:pPr>
          </w:p>
          <w:p w14:paraId="25EF894B">
            <w:pPr>
              <w:spacing w:line="254" w:lineRule="auto"/>
              <w:rPr>
                <w:rFonts w:ascii="Arial"/>
                <w:sz w:val="21"/>
              </w:rPr>
            </w:pPr>
          </w:p>
          <w:p w14:paraId="27A22393">
            <w:pPr>
              <w:spacing w:line="254" w:lineRule="auto"/>
              <w:rPr>
                <w:rFonts w:ascii="Arial"/>
                <w:sz w:val="21"/>
              </w:rPr>
            </w:pPr>
          </w:p>
          <w:p w14:paraId="000FEFCA">
            <w:pPr>
              <w:spacing w:line="254" w:lineRule="auto"/>
              <w:rPr>
                <w:rFonts w:ascii="Arial"/>
                <w:sz w:val="21"/>
              </w:rPr>
            </w:pPr>
          </w:p>
          <w:p w14:paraId="5127E146">
            <w:pPr>
              <w:spacing w:line="254" w:lineRule="auto"/>
              <w:rPr>
                <w:rFonts w:ascii="Arial"/>
                <w:sz w:val="21"/>
              </w:rPr>
            </w:pPr>
          </w:p>
          <w:p w14:paraId="6E7AB9AC">
            <w:pPr>
              <w:pStyle w:val="6"/>
              <w:spacing w:before="65" w:line="232" w:lineRule="auto"/>
              <w:ind w:left="81"/>
            </w:pPr>
            <w:r>
              <w:rPr>
                <w:spacing w:val="4"/>
              </w:rPr>
              <w:t>重点</w:t>
            </w:r>
          </w:p>
          <w:p w14:paraId="115AE25B">
            <w:pPr>
              <w:pStyle w:val="6"/>
              <w:spacing w:before="21" w:line="228" w:lineRule="auto"/>
              <w:ind w:left="86"/>
            </w:pPr>
            <w:r>
              <w:rPr>
                <w:spacing w:val="2"/>
              </w:rPr>
              <w:t>管控</w:t>
            </w:r>
          </w:p>
          <w:p w14:paraId="769B527C">
            <w:pPr>
              <w:pStyle w:val="6"/>
              <w:spacing w:before="24" w:line="228" w:lineRule="auto"/>
              <w:ind w:left="82"/>
            </w:pPr>
            <w:r>
              <w:rPr>
                <w:spacing w:val="3"/>
              </w:rPr>
              <w:t>单元</w:t>
            </w:r>
          </w:p>
        </w:tc>
        <w:tc>
          <w:tcPr>
            <w:tcW w:w="629" w:type="dxa"/>
            <w:vAlign w:val="top"/>
          </w:tcPr>
          <w:p w14:paraId="1500501D">
            <w:pPr>
              <w:rPr>
                <w:rFonts w:ascii="Arial"/>
                <w:sz w:val="21"/>
              </w:rPr>
            </w:pPr>
          </w:p>
          <w:p w14:paraId="75DFDB67">
            <w:pPr>
              <w:rPr>
                <w:rFonts w:ascii="Arial"/>
                <w:sz w:val="21"/>
              </w:rPr>
            </w:pPr>
          </w:p>
          <w:p w14:paraId="5585118C">
            <w:pPr>
              <w:rPr>
                <w:rFonts w:ascii="Arial"/>
                <w:sz w:val="21"/>
              </w:rPr>
            </w:pPr>
          </w:p>
          <w:p w14:paraId="6D0D3493">
            <w:pPr>
              <w:spacing w:line="241" w:lineRule="auto"/>
              <w:rPr>
                <w:rFonts w:ascii="Arial"/>
                <w:sz w:val="21"/>
              </w:rPr>
            </w:pPr>
          </w:p>
          <w:p w14:paraId="58F3E93A">
            <w:pPr>
              <w:spacing w:line="241" w:lineRule="auto"/>
              <w:rPr>
                <w:rFonts w:ascii="Arial"/>
                <w:sz w:val="21"/>
              </w:rPr>
            </w:pPr>
          </w:p>
          <w:p w14:paraId="5208F604">
            <w:pPr>
              <w:spacing w:line="241" w:lineRule="auto"/>
              <w:rPr>
                <w:rFonts w:ascii="Arial"/>
                <w:sz w:val="21"/>
              </w:rPr>
            </w:pPr>
          </w:p>
          <w:p w14:paraId="3EF2AFB8">
            <w:pPr>
              <w:spacing w:line="241" w:lineRule="auto"/>
              <w:rPr>
                <w:rFonts w:ascii="Arial"/>
                <w:sz w:val="21"/>
              </w:rPr>
            </w:pPr>
          </w:p>
          <w:p w14:paraId="350FF5BE">
            <w:pPr>
              <w:spacing w:line="241" w:lineRule="auto"/>
              <w:rPr>
                <w:rFonts w:ascii="Arial"/>
                <w:sz w:val="21"/>
              </w:rPr>
            </w:pPr>
          </w:p>
          <w:p w14:paraId="3E831AD2">
            <w:pPr>
              <w:spacing w:line="241" w:lineRule="auto"/>
              <w:rPr>
                <w:rFonts w:ascii="Arial"/>
                <w:sz w:val="21"/>
              </w:rPr>
            </w:pPr>
          </w:p>
          <w:p w14:paraId="655CC582">
            <w:pPr>
              <w:spacing w:line="241" w:lineRule="auto"/>
              <w:rPr>
                <w:rFonts w:ascii="Arial"/>
                <w:sz w:val="21"/>
              </w:rPr>
            </w:pPr>
          </w:p>
          <w:p w14:paraId="3393D9C8">
            <w:pPr>
              <w:spacing w:before="57" w:line="285" w:lineRule="exact"/>
              <w:ind w:left="52"/>
              <w:rPr>
                <w:rFonts w:ascii="Arial" w:hAnsi="Arial" w:eastAsia="Arial" w:cs="Arial"/>
                <w:sz w:val="20"/>
                <w:szCs w:val="20"/>
              </w:rPr>
            </w:pPr>
            <w:r>
              <w:rPr>
                <w:rFonts w:ascii="Arial" w:hAnsi="Arial" w:eastAsia="Arial" w:cs="Arial"/>
                <w:spacing w:val="2"/>
                <w:position w:val="1"/>
                <w:sz w:val="20"/>
                <w:szCs w:val="20"/>
              </w:rPr>
              <w:t>331.0</w:t>
            </w:r>
          </w:p>
          <w:p w14:paraId="04864E72">
            <w:pPr>
              <w:spacing w:before="20" w:line="203" w:lineRule="auto"/>
              <w:ind w:left="253"/>
              <w:rPr>
                <w:rFonts w:ascii="Arial" w:hAnsi="Arial" w:eastAsia="Arial" w:cs="Arial"/>
                <w:sz w:val="20"/>
                <w:szCs w:val="20"/>
              </w:rPr>
            </w:pPr>
            <w:r>
              <w:rPr>
                <w:rFonts w:ascii="Arial" w:hAnsi="Arial" w:eastAsia="Arial" w:cs="Arial"/>
                <w:sz w:val="20"/>
                <w:szCs w:val="20"/>
              </w:rPr>
              <w:t>2</w:t>
            </w:r>
          </w:p>
        </w:tc>
        <w:tc>
          <w:tcPr>
            <w:tcW w:w="824" w:type="dxa"/>
            <w:vAlign w:val="top"/>
          </w:tcPr>
          <w:p w14:paraId="47726FBC">
            <w:pPr>
              <w:spacing w:line="249" w:lineRule="auto"/>
              <w:rPr>
                <w:rFonts w:ascii="Arial"/>
                <w:sz w:val="21"/>
              </w:rPr>
            </w:pPr>
          </w:p>
          <w:p w14:paraId="3174AFA1">
            <w:pPr>
              <w:spacing w:line="249" w:lineRule="auto"/>
              <w:rPr>
                <w:rFonts w:ascii="Arial"/>
                <w:sz w:val="21"/>
              </w:rPr>
            </w:pPr>
          </w:p>
          <w:p w14:paraId="3F861DCA">
            <w:pPr>
              <w:spacing w:line="249" w:lineRule="auto"/>
              <w:rPr>
                <w:rFonts w:ascii="Arial"/>
                <w:sz w:val="21"/>
              </w:rPr>
            </w:pPr>
          </w:p>
          <w:p w14:paraId="706EC9B0">
            <w:pPr>
              <w:spacing w:line="249" w:lineRule="auto"/>
              <w:rPr>
                <w:rFonts w:ascii="Arial"/>
                <w:sz w:val="21"/>
              </w:rPr>
            </w:pPr>
          </w:p>
          <w:p w14:paraId="058FF082">
            <w:pPr>
              <w:spacing w:line="249" w:lineRule="auto"/>
              <w:rPr>
                <w:rFonts w:ascii="Arial"/>
                <w:sz w:val="21"/>
              </w:rPr>
            </w:pPr>
          </w:p>
          <w:p w14:paraId="72FAD880">
            <w:pPr>
              <w:spacing w:line="249" w:lineRule="auto"/>
              <w:rPr>
                <w:rFonts w:ascii="Arial"/>
                <w:sz w:val="21"/>
              </w:rPr>
            </w:pPr>
          </w:p>
          <w:p w14:paraId="2AAFB628">
            <w:pPr>
              <w:spacing w:line="250" w:lineRule="auto"/>
              <w:rPr>
                <w:rFonts w:ascii="Arial"/>
                <w:sz w:val="21"/>
              </w:rPr>
            </w:pPr>
          </w:p>
          <w:p w14:paraId="1B8AEF80">
            <w:pPr>
              <w:pStyle w:val="6"/>
              <w:spacing w:before="65" w:line="251" w:lineRule="auto"/>
              <w:ind w:left="67" w:right="70" w:firstLine="30"/>
            </w:pPr>
            <w:r>
              <w:rPr>
                <w:b/>
                <w:bCs/>
                <w:spacing w:val="5"/>
              </w:rPr>
              <w:t>花门街</w:t>
            </w:r>
            <w:r>
              <w:rPr>
                <w:b/>
                <w:bCs/>
                <w:spacing w:val="4"/>
              </w:rPr>
              <w:t>道</w:t>
            </w:r>
            <w:r>
              <w:rPr>
                <w:rFonts w:ascii="Arial" w:hAnsi="Arial" w:eastAsia="Arial" w:cs="Arial"/>
                <w:b/>
                <w:bCs/>
                <w:spacing w:val="4"/>
              </w:rPr>
              <w:t>/</w:t>
            </w:r>
            <w:r>
              <w:rPr>
                <w:b/>
                <w:bCs/>
                <w:spacing w:val="4"/>
              </w:rPr>
              <w:t>桃花</w:t>
            </w:r>
          </w:p>
          <w:p w14:paraId="60E6DB59">
            <w:pPr>
              <w:pStyle w:val="6"/>
              <w:spacing w:line="227" w:lineRule="auto"/>
              <w:ind w:left="68"/>
              <w:rPr>
                <w:rFonts w:ascii="Arial" w:hAnsi="Arial" w:eastAsia="Arial" w:cs="Arial"/>
              </w:rPr>
            </w:pPr>
            <w:r>
              <w:rPr>
                <w:b/>
                <w:bCs/>
                <w:spacing w:val="4"/>
              </w:rPr>
              <w:t>坪街道</w:t>
            </w:r>
            <w:r>
              <w:rPr>
                <w:rFonts w:ascii="Arial" w:hAnsi="Arial" w:eastAsia="Arial" w:cs="Arial"/>
                <w:b/>
                <w:bCs/>
                <w:spacing w:val="4"/>
              </w:rPr>
              <w:t>/</w:t>
            </w:r>
          </w:p>
          <w:p w14:paraId="66930FDC">
            <w:pPr>
              <w:pStyle w:val="6"/>
              <w:spacing w:before="27" w:line="252" w:lineRule="auto"/>
              <w:ind w:left="68" w:right="69" w:firstLine="3"/>
              <w:jc w:val="both"/>
            </w:pPr>
            <w:r>
              <w:rPr>
                <w:b/>
                <w:bCs/>
                <w:spacing w:val="4"/>
              </w:rPr>
              <w:t>北山镇</w:t>
            </w:r>
            <w:r>
              <w:rPr>
                <w:rFonts w:ascii="Arial" w:hAnsi="Arial" w:eastAsia="Arial" w:cs="Arial"/>
                <w:b/>
                <w:bCs/>
                <w:spacing w:val="4"/>
              </w:rPr>
              <w:t>/</w:t>
            </w:r>
            <w:r>
              <w:rPr>
                <w:b/>
                <w:bCs/>
                <w:spacing w:val="15"/>
              </w:rPr>
              <w:t>三阁司</w:t>
            </w:r>
            <w:r>
              <w:rPr>
                <w:b/>
                <w:bCs/>
                <w:spacing w:val="4"/>
              </w:rPr>
              <w:t>镇</w:t>
            </w:r>
            <w:r>
              <w:rPr>
                <w:rFonts w:ascii="Arial" w:hAnsi="Arial" w:eastAsia="Arial" w:cs="Arial"/>
                <w:b/>
                <w:bCs/>
                <w:spacing w:val="4"/>
              </w:rPr>
              <w:t>/</w:t>
            </w:r>
            <w:r>
              <w:rPr>
                <w:b/>
                <w:bCs/>
                <w:spacing w:val="4"/>
              </w:rPr>
              <w:t>山界</w:t>
            </w:r>
            <w:r>
              <w:rPr>
                <w:b/>
                <w:bCs/>
                <w:spacing w:val="15"/>
              </w:rPr>
              <w:t>回族乡</w:t>
            </w:r>
          </w:p>
        </w:tc>
        <w:tc>
          <w:tcPr>
            <w:tcW w:w="1077" w:type="dxa"/>
            <w:vAlign w:val="top"/>
          </w:tcPr>
          <w:p w14:paraId="1A1D78B1">
            <w:pPr>
              <w:spacing w:line="267" w:lineRule="auto"/>
              <w:rPr>
                <w:rFonts w:ascii="Arial"/>
                <w:sz w:val="21"/>
              </w:rPr>
            </w:pPr>
          </w:p>
          <w:p w14:paraId="12FCC6E9">
            <w:pPr>
              <w:spacing w:line="267" w:lineRule="auto"/>
              <w:rPr>
                <w:rFonts w:ascii="Arial"/>
                <w:sz w:val="21"/>
              </w:rPr>
            </w:pPr>
          </w:p>
          <w:p w14:paraId="2E41687B">
            <w:pPr>
              <w:spacing w:line="267" w:lineRule="auto"/>
              <w:rPr>
                <w:rFonts w:ascii="Arial"/>
                <w:sz w:val="21"/>
              </w:rPr>
            </w:pPr>
          </w:p>
          <w:p w14:paraId="55517458">
            <w:pPr>
              <w:spacing w:line="268" w:lineRule="auto"/>
              <w:rPr>
                <w:rFonts w:ascii="Arial"/>
                <w:sz w:val="21"/>
              </w:rPr>
            </w:pPr>
          </w:p>
          <w:p w14:paraId="68B834DD">
            <w:pPr>
              <w:spacing w:line="268" w:lineRule="auto"/>
              <w:rPr>
                <w:rFonts w:ascii="Arial"/>
                <w:sz w:val="21"/>
              </w:rPr>
            </w:pPr>
          </w:p>
          <w:p w14:paraId="077B99A2">
            <w:pPr>
              <w:pStyle w:val="6"/>
              <w:spacing w:before="65" w:line="229" w:lineRule="auto"/>
              <w:ind w:left="138"/>
            </w:pPr>
            <w:r>
              <w:rPr>
                <w:spacing w:val="2"/>
              </w:rPr>
              <w:t>山界回族</w:t>
            </w:r>
          </w:p>
          <w:p w14:paraId="4F8AC5C1">
            <w:pPr>
              <w:pStyle w:val="6"/>
              <w:spacing w:before="25" w:line="228" w:lineRule="auto"/>
              <w:ind w:left="25"/>
            </w:pPr>
            <w:r>
              <w:rPr>
                <w:spacing w:val="5"/>
              </w:rPr>
              <w:t>乡：农产品</w:t>
            </w:r>
          </w:p>
          <w:p w14:paraId="5880AC77">
            <w:pPr>
              <w:pStyle w:val="6"/>
              <w:spacing w:before="24" w:line="228" w:lineRule="auto"/>
              <w:ind w:left="18"/>
            </w:pPr>
            <w:r>
              <w:rPr>
                <w:spacing w:val="7"/>
              </w:rPr>
              <w:t>主产区；北</w:t>
            </w:r>
          </w:p>
          <w:p w14:paraId="6B83137A">
            <w:pPr>
              <w:pStyle w:val="6"/>
              <w:spacing w:before="26" w:line="228" w:lineRule="auto"/>
              <w:ind w:left="35"/>
            </w:pPr>
            <w:r>
              <w:rPr>
                <w:spacing w:val="3"/>
              </w:rPr>
              <w:t>山镇：农产</w:t>
            </w:r>
          </w:p>
          <w:p w14:paraId="2583A7B3">
            <w:pPr>
              <w:pStyle w:val="6"/>
              <w:spacing w:before="24" w:line="218" w:lineRule="auto"/>
              <w:ind w:left="34"/>
            </w:pPr>
            <w:r>
              <w:rPr>
                <w:spacing w:val="2"/>
              </w:rPr>
              <w:t>品主产区；</w:t>
            </w:r>
          </w:p>
          <w:p w14:paraId="1BE8D66A">
            <w:pPr>
              <w:pStyle w:val="6"/>
              <w:spacing w:before="2" w:line="262" w:lineRule="auto"/>
              <w:ind w:left="90" w:right="90"/>
              <w:jc w:val="both"/>
            </w:pPr>
            <w:r>
              <w:rPr>
                <w:spacing w:val="6"/>
              </w:rPr>
              <w:t>三阁司镇</w:t>
            </w:r>
            <w:r>
              <w:rPr>
                <w:rFonts w:ascii="Arial" w:hAnsi="Arial" w:eastAsia="Arial" w:cs="Arial"/>
                <w:spacing w:val="6"/>
              </w:rPr>
              <w:t>/</w:t>
            </w:r>
            <w:r>
              <w:rPr>
                <w:spacing w:val="14"/>
              </w:rPr>
              <w:t>桃花坪街</w:t>
            </w:r>
            <w:r>
              <w:rPr>
                <w:spacing w:val="6"/>
              </w:rPr>
              <w:t>道</w:t>
            </w:r>
            <w:r>
              <w:rPr>
                <w:rFonts w:ascii="Arial" w:hAnsi="Arial" w:eastAsia="Arial" w:cs="Arial"/>
                <w:spacing w:val="6"/>
              </w:rPr>
              <w:t>/</w:t>
            </w:r>
            <w:r>
              <w:rPr>
                <w:spacing w:val="6"/>
              </w:rPr>
              <w:t>花门街</w:t>
            </w:r>
          </w:p>
          <w:p w14:paraId="2FD873BA">
            <w:pPr>
              <w:pStyle w:val="6"/>
              <w:spacing w:line="227" w:lineRule="auto"/>
              <w:ind w:left="16"/>
            </w:pPr>
            <w:r>
              <w:rPr>
                <w:spacing w:val="7"/>
              </w:rPr>
              <w:t>道：城市化</w:t>
            </w:r>
          </w:p>
          <w:p w14:paraId="34F1A7E7">
            <w:pPr>
              <w:pStyle w:val="6"/>
              <w:spacing w:before="25" w:line="233" w:lineRule="auto"/>
              <w:ind w:left="331"/>
            </w:pPr>
            <w:r>
              <w:rPr>
                <w:spacing w:val="4"/>
              </w:rPr>
              <w:t>地区</w:t>
            </w:r>
          </w:p>
        </w:tc>
        <w:tc>
          <w:tcPr>
            <w:tcW w:w="3962" w:type="dxa"/>
            <w:vAlign w:val="top"/>
          </w:tcPr>
          <w:p w14:paraId="060376F5">
            <w:pPr>
              <w:spacing w:line="265" w:lineRule="auto"/>
              <w:rPr>
                <w:rFonts w:ascii="Arial"/>
                <w:sz w:val="21"/>
              </w:rPr>
            </w:pPr>
          </w:p>
          <w:p w14:paraId="2E957DE8">
            <w:pPr>
              <w:spacing w:line="266" w:lineRule="auto"/>
              <w:rPr>
                <w:rFonts w:ascii="Arial"/>
                <w:sz w:val="21"/>
              </w:rPr>
            </w:pPr>
          </w:p>
          <w:p w14:paraId="0F02C76E">
            <w:pPr>
              <w:spacing w:line="266" w:lineRule="auto"/>
              <w:rPr>
                <w:rFonts w:ascii="Arial"/>
                <w:sz w:val="21"/>
              </w:rPr>
            </w:pPr>
          </w:p>
          <w:p w14:paraId="6FCE607C">
            <w:pPr>
              <w:pStyle w:val="6"/>
              <w:spacing w:before="65" w:line="251" w:lineRule="auto"/>
              <w:ind w:left="17" w:right="9"/>
            </w:pPr>
            <w:r>
              <w:rPr>
                <w:spacing w:val="6"/>
              </w:rPr>
              <w:t>农业种植、生态农业、畜禽养殖、农副产品</w:t>
            </w:r>
            <w:r>
              <w:rPr>
                <w:spacing w:val="8"/>
              </w:rPr>
              <w:t>加工、食品加工</w:t>
            </w:r>
          </w:p>
          <w:p w14:paraId="4A9D69E8">
            <w:pPr>
              <w:pStyle w:val="6"/>
              <w:spacing w:line="251" w:lineRule="auto"/>
              <w:ind w:left="18"/>
            </w:pPr>
            <w:r>
              <w:rPr>
                <w:b/>
                <w:bCs/>
                <w:spacing w:val="6"/>
              </w:rPr>
              <w:t>花门街道</w:t>
            </w:r>
            <w:r>
              <w:rPr>
                <w:spacing w:val="6"/>
              </w:rPr>
              <w:t>：旅游开发、建材、屠宰、水电、商贸物流业、农业种植、生态农业、畜禽养</w:t>
            </w:r>
            <w:r>
              <w:rPr>
                <w:spacing w:val="8"/>
              </w:rPr>
              <w:t>殖、农副产品加工、食品加工</w:t>
            </w:r>
          </w:p>
          <w:p w14:paraId="16439955">
            <w:pPr>
              <w:pStyle w:val="6"/>
              <w:spacing w:before="2" w:line="251" w:lineRule="auto"/>
              <w:ind w:left="17" w:right="9"/>
            </w:pPr>
            <w:r>
              <w:rPr>
                <w:b/>
                <w:bCs/>
                <w:spacing w:val="6"/>
              </w:rPr>
              <w:t>桃花坪街道</w:t>
            </w:r>
            <w:r>
              <w:rPr>
                <w:spacing w:val="6"/>
              </w:rPr>
              <w:t>：旅游开发、建材、商贸物流业农业种植、生态农业、畜禽养殖、农副产品</w:t>
            </w:r>
            <w:r>
              <w:rPr>
                <w:spacing w:val="8"/>
              </w:rPr>
              <w:t>加工、食品加工</w:t>
            </w:r>
          </w:p>
          <w:p w14:paraId="44A33376">
            <w:pPr>
              <w:pStyle w:val="6"/>
              <w:spacing w:line="251" w:lineRule="auto"/>
              <w:ind w:left="17" w:firstLine="3"/>
            </w:pPr>
            <w:r>
              <w:rPr>
                <w:b/>
                <w:bCs/>
                <w:spacing w:val="-4"/>
              </w:rPr>
              <w:t>北山镇</w:t>
            </w:r>
            <w:r>
              <w:rPr>
                <w:spacing w:val="-4"/>
              </w:rPr>
              <w:t>：旅游开发、建材、水电、农业种植、</w:t>
            </w:r>
            <w:r>
              <w:rPr>
                <w:spacing w:val="3"/>
              </w:rPr>
              <w:t>生态农业、畜禽养殖、农副产品加工、食品</w:t>
            </w:r>
            <w:r>
              <w:rPr>
                <w:spacing w:val="1"/>
              </w:rPr>
              <w:t>加工</w:t>
            </w:r>
          </w:p>
          <w:p w14:paraId="42B7324F">
            <w:pPr>
              <w:pStyle w:val="6"/>
              <w:spacing w:before="1" w:line="252" w:lineRule="auto"/>
              <w:ind w:left="17" w:right="8"/>
            </w:pPr>
            <w:r>
              <w:rPr>
                <w:spacing w:val="6"/>
              </w:rPr>
              <w:t>三阁司镇：建材、旅游开发、塑料制品、竹木加工、水电、农业种植、生态农业、畜禽</w:t>
            </w:r>
            <w:r>
              <w:rPr>
                <w:spacing w:val="9"/>
              </w:rPr>
              <w:t>养殖、农副产品加工、食品加工</w:t>
            </w:r>
          </w:p>
        </w:tc>
        <w:tc>
          <w:tcPr>
            <w:tcW w:w="4529" w:type="dxa"/>
            <w:tcBorders>
              <w:right w:val="single" w:color="000000" w:sz="10" w:space="0"/>
            </w:tcBorders>
            <w:vAlign w:val="top"/>
          </w:tcPr>
          <w:p w14:paraId="4398D6CE">
            <w:pPr>
              <w:pStyle w:val="6"/>
              <w:spacing w:before="50" w:line="228" w:lineRule="auto"/>
              <w:ind w:left="26"/>
            </w:pPr>
            <w:r>
              <w:rPr>
                <w:b/>
                <w:bCs/>
                <w:spacing w:val="5"/>
              </w:rPr>
              <w:t>主要环境问题：</w:t>
            </w:r>
          </w:p>
          <w:p w14:paraId="7BDF1975">
            <w:pPr>
              <w:pStyle w:val="6"/>
              <w:spacing w:before="23" w:line="228" w:lineRule="auto"/>
              <w:ind w:left="25"/>
            </w:pPr>
            <w:r>
              <w:rPr>
                <w:b/>
                <w:bCs/>
                <w:spacing w:val="6"/>
              </w:rPr>
              <w:t>花门街道</w:t>
            </w:r>
            <w:r>
              <w:rPr>
                <w:rFonts w:ascii="Arial" w:hAnsi="Arial" w:eastAsia="Arial" w:cs="Arial"/>
                <w:b/>
                <w:bCs/>
                <w:spacing w:val="6"/>
              </w:rPr>
              <w:t>/</w:t>
            </w:r>
            <w:r>
              <w:rPr>
                <w:b/>
                <w:bCs/>
                <w:spacing w:val="6"/>
              </w:rPr>
              <w:t>桃花坪街道：</w:t>
            </w:r>
          </w:p>
          <w:p w14:paraId="62DD25F4">
            <w:pPr>
              <w:pStyle w:val="6"/>
              <w:spacing w:before="26" w:line="228" w:lineRule="auto"/>
              <w:ind w:left="39"/>
            </w:pPr>
            <w:r>
              <w:rPr>
                <w:rFonts w:ascii="Arial" w:hAnsi="Arial" w:eastAsia="Arial" w:cs="Arial"/>
                <w:spacing w:val="7"/>
              </w:rPr>
              <w:t>1</w:t>
            </w:r>
            <w:r>
              <w:rPr>
                <w:spacing w:val="7"/>
              </w:rPr>
              <w:t>、城区生活污水处理能力不足；</w:t>
            </w:r>
          </w:p>
          <w:p w14:paraId="44296704">
            <w:pPr>
              <w:pStyle w:val="6"/>
              <w:spacing w:before="26" w:line="216" w:lineRule="auto"/>
              <w:ind w:left="23"/>
            </w:pPr>
            <w:r>
              <w:rPr>
                <w:rFonts w:ascii="Arial" w:hAnsi="Arial" w:eastAsia="Arial" w:cs="Arial"/>
                <w:spacing w:val="8"/>
              </w:rPr>
              <w:t>2</w:t>
            </w:r>
            <w:r>
              <w:rPr>
                <w:spacing w:val="8"/>
              </w:rPr>
              <w:t>、城区管网建设及雨污分流不完善；</w:t>
            </w:r>
          </w:p>
          <w:p w14:paraId="7B39321C">
            <w:pPr>
              <w:pStyle w:val="6"/>
              <w:spacing w:line="284" w:lineRule="exact"/>
              <w:ind w:left="25"/>
            </w:pPr>
            <w:r>
              <w:rPr>
                <w:rFonts w:ascii="Arial" w:hAnsi="Arial" w:eastAsia="Arial" w:cs="Arial"/>
                <w:spacing w:val="8"/>
                <w:position w:val="1"/>
              </w:rPr>
              <w:t>3</w:t>
            </w:r>
            <w:r>
              <w:rPr>
                <w:spacing w:val="8"/>
                <w:position w:val="1"/>
              </w:rPr>
              <w:t>、道路扬尘需进一步加强治理；</w:t>
            </w:r>
          </w:p>
          <w:p w14:paraId="41F5E6D0">
            <w:pPr>
              <w:pStyle w:val="6"/>
              <w:spacing w:before="25"/>
              <w:ind w:left="27" w:right="812" w:hanging="8"/>
            </w:pPr>
            <w:r>
              <w:rPr>
                <w:rFonts w:ascii="Arial" w:hAnsi="Arial" w:eastAsia="Arial" w:cs="Arial"/>
                <w:spacing w:val="9"/>
              </w:rPr>
              <w:t>4</w:t>
            </w:r>
            <w:r>
              <w:rPr>
                <w:spacing w:val="9"/>
              </w:rPr>
              <w:t>、建材行业大气污染防治需进一步加强</w:t>
            </w:r>
            <w:r>
              <w:rPr>
                <w:b/>
                <w:bCs/>
                <w:spacing w:val="6"/>
              </w:rPr>
              <w:t>北山镇</w:t>
            </w:r>
            <w:r>
              <w:rPr>
                <w:rFonts w:ascii="Arial" w:hAnsi="Arial" w:eastAsia="Arial" w:cs="Arial"/>
                <w:b/>
                <w:bCs/>
                <w:spacing w:val="6"/>
              </w:rPr>
              <w:t>/</w:t>
            </w:r>
            <w:r>
              <w:rPr>
                <w:b/>
                <w:bCs/>
                <w:spacing w:val="6"/>
              </w:rPr>
              <w:t>三阁司镇</w:t>
            </w:r>
            <w:r>
              <w:rPr>
                <w:rFonts w:ascii="Arial" w:hAnsi="Arial" w:eastAsia="Arial" w:cs="Arial"/>
                <w:b/>
                <w:bCs/>
                <w:spacing w:val="6"/>
              </w:rPr>
              <w:t>/</w:t>
            </w:r>
            <w:r>
              <w:rPr>
                <w:b/>
                <w:bCs/>
                <w:spacing w:val="6"/>
              </w:rPr>
              <w:t>山界回族乡：</w:t>
            </w:r>
          </w:p>
          <w:p w14:paraId="3ED903DA">
            <w:pPr>
              <w:pStyle w:val="6"/>
              <w:spacing w:before="24"/>
              <w:ind w:left="44" w:right="6" w:hanging="5"/>
            </w:pPr>
            <w:r>
              <w:rPr>
                <w:rFonts w:ascii="Arial" w:hAnsi="Arial" w:eastAsia="Arial" w:cs="Arial"/>
                <w:spacing w:val="7"/>
              </w:rPr>
              <w:t>1</w:t>
            </w:r>
            <w:r>
              <w:rPr>
                <w:spacing w:val="7"/>
              </w:rPr>
              <w:t>、乡镇生活污水处理厂管网待进一步完善，山界回族乡未建设乡生活污水处理厂；</w:t>
            </w:r>
          </w:p>
          <w:p w14:paraId="4F181026">
            <w:pPr>
              <w:pStyle w:val="6"/>
              <w:spacing w:before="25" w:line="218" w:lineRule="auto"/>
              <w:ind w:left="23"/>
            </w:pPr>
            <w:r>
              <w:rPr>
                <w:rFonts w:ascii="Arial" w:hAnsi="Arial" w:eastAsia="Arial" w:cs="Arial"/>
                <w:spacing w:val="8"/>
              </w:rPr>
              <w:t>2</w:t>
            </w:r>
            <w:r>
              <w:rPr>
                <w:spacing w:val="8"/>
              </w:rPr>
              <w:t>、农村生活污水需进一步加强治理；</w:t>
            </w:r>
          </w:p>
          <w:p w14:paraId="69961335">
            <w:pPr>
              <w:pStyle w:val="6"/>
              <w:spacing w:line="285" w:lineRule="exact"/>
              <w:ind w:left="25"/>
            </w:pPr>
            <w:r>
              <w:rPr>
                <w:rFonts w:ascii="Arial" w:hAnsi="Arial" w:eastAsia="Arial" w:cs="Arial"/>
                <w:spacing w:val="7"/>
                <w:position w:val="1"/>
              </w:rPr>
              <w:t>3</w:t>
            </w:r>
            <w:r>
              <w:rPr>
                <w:spacing w:val="7"/>
                <w:position w:val="1"/>
              </w:rPr>
              <w:t>、农村秸秆焚烧多发；</w:t>
            </w:r>
          </w:p>
          <w:p w14:paraId="43059494">
            <w:pPr>
              <w:pStyle w:val="6"/>
              <w:spacing w:before="23" w:line="218" w:lineRule="auto"/>
              <w:ind w:left="19"/>
            </w:pPr>
            <w:r>
              <w:rPr>
                <w:rFonts w:ascii="Arial" w:hAnsi="Arial" w:eastAsia="Arial" w:cs="Arial"/>
                <w:spacing w:val="8"/>
              </w:rPr>
              <w:t>4</w:t>
            </w:r>
            <w:r>
              <w:rPr>
                <w:spacing w:val="8"/>
              </w:rPr>
              <w:t>、道路扬尘需进一步加强治理；</w:t>
            </w:r>
          </w:p>
          <w:p w14:paraId="2702C503">
            <w:pPr>
              <w:pStyle w:val="6"/>
              <w:spacing w:before="1" w:line="256" w:lineRule="auto"/>
              <w:ind w:left="25" w:right="812"/>
            </w:pPr>
            <w:r>
              <w:rPr>
                <w:rFonts w:ascii="Arial" w:hAnsi="Arial" w:eastAsia="Arial" w:cs="Arial"/>
                <w:spacing w:val="9"/>
              </w:rPr>
              <w:t>5</w:t>
            </w:r>
            <w:r>
              <w:rPr>
                <w:spacing w:val="9"/>
              </w:rPr>
              <w:t>、建材行业大气污染防治需进一步加强</w:t>
            </w:r>
            <w:r>
              <w:rPr>
                <w:b/>
                <w:bCs/>
                <w:spacing w:val="5"/>
              </w:rPr>
              <w:t>重要敏感目标：</w:t>
            </w:r>
          </w:p>
          <w:p w14:paraId="53112F1E">
            <w:pPr>
              <w:pStyle w:val="6"/>
              <w:spacing w:before="24" w:line="228" w:lineRule="auto"/>
              <w:ind w:left="25"/>
            </w:pPr>
            <w:r>
              <w:rPr>
                <w:b/>
                <w:bCs/>
                <w:spacing w:val="9"/>
              </w:rPr>
              <w:t>花门街道</w:t>
            </w:r>
            <w:r>
              <w:rPr>
                <w:spacing w:val="9"/>
              </w:rPr>
              <w:t>：第二水厂赧水河饮用水水源保护区</w:t>
            </w:r>
          </w:p>
          <w:p w14:paraId="7DE96597">
            <w:pPr>
              <w:pStyle w:val="6"/>
              <w:spacing w:before="27" w:line="228" w:lineRule="auto"/>
              <w:ind w:left="25"/>
            </w:pPr>
            <w:r>
              <w:rPr>
                <w:b/>
                <w:bCs/>
                <w:spacing w:val="4"/>
              </w:rPr>
              <w:t>三阁司镇：</w:t>
            </w:r>
          </w:p>
          <w:p w14:paraId="34D7716F">
            <w:pPr>
              <w:pStyle w:val="6"/>
              <w:spacing w:before="27" w:line="228" w:lineRule="auto"/>
              <w:ind w:left="39"/>
            </w:pPr>
            <w:r>
              <w:rPr>
                <w:rFonts w:ascii="Arial" w:hAnsi="Arial" w:eastAsia="Arial" w:cs="Arial"/>
                <w:spacing w:val="7"/>
              </w:rPr>
              <w:t>1</w:t>
            </w:r>
            <w:r>
              <w:rPr>
                <w:spacing w:val="7"/>
              </w:rPr>
              <w:t>、第二水厂赧水河饮用水水源保护区；</w:t>
            </w:r>
          </w:p>
          <w:p w14:paraId="19783F62">
            <w:pPr>
              <w:pStyle w:val="6"/>
              <w:spacing w:before="24" w:line="218" w:lineRule="auto"/>
              <w:ind w:left="23"/>
            </w:pPr>
            <w:r>
              <w:rPr>
                <w:rFonts w:ascii="Arial" w:hAnsi="Arial" w:eastAsia="Arial" w:cs="Arial"/>
                <w:spacing w:val="8"/>
              </w:rPr>
              <w:t>2</w:t>
            </w:r>
            <w:r>
              <w:rPr>
                <w:spacing w:val="8"/>
              </w:rPr>
              <w:t>、龙河水厂地下水饮用水水源保护区；</w:t>
            </w:r>
          </w:p>
          <w:p w14:paraId="709A2A17">
            <w:pPr>
              <w:pStyle w:val="6"/>
              <w:spacing w:line="285" w:lineRule="exact"/>
              <w:ind w:left="25"/>
            </w:pPr>
            <w:r>
              <w:rPr>
                <w:rFonts w:ascii="Arial" w:hAnsi="Arial" w:eastAsia="Arial" w:cs="Arial"/>
                <w:spacing w:val="8"/>
                <w:position w:val="1"/>
              </w:rPr>
              <w:t>3</w:t>
            </w:r>
            <w:r>
              <w:rPr>
                <w:spacing w:val="8"/>
                <w:position w:val="1"/>
              </w:rPr>
              <w:t>、三阁司镇赧水饮用水水源保区</w:t>
            </w:r>
          </w:p>
          <w:p w14:paraId="24207DBF">
            <w:pPr>
              <w:pStyle w:val="6"/>
              <w:spacing w:before="24" w:line="199" w:lineRule="auto"/>
              <w:ind w:left="43"/>
            </w:pPr>
            <w:r>
              <w:rPr>
                <w:b/>
                <w:bCs/>
                <w:spacing w:val="8"/>
              </w:rPr>
              <w:t>山界回族乡：</w:t>
            </w:r>
            <w:r>
              <w:rPr>
                <w:spacing w:val="8"/>
              </w:rPr>
              <w:t>莫洛田水库饮用水水源保护区</w:t>
            </w:r>
          </w:p>
        </w:tc>
      </w:tr>
      <w:tr w14:paraId="040AF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1" w:hRule="atLeast"/>
        </w:trPr>
        <w:tc>
          <w:tcPr>
            <w:tcW w:w="814" w:type="dxa"/>
            <w:tcBorders>
              <w:left w:val="single" w:color="000000" w:sz="10" w:space="0"/>
              <w:bottom w:val="single" w:color="000000" w:sz="10" w:space="0"/>
            </w:tcBorders>
            <w:textDirection w:val="tbRlV"/>
            <w:vAlign w:val="top"/>
          </w:tcPr>
          <w:p w14:paraId="40D6FB00">
            <w:pPr>
              <w:pStyle w:val="6"/>
              <w:spacing w:before="306" w:line="216" w:lineRule="auto"/>
              <w:ind w:left="338"/>
            </w:pPr>
            <w:r>
              <w:rPr>
                <w:b/>
                <w:bCs/>
                <w:spacing w:val="6"/>
              </w:rPr>
              <w:t>主要属性</w:t>
            </w:r>
          </w:p>
        </w:tc>
        <w:tc>
          <w:tcPr>
            <w:tcW w:w="13225" w:type="dxa"/>
            <w:gridSpan w:val="10"/>
            <w:tcBorders>
              <w:bottom w:val="single" w:color="000000" w:sz="10" w:space="0"/>
              <w:right w:val="single" w:color="000000" w:sz="10" w:space="0"/>
            </w:tcBorders>
            <w:vAlign w:val="top"/>
          </w:tcPr>
          <w:p w14:paraId="62E76661">
            <w:pPr>
              <w:pStyle w:val="6"/>
              <w:spacing w:before="66" w:line="218" w:lineRule="auto"/>
              <w:ind w:left="9"/>
            </w:pPr>
            <w:r>
              <w:rPr>
                <w:b/>
                <w:bCs/>
                <w:spacing w:val="4"/>
              </w:rPr>
              <w:t>花门街道：</w:t>
            </w:r>
          </w:p>
          <w:p w14:paraId="3152A833">
            <w:pPr>
              <w:pStyle w:val="6"/>
              <w:spacing w:line="254" w:lineRule="auto"/>
              <w:ind w:left="326" w:right="779" w:firstLine="2"/>
            </w:pPr>
            <w:r>
              <w:rPr>
                <w:spacing w:val="8"/>
              </w:rPr>
              <w:t>红线</w:t>
            </w:r>
            <w:r>
              <w:rPr>
                <w:rFonts w:ascii="Arial" w:hAnsi="Arial" w:eastAsia="Arial" w:cs="Arial"/>
                <w:spacing w:val="8"/>
              </w:rPr>
              <w:t>/</w:t>
            </w:r>
            <w:r>
              <w:rPr>
                <w:spacing w:val="8"/>
              </w:rPr>
              <w:t>一般生态空间</w:t>
            </w:r>
            <w:r>
              <w:rPr>
                <w:rFonts w:ascii="Arial" w:hAnsi="Arial" w:eastAsia="Arial" w:cs="Arial"/>
                <w:spacing w:val="8"/>
              </w:rPr>
              <w:t>/</w:t>
            </w:r>
            <w:r>
              <w:rPr>
                <w:spacing w:val="8"/>
              </w:rPr>
              <w:t>三区三线生态红线</w:t>
            </w:r>
            <w:r>
              <w:rPr>
                <w:rFonts w:ascii="Arial" w:hAnsi="Arial" w:eastAsia="Arial" w:cs="Arial"/>
                <w:spacing w:val="8"/>
              </w:rPr>
              <w:t>/</w:t>
            </w:r>
            <w:r>
              <w:rPr>
                <w:spacing w:val="8"/>
              </w:rPr>
              <w:t>水源涵养重要区</w:t>
            </w:r>
            <w:r>
              <w:rPr>
                <w:rFonts w:ascii="Arial" w:hAnsi="Arial" w:eastAsia="Arial" w:cs="Arial"/>
                <w:spacing w:val="8"/>
              </w:rPr>
              <w:t>/</w:t>
            </w:r>
            <w:r>
              <w:rPr>
                <w:spacing w:val="8"/>
              </w:rPr>
              <w:t>生物多样性保护功能重要区</w:t>
            </w:r>
            <w:r>
              <w:rPr>
                <w:rFonts w:ascii="Arial" w:hAnsi="Arial" w:eastAsia="Arial" w:cs="Arial"/>
                <w:spacing w:val="8"/>
              </w:rPr>
              <w:t>/</w:t>
            </w:r>
            <w:r>
              <w:rPr>
                <w:spacing w:val="8"/>
              </w:rPr>
              <w:t>原生态红线</w:t>
            </w:r>
            <w:r>
              <w:rPr>
                <w:rFonts w:ascii="Arial" w:hAnsi="Arial" w:eastAsia="Arial" w:cs="Arial"/>
                <w:spacing w:val="8"/>
              </w:rPr>
              <w:t>/</w:t>
            </w:r>
            <w:r>
              <w:rPr>
                <w:spacing w:val="8"/>
              </w:rPr>
              <w:t>水土流失敏感区</w:t>
            </w:r>
            <w:r>
              <w:rPr>
                <w:rFonts w:ascii="Arial" w:hAnsi="Arial" w:eastAsia="Arial" w:cs="Arial"/>
                <w:spacing w:val="8"/>
              </w:rPr>
              <w:t>/</w:t>
            </w:r>
            <w:r>
              <w:rPr>
                <w:spacing w:val="8"/>
              </w:rPr>
              <w:t>水环境优先保护区；水环境工业污染重点管控区</w:t>
            </w:r>
            <w:r>
              <w:rPr>
                <w:rFonts w:ascii="Arial" w:hAnsi="Arial" w:eastAsia="Arial" w:cs="Arial"/>
                <w:spacing w:val="8"/>
              </w:rPr>
              <w:t>/</w:t>
            </w:r>
            <w:r>
              <w:rPr>
                <w:spacing w:val="8"/>
              </w:rPr>
              <w:t>水环境一般管控区；</w:t>
            </w:r>
          </w:p>
          <w:p w14:paraId="2C38D281">
            <w:pPr>
              <w:pStyle w:val="6"/>
              <w:spacing w:line="272" w:lineRule="exact"/>
              <w:ind w:left="326"/>
            </w:pPr>
            <w:r>
              <w:rPr>
                <w:spacing w:val="9"/>
                <w:position w:val="1"/>
              </w:rPr>
              <w:t>大气环境高排放重点管控区</w:t>
            </w:r>
            <w:r>
              <w:rPr>
                <w:rFonts w:ascii="Arial" w:hAnsi="Arial" w:eastAsia="Arial" w:cs="Arial"/>
                <w:spacing w:val="9"/>
                <w:position w:val="1"/>
              </w:rPr>
              <w:t>/</w:t>
            </w:r>
            <w:r>
              <w:rPr>
                <w:spacing w:val="9"/>
                <w:position w:val="1"/>
              </w:rPr>
              <w:t>大气环境受体敏感重点管控区</w:t>
            </w:r>
            <w:r>
              <w:rPr>
                <w:rFonts w:ascii="Arial" w:hAnsi="Arial" w:eastAsia="Arial" w:cs="Arial"/>
                <w:spacing w:val="9"/>
                <w:position w:val="1"/>
              </w:rPr>
              <w:t>/</w:t>
            </w:r>
            <w:r>
              <w:rPr>
                <w:spacing w:val="9"/>
                <w:position w:val="1"/>
              </w:rPr>
              <w:t>大气环境弱扩散重点管控区</w:t>
            </w:r>
            <w:r>
              <w:rPr>
                <w:rFonts w:ascii="Arial" w:hAnsi="Arial" w:eastAsia="Arial" w:cs="Arial"/>
                <w:spacing w:val="9"/>
                <w:position w:val="1"/>
              </w:rPr>
              <w:t>/</w:t>
            </w:r>
            <w:r>
              <w:rPr>
                <w:spacing w:val="9"/>
                <w:position w:val="1"/>
              </w:rPr>
              <w:t>其他区域；</w:t>
            </w:r>
          </w:p>
          <w:p w14:paraId="38ACA7E0">
            <w:pPr>
              <w:pStyle w:val="6"/>
              <w:spacing w:before="2" w:line="246" w:lineRule="auto"/>
              <w:ind w:left="323" w:right="6475"/>
            </w:pPr>
            <w:r>
              <w:rPr>
                <w:spacing w:val="7"/>
              </w:rPr>
              <w:t>农用地优先保护区</w:t>
            </w:r>
            <w:r>
              <w:rPr>
                <w:rFonts w:ascii="Arial" w:hAnsi="Arial" w:eastAsia="Arial" w:cs="Arial"/>
                <w:spacing w:val="7"/>
              </w:rPr>
              <w:t>/</w:t>
            </w:r>
            <w:r>
              <w:rPr>
                <w:spacing w:val="7"/>
              </w:rPr>
              <w:t>建设用地重点管控区</w:t>
            </w:r>
            <w:r>
              <w:rPr>
                <w:rFonts w:ascii="Arial" w:hAnsi="Arial" w:eastAsia="Arial" w:cs="Arial"/>
                <w:spacing w:val="7"/>
              </w:rPr>
              <w:t>/</w:t>
            </w:r>
            <w:r>
              <w:rPr>
                <w:spacing w:val="7"/>
              </w:rPr>
              <w:t>其他重点管控区</w:t>
            </w:r>
            <w:r>
              <w:rPr>
                <w:rFonts w:ascii="Arial" w:hAnsi="Arial" w:eastAsia="Arial" w:cs="Arial"/>
                <w:spacing w:val="7"/>
              </w:rPr>
              <w:t>/</w:t>
            </w:r>
            <w:r>
              <w:rPr>
                <w:spacing w:val="7"/>
              </w:rPr>
              <w:t>一般管控区；</w:t>
            </w:r>
            <w:r>
              <w:rPr>
                <w:spacing w:val="8"/>
              </w:rPr>
              <w:t>城市化地区</w:t>
            </w:r>
          </w:p>
        </w:tc>
      </w:tr>
    </w:tbl>
    <w:p w14:paraId="19346A6F">
      <w:pPr>
        <w:pStyle w:val="2"/>
      </w:pPr>
    </w:p>
    <w:p w14:paraId="5EF3871D">
      <w:pPr>
        <w:sectPr>
          <w:headerReference r:id="rId97" w:type="default"/>
          <w:footerReference r:id="rId98" w:type="default"/>
          <w:pgSz w:w="16840" w:h="11907"/>
          <w:pgMar w:top="1132" w:right="1387" w:bottom="1258" w:left="1387" w:header="829" w:footer="1096" w:gutter="0"/>
          <w:cols w:space="720" w:num="1"/>
        </w:sectPr>
      </w:pPr>
    </w:p>
    <w:p w14:paraId="53E1DB16">
      <w:pPr>
        <w:spacing w:before="43"/>
      </w:pPr>
    </w:p>
    <w:p w14:paraId="7CA4473B">
      <w:pPr>
        <w:spacing w:before="42"/>
      </w:pPr>
    </w:p>
    <w:tbl>
      <w:tblPr>
        <w:tblStyle w:val="5"/>
        <w:tblW w:w="1403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4"/>
        <w:gridCol w:w="10252"/>
        <w:gridCol w:w="2314"/>
        <w:gridCol w:w="659"/>
      </w:tblGrid>
      <w:tr w14:paraId="349AA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8" w:hRule="atLeast"/>
        </w:trPr>
        <w:tc>
          <w:tcPr>
            <w:tcW w:w="814" w:type="dxa"/>
            <w:tcBorders>
              <w:top w:val="single" w:color="000000" w:sz="10" w:space="0"/>
              <w:left w:val="single" w:color="000000" w:sz="10" w:space="0"/>
            </w:tcBorders>
            <w:vAlign w:val="top"/>
          </w:tcPr>
          <w:p w14:paraId="4811C06F">
            <w:pPr>
              <w:rPr>
                <w:rFonts w:ascii="Arial"/>
                <w:sz w:val="21"/>
              </w:rPr>
            </w:pPr>
          </w:p>
        </w:tc>
        <w:tc>
          <w:tcPr>
            <w:tcW w:w="13225" w:type="dxa"/>
            <w:gridSpan w:val="3"/>
            <w:tcBorders>
              <w:top w:val="single" w:color="000000" w:sz="10" w:space="0"/>
              <w:right w:val="single" w:color="000000" w:sz="10" w:space="0"/>
            </w:tcBorders>
            <w:vAlign w:val="top"/>
          </w:tcPr>
          <w:p w14:paraId="58DFC817">
            <w:pPr>
              <w:pStyle w:val="6"/>
              <w:spacing w:before="31" w:line="216" w:lineRule="auto"/>
              <w:ind w:left="9"/>
            </w:pPr>
            <w:r>
              <w:rPr>
                <w:b/>
                <w:bCs/>
                <w:spacing w:val="5"/>
              </w:rPr>
              <w:t>桃花坪街道：</w:t>
            </w:r>
          </w:p>
          <w:p w14:paraId="37394FC9">
            <w:pPr>
              <w:pStyle w:val="6"/>
              <w:spacing w:before="1" w:line="254" w:lineRule="auto"/>
              <w:ind w:left="326" w:right="2517" w:firstLine="2"/>
            </w:pPr>
            <w:r>
              <w:rPr>
                <w:spacing w:val="8"/>
              </w:rPr>
              <w:t>红线</w:t>
            </w:r>
            <w:r>
              <w:rPr>
                <w:rFonts w:ascii="Arial" w:hAnsi="Arial" w:eastAsia="Arial" w:cs="Arial"/>
                <w:spacing w:val="8"/>
              </w:rPr>
              <w:t>/</w:t>
            </w:r>
            <w:r>
              <w:rPr>
                <w:spacing w:val="8"/>
              </w:rPr>
              <w:t>一般生态空间</w:t>
            </w:r>
            <w:r>
              <w:rPr>
                <w:rFonts w:ascii="Arial" w:hAnsi="Arial" w:eastAsia="Arial" w:cs="Arial"/>
                <w:spacing w:val="8"/>
              </w:rPr>
              <w:t>/</w:t>
            </w:r>
            <w:r>
              <w:rPr>
                <w:spacing w:val="8"/>
              </w:rPr>
              <w:t>水源涵养重要区</w:t>
            </w:r>
            <w:r>
              <w:rPr>
                <w:rFonts w:ascii="Arial" w:hAnsi="Arial" w:eastAsia="Arial" w:cs="Arial"/>
                <w:spacing w:val="8"/>
              </w:rPr>
              <w:t>/</w:t>
            </w:r>
            <w:r>
              <w:rPr>
                <w:spacing w:val="8"/>
              </w:rPr>
              <w:t>三区三线生态红线</w:t>
            </w:r>
            <w:r>
              <w:rPr>
                <w:rFonts w:ascii="Arial" w:hAnsi="Arial" w:eastAsia="Arial" w:cs="Arial"/>
                <w:spacing w:val="8"/>
              </w:rPr>
              <w:t>/</w:t>
            </w:r>
            <w:r>
              <w:rPr>
                <w:spacing w:val="8"/>
              </w:rPr>
              <w:t>生物多样性保护功能重要区</w:t>
            </w:r>
            <w:r>
              <w:rPr>
                <w:rFonts w:ascii="Arial" w:hAnsi="Arial" w:eastAsia="Arial" w:cs="Arial"/>
                <w:spacing w:val="8"/>
              </w:rPr>
              <w:t>/</w:t>
            </w:r>
            <w:r>
              <w:rPr>
                <w:spacing w:val="8"/>
              </w:rPr>
              <w:t>原生态红线</w:t>
            </w:r>
            <w:r>
              <w:rPr>
                <w:rFonts w:ascii="Arial" w:hAnsi="Arial" w:eastAsia="Arial" w:cs="Arial"/>
                <w:spacing w:val="8"/>
              </w:rPr>
              <w:t>/</w:t>
            </w:r>
            <w:r>
              <w:rPr>
                <w:spacing w:val="8"/>
              </w:rPr>
              <w:t>水土流失敏</w:t>
            </w:r>
            <w:r>
              <w:rPr>
                <w:spacing w:val="7"/>
              </w:rPr>
              <w:t>感区；</w:t>
            </w:r>
            <w:r>
              <w:rPr>
                <w:spacing w:val="8"/>
              </w:rPr>
              <w:t>水环境工业污染重点管控区</w:t>
            </w:r>
            <w:r>
              <w:rPr>
                <w:rFonts w:ascii="Arial" w:hAnsi="Arial" w:eastAsia="Arial" w:cs="Arial"/>
                <w:spacing w:val="8"/>
              </w:rPr>
              <w:t>/</w:t>
            </w:r>
            <w:r>
              <w:rPr>
                <w:spacing w:val="8"/>
              </w:rPr>
              <w:t>水环境一般管控区；</w:t>
            </w:r>
          </w:p>
          <w:p w14:paraId="34D0B76C">
            <w:pPr>
              <w:pStyle w:val="6"/>
              <w:spacing w:line="272" w:lineRule="exact"/>
              <w:ind w:left="326"/>
            </w:pPr>
            <w:r>
              <w:rPr>
                <w:spacing w:val="9"/>
                <w:position w:val="1"/>
              </w:rPr>
              <w:t>大气环境高排放重点管控区</w:t>
            </w:r>
            <w:r>
              <w:rPr>
                <w:rFonts w:ascii="Arial" w:hAnsi="Arial" w:eastAsia="Arial" w:cs="Arial"/>
                <w:spacing w:val="9"/>
                <w:position w:val="1"/>
              </w:rPr>
              <w:t>/</w:t>
            </w:r>
            <w:r>
              <w:rPr>
                <w:spacing w:val="9"/>
                <w:position w:val="1"/>
              </w:rPr>
              <w:t>大气环境受体敏感重点管控区</w:t>
            </w:r>
            <w:r>
              <w:rPr>
                <w:rFonts w:ascii="Arial" w:hAnsi="Arial" w:eastAsia="Arial" w:cs="Arial"/>
                <w:spacing w:val="9"/>
                <w:position w:val="1"/>
              </w:rPr>
              <w:t>/</w:t>
            </w:r>
            <w:r>
              <w:rPr>
                <w:spacing w:val="9"/>
                <w:position w:val="1"/>
              </w:rPr>
              <w:t>大气环境弱扩散重点管控区</w:t>
            </w:r>
            <w:r>
              <w:rPr>
                <w:rFonts w:ascii="Arial" w:hAnsi="Arial" w:eastAsia="Arial" w:cs="Arial"/>
                <w:spacing w:val="9"/>
                <w:position w:val="1"/>
              </w:rPr>
              <w:t>/</w:t>
            </w:r>
            <w:r>
              <w:rPr>
                <w:spacing w:val="9"/>
                <w:position w:val="1"/>
              </w:rPr>
              <w:t>其他区域；</w:t>
            </w:r>
          </w:p>
          <w:p w14:paraId="5BCA3D9F">
            <w:pPr>
              <w:pStyle w:val="6"/>
              <w:spacing w:line="279" w:lineRule="exact"/>
              <w:ind w:left="323"/>
            </w:pPr>
            <w:r>
              <w:rPr>
                <w:spacing w:val="9"/>
                <w:position w:val="1"/>
              </w:rPr>
              <w:t>农用地优先保护区</w:t>
            </w:r>
            <w:r>
              <w:rPr>
                <w:rFonts w:ascii="Arial" w:hAnsi="Arial" w:eastAsia="Arial" w:cs="Arial"/>
                <w:spacing w:val="9"/>
                <w:position w:val="1"/>
              </w:rPr>
              <w:t>/</w:t>
            </w:r>
            <w:r>
              <w:rPr>
                <w:spacing w:val="9"/>
                <w:position w:val="1"/>
              </w:rPr>
              <w:t>建设用地重点管控区</w:t>
            </w:r>
            <w:r>
              <w:rPr>
                <w:rFonts w:ascii="Arial" w:hAnsi="Arial" w:eastAsia="Arial" w:cs="Arial"/>
                <w:spacing w:val="9"/>
                <w:position w:val="1"/>
              </w:rPr>
              <w:t>/</w:t>
            </w:r>
            <w:r>
              <w:rPr>
                <w:spacing w:val="9"/>
                <w:position w:val="1"/>
              </w:rPr>
              <w:t>其他重点管</w:t>
            </w:r>
            <w:r>
              <w:rPr>
                <w:spacing w:val="8"/>
                <w:position w:val="1"/>
              </w:rPr>
              <w:t>控区</w:t>
            </w:r>
            <w:r>
              <w:rPr>
                <w:rFonts w:ascii="Arial" w:hAnsi="Arial" w:eastAsia="Arial" w:cs="Arial"/>
                <w:spacing w:val="8"/>
                <w:position w:val="1"/>
              </w:rPr>
              <w:t>/</w:t>
            </w:r>
            <w:r>
              <w:rPr>
                <w:spacing w:val="8"/>
                <w:position w:val="1"/>
              </w:rPr>
              <w:t>一般管控区；</w:t>
            </w:r>
          </w:p>
          <w:p w14:paraId="57367D77">
            <w:pPr>
              <w:pStyle w:val="6"/>
              <w:spacing w:before="23" w:line="228" w:lineRule="auto"/>
              <w:ind w:left="323"/>
            </w:pPr>
            <w:r>
              <w:rPr>
                <w:spacing w:val="8"/>
              </w:rPr>
              <w:t>城市化地区；高污染燃料禁燃区。</w:t>
            </w:r>
          </w:p>
          <w:p w14:paraId="5F35AB74">
            <w:pPr>
              <w:pStyle w:val="6"/>
              <w:spacing w:before="24" w:line="218" w:lineRule="auto"/>
              <w:ind w:left="12"/>
            </w:pPr>
            <w:r>
              <w:rPr>
                <w:b/>
                <w:bCs/>
                <w:spacing w:val="2"/>
              </w:rPr>
              <w:t>北山镇：</w:t>
            </w:r>
          </w:p>
          <w:p w14:paraId="1568B2BC">
            <w:pPr>
              <w:pStyle w:val="6"/>
              <w:spacing w:before="1" w:line="251" w:lineRule="auto"/>
              <w:ind w:left="326" w:right="2517" w:firstLine="2"/>
            </w:pPr>
            <w:r>
              <w:rPr>
                <w:spacing w:val="8"/>
              </w:rPr>
              <w:t>红线</w:t>
            </w:r>
            <w:r>
              <w:rPr>
                <w:rFonts w:ascii="Arial" w:hAnsi="Arial" w:eastAsia="Arial" w:cs="Arial"/>
                <w:spacing w:val="8"/>
              </w:rPr>
              <w:t>/</w:t>
            </w:r>
            <w:r>
              <w:rPr>
                <w:spacing w:val="8"/>
              </w:rPr>
              <w:t>一般生态空间</w:t>
            </w:r>
            <w:r>
              <w:rPr>
                <w:rFonts w:ascii="Arial" w:hAnsi="Arial" w:eastAsia="Arial" w:cs="Arial"/>
                <w:spacing w:val="8"/>
              </w:rPr>
              <w:t>/</w:t>
            </w:r>
            <w:r>
              <w:rPr>
                <w:spacing w:val="8"/>
              </w:rPr>
              <w:t>三区三线生态红线</w:t>
            </w:r>
            <w:r>
              <w:rPr>
                <w:rFonts w:ascii="Arial" w:hAnsi="Arial" w:eastAsia="Arial" w:cs="Arial"/>
                <w:spacing w:val="8"/>
              </w:rPr>
              <w:t>/</w:t>
            </w:r>
            <w:r>
              <w:rPr>
                <w:spacing w:val="8"/>
              </w:rPr>
              <w:t>水源涵养重要区</w:t>
            </w:r>
            <w:r>
              <w:rPr>
                <w:rFonts w:ascii="Arial" w:hAnsi="Arial" w:eastAsia="Arial" w:cs="Arial"/>
                <w:spacing w:val="8"/>
              </w:rPr>
              <w:t>/</w:t>
            </w:r>
            <w:r>
              <w:rPr>
                <w:spacing w:val="8"/>
              </w:rPr>
              <w:t>生物多样性保护功能重要区</w:t>
            </w:r>
            <w:r>
              <w:rPr>
                <w:rFonts w:ascii="Arial" w:hAnsi="Arial" w:eastAsia="Arial" w:cs="Arial"/>
                <w:spacing w:val="8"/>
              </w:rPr>
              <w:t>/</w:t>
            </w:r>
            <w:r>
              <w:rPr>
                <w:spacing w:val="8"/>
              </w:rPr>
              <w:t>原生态红线</w:t>
            </w:r>
            <w:r>
              <w:rPr>
                <w:rFonts w:ascii="Arial" w:hAnsi="Arial" w:eastAsia="Arial" w:cs="Arial"/>
                <w:spacing w:val="8"/>
              </w:rPr>
              <w:t>/</w:t>
            </w:r>
            <w:r>
              <w:rPr>
                <w:spacing w:val="8"/>
              </w:rPr>
              <w:t>水土流失敏</w:t>
            </w:r>
            <w:r>
              <w:rPr>
                <w:spacing w:val="7"/>
              </w:rPr>
              <w:t>感区；水环境一般管控区；</w:t>
            </w:r>
          </w:p>
          <w:p w14:paraId="1E28CC11">
            <w:pPr>
              <w:pStyle w:val="6"/>
              <w:spacing w:line="279" w:lineRule="exact"/>
              <w:ind w:left="326"/>
            </w:pPr>
            <w:r>
              <w:rPr>
                <w:spacing w:val="9"/>
                <w:position w:val="1"/>
              </w:rPr>
              <w:t>大气环境高排放重点管控区</w:t>
            </w:r>
            <w:r>
              <w:rPr>
                <w:rFonts w:ascii="Arial" w:hAnsi="Arial" w:eastAsia="Arial" w:cs="Arial"/>
                <w:spacing w:val="9"/>
                <w:position w:val="1"/>
              </w:rPr>
              <w:t>/</w:t>
            </w:r>
            <w:r>
              <w:rPr>
                <w:spacing w:val="9"/>
                <w:position w:val="1"/>
              </w:rPr>
              <w:t>大气环境受体敏感重点管控区</w:t>
            </w:r>
            <w:r>
              <w:rPr>
                <w:rFonts w:ascii="Arial" w:hAnsi="Arial" w:eastAsia="Arial" w:cs="Arial"/>
                <w:spacing w:val="9"/>
                <w:position w:val="1"/>
              </w:rPr>
              <w:t>/</w:t>
            </w:r>
            <w:r>
              <w:rPr>
                <w:spacing w:val="9"/>
                <w:position w:val="1"/>
              </w:rPr>
              <w:t>大气环境弱扩散重点管控区</w:t>
            </w:r>
            <w:r>
              <w:rPr>
                <w:rFonts w:ascii="Arial" w:hAnsi="Arial" w:eastAsia="Arial" w:cs="Arial"/>
                <w:spacing w:val="9"/>
                <w:position w:val="1"/>
              </w:rPr>
              <w:t>/</w:t>
            </w:r>
            <w:r>
              <w:rPr>
                <w:spacing w:val="9"/>
                <w:position w:val="1"/>
              </w:rPr>
              <w:t>其他区域；</w:t>
            </w:r>
          </w:p>
          <w:p w14:paraId="7EC8D31D">
            <w:pPr>
              <w:pStyle w:val="6"/>
              <w:spacing w:before="2" w:line="255" w:lineRule="auto"/>
              <w:ind w:left="323" w:right="6475"/>
            </w:pPr>
            <w:r>
              <w:rPr>
                <w:spacing w:val="7"/>
              </w:rPr>
              <w:t>农用地优先保护区</w:t>
            </w:r>
            <w:r>
              <w:rPr>
                <w:rFonts w:ascii="Arial" w:hAnsi="Arial" w:eastAsia="Arial" w:cs="Arial"/>
                <w:spacing w:val="7"/>
              </w:rPr>
              <w:t>/</w:t>
            </w:r>
            <w:r>
              <w:rPr>
                <w:spacing w:val="7"/>
              </w:rPr>
              <w:t>建设用地重点管控区</w:t>
            </w:r>
            <w:r>
              <w:rPr>
                <w:rFonts w:ascii="Arial" w:hAnsi="Arial" w:eastAsia="Arial" w:cs="Arial"/>
                <w:spacing w:val="7"/>
              </w:rPr>
              <w:t>/</w:t>
            </w:r>
            <w:r>
              <w:rPr>
                <w:spacing w:val="7"/>
              </w:rPr>
              <w:t>其他重点管控区</w:t>
            </w:r>
            <w:r>
              <w:rPr>
                <w:rFonts w:ascii="Arial" w:hAnsi="Arial" w:eastAsia="Arial" w:cs="Arial"/>
                <w:spacing w:val="7"/>
              </w:rPr>
              <w:t>/</w:t>
            </w:r>
            <w:r>
              <w:rPr>
                <w:spacing w:val="7"/>
              </w:rPr>
              <w:t>一般管控区；</w:t>
            </w:r>
            <w:r>
              <w:rPr>
                <w:spacing w:val="8"/>
              </w:rPr>
              <w:t>城市化地区</w:t>
            </w:r>
          </w:p>
          <w:p w14:paraId="3875F85C">
            <w:pPr>
              <w:pStyle w:val="6"/>
              <w:spacing w:before="20" w:line="218" w:lineRule="auto"/>
              <w:ind w:left="9"/>
            </w:pPr>
            <w:r>
              <w:rPr>
                <w:b/>
                <w:bCs/>
                <w:spacing w:val="4"/>
              </w:rPr>
              <w:t>三阁司镇：</w:t>
            </w:r>
          </w:p>
          <w:p w14:paraId="449ABC22">
            <w:pPr>
              <w:pStyle w:val="6"/>
              <w:spacing w:line="254" w:lineRule="auto"/>
              <w:ind w:left="326" w:right="2675" w:firstLine="2"/>
            </w:pPr>
            <w:r>
              <w:rPr>
                <w:spacing w:val="9"/>
              </w:rPr>
              <w:t>红线</w:t>
            </w:r>
            <w:r>
              <w:rPr>
                <w:rFonts w:ascii="Arial" w:hAnsi="Arial" w:eastAsia="Arial" w:cs="Arial"/>
                <w:spacing w:val="9"/>
              </w:rPr>
              <w:t>/</w:t>
            </w:r>
            <w:r>
              <w:rPr>
                <w:spacing w:val="9"/>
              </w:rPr>
              <w:t>一般生态空间</w:t>
            </w:r>
            <w:r>
              <w:rPr>
                <w:rFonts w:ascii="Arial" w:hAnsi="Arial" w:eastAsia="Arial" w:cs="Arial"/>
                <w:spacing w:val="9"/>
              </w:rPr>
              <w:t>/</w:t>
            </w:r>
            <w:r>
              <w:rPr>
                <w:spacing w:val="9"/>
              </w:rPr>
              <w:t>三区三线生态红线</w:t>
            </w:r>
            <w:r>
              <w:rPr>
                <w:rFonts w:ascii="Arial" w:hAnsi="Arial" w:eastAsia="Arial" w:cs="Arial"/>
                <w:spacing w:val="9"/>
              </w:rPr>
              <w:t>/</w:t>
            </w:r>
            <w:r>
              <w:rPr>
                <w:spacing w:val="9"/>
              </w:rPr>
              <w:t>水源涵养重要区</w:t>
            </w:r>
            <w:r>
              <w:rPr>
                <w:rFonts w:ascii="Arial" w:hAnsi="Arial" w:eastAsia="Arial" w:cs="Arial"/>
                <w:spacing w:val="9"/>
              </w:rPr>
              <w:t>/</w:t>
            </w:r>
            <w:r>
              <w:rPr>
                <w:spacing w:val="9"/>
              </w:rPr>
              <w:t>生物多样性保护功能重要区</w:t>
            </w:r>
            <w:r>
              <w:rPr>
                <w:rFonts w:ascii="Arial" w:hAnsi="Arial" w:eastAsia="Arial" w:cs="Arial"/>
                <w:spacing w:val="9"/>
              </w:rPr>
              <w:t>/</w:t>
            </w:r>
            <w:r>
              <w:rPr>
                <w:spacing w:val="9"/>
              </w:rPr>
              <w:t>原生态红线</w:t>
            </w:r>
            <w:r>
              <w:rPr>
                <w:rFonts w:ascii="Arial" w:hAnsi="Arial" w:eastAsia="Arial" w:cs="Arial"/>
                <w:spacing w:val="9"/>
              </w:rPr>
              <w:t>/</w:t>
            </w:r>
            <w:r>
              <w:rPr>
                <w:spacing w:val="9"/>
              </w:rPr>
              <w:t>水</w:t>
            </w:r>
            <w:r>
              <w:rPr>
                <w:spacing w:val="8"/>
              </w:rPr>
              <w:t>土流失敏感区水环境优先保护区</w:t>
            </w:r>
            <w:r>
              <w:rPr>
                <w:rFonts w:ascii="Arial" w:hAnsi="Arial" w:eastAsia="Arial" w:cs="Arial"/>
                <w:spacing w:val="8"/>
              </w:rPr>
              <w:t>/</w:t>
            </w:r>
            <w:r>
              <w:rPr>
                <w:spacing w:val="8"/>
              </w:rPr>
              <w:t>水环境一般管控区；</w:t>
            </w:r>
          </w:p>
          <w:p w14:paraId="674AF2B3">
            <w:pPr>
              <w:pStyle w:val="6"/>
              <w:spacing w:line="273" w:lineRule="exact"/>
              <w:ind w:left="326"/>
            </w:pPr>
            <w:r>
              <w:rPr>
                <w:spacing w:val="9"/>
                <w:position w:val="1"/>
              </w:rPr>
              <w:t>大气环境高排放重点管控区</w:t>
            </w:r>
            <w:r>
              <w:rPr>
                <w:rFonts w:ascii="Arial" w:hAnsi="Arial" w:eastAsia="Arial" w:cs="Arial"/>
                <w:spacing w:val="9"/>
                <w:position w:val="1"/>
              </w:rPr>
              <w:t>/</w:t>
            </w:r>
            <w:r>
              <w:rPr>
                <w:spacing w:val="9"/>
                <w:position w:val="1"/>
              </w:rPr>
              <w:t>大气环境受体敏感重点管控区</w:t>
            </w:r>
            <w:r>
              <w:rPr>
                <w:rFonts w:ascii="Arial" w:hAnsi="Arial" w:eastAsia="Arial" w:cs="Arial"/>
                <w:spacing w:val="9"/>
                <w:position w:val="1"/>
              </w:rPr>
              <w:t>/</w:t>
            </w:r>
            <w:r>
              <w:rPr>
                <w:spacing w:val="9"/>
                <w:position w:val="1"/>
              </w:rPr>
              <w:t>大气环境弱扩散重点管控区</w:t>
            </w:r>
            <w:r>
              <w:rPr>
                <w:rFonts w:ascii="Arial" w:hAnsi="Arial" w:eastAsia="Arial" w:cs="Arial"/>
                <w:spacing w:val="9"/>
                <w:position w:val="1"/>
              </w:rPr>
              <w:t>/</w:t>
            </w:r>
            <w:r>
              <w:rPr>
                <w:spacing w:val="9"/>
                <w:position w:val="1"/>
              </w:rPr>
              <w:t>其他区域；</w:t>
            </w:r>
          </w:p>
          <w:p w14:paraId="16FC3BD6">
            <w:pPr>
              <w:pStyle w:val="6"/>
              <w:spacing w:line="255" w:lineRule="auto"/>
              <w:ind w:left="323" w:right="6475"/>
            </w:pPr>
            <w:r>
              <w:rPr>
                <w:spacing w:val="7"/>
              </w:rPr>
              <w:t>农用地优先保护区</w:t>
            </w:r>
            <w:r>
              <w:rPr>
                <w:rFonts w:ascii="Arial" w:hAnsi="Arial" w:eastAsia="Arial" w:cs="Arial"/>
                <w:spacing w:val="7"/>
              </w:rPr>
              <w:t>/</w:t>
            </w:r>
            <w:r>
              <w:rPr>
                <w:spacing w:val="7"/>
              </w:rPr>
              <w:t>建设用地重点管控区</w:t>
            </w:r>
            <w:r>
              <w:rPr>
                <w:rFonts w:ascii="Arial" w:hAnsi="Arial" w:eastAsia="Arial" w:cs="Arial"/>
                <w:spacing w:val="7"/>
              </w:rPr>
              <w:t>/</w:t>
            </w:r>
            <w:r>
              <w:rPr>
                <w:spacing w:val="7"/>
              </w:rPr>
              <w:t>其他重点管控区</w:t>
            </w:r>
            <w:r>
              <w:rPr>
                <w:rFonts w:ascii="Arial" w:hAnsi="Arial" w:eastAsia="Arial" w:cs="Arial"/>
                <w:spacing w:val="7"/>
              </w:rPr>
              <w:t>/</w:t>
            </w:r>
            <w:r>
              <w:rPr>
                <w:spacing w:val="7"/>
              </w:rPr>
              <w:t>一般管控区；</w:t>
            </w:r>
            <w:r>
              <w:rPr>
                <w:spacing w:val="8"/>
              </w:rPr>
              <w:t>城市化地区</w:t>
            </w:r>
          </w:p>
          <w:p w14:paraId="1CBAA7AB">
            <w:pPr>
              <w:pStyle w:val="6"/>
              <w:spacing w:before="23" w:line="218" w:lineRule="auto"/>
              <w:ind w:left="27"/>
            </w:pPr>
            <w:r>
              <w:rPr>
                <w:b/>
                <w:bCs/>
                <w:spacing w:val="1"/>
              </w:rPr>
              <w:t>山界回族乡：</w:t>
            </w:r>
          </w:p>
          <w:p w14:paraId="33CCF1B3">
            <w:pPr>
              <w:pStyle w:val="6"/>
              <w:spacing w:before="1" w:line="251" w:lineRule="auto"/>
              <w:ind w:left="326" w:right="10736" w:firstLine="2"/>
            </w:pPr>
            <w:r>
              <w:rPr>
                <w:spacing w:val="8"/>
              </w:rPr>
              <w:t>红线</w:t>
            </w:r>
            <w:r>
              <w:rPr>
                <w:rFonts w:ascii="Arial" w:hAnsi="Arial" w:eastAsia="Arial" w:cs="Arial"/>
                <w:spacing w:val="8"/>
              </w:rPr>
              <w:t>/</w:t>
            </w:r>
            <w:r>
              <w:rPr>
                <w:spacing w:val="8"/>
              </w:rPr>
              <w:t>三区三线生态红线</w:t>
            </w:r>
            <w:r>
              <w:rPr>
                <w:spacing w:val="7"/>
              </w:rPr>
              <w:t>水环境一般管控区；</w:t>
            </w:r>
          </w:p>
          <w:p w14:paraId="4AD6B5A6">
            <w:pPr>
              <w:pStyle w:val="6"/>
              <w:spacing w:line="278" w:lineRule="exact"/>
              <w:ind w:left="326"/>
            </w:pPr>
            <w:r>
              <w:rPr>
                <w:spacing w:val="9"/>
                <w:position w:val="1"/>
              </w:rPr>
              <w:t>大气环境受体敏感重点管控区</w:t>
            </w:r>
            <w:r>
              <w:rPr>
                <w:rFonts w:ascii="Arial" w:hAnsi="Arial" w:eastAsia="Arial" w:cs="Arial"/>
                <w:spacing w:val="9"/>
                <w:position w:val="1"/>
              </w:rPr>
              <w:t>/</w:t>
            </w:r>
            <w:r>
              <w:rPr>
                <w:spacing w:val="9"/>
                <w:position w:val="1"/>
              </w:rPr>
              <w:t>大气环境弱扩散重点管控</w:t>
            </w:r>
            <w:r>
              <w:rPr>
                <w:spacing w:val="8"/>
                <w:position w:val="1"/>
              </w:rPr>
              <w:t>区</w:t>
            </w:r>
            <w:r>
              <w:rPr>
                <w:rFonts w:ascii="Arial" w:hAnsi="Arial" w:eastAsia="Arial" w:cs="Arial"/>
                <w:spacing w:val="8"/>
                <w:position w:val="1"/>
              </w:rPr>
              <w:t>/</w:t>
            </w:r>
            <w:r>
              <w:rPr>
                <w:spacing w:val="8"/>
                <w:position w:val="1"/>
              </w:rPr>
              <w:t>其他区域；</w:t>
            </w:r>
          </w:p>
          <w:p w14:paraId="351D9012">
            <w:pPr>
              <w:pStyle w:val="6"/>
              <w:spacing w:line="238" w:lineRule="auto"/>
              <w:ind w:left="323" w:right="6475"/>
            </w:pPr>
            <w:r>
              <w:rPr>
                <w:spacing w:val="7"/>
              </w:rPr>
              <w:t>农用地优先保护区</w:t>
            </w:r>
            <w:r>
              <w:rPr>
                <w:rFonts w:ascii="Arial" w:hAnsi="Arial" w:eastAsia="Arial" w:cs="Arial"/>
                <w:spacing w:val="7"/>
              </w:rPr>
              <w:t>/</w:t>
            </w:r>
            <w:r>
              <w:rPr>
                <w:spacing w:val="7"/>
              </w:rPr>
              <w:t>建设用地重点管控区</w:t>
            </w:r>
            <w:r>
              <w:rPr>
                <w:rFonts w:ascii="Arial" w:hAnsi="Arial" w:eastAsia="Arial" w:cs="Arial"/>
                <w:spacing w:val="7"/>
              </w:rPr>
              <w:t>/</w:t>
            </w:r>
            <w:r>
              <w:rPr>
                <w:spacing w:val="7"/>
              </w:rPr>
              <w:t>其他重点管控区</w:t>
            </w:r>
            <w:r>
              <w:rPr>
                <w:rFonts w:ascii="Arial" w:hAnsi="Arial" w:eastAsia="Arial" w:cs="Arial"/>
                <w:spacing w:val="7"/>
              </w:rPr>
              <w:t>/</w:t>
            </w:r>
            <w:r>
              <w:rPr>
                <w:spacing w:val="7"/>
              </w:rPr>
              <w:t>一般管控区；</w:t>
            </w:r>
            <w:r>
              <w:rPr>
                <w:spacing w:val="8"/>
              </w:rPr>
              <w:t>农产品主产区</w:t>
            </w:r>
          </w:p>
        </w:tc>
      </w:tr>
      <w:tr w14:paraId="2CFBD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9" w:hRule="atLeast"/>
        </w:trPr>
        <w:tc>
          <w:tcPr>
            <w:tcW w:w="814" w:type="dxa"/>
            <w:tcBorders>
              <w:left w:val="single" w:color="000000" w:sz="10" w:space="0"/>
              <w:bottom w:val="single" w:color="000000" w:sz="10" w:space="0"/>
            </w:tcBorders>
            <w:vAlign w:val="top"/>
          </w:tcPr>
          <w:p w14:paraId="10C7A7C4">
            <w:pPr>
              <w:pStyle w:val="6"/>
              <w:spacing w:before="157" w:line="252" w:lineRule="auto"/>
              <w:ind w:left="291" w:right="94" w:hanging="205"/>
            </w:pPr>
            <w:r>
              <w:rPr>
                <w:b/>
                <w:bCs/>
                <w:spacing w:val="3"/>
              </w:rPr>
              <w:t>管控维</w:t>
            </w:r>
            <w:r>
              <w:rPr>
                <w:b/>
                <w:bCs/>
                <w:spacing w:val="-1"/>
              </w:rPr>
              <w:t>度</w:t>
            </w:r>
          </w:p>
        </w:tc>
        <w:tc>
          <w:tcPr>
            <w:tcW w:w="10252" w:type="dxa"/>
            <w:tcBorders>
              <w:bottom w:val="single" w:color="000000" w:sz="10" w:space="0"/>
            </w:tcBorders>
            <w:vAlign w:val="top"/>
          </w:tcPr>
          <w:p w14:paraId="3B518B52">
            <w:pPr>
              <w:pStyle w:val="6"/>
              <w:spacing w:before="291" w:line="228" w:lineRule="auto"/>
              <w:ind w:left="4713"/>
            </w:pPr>
            <w:r>
              <w:rPr>
                <w:b/>
                <w:bCs/>
                <w:spacing w:val="5"/>
              </w:rPr>
              <w:t>管控要求</w:t>
            </w:r>
          </w:p>
        </w:tc>
        <w:tc>
          <w:tcPr>
            <w:tcW w:w="2314" w:type="dxa"/>
            <w:tcBorders>
              <w:bottom w:val="single" w:color="000000" w:sz="10" w:space="0"/>
            </w:tcBorders>
            <w:vAlign w:val="top"/>
          </w:tcPr>
          <w:p w14:paraId="22D25880">
            <w:pPr>
              <w:pStyle w:val="6"/>
              <w:spacing w:before="291" w:line="227" w:lineRule="auto"/>
              <w:ind w:left="646"/>
            </w:pPr>
            <w:r>
              <w:rPr>
                <w:b/>
                <w:bCs/>
                <w:spacing w:val="6"/>
              </w:rPr>
              <w:t>本项目情况</w:t>
            </w:r>
          </w:p>
        </w:tc>
        <w:tc>
          <w:tcPr>
            <w:tcW w:w="659" w:type="dxa"/>
            <w:tcBorders>
              <w:bottom w:val="single" w:color="000000" w:sz="10" w:space="0"/>
              <w:right w:val="single" w:color="000000" w:sz="10" w:space="0"/>
            </w:tcBorders>
            <w:vAlign w:val="top"/>
          </w:tcPr>
          <w:p w14:paraId="451DFEFF">
            <w:pPr>
              <w:pStyle w:val="6"/>
              <w:spacing w:before="158" w:line="252" w:lineRule="auto"/>
              <w:ind w:left="237" w:right="102" w:hanging="108"/>
            </w:pPr>
            <w:r>
              <w:rPr>
                <w:b/>
                <w:bCs/>
                <w:spacing w:val="3"/>
              </w:rPr>
              <w:t>相符</w:t>
            </w:r>
            <w:r>
              <w:rPr>
                <w:b/>
                <w:bCs/>
                <w:spacing w:val="-3"/>
              </w:rPr>
              <w:t>性</w:t>
            </w:r>
          </w:p>
        </w:tc>
      </w:tr>
    </w:tbl>
    <w:p w14:paraId="0B47802A">
      <w:pPr>
        <w:pStyle w:val="2"/>
      </w:pPr>
    </w:p>
    <w:p w14:paraId="1F13BE7C">
      <w:pPr>
        <w:sectPr>
          <w:footerReference r:id="rId99" w:type="default"/>
          <w:pgSz w:w="16840" w:h="11907"/>
          <w:pgMar w:top="1132" w:right="1387" w:bottom="1258" w:left="1387" w:header="829" w:footer="1096" w:gutter="0"/>
          <w:cols w:space="720" w:num="1"/>
        </w:sectPr>
      </w:pPr>
    </w:p>
    <w:p w14:paraId="044FE560">
      <w:pPr>
        <w:spacing w:before="43"/>
      </w:pPr>
    </w:p>
    <w:p w14:paraId="4208315A">
      <w:pPr>
        <w:spacing w:before="42"/>
      </w:pPr>
    </w:p>
    <w:tbl>
      <w:tblPr>
        <w:tblStyle w:val="5"/>
        <w:tblW w:w="1403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4"/>
        <w:gridCol w:w="10252"/>
        <w:gridCol w:w="2314"/>
        <w:gridCol w:w="659"/>
      </w:tblGrid>
      <w:tr w14:paraId="493E4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3" w:hRule="atLeast"/>
        </w:trPr>
        <w:tc>
          <w:tcPr>
            <w:tcW w:w="814" w:type="dxa"/>
            <w:tcBorders>
              <w:top w:val="single" w:color="000000" w:sz="10" w:space="0"/>
              <w:left w:val="single" w:color="000000" w:sz="10" w:space="0"/>
            </w:tcBorders>
            <w:vAlign w:val="top"/>
          </w:tcPr>
          <w:p w14:paraId="38F51A38">
            <w:pPr>
              <w:spacing w:line="245" w:lineRule="auto"/>
              <w:rPr>
                <w:rFonts w:ascii="Arial"/>
                <w:sz w:val="21"/>
              </w:rPr>
            </w:pPr>
          </w:p>
          <w:p w14:paraId="58346CF9">
            <w:pPr>
              <w:spacing w:line="245" w:lineRule="auto"/>
              <w:rPr>
                <w:rFonts w:ascii="Arial"/>
                <w:sz w:val="21"/>
              </w:rPr>
            </w:pPr>
          </w:p>
          <w:p w14:paraId="0CA87AA9">
            <w:pPr>
              <w:spacing w:line="246" w:lineRule="auto"/>
              <w:rPr>
                <w:rFonts w:ascii="Arial"/>
                <w:sz w:val="21"/>
              </w:rPr>
            </w:pPr>
          </w:p>
          <w:p w14:paraId="696887DF">
            <w:pPr>
              <w:spacing w:line="246" w:lineRule="auto"/>
              <w:rPr>
                <w:rFonts w:ascii="Arial"/>
                <w:sz w:val="21"/>
              </w:rPr>
            </w:pPr>
          </w:p>
          <w:p w14:paraId="31094D9B">
            <w:pPr>
              <w:spacing w:line="246" w:lineRule="auto"/>
              <w:rPr>
                <w:rFonts w:ascii="Arial"/>
                <w:sz w:val="21"/>
              </w:rPr>
            </w:pPr>
          </w:p>
          <w:p w14:paraId="6A42D1D6">
            <w:pPr>
              <w:spacing w:line="246" w:lineRule="auto"/>
              <w:rPr>
                <w:rFonts w:ascii="Arial"/>
                <w:sz w:val="21"/>
              </w:rPr>
            </w:pPr>
          </w:p>
          <w:p w14:paraId="64F94EF0">
            <w:pPr>
              <w:pStyle w:val="6"/>
              <w:spacing w:before="65" w:line="227" w:lineRule="auto"/>
              <w:ind w:left="90"/>
            </w:pPr>
            <w:r>
              <w:rPr>
                <w:spacing w:val="4"/>
              </w:rPr>
              <w:t>空间布</w:t>
            </w:r>
          </w:p>
          <w:p w14:paraId="6126B61C">
            <w:pPr>
              <w:pStyle w:val="6"/>
              <w:spacing w:before="24" w:line="228" w:lineRule="auto"/>
              <w:ind w:left="86"/>
            </w:pPr>
            <w:r>
              <w:rPr>
                <w:spacing w:val="6"/>
              </w:rPr>
              <w:t>局约束</w:t>
            </w:r>
          </w:p>
        </w:tc>
        <w:tc>
          <w:tcPr>
            <w:tcW w:w="10252" w:type="dxa"/>
            <w:tcBorders>
              <w:top w:val="single" w:color="000000" w:sz="10" w:space="0"/>
            </w:tcBorders>
            <w:vAlign w:val="top"/>
          </w:tcPr>
          <w:p w14:paraId="247EC83E">
            <w:pPr>
              <w:pStyle w:val="6"/>
              <w:spacing w:before="52" w:line="251" w:lineRule="auto"/>
              <w:ind w:left="96" w:right="7" w:hanging="97"/>
            </w:pPr>
            <w:r>
              <w:rPr>
                <w:spacing w:val="7"/>
              </w:rPr>
              <w:t>（</w:t>
            </w:r>
            <w:r>
              <w:rPr>
                <w:rFonts w:ascii="Arial" w:hAnsi="Arial" w:eastAsia="Arial" w:cs="Arial"/>
                <w:spacing w:val="7"/>
              </w:rPr>
              <w:t>1.1</w:t>
            </w:r>
            <w:r>
              <w:rPr>
                <w:spacing w:val="7"/>
              </w:rPr>
              <w:t>）严格河道岸线等水生态空间管控，落实岸</w:t>
            </w:r>
            <w:r>
              <w:rPr>
                <w:spacing w:val="6"/>
              </w:rPr>
              <w:t>线分区管理，禁止不符合河道功能定位的涉河开发活动，强化岸</w:t>
            </w:r>
            <w:r>
              <w:rPr>
                <w:spacing w:val="3"/>
              </w:rPr>
              <w:t>线保护。</w:t>
            </w:r>
          </w:p>
          <w:p w14:paraId="265D6D9E">
            <w:pPr>
              <w:pStyle w:val="6"/>
              <w:spacing w:before="1" w:line="239" w:lineRule="auto"/>
              <w:ind w:left="93" w:right="7" w:hanging="94"/>
            </w:pPr>
            <w:r>
              <w:rPr>
                <w:spacing w:val="7"/>
              </w:rPr>
              <w:t>（</w:t>
            </w:r>
            <w:r>
              <w:rPr>
                <w:rFonts w:ascii="Arial" w:hAnsi="Arial" w:eastAsia="Arial" w:cs="Arial"/>
                <w:spacing w:val="7"/>
              </w:rPr>
              <w:t>1.2</w:t>
            </w:r>
            <w:r>
              <w:rPr>
                <w:spacing w:val="7"/>
              </w:rPr>
              <w:t>）在城市蓝线（指规划确定的主要的江、河、湖、库、渠、湿地的城市地表水体保护和控制的地域界线）内禁止进行下列活动：违反城市蓝线保护和控制要求的建设活动；擅自填埋、占用城市蓝线内水域；影响水系安全</w:t>
            </w:r>
            <w:r>
              <w:rPr>
                <w:spacing w:val="8"/>
              </w:rPr>
              <w:t>的爆破、采石、取土；擅自建设各类排污设施；其它对城市水系</w:t>
            </w:r>
            <w:r>
              <w:rPr>
                <w:spacing w:val="7"/>
              </w:rPr>
              <w:t>保护构成破坏的活动。</w:t>
            </w:r>
          </w:p>
          <w:p w14:paraId="4B221811">
            <w:pPr>
              <w:pStyle w:val="6"/>
              <w:spacing w:line="284" w:lineRule="exact"/>
            </w:pPr>
            <w:r>
              <w:rPr>
                <w:spacing w:val="6"/>
                <w:position w:val="1"/>
              </w:rPr>
              <w:t>（</w:t>
            </w:r>
            <w:r>
              <w:rPr>
                <w:rFonts w:ascii="Arial" w:hAnsi="Arial" w:eastAsia="Arial" w:cs="Arial"/>
                <w:spacing w:val="6"/>
                <w:position w:val="1"/>
              </w:rPr>
              <w:t>1.3</w:t>
            </w:r>
            <w:r>
              <w:rPr>
                <w:spacing w:val="6"/>
                <w:position w:val="1"/>
              </w:rPr>
              <w:t>）严禁在饮用水源保护区、自然保护地等环境敏感区、重要生态功能保护区内开发利用矿产资源。</w:t>
            </w:r>
          </w:p>
          <w:p w14:paraId="618BB223">
            <w:pPr>
              <w:pStyle w:val="6"/>
              <w:spacing w:before="26" w:line="227" w:lineRule="auto"/>
            </w:pPr>
            <w:r>
              <w:rPr>
                <w:spacing w:val="6"/>
              </w:rPr>
              <w:t>（</w:t>
            </w:r>
            <w:r>
              <w:rPr>
                <w:rFonts w:ascii="Arial" w:hAnsi="Arial" w:eastAsia="Arial" w:cs="Arial"/>
                <w:spacing w:val="6"/>
              </w:rPr>
              <w:t>1.4</w:t>
            </w:r>
            <w:r>
              <w:rPr>
                <w:spacing w:val="6"/>
              </w:rPr>
              <w:t>）在城市紫线范围（包包括经县级以上人民政府公布保护的保护范围界线）内禁止进行下列活动：</w:t>
            </w:r>
          </w:p>
          <w:p w14:paraId="77F6245A">
            <w:pPr>
              <w:pStyle w:val="6"/>
              <w:spacing w:before="26"/>
              <w:ind w:left="19" w:hanging="10"/>
            </w:pPr>
            <w:r>
              <w:rPr>
                <w:spacing w:val="5"/>
              </w:rPr>
              <w:t>损坏或者拆毁保护规划确定保护的建筑物、构筑物和其他设施；修建破坏传统风貌</w:t>
            </w:r>
            <w:r>
              <w:rPr>
                <w:spacing w:val="4"/>
              </w:rPr>
              <w:t>的建筑物、构筑物和其他设施；</w:t>
            </w:r>
            <w:r>
              <w:rPr>
                <w:spacing w:val="8"/>
              </w:rPr>
              <w:t>占用或者破坏保护规划确定保留的园林绿地、河湖水系、道路和古树名木等</w:t>
            </w:r>
            <w:r>
              <w:rPr>
                <w:spacing w:val="7"/>
              </w:rPr>
              <w:t>活动；以及其他对保护构成破坏性影</w:t>
            </w:r>
            <w:r>
              <w:rPr>
                <w:spacing w:val="3"/>
              </w:rPr>
              <w:t>响的活动。</w:t>
            </w:r>
          </w:p>
          <w:p w14:paraId="53B541FE">
            <w:pPr>
              <w:pStyle w:val="6"/>
              <w:spacing w:line="278" w:lineRule="exact"/>
            </w:pPr>
            <w:r>
              <w:rPr>
                <w:spacing w:val="6"/>
                <w:position w:val="1"/>
              </w:rPr>
              <w:t>（</w:t>
            </w:r>
            <w:r>
              <w:rPr>
                <w:rFonts w:ascii="Arial" w:hAnsi="Arial" w:eastAsia="Arial" w:cs="Arial"/>
                <w:spacing w:val="6"/>
                <w:position w:val="1"/>
              </w:rPr>
              <w:t>1.5</w:t>
            </w:r>
            <w:r>
              <w:rPr>
                <w:spacing w:val="6"/>
                <w:position w:val="1"/>
              </w:rPr>
              <w:t>）严格落实《隆回县国土空间总体规划》（</w:t>
            </w:r>
            <w:r>
              <w:rPr>
                <w:rFonts w:ascii="Arial" w:hAnsi="Arial" w:eastAsia="Arial" w:cs="Arial"/>
                <w:spacing w:val="6"/>
                <w:position w:val="1"/>
              </w:rPr>
              <w:t>2021—20</w:t>
            </w:r>
            <w:r>
              <w:rPr>
                <w:rFonts w:ascii="Arial" w:hAnsi="Arial" w:eastAsia="Arial" w:cs="Arial"/>
                <w:spacing w:val="5"/>
                <w:position w:val="1"/>
              </w:rPr>
              <w:t>35</w:t>
            </w:r>
            <w:r>
              <w:rPr>
                <w:spacing w:val="5"/>
                <w:position w:val="1"/>
              </w:rPr>
              <w:t>年</w:t>
            </w:r>
            <w:r>
              <w:rPr>
                <w:spacing w:val="12"/>
                <w:position w:val="1"/>
              </w:rPr>
              <w:t>），</w:t>
            </w:r>
            <w:r>
              <w:rPr>
                <w:spacing w:val="5"/>
                <w:position w:val="1"/>
              </w:rPr>
              <w:t>合理划分规划分区。</w:t>
            </w:r>
          </w:p>
          <w:p w14:paraId="3A901F46">
            <w:pPr>
              <w:pStyle w:val="6"/>
              <w:spacing w:line="243" w:lineRule="auto"/>
              <w:ind w:left="95" w:right="32" w:hanging="95"/>
            </w:pPr>
            <w:r>
              <w:rPr>
                <w:spacing w:val="7"/>
              </w:rPr>
              <w:t>（</w:t>
            </w:r>
            <w:r>
              <w:rPr>
                <w:rFonts w:ascii="Arial" w:hAnsi="Arial" w:eastAsia="Arial" w:cs="Arial"/>
                <w:spacing w:val="7"/>
              </w:rPr>
              <w:t>1.6</w:t>
            </w:r>
            <w:r>
              <w:rPr>
                <w:spacing w:val="7"/>
              </w:rPr>
              <w:t>）全面推广节能、节水产品，扩大中水回用，限制高耗能</w:t>
            </w:r>
            <w:r>
              <w:rPr>
                <w:spacing w:val="6"/>
              </w:rPr>
              <w:t>、高耗水行业的发展，切实严控污染物排放增量，</w:t>
            </w:r>
            <w:r>
              <w:rPr>
                <w:spacing w:val="8"/>
              </w:rPr>
              <w:t>有效减少污染物存量，加快形成绿色发展方式，构建绿</w:t>
            </w:r>
            <w:r>
              <w:rPr>
                <w:spacing w:val="7"/>
              </w:rPr>
              <w:t>色产业体系</w:t>
            </w:r>
          </w:p>
        </w:tc>
        <w:tc>
          <w:tcPr>
            <w:tcW w:w="2314" w:type="dxa"/>
            <w:tcBorders>
              <w:top w:val="single" w:color="000000" w:sz="10" w:space="0"/>
            </w:tcBorders>
            <w:vAlign w:val="top"/>
          </w:tcPr>
          <w:p w14:paraId="387755BF">
            <w:pPr>
              <w:rPr>
                <w:rFonts w:ascii="Arial"/>
                <w:sz w:val="21"/>
              </w:rPr>
            </w:pPr>
          </w:p>
          <w:p w14:paraId="4EB90D55">
            <w:pPr>
              <w:rPr>
                <w:rFonts w:ascii="Arial"/>
                <w:sz w:val="21"/>
              </w:rPr>
            </w:pPr>
          </w:p>
          <w:p w14:paraId="14C47F7A">
            <w:pPr>
              <w:rPr>
                <w:rFonts w:ascii="Arial"/>
                <w:sz w:val="21"/>
              </w:rPr>
            </w:pPr>
          </w:p>
          <w:p w14:paraId="5F161D78">
            <w:pPr>
              <w:spacing w:line="241" w:lineRule="auto"/>
              <w:rPr>
                <w:rFonts w:ascii="Arial"/>
                <w:sz w:val="21"/>
              </w:rPr>
            </w:pPr>
          </w:p>
          <w:p w14:paraId="267143B2">
            <w:pPr>
              <w:spacing w:line="241" w:lineRule="auto"/>
              <w:rPr>
                <w:rFonts w:ascii="Arial"/>
                <w:sz w:val="21"/>
              </w:rPr>
            </w:pPr>
          </w:p>
          <w:p w14:paraId="63A51307">
            <w:pPr>
              <w:pStyle w:val="6"/>
              <w:spacing w:before="65" w:line="227" w:lineRule="auto"/>
              <w:ind w:left="29"/>
            </w:pPr>
            <w:r>
              <w:rPr>
                <w:spacing w:val="8"/>
              </w:rPr>
              <w:t>本项目是依托一期原有</w:t>
            </w:r>
          </w:p>
          <w:p w14:paraId="41B36396">
            <w:pPr>
              <w:pStyle w:val="6"/>
              <w:spacing w:before="26" w:line="251" w:lineRule="auto"/>
              <w:ind w:left="31" w:hanging="3"/>
            </w:pPr>
            <w:r>
              <w:rPr>
                <w:spacing w:val="7"/>
              </w:rPr>
              <w:t>入河排污口，经污水处理</w:t>
            </w:r>
            <w:r>
              <w:rPr>
                <w:spacing w:val="8"/>
              </w:rPr>
              <w:t>厂处理后能够达到国家</w:t>
            </w:r>
          </w:p>
          <w:p w14:paraId="103F891D">
            <w:pPr>
              <w:pStyle w:val="6"/>
              <w:spacing w:before="1" w:line="253" w:lineRule="auto"/>
              <w:ind w:left="29" w:right="3"/>
            </w:pPr>
            <w:r>
              <w:rPr>
                <w:spacing w:val="6"/>
              </w:rPr>
              <w:t>排放标准要求，可大幅度减少有机物入河污染量。</w:t>
            </w:r>
          </w:p>
        </w:tc>
        <w:tc>
          <w:tcPr>
            <w:tcW w:w="659" w:type="dxa"/>
            <w:tcBorders>
              <w:top w:val="single" w:color="000000" w:sz="10" w:space="0"/>
              <w:right w:val="single" w:color="000000" w:sz="10" w:space="0"/>
            </w:tcBorders>
            <w:vAlign w:val="top"/>
          </w:tcPr>
          <w:p w14:paraId="6584D082">
            <w:pPr>
              <w:spacing w:line="268" w:lineRule="auto"/>
              <w:rPr>
                <w:rFonts w:ascii="Arial"/>
                <w:sz w:val="21"/>
              </w:rPr>
            </w:pPr>
          </w:p>
          <w:p w14:paraId="190538D0">
            <w:pPr>
              <w:spacing w:line="268" w:lineRule="auto"/>
              <w:rPr>
                <w:rFonts w:ascii="Arial"/>
                <w:sz w:val="21"/>
              </w:rPr>
            </w:pPr>
          </w:p>
          <w:p w14:paraId="09B2D49B">
            <w:pPr>
              <w:spacing w:line="268" w:lineRule="auto"/>
              <w:rPr>
                <w:rFonts w:ascii="Arial"/>
                <w:sz w:val="21"/>
              </w:rPr>
            </w:pPr>
          </w:p>
          <w:p w14:paraId="14749A13">
            <w:pPr>
              <w:spacing w:line="268" w:lineRule="auto"/>
              <w:rPr>
                <w:rFonts w:ascii="Arial"/>
                <w:sz w:val="21"/>
              </w:rPr>
            </w:pPr>
          </w:p>
          <w:p w14:paraId="3B3FB807">
            <w:pPr>
              <w:spacing w:line="268" w:lineRule="auto"/>
              <w:rPr>
                <w:rFonts w:ascii="Arial"/>
                <w:sz w:val="21"/>
              </w:rPr>
            </w:pPr>
          </w:p>
          <w:p w14:paraId="66C75266">
            <w:pPr>
              <w:spacing w:line="268" w:lineRule="auto"/>
              <w:rPr>
                <w:rFonts w:ascii="Arial"/>
                <w:sz w:val="21"/>
              </w:rPr>
            </w:pPr>
          </w:p>
          <w:p w14:paraId="330E7D66">
            <w:pPr>
              <w:pStyle w:val="6"/>
              <w:spacing w:before="65" w:line="228" w:lineRule="auto"/>
              <w:ind w:left="129"/>
            </w:pPr>
            <w:r>
              <w:rPr>
                <w:spacing w:val="4"/>
              </w:rPr>
              <w:t>相符</w:t>
            </w:r>
          </w:p>
        </w:tc>
      </w:tr>
      <w:tr w14:paraId="41FD3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4" w:hRule="atLeast"/>
        </w:trPr>
        <w:tc>
          <w:tcPr>
            <w:tcW w:w="814" w:type="dxa"/>
            <w:tcBorders>
              <w:left w:val="single" w:color="000000" w:sz="10" w:space="0"/>
              <w:bottom w:val="single" w:color="000000" w:sz="10" w:space="0"/>
            </w:tcBorders>
            <w:vAlign w:val="top"/>
          </w:tcPr>
          <w:p w14:paraId="2D41CC75">
            <w:pPr>
              <w:spacing w:line="269" w:lineRule="auto"/>
              <w:rPr>
                <w:rFonts w:ascii="Arial"/>
                <w:sz w:val="21"/>
              </w:rPr>
            </w:pPr>
          </w:p>
          <w:p w14:paraId="4DB460B2">
            <w:pPr>
              <w:spacing w:line="269" w:lineRule="auto"/>
              <w:rPr>
                <w:rFonts w:ascii="Arial"/>
                <w:sz w:val="21"/>
              </w:rPr>
            </w:pPr>
          </w:p>
          <w:p w14:paraId="7803535D">
            <w:pPr>
              <w:spacing w:line="269" w:lineRule="auto"/>
              <w:rPr>
                <w:rFonts w:ascii="Arial"/>
                <w:sz w:val="21"/>
              </w:rPr>
            </w:pPr>
          </w:p>
          <w:p w14:paraId="6675C4BE">
            <w:pPr>
              <w:spacing w:line="270" w:lineRule="auto"/>
              <w:rPr>
                <w:rFonts w:ascii="Arial"/>
                <w:sz w:val="21"/>
              </w:rPr>
            </w:pPr>
          </w:p>
          <w:p w14:paraId="633A4F58">
            <w:pPr>
              <w:spacing w:line="270" w:lineRule="auto"/>
              <w:rPr>
                <w:rFonts w:ascii="Arial"/>
                <w:sz w:val="21"/>
              </w:rPr>
            </w:pPr>
          </w:p>
          <w:p w14:paraId="6D1795B3">
            <w:pPr>
              <w:spacing w:line="270" w:lineRule="auto"/>
              <w:rPr>
                <w:rFonts w:ascii="Arial"/>
                <w:sz w:val="21"/>
              </w:rPr>
            </w:pPr>
          </w:p>
          <w:p w14:paraId="2F005C87">
            <w:pPr>
              <w:pStyle w:val="6"/>
              <w:spacing w:before="65" w:line="228" w:lineRule="auto"/>
              <w:ind w:left="85"/>
            </w:pPr>
            <w:r>
              <w:rPr>
                <w:spacing w:val="6"/>
              </w:rPr>
              <w:t>污染物</w:t>
            </w:r>
          </w:p>
          <w:p w14:paraId="6E019086">
            <w:pPr>
              <w:pStyle w:val="6"/>
              <w:spacing w:before="24" w:line="252" w:lineRule="auto"/>
              <w:ind w:left="290" w:right="94" w:hanging="207"/>
            </w:pPr>
            <w:r>
              <w:rPr>
                <w:spacing w:val="6"/>
              </w:rPr>
              <w:t>排放管</w:t>
            </w:r>
            <w:r>
              <w:rPr>
                <w:spacing w:val="1"/>
              </w:rPr>
              <w:t>控</w:t>
            </w:r>
          </w:p>
        </w:tc>
        <w:tc>
          <w:tcPr>
            <w:tcW w:w="10252" w:type="dxa"/>
            <w:tcBorders>
              <w:bottom w:val="single" w:color="000000" w:sz="10" w:space="0"/>
            </w:tcBorders>
            <w:vAlign w:val="top"/>
          </w:tcPr>
          <w:p w14:paraId="5B54F28C">
            <w:pPr>
              <w:pStyle w:val="6"/>
              <w:spacing w:before="57" w:line="228" w:lineRule="auto"/>
            </w:pPr>
            <w:r>
              <w:rPr>
                <w:spacing w:val="-9"/>
              </w:rPr>
              <w:t>（</w:t>
            </w:r>
            <w:r>
              <w:rPr>
                <w:rFonts w:ascii="Arial" w:hAnsi="Arial" w:eastAsia="Arial" w:cs="Arial"/>
                <w:spacing w:val="-9"/>
              </w:rPr>
              <w:t>2.1</w:t>
            </w:r>
            <w:r>
              <w:rPr>
                <w:spacing w:val="-9"/>
              </w:rPr>
              <w:t>）废水：</w:t>
            </w:r>
          </w:p>
          <w:p w14:paraId="48F6F786">
            <w:pPr>
              <w:pStyle w:val="6"/>
              <w:spacing w:before="27" w:line="251" w:lineRule="auto"/>
              <w:ind w:left="9" w:right="908" w:firstLine="324"/>
            </w:pPr>
            <w:r>
              <w:rPr>
                <w:spacing w:val="7"/>
              </w:rPr>
              <w:t>（</w:t>
            </w:r>
            <w:r>
              <w:rPr>
                <w:rFonts w:ascii="Arial" w:hAnsi="Arial" w:eastAsia="Arial" w:cs="Arial"/>
                <w:spacing w:val="7"/>
              </w:rPr>
              <w:t>2.1.1</w:t>
            </w:r>
            <w:r>
              <w:rPr>
                <w:spacing w:val="7"/>
              </w:rPr>
              <w:t>）加快城区污水处理厂改造升级，加强污水管网、排水管网建设，延伸污水管网覆盖范围，全面实现雨污分流。</w:t>
            </w:r>
          </w:p>
          <w:p w14:paraId="223D3240">
            <w:pPr>
              <w:pStyle w:val="6"/>
              <w:spacing w:line="234" w:lineRule="auto"/>
              <w:ind w:left="10" w:right="17" w:firstLine="322"/>
            </w:pPr>
            <w:r>
              <w:rPr>
                <w:spacing w:val="9"/>
              </w:rPr>
              <w:t>（</w:t>
            </w:r>
            <w:r>
              <w:rPr>
                <w:rFonts w:ascii="Arial" w:hAnsi="Arial" w:eastAsia="Arial" w:cs="Arial"/>
                <w:spacing w:val="9"/>
              </w:rPr>
              <w:t>2.1.2</w:t>
            </w:r>
            <w:r>
              <w:rPr>
                <w:spacing w:val="9"/>
              </w:rPr>
              <w:t>）全面实施《隆回县隆回县县域农村生活污水处理专项规划》，加快推进乡镇污水处理厂建设，实现</w:t>
            </w:r>
            <w:r>
              <w:rPr>
                <w:spacing w:val="8"/>
              </w:rPr>
              <w:t>污水处理设施乡镇全覆盖。</w:t>
            </w:r>
          </w:p>
          <w:p w14:paraId="7E340B98">
            <w:pPr>
              <w:pStyle w:val="6"/>
              <w:spacing w:line="284" w:lineRule="exact"/>
              <w:ind w:left="333"/>
            </w:pPr>
            <w:r>
              <w:rPr>
                <w:spacing w:val="8"/>
                <w:position w:val="1"/>
              </w:rPr>
              <w:t>（</w:t>
            </w:r>
            <w:r>
              <w:rPr>
                <w:rFonts w:ascii="Arial" w:hAnsi="Arial" w:eastAsia="Arial" w:cs="Arial"/>
                <w:spacing w:val="8"/>
                <w:position w:val="1"/>
              </w:rPr>
              <w:t>2.1.3</w:t>
            </w:r>
            <w:r>
              <w:rPr>
                <w:spacing w:val="8"/>
                <w:position w:val="1"/>
              </w:rPr>
              <w:t>）实施畜禽规模养殖场标准化改造工程，确保废水实现达标后排放。</w:t>
            </w:r>
          </w:p>
          <w:p w14:paraId="28880D8B">
            <w:pPr>
              <w:pStyle w:val="6"/>
              <w:spacing w:before="24" w:line="228" w:lineRule="auto"/>
            </w:pPr>
            <w:r>
              <w:rPr>
                <w:spacing w:val="-6"/>
              </w:rPr>
              <w:t>（</w:t>
            </w:r>
            <w:r>
              <w:rPr>
                <w:rFonts w:ascii="Arial" w:hAnsi="Arial" w:eastAsia="Arial" w:cs="Arial"/>
                <w:spacing w:val="-6"/>
              </w:rPr>
              <w:t>2.2</w:t>
            </w:r>
            <w:r>
              <w:rPr>
                <w:spacing w:val="-6"/>
              </w:rPr>
              <w:t>）废气：</w:t>
            </w:r>
          </w:p>
          <w:p w14:paraId="42C5F71C">
            <w:pPr>
              <w:pStyle w:val="6"/>
              <w:spacing w:before="26" w:line="251" w:lineRule="auto"/>
              <w:ind w:left="14" w:right="52" w:firstLine="319"/>
            </w:pPr>
            <w:r>
              <w:rPr>
                <w:spacing w:val="8"/>
              </w:rPr>
              <w:t>（</w:t>
            </w:r>
            <w:r>
              <w:rPr>
                <w:rFonts w:ascii="Arial" w:hAnsi="Arial" w:eastAsia="Arial" w:cs="Arial"/>
                <w:spacing w:val="8"/>
              </w:rPr>
              <w:t>2.2.1</w:t>
            </w:r>
            <w:r>
              <w:rPr>
                <w:spacing w:val="8"/>
              </w:rPr>
              <w:t>）强化建筑施工、道路运输、环卫作业等扬尘污染综合整治，</w:t>
            </w:r>
            <w:r>
              <w:rPr>
                <w:spacing w:val="7"/>
              </w:rPr>
              <w:t>加强秸秆焚烧、垃圾焚烧、餐饮油烟、</w:t>
            </w:r>
            <w:r>
              <w:rPr>
                <w:spacing w:val="9"/>
              </w:rPr>
              <w:t>露天烧烤、烟花爆竹等生活面源防治，持续改善空气质量。</w:t>
            </w:r>
          </w:p>
          <w:p w14:paraId="16661932">
            <w:pPr>
              <w:pStyle w:val="6"/>
              <w:spacing w:before="1" w:line="216" w:lineRule="auto"/>
              <w:ind w:left="333"/>
            </w:pPr>
            <w:r>
              <w:rPr>
                <w:spacing w:val="9"/>
              </w:rPr>
              <w:t>（</w:t>
            </w:r>
            <w:r>
              <w:rPr>
                <w:rFonts w:ascii="Arial" w:hAnsi="Arial" w:eastAsia="Arial" w:cs="Arial"/>
                <w:spacing w:val="9"/>
              </w:rPr>
              <w:t>2.2.2</w:t>
            </w:r>
            <w:r>
              <w:rPr>
                <w:spacing w:val="9"/>
              </w:rPr>
              <w:t>）开展重点涉气企业污染整治专项</w:t>
            </w:r>
            <w:r>
              <w:rPr>
                <w:spacing w:val="8"/>
              </w:rPr>
              <w:t>行动，加快燃煤锅炉等装置环保技术改造。</w:t>
            </w:r>
          </w:p>
          <w:p w14:paraId="3A11D6FD">
            <w:pPr>
              <w:pStyle w:val="6"/>
              <w:spacing w:before="1" w:line="251" w:lineRule="auto"/>
              <w:ind w:left="10" w:right="41" w:firstLine="322"/>
            </w:pPr>
            <w:r>
              <w:rPr>
                <w:spacing w:val="8"/>
              </w:rPr>
              <w:t>（</w:t>
            </w:r>
            <w:r>
              <w:rPr>
                <w:rFonts w:ascii="Arial" w:hAnsi="Arial" w:eastAsia="Arial" w:cs="Arial"/>
                <w:spacing w:val="8"/>
              </w:rPr>
              <w:t>2.2.3</w:t>
            </w:r>
            <w:r>
              <w:rPr>
                <w:spacing w:val="8"/>
              </w:rPr>
              <w:t>）推进</w:t>
            </w:r>
            <w:r>
              <w:rPr>
                <w:rFonts w:ascii="Arial" w:hAnsi="Arial" w:eastAsia="Arial" w:cs="Arial"/>
              </w:rPr>
              <w:t>PM</w:t>
            </w:r>
            <w:r>
              <w:rPr>
                <w:rFonts w:ascii="Arial" w:hAnsi="Arial" w:eastAsia="Arial" w:cs="Arial"/>
                <w:spacing w:val="8"/>
              </w:rPr>
              <w:t>2.5</w:t>
            </w:r>
            <w:r>
              <w:rPr>
                <w:spacing w:val="8"/>
              </w:rPr>
              <w:t>与臭氧协同治理，强化重点行业</w:t>
            </w:r>
            <w:r>
              <w:rPr>
                <w:rFonts w:ascii="Arial" w:hAnsi="Arial" w:eastAsia="Arial" w:cs="Arial"/>
              </w:rPr>
              <w:t>NOx</w:t>
            </w:r>
            <w:r>
              <w:rPr>
                <w:spacing w:val="8"/>
              </w:rPr>
              <w:t>深度治理，控制挥发性有机物排放，加强扬尘</w:t>
            </w:r>
            <w:r>
              <w:rPr>
                <w:spacing w:val="9"/>
              </w:rPr>
              <w:t>污染治理，兼顾移动源污染治理，积极应对重污染天气。</w:t>
            </w:r>
          </w:p>
          <w:p w14:paraId="4A96F5A0">
            <w:pPr>
              <w:pStyle w:val="6"/>
              <w:spacing w:line="279" w:lineRule="exact"/>
              <w:ind w:left="333"/>
            </w:pPr>
            <w:r>
              <w:rPr>
                <w:spacing w:val="7"/>
                <w:position w:val="1"/>
              </w:rPr>
              <w:t>（</w:t>
            </w:r>
            <w:r>
              <w:rPr>
                <w:rFonts w:ascii="Arial" w:hAnsi="Arial" w:eastAsia="Arial" w:cs="Arial"/>
                <w:spacing w:val="7"/>
                <w:position w:val="1"/>
              </w:rPr>
              <w:t>2.2.4</w:t>
            </w:r>
            <w:r>
              <w:rPr>
                <w:spacing w:val="7"/>
                <w:position w:val="1"/>
              </w:rPr>
              <w:t>）到</w:t>
            </w:r>
            <w:r>
              <w:rPr>
                <w:rFonts w:ascii="Arial" w:hAnsi="Arial" w:eastAsia="Arial" w:cs="Arial"/>
                <w:spacing w:val="7"/>
                <w:position w:val="1"/>
              </w:rPr>
              <w:t>2025</w:t>
            </w:r>
            <w:r>
              <w:rPr>
                <w:spacing w:val="7"/>
                <w:position w:val="1"/>
              </w:rPr>
              <w:t>年，县城空气质量指数达到优良天数占比</w:t>
            </w:r>
            <w:r>
              <w:rPr>
                <w:rFonts w:ascii="Arial" w:hAnsi="Arial" w:eastAsia="Arial" w:cs="Arial"/>
                <w:spacing w:val="7"/>
                <w:position w:val="1"/>
              </w:rPr>
              <w:t>90</w:t>
            </w:r>
            <w:r>
              <w:rPr>
                <w:rFonts w:ascii="Arial" w:hAnsi="Arial" w:eastAsia="Arial" w:cs="Arial"/>
                <w:spacing w:val="6"/>
                <w:position w:val="1"/>
              </w:rPr>
              <w:t>%</w:t>
            </w:r>
            <w:r>
              <w:rPr>
                <w:spacing w:val="6"/>
                <w:position w:val="1"/>
              </w:rPr>
              <w:t>以上。</w:t>
            </w:r>
          </w:p>
          <w:p w14:paraId="4D2C51B4">
            <w:pPr>
              <w:pStyle w:val="6"/>
              <w:spacing w:before="1" w:line="247" w:lineRule="auto"/>
              <w:ind w:left="96" w:right="7" w:hanging="97"/>
            </w:pPr>
            <w:r>
              <w:rPr>
                <w:spacing w:val="7"/>
              </w:rPr>
              <w:t>（</w:t>
            </w:r>
            <w:r>
              <w:rPr>
                <w:rFonts w:ascii="Arial" w:hAnsi="Arial" w:eastAsia="Arial" w:cs="Arial"/>
                <w:spacing w:val="7"/>
              </w:rPr>
              <w:t>2.3</w:t>
            </w:r>
            <w:r>
              <w:rPr>
                <w:spacing w:val="7"/>
              </w:rPr>
              <w:t>）固体废物：强化固体废弃物污染管控，开展废弃矿场、垃圾填埋场综合整治专项行动，促进固体废弃物清</w:t>
            </w:r>
            <w:r>
              <w:rPr>
                <w:spacing w:val="6"/>
              </w:rPr>
              <w:t>洁焚烧与资源化利用。</w:t>
            </w:r>
          </w:p>
        </w:tc>
        <w:tc>
          <w:tcPr>
            <w:tcW w:w="2314" w:type="dxa"/>
            <w:tcBorders>
              <w:bottom w:val="single" w:color="000000" w:sz="10" w:space="0"/>
            </w:tcBorders>
            <w:vAlign w:val="top"/>
          </w:tcPr>
          <w:p w14:paraId="45C16D53">
            <w:pPr>
              <w:spacing w:line="250" w:lineRule="auto"/>
              <w:rPr>
                <w:rFonts w:ascii="Arial"/>
                <w:sz w:val="21"/>
              </w:rPr>
            </w:pPr>
          </w:p>
          <w:p w14:paraId="60721D15">
            <w:pPr>
              <w:spacing w:line="250" w:lineRule="auto"/>
              <w:rPr>
                <w:rFonts w:ascii="Arial"/>
                <w:sz w:val="21"/>
              </w:rPr>
            </w:pPr>
          </w:p>
          <w:p w14:paraId="3A6CE97C">
            <w:pPr>
              <w:spacing w:line="250" w:lineRule="auto"/>
              <w:rPr>
                <w:rFonts w:ascii="Arial"/>
                <w:sz w:val="21"/>
              </w:rPr>
            </w:pPr>
          </w:p>
          <w:p w14:paraId="58A5FDEB">
            <w:pPr>
              <w:spacing w:line="250" w:lineRule="auto"/>
              <w:rPr>
                <w:rFonts w:ascii="Arial"/>
                <w:sz w:val="21"/>
              </w:rPr>
            </w:pPr>
          </w:p>
          <w:p w14:paraId="07BE6616">
            <w:pPr>
              <w:spacing w:line="251" w:lineRule="auto"/>
              <w:rPr>
                <w:rFonts w:ascii="Arial"/>
                <w:sz w:val="21"/>
              </w:rPr>
            </w:pPr>
          </w:p>
          <w:p w14:paraId="2C6A5190">
            <w:pPr>
              <w:spacing w:line="251" w:lineRule="auto"/>
              <w:rPr>
                <w:rFonts w:ascii="Arial"/>
                <w:sz w:val="21"/>
              </w:rPr>
            </w:pPr>
          </w:p>
          <w:p w14:paraId="79A881E1">
            <w:pPr>
              <w:spacing w:line="251" w:lineRule="auto"/>
              <w:rPr>
                <w:rFonts w:ascii="Arial"/>
                <w:sz w:val="21"/>
              </w:rPr>
            </w:pPr>
          </w:p>
          <w:p w14:paraId="144B4D96">
            <w:pPr>
              <w:pStyle w:val="6"/>
              <w:spacing w:before="65" w:line="252" w:lineRule="auto"/>
              <w:ind w:left="28" w:right="190" w:firstLine="1"/>
            </w:pPr>
            <w:r>
              <w:rPr>
                <w:spacing w:val="8"/>
              </w:rPr>
              <w:t>本项目为污水处理厂改</w:t>
            </w:r>
            <w:r>
              <w:rPr>
                <w:spacing w:val="6"/>
              </w:rPr>
              <w:t>造升级项目。</w:t>
            </w:r>
          </w:p>
        </w:tc>
        <w:tc>
          <w:tcPr>
            <w:tcW w:w="659" w:type="dxa"/>
            <w:tcBorders>
              <w:bottom w:val="single" w:color="000000" w:sz="10" w:space="0"/>
              <w:right w:val="single" w:color="000000" w:sz="10" w:space="0"/>
            </w:tcBorders>
            <w:vAlign w:val="top"/>
          </w:tcPr>
          <w:p w14:paraId="3C9F0110">
            <w:pPr>
              <w:spacing w:line="269" w:lineRule="auto"/>
              <w:rPr>
                <w:rFonts w:ascii="Arial"/>
                <w:sz w:val="21"/>
              </w:rPr>
            </w:pPr>
          </w:p>
          <w:p w14:paraId="69851FD6">
            <w:pPr>
              <w:spacing w:line="269" w:lineRule="auto"/>
              <w:rPr>
                <w:rFonts w:ascii="Arial"/>
                <w:sz w:val="21"/>
              </w:rPr>
            </w:pPr>
          </w:p>
          <w:p w14:paraId="0EAC3B9B">
            <w:pPr>
              <w:spacing w:line="270" w:lineRule="auto"/>
              <w:rPr>
                <w:rFonts w:ascii="Arial"/>
                <w:sz w:val="21"/>
              </w:rPr>
            </w:pPr>
          </w:p>
          <w:p w14:paraId="3D49EDAD">
            <w:pPr>
              <w:spacing w:line="270" w:lineRule="auto"/>
              <w:rPr>
                <w:rFonts w:ascii="Arial"/>
                <w:sz w:val="21"/>
              </w:rPr>
            </w:pPr>
          </w:p>
          <w:p w14:paraId="1FD3872A">
            <w:pPr>
              <w:spacing w:line="270" w:lineRule="auto"/>
              <w:rPr>
                <w:rFonts w:ascii="Arial"/>
                <w:sz w:val="21"/>
              </w:rPr>
            </w:pPr>
          </w:p>
          <w:p w14:paraId="48EA0FF4">
            <w:pPr>
              <w:spacing w:line="270" w:lineRule="auto"/>
              <w:rPr>
                <w:rFonts w:ascii="Arial"/>
                <w:sz w:val="21"/>
              </w:rPr>
            </w:pPr>
          </w:p>
          <w:p w14:paraId="3894937F">
            <w:pPr>
              <w:spacing w:line="270" w:lineRule="auto"/>
              <w:rPr>
                <w:rFonts w:ascii="Arial"/>
                <w:sz w:val="21"/>
              </w:rPr>
            </w:pPr>
          </w:p>
          <w:p w14:paraId="02106268">
            <w:pPr>
              <w:pStyle w:val="6"/>
              <w:spacing w:before="65" w:line="228" w:lineRule="auto"/>
              <w:ind w:left="129"/>
            </w:pPr>
            <w:r>
              <w:rPr>
                <w:spacing w:val="4"/>
              </w:rPr>
              <w:t>相符</w:t>
            </w:r>
          </w:p>
        </w:tc>
      </w:tr>
    </w:tbl>
    <w:p w14:paraId="1ACD7B9C">
      <w:pPr>
        <w:pStyle w:val="2"/>
      </w:pPr>
    </w:p>
    <w:p w14:paraId="0B03DE32">
      <w:pPr>
        <w:sectPr>
          <w:footerReference r:id="rId100" w:type="default"/>
          <w:pgSz w:w="16840" w:h="11907"/>
          <w:pgMar w:top="1132" w:right="1387" w:bottom="1258" w:left="1387" w:header="829" w:footer="1096" w:gutter="0"/>
          <w:cols w:space="720" w:num="1"/>
        </w:sectPr>
      </w:pPr>
    </w:p>
    <w:p w14:paraId="1D09CBC3">
      <w:pPr>
        <w:spacing w:before="43"/>
      </w:pPr>
    </w:p>
    <w:p w14:paraId="688C68D0">
      <w:pPr>
        <w:spacing w:before="42"/>
      </w:pPr>
    </w:p>
    <w:tbl>
      <w:tblPr>
        <w:tblStyle w:val="5"/>
        <w:tblW w:w="14039"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4"/>
        <w:gridCol w:w="10252"/>
        <w:gridCol w:w="2314"/>
        <w:gridCol w:w="659"/>
      </w:tblGrid>
      <w:tr w14:paraId="68DFFF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2" w:hRule="atLeast"/>
        </w:trPr>
        <w:tc>
          <w:tcPr>
            <w:tcW w:w="814" w:type="dxa"/>
            <w:tcBorders>
              <w:top w:val="single" w:color="000000" w:sz="10" w:space="0"/>
              <w:left w:val="single" w:color="000000" w:sz="10" w:space="0"/>
            </w:tcBorders>
            <w:vAlign w:val="top"/>
          </w:tcPr>
          <w:p w14:paraId="4B95F2C0">
            <w:pPr>
              <w:spacing w:line="330" w:lineRule="auto"/>
              <w:rPr>
                <w:rFonts w:ascii="Arial"/>
                <w:sz w:val="21"/>
              </w:rPr>
            </w:pPr>
          </w:p>
          <w:p w14:paraId="606475DF">
            <w:pPr>
              <w:spacing w:line="331" w:lineRule="auto"/>
              <w:rPr>
                <w:rFonts w:ascii="Arial"/>
                <w:sz w:val="21"/>
              </w:rPr>
            </w:pPr>
          </w:p>
          <w:p w14:paraId="4341828C">
            <w:pPr>
              <w:pStyle w:val="6"/>
              <w:spacing w:before="65" w:line="228" w:lineRule="auto"/>
              <w:ind w:left="83"/>
            </w:pPr>
            <w:r>
              <w:rPr>
                <w:spacing w:val="6"/>
              </w:rPr>
              <w:t>环境风</w:t>
            </w:r>
          </w:p>
          <w:p w14:paraId="128ABFBB">
            <w:pPr>
              <w:pStyle w:val="6"/>
              <w:spacing w:before="26" w:line="228" w:lineRule="auto"/>
              <w:ind w:left="95"/>
            </w:pPr>
            <w:r>
              <w:rPr>
                <w:spacing w:val="3"/>
              </w:rPr>
              <w:t>险防控</w:t>
            </w:r>
          </w:p>
        </w:tc>
        <w:tc>
          <w:tcPr>
            <w:tcW w:w="10252" w:type="dxa"/>
            <w:tcBorders>
              <w:top w:val="single" w:color="000000" w:sz="10" w:space="0"/>
            </w:tcBorders>
            <w:vAlign w:val="top"/>
          </w:tcPr>
          <w:p w14:paraId="773944A6">
            <w:pPr>
              <w:pStyle w:val="6"/>
              <w:spacing w:before="13" w:line="280" w:lineRule="exact"/>
            </w:pPr>
            <w:r>
              <w:rPr>
                <w:spacing w:val="6"/>
                <w:position w:val="1"/>
              </w:rPr>
              <w:t>（</w:t>
            </w:r>
            <w:r>
              <w:rPr>
                <w:rFonts w:ascii="Arial" w:hAnsi="Arial" w:eastAsia="Arial" w:cs="Arial"/>
                <w:spacing w:val="6"/>
                <w:position w:val="1"/>
              </w:rPr>
              <w:t>3.1</w:t>
            </w:r>
            <w:r>
              <w:rPr>
                <w:spacing w:val="6"/>
                <w:position w:val="1"/>
              </w:rPr>
              <w:t>）加快推进土壤污染状况详查，开展重点地区工矿企业重金属污染耕地风险排查整治。</w:t>
            </w:r>
          </w:p>
          <w:p w14:paraId="63BEBA35">
            <w:pPr>
              <w:pStyle w:val="6"/>
              <w:spacing w:before="1" w:line="248" w:lineRule="auto"/>
              <w:ind w:left="96" w:right="856" w:hanging="97"/>
            </w:pPr>
            <w:r>
              <w:rPr>
                <w:spacing w:val="7"/>
              </w:rPr>
              <w:t>（</w:t>
            </w:r>
            <w:r>
              <w:rPr>
                <w:rFonts w:ascii="Arial" w:hAnsi="Arial" w:eastAsia="Arial" w:cs="Arial"/>
                <w:spacing w:val="7"/>
              </w:rPr>
              <w:t>3.2</w:t>
            </w:r>
            <w:r>
              <w:rPr>
                <w:spacing w:val="7"/>
              </w:rPr>
              <w:t>）开展矿山地质环境治理，消除地面坍塌、滑坡、泥石流</w:t>
            </w:r>
            <w:r>
              <w:rPr>
                <w:spacing w:val="6"/>
              </w:rPr>
              <w:t>、矿坑突水等地质灾害，加强重金属矿、</w:t>
            </w:r>
            <w:r>
              <w:rPr>
                <w:spacing w:val="7"/>
              </w:rPr>
              <w:t>历史遗留煤矿等整治和生态修复，加快实施煤矿沉陷区生态治理与修复。</w:t>
            </w:r>
          </w:p>
          <w:p w14:paraId="6FCBA6BB">
            <w:pPr>
              <w:pStyle w:val="6"/>
              <w:spacing w:line="278" w:lineRule="exact"/>
            </w:pPr>
            <w:r>
              <w:rPr>
                <w:spacing w:val="7"/>
                <w:position w:val="1"/>
              </w:rPr>
              <w:t>（</w:t>
            </w:r>
            <w:r>
              <w:rPr>
                <w:rFonts w:ascii="Arial" w:hAnsi="Arial" w:eastAsia="Arial" w:cs="Arial"/>
                <w:spacing w:val="7"/>
                <w:position w:val="1"/>
              </w:rPr>
              <w:t>3.3</w:t>
            </w:r>
            <w:r>
              <w:rPr>
                <w:spacing w:val="7"/>
                <w:position w:val="1"/>
              </w:rPr>
              <w:t>）加强重点城镇饮用水源地一级保护区隔离工程、饮用</w:t>
            </w:r>
            <w:r>
              <w:rPr>
                <w:spacing w:val="6"/>
                <w:position w:val="1"/>
              </w:rPr>
              <w:t>水源地环境监管能力建设。</w:t>
            </w:r>
          </w:p>
          <w:p w14:paraId="73D81633">
            <w:pPr>
              <w:pStyle w:val="6"/>
              <w:spacing w:line="248" w:lineRule="auto"/>
              <w:ind w:left="93" w:right="5" w:hanging="93"/>
            </w:pPr>
            <w:r>
              <w:rPr>
                <w:spacing w:val="7"/>
              </w:rPr>
              <w:t>（</w:t>
            </w:r>
            <w:r>
              <w:rPr>
                <w:rFonts w:ascii="Arial" w:hAnsi="Arial" w:eastAsia="Arial" w:cs="Arial"/>
                <w:spacing w:val="7"/>
              </w:rPr>
              <w:t>3.4</w:t>
            </w:r>
            <w:r>
              <w:rPr>
                <w:spacing w:val="7"/>
              </w:rPr>
              <w:t>）根据《隆回县突发环境事件应急预案》加强突发环境事件应急演练，深化重点领域、重点行业环境风险防</w:t>
            </w:r>
            <w:r>
              <w:rPr>
                <w:spacing w:val="-1"/>
              </w:rPr>
              <w:t>控。</w:t>
            </w:r>
          </w:p>
          <w:p w14:paraId="6055AD01">
            <w:pPr>
              <w:pStyle w:val="6"/>
              <w:spacing w:line="263" w:lineRule="exact"/>
            </w:pPr>
            <w:r>
              <w:rPr>
                <w:spacing w:val="6"/>
                <w:position w:val="1"/>
              </w:rPr>
              <w:t>（</w:t>
            </w:r>
            <w:r>
              <w:rPr>
                <w:rFonts w:ascii="Arial" w:hAnsi="Arial" w:eastAsia="Arial" w:cs="Arial"/>
                <w:spacing w:val="6"/>
                <w:position w:val="1"/>
              </w:rPr>
              <w:t>3.5</w:t>
            </w:r>
            <w:r>
              <w:rPr>
                <w:spacing w:val="6"/>
                <w:position w:val="1"/>
              </w:rPr>
              <w:t>）加强对工业园区、饮用水水源保护区、自然保护地等重点地区和砖瓦、造纸等重点行业的监管。</w:t>
            </w:r>
          </w:p>
        </w:tc>
        <w:tc>
          <w:tcPr>
            <w:tcW w:w="2314" w:type="dxa"/>
            <w:tcBorders>
              <w:top w:val="single" w:color="000000" w:sz="10" w:space="0"/>
            </w:tcBorders>
            <w:vAlign w:val="top"/>
          </w:tcPr>
          <w:p w14:paraId="5E31F047">
            <w:pPr>
              <w:spacing w:line="391" w:lineRule="auto"/>
              <w:rPr>
                <w:rFonts w:ascii="Arial"/>
                <w:sz w:val="21"/>
              </w:rPr>
            </w:pPr>
          </w:p>
          <w:p w14:paraId="5D1DB4F0">
            <w:pPr>
              <w:pStyle w:val="6"/>
              <w:spacing w:before="65" w:line="227" w:lineRule="auto"/>
              <w:ind w:left="123"/>
            </w:pPr>
            <w:r>
              <w:rPr>
                <w:spacing w:val="8"/>
              </w:rPr>
              <w:t>本项目严格执行湖南省</w:t>
            </w:r>
          </w:p>
          <w:p w14:paraId="6E3B1A82">
            <w:pPr>
              <w:pStyle w:val="6"/>
              <w:spacing w:before="25" w:line="227" w:lineRule="auto"/>
              <w:ind w:right="3"/>
              <w:jc w:val="right"/>
            </w:pPr>
            <w:r>
              <w:rPr>
                <w:spacing w:val="6"/>
              </w:rPr>
              <w:t>总体要求、邵阳市基本要</w:t>
            </w:r>
          </w:p>
          <w:p w14:paraId="7C81867C">
            <w:pPr>
              <w:pStyle w:val="6"/>
              <w:spacing w:before="28" w:line="228" w:lineRule="auto"/>
              <w:ind w:left="124"/>
            </w:pPr>
            <w:r>
              <w:rPr>
                <w:spacing w:val="8"/>
              </w:rPr>
              <w:t>求中与环境风险防控有</w:t>
            </w:r>
          </w:p>
          <w:p w14:paraId="11BBBC61">
            <w:pPr>
              <w:pStyle w:val="6"/>
              <w:spacing w:before="24" w:line="228" w:lineRule="auto"/>
              <w:ind w:left="651"/>
            </w:pPr>
            <w:r>
              <w:rPr>
                <w:spacing w:val="5"/>
              </w:rPr>
              <w:t>关的规定。</w:t>
            </w:r>
          </w:p>
        </w:tc>
        <w:tc>
          <w:tcPr>
            <w:tcW w:w="659" w:type="dxa"/>
            <w:tcBorders>
              <w:top w:val="single" w:color="000000" w:sz="10" w:space="0"/>
              <w:right w:val="single" w:color="000000" w:sz="10" w:space="0"/>
            </w:tcBorders>
            <w:vAlign w:val="top"/>
          </w:tcPr>
          <w:p w14:paraId="789CF7C1">
            <w:pPr>
              <w:spacing w:line="265" w:lineRule="auto"/>
              <w:rPr>
                <w:rFonts w:ascii="Arial"/>
                <w:sz w:val="21"/>
              </w:rPr>
            </w:pPr>
          </w:p>
          <w:p w14:paraId="41F6B559">
            <w:pPr>
              <w:spacing w:line="266" w:lineRule="auto"/>
              <w:rPr>
                <w:rFonts w:ascii="Arial"/>
                <w:sz w:val="21"/>
              </w:rPr>
            </w:pPr>
          </w:p>
          <w:p w14:paraId="52249F9C">
            <w:pPr>
              <w:spacing w:line="266" w:lineRule="auto"/>
              <w:rPr>
                <w:rFonts w:ascii="Arial"/>
                <w:sz w:val="21"/>
              </w:rPr>
            </w:pPr>
          </w:p>
          <w:p w14:paraId="59E03FC9">
            <w:pPr>
              <w:pStyle w:val="6"/>
              <w:spacing w:before="65" w:line="228" w:lineRule="auto"/>
              <w:ind w:left="129"/>
            </w:pPr>
            <w:r>
              <w:rPr>
                <w:spacing w:val="4"/>
              </w:rPr>
              <w:t>相符</w:t>
            </w:r>
          </w:p>
        </w:tc>
      </w:tr>
      <w:tr w14:paraId="64C6C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0" w:hRule="atLeast"/>
        </w:trPr>
        <w:tc>
          <w:tcPr>
            <w:tcW w:w="814" w:type="dxa"/>
            <w:tcBorders>
              <w:left w:val="single" w:color="000000" w:sz="10" w:space="0"/>
              <w:bottom w:val="single" w:color="000000" w:sz="10" w:space="0"/>
            </w:tcBorders>
            <w:vAlign w:val="top"/>
          </w:tcPr>
          <w:p w14:paraId="7BC24C6D">
            <w:pPr>
              <w:spacing w:line="246" w:lineRule="auto"/>
              <w:rPr>
                <w:rFonts w:ascii="Arial"/>
                <w:sz w:val="21"/>
              </w:rPr>
            </w:pPr>
          </w:p>
          <w:p w14:paraId="1CBF8E2D">
            <w:pPr>
              <w:spacing w:line="246" w:lineRule="auto"/>
              <w:rPr>
                <w:rFonts w:ascii="Arial"/>
                <w:sz w:val="21"/>
              </w:rPr>
            </w:pPr>
          </w:p>
          <w:p w14:paraId="444F6571">
            <w:pPr>
              <w:spacing w:line="246" w:lineRule="auto"/>
              <w:rPr>
                <w:rFonts w:ascii="Arial"/>
                <w:sz w:val="21"/>
              </w:rPr>
            </w:pPr>
          </w:p>
          <w:p w14:paraId="06450149">
            <w:pPr>
              <w:spacing w:line="246" w:lineRule="auto"/>
              <w:rPr>
                <w:rFonts w:ascii="Arial"/>
                <w:sz w:val="21"/>
              </w:rPr>
            </w:pPr>
          </w:p>
          <w:p w14:paraId="55D6A9F6">
            <w:pPr>
              <w:spacing w:line="246" w:lineRule="auto"/>
              <w:rPr>
                <w:rFonts w:ascii="Arial"/>
                <w:sz w:val="21"/>
              </w:rPr>
            </w:pPr>
          </w:p>
          <w:p w14:paraId="7F417CF7">
            <w:pPr>
              <w:spacing w:line="247" w:lineRule="auto"/>
              <w:rPr>
                <w:rFonts w:ascii="Arial"/>
                <w:sz w:val="21"/>
              </w:rPr>
            </w:pPr>
          </w:p>
          <w:p w14:paraId="550E7801">
            <w:pPr>
              <w:pStyle w:val="6"/>
              <w:spacing w:before="65" w:line="229" w:lineRule="auto"/>
              <w:ind w:left="92"/>
            </w:pPr>
            <w:r>
              <w:rPr>
                <w:spacing w:val="3"/>
              </w:rPr>
              <w:t>资源开</w:t>
            </w:r>
          </w:p>
          <w:p w14:paraId="3DBACBB0">
            <w:pPr>
              <w:pStyle w:val="6"/>
              <w:spacing w:before="26" w:line="252" w:lineRule="auto"/>
              <w:ind w:left="186" w:right="94" w:hanging="100"/>
            </w:pPr>
            <w:r>
              <w:rPr>
                <w:spacing w:val="5"/>
              </w:rPr>
              <w:t>发效率</w:t>
            </w:r>
            <w:r>
              <w:rPr>
                <w:spacing w:val="4"/>
              </w:rPr>
              <w:t>要求</w:t>
            </w:r>
          </w:p>
        </w:tc>
        <w:tc>
          <w:tcPr>
            <w:tcW w:w="10252" w:type="dxa"/>
            <w:tcBorders>
              <w:bottom w:val="single" w:color="000000" w:sz="10" w:space="0"/>
            </w:tcBorders>
            <w:vAlign w:val="top"/>
          </w:tcPr>
          <w:p w14:paraId="1676AFB9">
            <w:pPr>
              <w:pStyle w:val="6"/>
              <w:spacing w:before="57" w:line="250" w:lineRule="auto"/>
              <w:ind w:left="96" w:right="7" w:hanging="96"/>
            </w:pPr>
            <w:r>
              <w:rPr>
                <w:spacing w:val="7"/>
              </w:rPr>
              <w:t>（</w:t>
            </w:r>
            <w:r>
              <w:rPr>
                <w:rFonts w:ascii="Arial" w:hAnsi="Arial" w:eastAsia="Arial" w:cs="Arial"/>
                <w:spacing w:val="7"/>
              </w:rPr>
              <w:t>4.1</w:t>
            </w:r>
            <w:r>
              <w:rPr>
                <w:spacing w:val="7"/>
              </w:rPr>
              <w:t>）能源：改善能源结构，提高非化石能源及</w:t>
            </w:r>
            <w:r>
              <w:rPr>
                <w:spacing w:val="6"/>
              </w:rPr>
              <w:t>天然气消费比例，降低煤炭消费比重；提升能源系统效率，降低单位国内生产总值能耗比。</w:t>
            </w:r>
          </w:p>
          <w:p w14:paraId="0CFE96D5">
            <w:pPr>
              <w:pStyle w:val="6"/>
              <w:spacing w:line="227" w:lineRule="auto"/>
            </w:pPr>
            <w:r>
              <w:rPr>
                <w:spacing w:val="-4"/>
              </w:rPr>
              <w:t>（</w:t>
            </w:r>
            <w:r>
              <w:rPr>
                <w:rFonts w:ascii="Arial" w:hAnsi="Arial" w:eastAsia="Arial" w:cs="Arial"/>
                <w:spacing w:val="-4"/>
              </w:rPr>
              <w:t>4.2</w:t>
            </w:r>
            <w:r>
              <w:rPr>
                <w:spacing w:val="-4"/>
              </w:rPr>
              <w:t>）水资源：</w:t>
            </w:r>
          </w:p>
          <w:p w14:paraId="060F393A">
            <w:pPr>
              <w:pStyle w:val="6"/>
              <w:spacing w:before="26" w:line="218" w:lineRule="auto"/>
              <w:ind w:left="333"/>
            </w:pPr>
            <w:r>
              <w:rPr>
                <w:spacing w:val="7"/>
              </w:rPr>
              <w:t>（</w:t>
            </w:r>
            <w:r>
              <w:rPr>
                <w:rFonts w:ascii="Arial" w:hAnsi="Arial" w:eastAsia="Arial" w:cs="Arial"/>
                <w:spacing w:val="7"/>
              </w:rPr>
              <w:t>4.2.1</w:t>
            </w:r>
            <w:r>
              <w:rPr>
                <w:spacing w:val="7"/>
              </w:rPr>
              <w:t>）加强水资源、集约高效利用，执行最严格的水资源保护管理制度。</w:t>
            </w:r>
          </w:p>
          <w:p w14:paraId="06881711">
            <w:pPr>
              <w:pStyle w:val="6"/>
              <w:spacing w:line="254" w:lineRule="auto"/>
              <w:ind w:left="9" w:right="5" w:firstLine="324"/>
            </w:pPr>
            <w:r>
              <w:rPr>
                <w:spacing w:val="7"/>
              </w:rPr>
              <w:t>（</w:t>
            </w:r>
            <w:r>
              <w:rPr>
                <w:rFonts w:ascii="Arial" w:hAnsi="Arial" w:eastAsia="Arial" w:cs="Arial"/>
                <w:spacing w:val="7"/>
              </w:rPr>
              <w:t>4.2.2</w:t>
            </w:r>
            <w:r>
              <w:rPr>
                <w:spacing w:val="7"/>
              </w:rPr>
              <w:t>）隆回县用水总量</w:t>
            </w:r>
            <w:r>
              <w:rPr>
                <w:rFonts w:ascii="Arial" w:hAnsi="Arial" w:eastAsia="Arial" w:cs="Arial"/>
                <w:spacing w:val="7"/>
              </w:rPr>
              <w:t>3.771(</w:t>
            </w:r>
            <w:r>
              <w:rPr>
                <w:spacing w:val="7"/>
              </w:rPr>
              <w:t>亿立方米</w:t>
            </w:r>
            <w:r>
              <w:rPr>
                <w:rFonts w:ascii="Arial" w:hAnsi="Arial" w:eastAsia="Arial" w:cs="Arial"/>
                <w:spacing w:val="7"/>
              </w:rPr>
              <w:t>)</w:t>
            </w:r>
            <w:r>
              <w:rPr>
                <w:spacing w:val="6"/>
              </w:rPr>
              <w:t>，万元地区生产总量用水量比</w:t>
            </w:r>
            <w:r>
              <w:rPr>
                <w:rFonts w:ascii="Arial" w:hAnsi="Arial" w:eastAsia="Arial" w:cs="Arial"/>
                <w:spacing w:val="6"/>
              </w:rPr>
              <w:t>2020</w:t>
            </w:r>
            <w:r>
              <w:rPr>
                <w:spacing w:val="6"/>
              </w:rPr>
              <w:t>年下降</w:t>
            </w:r>
            <w:r>
              <w:rPr>
                <w:rFonts w:ascii="Arial" w:hAnsi="Arial" w:eastAsia="Arial" w:cs="Arial"/>
                <w:spacing w:val="6"/>
              </w:rPr>
              <w:t>20.16%</w:t>
            </w:r>
            <w:r>
              <w:rPr>
                <w:spacing w:val="6"/>
              </w:rPr>
              <w:t>，万元工业增加值用水</w:t>
            </w:r>
            <w:r>
              <w:rPr>
                <w:rFonts w:ascii="Arial" w:hAnsi="Arial" w:eastAsia="Arial" w:cs="Arial"/>
                <w:spacing w:val="6"/>
              </w:rPr>
              <w:t>12.13%</w:t>
            </w:r>
            <w:r>
              <w:rPr>
                <w:spacing w:val="6"/>
              </w:rPr>
              <w:t>，农田灌溉水有效利用</w:t>
            </w:r>
            <w:r>
              <w:rPr>
                <w:spacing w:val="5"/>
              </w:rPr>
              <w:t>系数为</w:t>
            </w:r>
            <w:r>
              <w:rPr>
                <w:rFonts w:ascii="Arial" w:hAnsi="Arial" w:eastAsia="Arial" w:cs="Arial"/>
                <w:spacing w:val="5"/>
              </w:rPr>
              <w:t>0.56</w:t>
            </w:r>
            <w:r>
              <w:rPr>
                <w:spacing w:val="5"/>
              </w:rPr>
              <w:t>。</w:t>
            </w:r>
          </w:p>
          <w:p w14:paraId="73988611">
            <w:pPr>
              <w:pStyle w:val="6"/>
              <w:spacing w:line="272" w:lineRule="exact"/>
            </w:pPr>
            <w:r>
              <w:rPr>
                <w:spacing w:val="-3"/>
                <w:position w:val="1"/>
              </w:rPr>
              <w:t>（</w:t>
            </w:r>
            <w:r>
              <w:rPr>
                <w:rFonts w:ascii="Arial" w:hAnsi="Arial" w:eastAsia="Arial" w:cs="Arial"/>
                <w:spacing w:val="-3"/>
                <w:position w:val="1"/>
              </w:rPr>
              <w:t>4.3</w:t>
            </w:r>
            <w:r>
              <w:rPr>
                <w:spacing w:val="-3"/>
                <w:position w:val="1"/>
              </w:rPr>
              <w:t>）土地资源：</w:t>
            </w:r>
          </w:p>
          <w:p w14:paraId="0A40A656">
            <w:pPr>
              <w:pStyle w:val="6"/>
              <w:spacing w:before="2" w:line="249" w:lineRule="auto"/>
              <w:ind w:left="8" w:right="5" w:firstLine="325"/>
              <w:jc w:val="both"/>
            </w:pPr>
            <w:r>
              <w:rPr>
                <w:spacing w:val="9"/>
              </w:rPr>
              <w:t>（</w:t>
            </w:r>
            <w:r>
              <w:rPr>
                <w:rFonts w:ascii="Arial" w:hAnsi="Arial" w:eastAsia="Arial" w:cs="Arial"/>
                <w:spacing w:val="9"/>
              </w:rPr>
              <w:t>4.3.1</w:t>
            </w:r>
            <w:r>
              <w:rPr>
                <w:spacing w:val="9"/>
              </w:rPr>
              <w:t>）按照</w:t>
            </w:r>
            <w:r>
              <w:rPr>
                <w:rFonts w:ascii="Arial" w:hAnsi="Arial" w:eastAsia="Arial" w:cs="Arial"/>
                <w:spacing w:val="9"/>
              </w:rPr>
              <w:t>“</w:t>
            </w:r>
            <w:r>
              <w:rPr>
                <w:spacing w:val="9"/>
              </w:rPr>
              <w:t>宜农则农，宜林则林，宜建则建</w:t>
            </w:r>
            <w:r>
              <w:rPr>
                <w:rFonts w:ascii="Arial" w:hAnsi="Arial" w:eastAsia="Arial" w:cs="Arial"/>
                <w:spacing w:val="9"/>
              </w:rPr>
              <w:t>”</w:t>
            </w:r>
            <w:r>
              <w:rPr>
                <w:spacing w:val="9"/>
              </w:rPr>
              <w:t>的原则，分区分类、因地制宜实施历史遗留矿山生态修复工程，复垦修复腾退的建设用地指标可用于采矿项目新增用地，复垦为可长期稳定利用耕</w:t>
            </w:r>
            <w:r>
              <w:rPr>
                <w:spacing w:val="8"/>
              </w:rPr>
              <w:t>地的，可用于新增采矿项</w:t>
            </w:r>
            <w:r>
              <w:rPr>
                <w:spacing w:val="7"/>
              </w:rPr>
              <w:t>目耕地占补平衡。</w:t>
            </w:r>
          </w:p>
          <w:p w14:paraId="1D32BECB">
            <w:pPr>
              <w:pStyle w:val="6"/>
              <w:spacing w:before="1" w:line="251" w:lineRule="auto"/>
              <w:ind w:left="9" w:right="5" w:firstLine="324"/>
            </w:pPr>
            <w:r>
              <w:rPr>
                <w:spacing w:val="9"/>
              </w:rPr>
              <w:t>（</w:t>
            </w:r>
            <w:r>
              <w:rPr>
                <w:rFonts w:ascii="Arial" w:hAnsi="Arial" w:eastAsia="Arial" w:cs="Arial"/>
                <w:spacing w:val="9"/>
              </w:rPr>
              <w:t>4.3.2</w:t>
            </w:r>
            <w:r>
              <w:rPr>
                <w:spacing w:val="9"/>
              </w:rPr>
              <w:t>）严控建设用地总量，合理安排新增建设用地，积极盘活存量用地和低效用地，严格落实国土空间用</w:t>
            </w:r>
            <w:r>
              <w:rPr>
                <w:spacing w:val="8"/>
              </w:rPr>
              <w:t>途管制制度，加强土地节约集约利用。</w:t>
            </w:r>
          </w:p>
          <w:p w14:paraId="5F564199">
            <w:pPr>
              <w:pStyle w:val="6"/>
              <w:spacing w:before="1" w:line="250" w:lineRule="auto"/>
              <w:ind w:left="10" w:right="56" w:firstLine="322"/>
            </w:pPr>
            <w:r>
              <w:rPr>
                <w:spacing w:val="7"/>
              </w:rPr>
              <w:t>（</w:t>
            </w:r>
            <w:r>
              <w:rPr>
                <w:rFonts w:ascii="Arial" w:hAnsi="Arial" w:eastAsia="Arial" w:cs="Arial"/>
                <w:spacing w:val="7"/>
              </w:rPr>
              <w:t>4.3.3</w:t>
            </w:r>
            <w:r>
              <w:rPr>
                <w:spacing w:val="7"/>
              </w:rPr>
              <w:t>）至</w:t>
            </w:r>
            <w:r>
              <w:rPr>
                <w:rFonts w:ascii="Arial" w:hAnsi="Arial" w:eastAsia="Arial" w:cs="Arial"/>
                <w:spacing w:val="7"/>
              </w:rPr>
              <w:t>2035</w:t>
            </w:r>
            <w:r>
              <w:rPr>
                <w:spacing w:val="7"/>
              </w:rPr>
              <w:t>年，全县耕地保有量不低于</w:t>
            </w:r>
            <w:r>
              <w:rPr>
                <w:rFonts w:ascii="Arial" w:hAnsi="Arial" w:eastAsia="Arial" w:cs="Arial"/>
                <w:spacing w:val="7"/>
              </w:rPr>
              <w:t>100.05</w:t>
            </w:r>
            <w:r>
              <w:rPr>
                <w:spacing w:val="7"/>
              </w:rPr>
              <w:t>万亩，永久基本</w:t>
            </w:r>
            <w:r>
              <w:rPr>
                <w:spacing w:val="6"/>
              </w:rPr>
              <w:t>农田保护面积不低于</w:t>
            </w:r>
            <w:r>
              <w:rPr>
                <w:rFonts w:ascii="Arial" w:hAnsi="Arial" w:eastAsia="Arial" w:cs="Arial"/>
                <w:spacing w:val="6"/>
              </w:rPr>
              <w:t>88.59</w:t>
            </w:r>
            <w:r>
              <w:rPr>
                <w:spacing w:val="6"/>
              </w:rPr>
              <w:t>万亩，生态保护红线面积不低于</w:t>
            </w:r>
            <w:r>
              <w:rPr>
                <w:rFonts w:ascii="Arial" w:hAnsi="Arial" w:eastAsia="Arial" w:cs="Arial"/>
                <w:spacing w:val="6"/>
              </w:rPr>
              <w:t>63800.82</w:t>
            </w:r>
            <w:r>
              <w:rPr>
                <w:spacing w:val="6"/>
              </w:rPr>
              <w:t>公顷。</w:t>
            </w:r>
          </w:p>
        </w:tc>
        <w:tc>
          <w:tcPr>
            <w:tcW w:w="2314" w:type="dxa"/>
            <w:tcBorders>
              <w:bottom w:val="single" w:color="000000" w:sz="10" w:space="0"/>
            </w:tcBorders>
            <w:vAlign w:val="top"/>
          </w:tcPr>
          <w:p w14:paraId="7F0C3AB7">
            <w:pPr>
              <w:spacing w:line="268" w:lineRule="auto"/>
              <w:rPr>
                <w:rFonts w:ascii="Arial"/>
                <w:sz w:val="21"/>
              </w:rPr>
            </w:pPr>
          </w:p>
          <w:p w14:paraId="741D0647">
            <w:pPr>
              <w:spacing w:line="268" w:lineRule="auto"/>
              <w:rPr>
                <w:rFonts w:ascii="Arial"/>
                <w:sz w:val="21"/>
              </w:rPr>
            </w:pPr>
          </w:p>
          <w:p w14:paraId="1A5C3627">
            <w:pPr>
              <w:spacing w:line="269" w:lineRule="auto"/>
              <w:rPr>
                <w:rFonts w:ascii="Arial"/>
                <w:sz w:val="21"/>
              </w:rPr>
            </w:pPr>
          </w:p>
          <w:p w14:paraId="5C11DB76">
            <w:pPr>
              <w:spacing w:line="269" w:lineRule="auto"/>
              <w:rPr>
                <w:rFonts w:ascii="Arial"/>
                <w:sz w:val="21"/>
              </w:rPr>
            </w:pPr>
          </w:p>
          <w:p w14:paraId="5C624FAB">
            <w:pPr>
              <w:spacing w:line="269" w:lineRule="auto"/>
              <w:rPr>
                <w:rFonts w:ascii="Arial"/>
                <w:sz w:val="21"/>
              </w:rPr>
            </w:pPr>
          </w:p>
          <w:p w14:paraId="024526AF">
            <w:pPr>
              <w:spacing w:line="269" w:lineRule="auto"/>
              <w:rPr>
                <w:rFonts w:ascii="Arial"/>
                <w:sz w:val="21"/>
              </w:rPr>
            </w:pPr>
          </w:p>
          <w:p w14:paraId="41C44B48">
            <w:pPr>
              <w:pStyle w:val="6"/>
              <w:spacing w:before="65" w:line="252" w:lineRule="auto"/>
              <w:ind w:left="436" w:hanging="407"/>
            </w:pPr>
            <w:r>
              <w:rPr>
                <w:spacing w:val="7"/>
              </w:rPr>
              <w:t>本项目生产使用电能，不</w:t>
            </w:r>
            <w:r>
              <w:rPr>
                <w:spacing w:val="8"/>
              </w:rPr>
              <w:t>使用高污染燃料</w:t>
            </w:r>
          </w:p>
        </w:tc>
        <w:tc>
          <w:tcPr>
            <w:tcW w:w="659" w:type="dxa"/>
            <w:tcBorders>
              <w:bottom w:val="single" w:color="000000" w:sz="10" w:space="0"/>
              <w:right w:val="single" w:color="000000" w:sz="10" w:space="0"/>
            </w:tcBorders>
            <w:vAlign w:val="top"/>
          </w:tcPr>
          <w:p w14:paraId="049C531D">
            <w:pPr>
              <w:spacing w:line="249" w:lineRule="auto"/>
              <w:rPr>
                <w:rFonts w:ascii="Arial"/>
                <w:sz w:val="21"/>
              </w:rPr>
            </w:pPr>
          </w:p>
          <w:p w14:paraId="1415D6D0">
            <w:pPr>
              <w:spacing w:line="250" w:lineRule="auto"/>
              <w:rPr>
                <w:rFonts w:ascii="Arial"/>
                <w:sz w:val="21"/>
              </w:rPr>
            </w:pPr>
          </w:p>
          <w:p w14:paraId="23D73CB5">
            <w:pPr>
              <w:spacing w:line="250" w:lineRule="auto"/>
              <w:rPr>
                <w:rFonts w:ascii="Arial"/>
                <w:sz w:val="21"/>
              </w:rPr>
            </w:pPr>
          </w:p>
          <w:p w14:paraId="40313499">
            <w:pPr>
              <w:spacing w:line="250" w:lineRule="auto"/>
              <w:rPr>
                <w:rFonts w:ascii="Arial"/>
                <w:sz w:val="21"/>
              </w:rPr>
            </w:pPr>
          </w:p>
          <w:p w14:paraId="3CBC255A">
            <w:pPr>
              <w:spacing w:line="250" w:lineRule="auto"/>
              <w:rPr>
                <w:rFonts w:ascii="Arial"/>
                <w:sz w:val="21"/>
              </w:rPr>
            </w:pPr>
          </w:p>
          <w:p w14:paraId="25169DEA">
            <w:pPr>
              <w:spacing w:line="250" w:lineRule="auto"/>
              <w:rPr>
                <w:rFonts w:ascii="Arial"/>
                <w:sz w:val="21"/>
              </w:rPr>
            </w:pPr>
          </w:p>
          <w:p w14:paraId="3B7C98BF">
            <w:pPr>
              <w:spacing w:line="250" w:lineRule="auto"/>
              <w:rPr>
                <w:rFonts w:ascii="Arial"/>
                <w:sz w:val="21"/>
              </w:rPr>
            </w:pPr>
          </w:p>
          <w:p w14:paraId="6F12B825">
            <w:pPr>
              <w:pStyle w:val="6"/>
              <w:spacing w:before="65" w:line="228" w:lineRule="auto"/>
              <w:ind w:left="129"/>
            </w:pPr>
            <w:r>
              <w:rPr>
                <w:spacing w:val="4"/>
              </w:rPr>
              <w:t>相符</w:t>
            </w:r>
          </w:p>
        </w:tc>
      </w:tr>
    </w:tbl>
    <w:p w14:paraId="01C11E60">
      <w:pPr>
        <w:pStyle w:val="2"/>
      </w:pPr>
    </w:p>
    <w:p w14:paraId="3D062635">
      <w:pPr>
        <w:sectPr>
          <w:footerReference r:id="rId101" w:type="default"/>
          <w:pgSz w:w="16840" w:h="11907"/>
          <w:pgMar w:top="1132" w:right="1387" w:bottom="1258" w:left="1387" w:header="829" w:footer="1096" w:gutter="0"/>
          <w:cols w:space="720" w:num="1"/>
        </w:sectPr>
      </w:pPr>
    </w:p>
    <w:p w14:paraId="45A8E5EC">
      <w:pPr>
        <w:spacing w:before="334" w:line="225" w:lineRule="auto"/>
        <w:ind w:left="2497"/>
        <w:outlineLvl w:val="0"/>
        <w:rPr>
          <w:rFonts w:ascii="宋体" w:hAnsi="宋体" w:eastAsia="宋体" w:cs="宋体"/>
          <w:sz w:val="31"/>
          <w:szCs w:val="31"/>
        </w:rPr>
      </w:pPr>
      <w:bookmarkStart w:id="24" w:name="bookmark24"/>
      <w:bookmarkEnd w:id="24"/>
      <w:r>
        <w:rPr>
          <w:rFonts w:ascii="Times New Roman" w:hAnsi="Times New Roman" w:eastAsia="Times New Roman" w:cs="Times New Roman"/>
          <w:b/>
          <w:bCs/>
          <w:spacing w:val="6"/>
          <w:sz w:val="31"/>
          <w:szCs w:val="31"/>
        </w:rPr>
        <w:t>5</w:t>
      </w:r>
      <w:r>
        <w:rPr>
          <w:rFonts w:ascii="宋体" w:hAnsi="宋体" w:eastAsia="宋体" w:cs="宋体"/>
          <w:b/>
          <w:bCs/>
          <w:spacing w:val="6"/>
          <w:sz w:val="31"/>
          <w:szCs w:val="31"/>
        </w:rPr>
        <w:t>入河排污口设置方案设计</w:t>
      </w:r>
    </w:p>
    <w:p w14:paraId="0EC3CAD6">
      <w:pPr>
        <w:pStyle w:val="2"/>
        <w:spacing w:line="470" w:lineRule="auto"/>
      </w:pPr>
    </w:p>
    <w:p w14:paraId="32892A24">
      <w:pPr>
        <w:spacing w:before="91" w:line="219" w:lineRule="auto"/>
        <w:ind w:left="132"/>
        <w:outlineLvl w:val="1"/>
        <w:rPr>
          <w:rFonts w:ascii="宋体" w:hAnsi="宋体" w:eastAsia="宋体" w:cs="宋体"/>
          <w:sz w:val="28"/>
          <w:szCs w:val="28"/>
        </w:rPr>
      </w:pPr>
      <w:bookmarkStart w:id="25" w:name="bookmark25"/>
      <w:bookmarkEnd w:id="25"/>
      <w:r>
        <w:rPr>
          <w:rFonts w:ascii="Times New Roman" w:hAnsi="Times New Roman" w:eastAsia="Times New Roman" w:cs="Times New Roman"/>
          <w:b/>
          <w:bCs/>
          <w:spacing w:val="-3"/>
          <w:sz w:val="28"/>
          <w:szCs w:val="28"/>
        </w:rPr>
        <w:t>5.1</w:t>
      </w:r>
      <w:r>
        <w:rPr>
          <w:rFonts w:ascii="宋体" w:hAnsi="宋体" w:eastAsia="宋体" w:cs="宋体"/>
          <w:b/>
          <w:bCs/>
          <w:spacing w:val="-3"/>
          <w:sz w:val="28"/>
          <w:szCs w:val="28"/>
        </w:rPr>
        <w:t>入河排污口设置基本情况</w:t>
      </w:r>
    </w:p>
    <w:p w14:paraId="3E408FC6">
      <w:pPr>
        <w:spacing w:before="201" w:line="359" w:lineRule="auto"/>
        <w:ind w:left="120" w:right="120" w:firstLine="507"/>
        <w:rPr>
          <w:rFonts w:ascii="宋体" w:hAnsi="宋体" w:eastAsia="宋体" w:cs="宋体"/>
          <w:sz w:val="24"/>
          <w:szCs w:val="24"/>
        </w:rPr>
      </w:pPr>
      <w:r>
        <w:rPr>
          <w:rFonts w:ascii="宋体" w:hAnsi="宋体" w:eastAsia="宋体" w:cs="宋体"/>
          <w:spacing w:val="-5"/>
          <w:sz w:val="24"/>
          <w:szCs w:val="24"/>
        </w:rPr>
        <w:t>隆回县工业污水处理厂现有工程处理规模</w:t>
      </w:r>
      <w:r>
        <w:rPr>
          <w:rFonts w:ascii="Times New Roman" w:hAnsi="Times New Roman" w:eastAsia="Times New Roman" w:cs="Times New Roman"/>
          <w:spacing w:val="-5"/>
          <w:sz w:val="24"/>
          <w:szCs w:val="24"/>
        </w:rPr>
        <w:t>1.5</w:t>
      </w:r>
      <w:r>
        <w:rPr>
          <w:rFonts w:ascii="宋体" w:hAnsi="宋体" w:eastAsia="宋体" w:cs="宋体"/>
          <w:spacing w:val="-5"/>
          <w:sz w:val="24"/>
          <w:szCs w:val="24"/>
        </w:rPr>
        <w:t>万</w:t>
      </w:r>
      <w:r>
        <w:rPr>
          <w:rFonts w:ascii="Times New Roman" w:hAnsi="Times New Roman" w:eastAsia="Times New Roman" w:cs="Times New Roman"/>
          <w:spacing w:val="-5"/>
          <w:sz w:val="24"/>
          <w:szCs w:val="24"/>
        </w:rPr>
        <w:t>m</w:t>
      </w:r>
      <w:r>
        <w:rPr>
          <w:rFonts w:ascii="Times New Roman" w:hAnsi="Times New Roman" w:eastAsia="Times New Roman" w:cs="Times New Roman"/>
          <w:spacing w:val="-5"/>
          <w:position w:val="7"/>
          <w:sz w:val="15"/>
          <w:szCs w:val="15"/>
        </w:rPr>
        <w:t>3</w:t>
      </w:r>
      <w:r>
        <w:rPr>
          <w:rFonts w:ascii="Times New Roman" w:hAnsi="Times New Roman" w:eastAsia="Times New Roman" w:cs="Times New Roman"/>
          <w:spacing w:val="-5"/>
          <w:sz w:val="24"/>
          <w:szCs w:val="24"/>
        </w:rPr>
        <w:t>/d</w:t>
      </w:r>
      <w:r>
        <w:rPr>
          <w:rFonts w:ascii="宋体" w:hAnsi="宋体" w:eastAsia="宋体" w:cs="宋体"/>
          <w:spacing w:val="-5"/>
          <w:sz w:val="24"/>
          <w:szCs w:val="24"/>
        </w:rPr>
        <w:t>，现有隆回县工业污水处</w:t>
      </w:r>
      <w:r>
        <w:rPr>
          <w:rFonts w:ascii="宋体" w:hAnsi="宋体" w:eastAsia="宋体" w:cs="宋体"/>
          <w:spacing w:val="1"/>
          <w:sz w:val="24"/>
          <w:szCs w:val="24"/>
        </w:rPr>
        <w:t>理厂（一期）工程尾水达《城镇污水处理厂污染物排放标准》中一级标准</w:t>
      </w:r>
      <w:r>
        <w:rPr>
          <w:rFonts w:ascii="Times New Roman" w:hAnsi="Times New Roman" w:eastAsia="Times New Roman" w:cs="Times New Roman"/>
          <w:spacing w:val="1"/>
          <w:sz w:val="24"/>
          <w:szCs w:val="24"/>
        </w:rPr>
        <w:t>A</w:t>
      </w:r>
      <w:r>
        <w:rPr>
          <w:rFonts w:ascii="宋体" w:hAnsi="宋体" w:eastAsia="宋体" w:cs="宋体"/>
          <w:spacing w:val="1"/>
          <w:sz w:val="24"/>
          <w:szCs w:val="24"/>
        </w:rPr>
        <w:t>标准</w:t>
      </w:r>
      <w:r>
        <w:rPr>
          <w:rFonts w:ascii="宋体" w:hAnsi="宋体" w:eastAsia="宋体" w:cs="宋体"/>
          <w:spacing w:val="-3"/>
          <w:sz w:val="24"/>
          <w:szCs w:val="24"/>
        </w:rPr>
        <w:t>后与县城生活污水处理厂（</w:t>
      </w:r>
      <w:r>
        <w:rPr>
          <w:rFonts w:ascii="Times New Roman" w:hAnsi="Times New Roman" w:eastAsia="Times New Roman" w:cs="Times New Roman"/>
          <w:spacing w:val="-3"/>
          <w:sz w:val="24"/>
          <w:szCs w:val="24"/>
        </w:rPr>
        <w:t>3</w:t>
      </w:r>
      <w:r>
        <w:rPr>
          <w:rFonts w:ascii="宋体" w:hAnsi="宋体" w:eastAsia="宋体" w:cs="宋体"/>
          <w:spacing w:val="-3"/>
          <w:sz w:val="24"/>
          <w:szCs w:val="24"/>
        </w:rPr>
        <w:t>万</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sz w:val="24"/>
          <w:szCs w:val="24"/>
        </w:rPr>
        <w:t>/d</w:t>
      </w:r>
      <w:r>
        <w:rPr>
          <w:rFonts w:ascii="宋体" w:hAnsi="宋体" w:eastAsia="宋体" w:cs="宋体"/>
          <w:spacing w:val="-3"/>
          <w:sz w:val="24"/>
          <w:szCs w:val="24"/>
        </w:rPr>
        <w:t>）尾水一起通过沿江北路敷设</w:t>
      </w:r>
      <w:r>
        <w:rPr>
          <w:rFonts w:ascii="宋体" w:hAnsi="宋体" w:eastAsia="宋体" w:cs="宋体"/>
          <w:spacing w:val="-4"/>
          <w:sz w:val="24"/>
          <w:szCs w:val="24"/>
        </w:rPr>
        <w:t>的排水管，排往</w:t>
      </w:r>
      <w:r>
        <w:rPr>
          <w:rFonts w:ascii="宋体" w:hAnsi="宋体" w:eastAsia="宋体" w:cs="宋体"/>
          <w:spacing w:val="-3"/>
          <w:sz w:val="24"/>
          <w:szCs w:val="24"/>
        </w:rPr>
        <w:t>赧水元木山电站下游约</w:t>
      </w:r>
      <w:r>
        <w:rPr>
          <w:rFonts w:ascii="Times New Roman" w:hAnsi="Times New Roman" w:eastAsia="Times New Roman" w:cs="Times New Roman"/>
          <w:spacing w:val="-3"/>
          <w:sz w:val="24"/>
          <w:szCs w:val="24"/>
        </w:rPr>
        <w:t>2.8m</w:t>
      </w:r>
      <w:r>
        <w:rPr>
          <w:rFonts w:ascii="宋体" w:hAnsi="宋体" w:eastAsia="宋体" w:cs="宋体"/>
          <w:spacing w:val="-3"/>
          <w:sz w:val="24"/>
          <w:szCs w:val="24"/>
        </w:rPr>
        <w:t>处。现有排</w:t>
      </w:r>
      <w:r>
        <w:rPr>
          <w:rFonts w:ascii="宋体" w:hAnsi="宋体" w:eastAsia="宋体" w:cs="宋体"/>
          <w:spacing w:val="-4"/>
          <w:sz w:val="24"/>
          <w:szCs w:val="24"/>
        </w:rPr>
        <w:t>污口坐标为：</w:t>
      </w:r>
      <w:r>
        <w:rPr>
          <w:rFonts w:ascii="Times New Roman" w:hAnsi="Times New Roman" w:eastAsia="Times New Roman" w:cs="Times New Roman"/>
          <w:spacing w:val="-4"/>
          <w:sz w:val="24"/>
          <w:szCs w:val="24"/>
        </w:rPr>
        <w:t>E111°3′22.36752″</w:t>
      </w:r>
      <w:r>
        <w:rPr>
          <w:rFonts w:ascii="宋体" w:hAnsi="宋体" w:eastAsia="宋体" w:cs="宋体"/>
          <w:spacing w:val="-4"/>
          <w:sz w:val="24"/>
          <w:szCs w:val="24"/>
        </w:rPr>
        <w:t>，</w:t>
      </w:r>
      <w:r>
        <w:rPr>
          <w:rFonts w:ascii="Times New Roman" w:hAnsi="Times New Roman" w:eastAsia="Times New Roman" w:cs="Times New Roman"/>
          <w:spacing w:val="-2"/>
          <w:sz w:val="24"/>
          <w:szCs w:val="24"/>
        </w:rPr>
        <w:t>N27°4′46.315056″</w:t>
      </w:r>
      <w:r>
        <w:rPr>
          <w:rFonts w:ascii="宋体" w:hAnsi="宋体" w:eastAsia="宋体" w:cs="宋体"/>
          <w:spacing w:val="-2"/>
          <w:sz w:val="24"/>
          <w:szCs w:val="24"/>
        </w:rPr>
        <w:t>，该排污口已于</w:t>
      </w:r>
      <w:r>
        <w:rPr>
          <w:rFonts w:ascii="Times New Roman" w:hAnsi="Times New Roman" w:eastAsia="Times New Roman" w:cs="Times New Roman"/>
          <w:spacing w:val="-2"/>
          <w:sz w:val="24"/>
          <w:szCs w:val="24"/>
        </w:rPr>
        <w:t>2022</w:t>
      </w:r>
      <w:r>
        <w:rPr>
          <w:rFonts w:ascii="宋体" w:hAnsi="宋体" w:eastAsia="宋体" w:cs="宋体"/>
          <w:spacing w:val="-2"/>
          <w:sz w:val="24"/>
          <w:szCs w:val="24"/>
        </w:rPr>
        <w:t>年</w:t>
      </w:r>
      <w:r>
        <w:rPr>
          <w:rFonts w:ascii="Times New Roman" w:hAnsi="Times New Roman" w:eastAsia="Times New Roman" w:cs="Times New Roman"/>
          <w:spacing w:val="-2"/>
          <w:sz w:val="24"/>
          <w:szCs w:val="24"/>
        </w:rPr>
        <w:t>11</w:t>
      </w:r>
      <w:r>
        <w:rPr>
          <w:rFonts w:ascii="宋体" w:hAnsi="宋体" w:eastAsia="宋体" w:cs="宋体"/>
          <w:spacing w:val="-2"/>
          <w:sz w:val="24"/>
          <w:szCs w:val="24"/>
        </w:rPr>
        <w:t>月</w:t>
      </w:r>
      <w:r>
        <w:rPr>
          <w:rFonts w:ascii="Times New Roman" w:hAnsi="Times New Roman" w:eastAsia="Times New Roman" w:cs="Times New Roman"/>
          <w:spacing w:val="-3"/>
          <w:sz w:val="24"/>
          <w:szCs w:val="24"/>
        </w:rPr>
        <w:t>14</w:t>
      </w:r>
      <w:r>
        <w:rPr>
          <w:rFonts w:ascii="宋体" w:hAnsi="宋体" w:eastAsia="宋体" w:cs="宋体"/>
          <w:spacing w:val="-3"/>
          <w:sz w:val="24"/>
          <w:szCs w:val="24"/>
        </w:rPr>
        <w:t>日取得邵阳市生态环境局隆回</w:t>
      </w:r>
      <w:r>
        <w:rPr>
          <w:rFonts w:ascii="宋体" w:hAnsi="宋体" w:eastAsia="宋体" w:cs="宋体"/>
          <w:spacing w:val="-4"/>
          <w:sz w:val="24"/>
          <w:szCs w:val="24"/>
        </w:rPr>
        <w:t>分局批复。本次隆回县工业污水处理厂扩建工程处理规模</w:t>
      </w:r>
      <w:r>
        <w:rPr>
          <w:rFonts w:ascii="Times New Roman" w:hAnsi="Times New Roman" w:eastAsia="Times New Roman" w:cs="Times New Roman"/>
          <w:spacing w:val="-4"/>
          <w:sz w:val="24"/>
          <w:szCs w:val="24"/>
        </w:rPr>
        <w:t>1.5</w:t>
      </w:r>
      <w:r>
        <w:rPr>
          <w:rFonts w:ascii="宋体" w:hAnsi="宋体" w:eastAsia="宋体" w:cs="宋体"/>
          <w:spacing w:val="-4"/>
          <w:sz w:val="24"/>
          <w:szCs w:val="24"/>
        </w:rPr>
        <w:t>万</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sz w:val="24"/>
          <w:szCs w:val="24"/>
        </w:rPr>
        <w:t>/d</w:t>
      </w:r>
      <w:r>
        <w:rPr>
          <w:rFonts w:ascii="宋体" w:hAnsi="宋体" w:eastAsia="宋体" w:cs="宋体"/>
          <w:spacing w:val="-4"/>
          <w:sz w:val="24"/>
          <w:szCs w:val="24"/>
        </w:rPr>
        <w:t>，工业污水处</w:t>
      </w:r>
      <w:r>
        <w:rPr>
          <w:rFonts w:ascii="宋体" w:hAnsi="宋体" w:eastAsia="宋体" w:cs="宋体"/>
          <w:spacing w:val="3"/>
          <w:sz w:val="24"/>
          <w:szCs w:val="24"/>
        </w:rPr>
        <w:t>理厂扩建后尾水依托现有排放口排入赧水，排口位置不变，尾水排放路径不变。隆回县工业污水处理厂扩建项目完成后，出水水质可满足《城镇污水处理厂污染</w:t>
      </w:r>
      <w:r>
        <w:rPr>
          <w:rFonts w:ascii="宋体" w:hAnsi="宋体" w:eastAsia="宋体" w:cs="宋体"/>
          <w:sz w:val="24"/>
          <w:szCs w:val="24"/>
        </w:rPr>
        <w:t>物排放标准》（</w:t>
      </w:r>
      <w:r>
        <w:rPr>
          <w:rFonts w:ascii="Times New Roman" w:hAnsi="Times New Roman" w:eastAsia="Times New Roman" w:cs="Times New Roman"/>
          <w:sz w:val="24"/>
          <w:szCs w:val="24"/>
        </w:rPr>
        <w:t>GB18918-2002</w:t>
      </w:r>
      <w:r>
        <w:rPr>
          <w:rFonts w:ascii="宋体" w:hAnsi="宋体" w:eastAsia="宋体" w:cs="宋体"/>
          <w:sz w:val="24"/>
          <w:szCs w:val="24"/>
        </w:rPr>
        <w:t>）一级</w:t>
      </w:r>
      <w:r>
        <w:rPr>
          <w:rFonts w:ascii="Times New Roman" w:hAnsi="Times New Roman" w:eastAsia="Times New Roman" w:cs="Times New Roman"/>
          <w:sz w:val="24"/>
          <w:szCs w:val="24"/>
        </w:rPr>
        <w:t>A</w:t>
      </w:r>
      <w:r>
        <w:rPr>
          <w:rFonts w:ascii="宋体" w:hAnsi="宋体" w:eastAsia="宋体" w:cs="宋体"/>
          <w:sz w:val="24"/>
          <w:szCs w:val="24"/>
        </w:rPr>
        <w:t>标准。排</w:t>
      </w:r>
      <w:r>
        <w:rPr>
          <w:rFonts w:ascii="宋体" w:hAnsi="宋体" w:eastAsia="宋体" w:cs="宋体"/>
          <w:spacing w:val="-1"/>
          <w:sz w:val="24"/>
          <w:szCs w:val="24"/>
        </w:rPr>
        <w:t>污口基本情况见表</w:t>
      </w:r>
      <w:r>
        <w:rPr>
          <w:rFonts w:ascii="Times New Roman" w:hAnsi="Times New Roman" w:eastAsia="Times New Roman" w:cs="Times New Roman"/>
          <w:spacing w:val="-1"/>
          <w:sz w:val="24"/>
          <w:szCs w:val="24"/>
        </w:rPr>
        <w:t>5.1-1</w:t>
      </w:r>
      <w:r>
        <w:rPr>
          <w:rFonts w:ascii="宋体" w:hAnsi="宋体" w:eastAsia="宋体" w:cs="宋体"/>
          <w:spacing w:val="-1"/>
          <w:sz w:val="24"/>
          <w:szCs w:val="24"/>
        </w:rPr>
        <w:t>。</w:t>
      </w:r>
    </w:p>
    <w:p w14:paraId="2F451181">
      <w:pPr>
        <w:spacing w:line="223" w:lineRule="auto"/>
        <w:ind w:left="3187"/>
        <w:rPr>
          <w:rFonts w:ascii="宋体" w:hAnsi="宋体" w:eastAsia="宋体" w:cs="宋体"/>
          <w:sz w:val="20"/>
          <w:szCs w:val="20"/>
        </w:rPr>
      </w:pPr>
      <w:r>
        <w:rPr>
          <w:rFonts w:ascii="宋体" w:hAnsi="宋体" w:eastAsia="宋体" w:cs="宋体"/>
          <w:b/>
          <w:bCs/>
          <w:spacing w:val="5"/>
          <w:sz w:val="20"/>
          <w:szCs w:val="20"/>
        </w:rPr>
        <w:t>表</w:t>
      </w:r>
      <w:r>
        <w:rPr>
          <w:rFonts w:ascii="Times New Roman" w:hAnsi="Times New Roman" w:eastAsia="Times New Roman" w:cs="Times New Roman"/>
          <w:b/>
          <w:bCs/>
          <w:spacing w:val="5"/>
          <w:sz w:val="20"/>
          <w:szCs w:val="20"/>
        </w:rPr>
        <w:t>5.1-1</w:t>
      </w:r>
      <w:r>
        <w:rPr>
          <w:rFonts w:ascii="宋体" w:hAnsi="宋体" w:eastAsia="宋体" w:cs="宋体"/>
          <w:b/>
          <w:bCs/>
          <w:spacing w:val="5"/>
          <w:sz w:val="20"/>
          <w:szCs w:val="20"/>
        </w:rPr>
        <w:t>入河排污口基本信息</w:t>
      </w:r>
    </w:p>
    <w:tbl>
      <w:tblPr>
        <w:tblStyle w:val="5"/>
        <w:tblW w:w="872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9"/>
        <w:gridCol w:w="1503"/>
        <w:gridCol w:w="1187"/>
        <w:gridCol w:w="1611"/>
        <w:gridCol w:w="1848"/>
        <w:gridCol w:w="1655"/>
      </w:tblGrid>
      <w:tr w14:paraId="085AD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919" w:type="dxa"/>
            <w:vMerge w:val="restart"/>
            <w:tcBorders>
              <w:top w:val="single" w:color="000000" w:sz="10" w:space="0"/>
              <w:left w:val="single" w:color="000000" w:sz="10" w:space="0"/>
              <w:bottom w:val="nil"/>
            </w:tcBorders>
            <w:vAlign w:val="top"/>
          </w:tcPr>
          <w:p w14:paraId="3AE94B75">
            <w:pPr>
              <w:spacing w:line="249" w:lineRule="auto"/>
              <w:rPr>
                <w:rFonts w:ascii="Arial"/>
                <w:sz w:val="21"/>
              </w:rPr>
            </w:pPr>
          </w:p>
          <w:p w14:paraId="166F026F">
            <w:pPr>
              <w:spacing w:line="249" w:lineRule="auto"/>
              <w:rPr>
                <w:rFonts w:ascii="Arial"/>
                <w:sz w:val="21"/>
              </w:rPr>
            </w:pPr>
          </w:p>
          <w:p w14:paraId="19A351F1">
            <w:pPr>
              <w:spacing w:line="250" w:lineRule="auto"/>
              <w:rPr>
                <w:rFonts w:ascii="Arial"/>
                <w:sz w:val="21"/>
              </w:rPr>
            </w:pPr>
          </w:p>
          <w:p w14:paraId="6206735D">
            <w:pPr>
              <w:spacing w:line="250" w:lineRule="auto"/>
              <w:rPr>
                <w:rFonts w:ascii="Arial"/>
                <w:sz w:val="21"/>
              </w:rPr>
            </w:pPr>
          </w:p>
          <w:p w14:paraId="5563BE54">
            <w:pPr>
              <w:spacing w:line="250" w:lineRule="auto"/>
              <w:rPr>
                <w:rFonts w:ascii="Arial"/>
                <w:sz w:val="21"/>
              </w:rPr>
            </w:pPr>
          </w:p>
          <w:p w14:paraId="54A420B6">
            <w:pPr>
              <w:spacing w:line="250" w:lineRule="auto"/>
              <w:rPr>
                <w:rFonts w:ascii="Arial"/>
                <w:sz w:val="21"/>
              </w:rPr>
            </w:pPr>
          </w:p>
          <w:p w14:paraId="5D364610">
            <w:pPr>
              <w:spacing w:line="250" w:lineRule="auto"/>
              <w:rPr>
                <w:rFonts w:ascii="Arial"/>
                <w:sz w:val="21"/>
              </w:rPr>
            </w:pPr>
          </w:p>
          <w:p w14:paraId="0C8E184D">
            <w:pPr>
              <w:spacing w:line="250" w:lineRule="auto"/>
              <w:rPr>
                <w:rFonts w:ascii="Arial"/>
                <w:sz w:val="21"/>
              </w:rPr>
            </w:pPr>
          </w:p>
          <w:p w14:paraId="487D4C08">
            <w:pPr>
              <w:spacing w:line="250" w:lineRule="auto"/>
              <w:rPr>
                <w:rFonts w:ascii="Arial"/>
                <w:sz w:val="21"/>
              </w:rPr>
            </w:pPr>
          </w:p>
          <w:p w14:paraId="31FC1D1D">
            <w:pPr>
              <w:spacing w:line="250" w:lineRule="auto"/>
              <w:rPr>
                <w:rFonts w:ascii="Arial"/>
                <w:sz w:val="21"/>
              </w:rPr>
            </w:pPr>
          </w:p>
          <w:p w14:paraId="7BF122B0">
            <w:pPr>
              <w:spacing w:line="250" w:lineRule="auto"/>
              <w:rPr>
                <w:rFonts w:ascii="Arial"/>
                <w:sz w:val="21"/>
              </w:rPr>
            </w:pPr>
          </w:p>
          <w:p w14:paraId="6E3E3962">
            <w:pPr>
              <w:spacing w:line="250" w:lineRule="auto"/>
              <w:rPr>
                <w:rFonts w:ascii="Arial"/>
                <w:sz w:val="21"/>
              </w:rPr>
            </w:pPr>
          </w:p>
          <w:p w14:paraId="6DF36498">
            <w:pPr>
              <w:spacing w:line="250" w:lineRule="auto"/>
              <w:rPr>
                <w:rFonts w:ascii="Arial"/>
                <w:sz w:val="21"/>
              </w:rPr>
            </w:pPr>
          </w:p>
          <w:p w14:paraId="1BBFB294">
            <w:pPr>
              <w:spacing w:line="250" w:lineRule="auto"/>
              <w:rPr>
                <w:rFonts w:ascii="Arial"/>
                <w:sz w:val="21"/>
              </w:rPr>
            </w:pPr>
          </w:p>
          <w:p w14:paraId="23888F73">
            <w:pPr>
              <w:pStyle w:val="6"/>
              <w:spacing w:before="65" w:line="230" w:lineRule="auto"/>
              <w:ind w:left="106"/>
            </w:pPr>
            <w:r>
              <w:rPr>
                <w:spacing w:val="37"/>
              </w:rPr>
              <w:t>排污口</w:t>
            </w:r>
          </w:p>
          <w:p w14:paraId="3D6B4081">
            <w:pPr>
              <w:pStyle w:val="6"/>
              <w:spacing w:before="24" w:line="252" w:lineRule="auto"/>
              <w:ind w:left="107" w:right="117" w:hanging="1"/>
            </w:pPr>
            <w:r>
              <w:rPr>
                <w:spacing w:val="26"/>
              </w:rPr>
              <w:t>基本情</w:t>
            </w:r>
            <w:r>
              <w:t>况</w:t>
            </w:r>
          </w:p>
        </w:tc>
        <w:tc>
          <w:tcPr>
            <w:tcW w:w="2690" w:type="dxa"/>
            <w:gridSpan w:val="2"/>
            <w:tcBorders>
              <w:top w:val="single" w:color="000000" w:sz="10" w:space="0"/>
            </w:tcBorders>
            <w:vAlign w:val="top"/>
          </w:tcPr>
          <w:p w14:paraId="624D1AC2">
            <w:pPr>
              <w:pStyle w:val="6"/>
              <w:spacing w:before="169" w:line="230" w:lineRule="auto"/>
              <w:ind w:left="819"/>
            </w:pPr>
            <w:r>
              <w:rPr>
                <w:spacing w:val="8"/>
              </w:rPr>
              <w:t>排污口名称</w:t>
            </w:r>
          </w:p>
        </w:tc>
        <w:tc>
          <w:tcPr>
            <w:tcW w:w="5114" w:type="dxa"/>
            <w:gridSpan w:val="3"/>
            <w:tcBorders>
              <w:top w:val="single" w:color="000000" w:sz="10" w:space="0"/>
              <w:right w:val="single" w:color="000000" w:sz="10" w:space="0"/>
            </w:tcBorders>
            <w:vAlign w:val="top"/>
          </w:tcPr>
          <w:p w14:paraId="10155694">
            <w:pPr>
              <w:pStyle w:val="6"/>
              <w:spacing w:before="34" w:line="228" w:lineRule="auto"/>
              <w:ind w:left="125"/>
            </w:pPr>
            <w:r>
              <w:rPr>
                <w:spacing w:val="9"/>
              </w:rPr>
              <w:t>隆回工业污水处理厂进行提标扩容改造（二期）工程</w:t>
            </w:r>
          </w:p>
          <w:p w14:paraId="154D86E6">
            <w:pPr>
              <w:pStyle w:val="6"/>
              <w:spacing w:before="24" w:line="218" w:lineRule="auto"/>
              <w:ind w:left="111"/>
              <w:outlineLvl w:val="1"/>
            </w:pPr>
            <w:bookmarkStart w:id="26" w:name="bookmark51"/>
            <w:bookmarkEnd w:id="26"/>
            <w:r>
              <w:rPr>
                <w:spacing w:val="8"/>
              </w:rPr>
              <w:t>入河排污口</w:t>
            </w:r>
          </w:p>
        </w:tc>
      </w:tr>
      <w:tr w14:paraId="22E7C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19" w:type="dxa"/>
            <w:vMerge w:val="continue"/>
            <w:tcBorders>
              <w:top w:val="nil"/>
              <w:left w:val="single" w:color="000000" w:sz="10" w:space="0"/>
              <w:bottom w:val="nil"/>
            </w:tcBorders>
            <w:vAlign w:val="top"/>
          </w:tcPr>
          <w:p w14:paraId="55240E69">
            <w:pPr>
              <w:rPr>
                <w:rFonts w:ascii="Arial"/>
                <w:sz w:val="21"/>
              </w:rPr>
            </w:pPr>
          </w:p>
        </w:tc>
        <w:tc>
          <w:tcPr>
            <w:tcW w:w="2690" w:type="dxa"/>
            <w:gridSpan w:val="2"/>
            <w:vAlign w:val="top"/>
          </w:tcPr>
          <w:p w14:paraId="0F5C8D5E">
            <w:pPr>
              <w:pStyle w:val="6"/>
              <w:spacing w:before="94" w:line="229" w:lineRule="auto"/>
              <w:ind w:left="819"/>
            </w:pPr>
            <w:r>
              <w:rPr>
                <w:spacing w:val="7"/>
              </w:rPr>
              <w:t>排污口位置</w:t>
            </w:r>
          </w:p>
        </w:tc>
        <w:tc>
          <w:tcPr>
            <w:tcW w:w="5114" w:type="dxa"/>
            <w:gridSpan w:val="3"/>
            <w:tcBorders>
              <w:right w:val="single" w:color="000000" w:sz="10" w:space="0"/>
            </w:tcBorders>
            <w:vAlign w:val="top"/>
          </w:tcPr>
          <w:p w14:paraId="1DA8F46D">
            <w:pPr>
              <w:pStyle w:val="6"/>
              <w:spacing w:before="93" w:line="228" w:lineRule="auto"/>
              <w:ind w:left="125"/>
            </w:pPr>
            <w:r>
              <w:rPr>
                <w:spacing w:val="6"/>
              </w:rPr>
              <w:t>隆回县元木山电站下游</w:t>
            </w:r>
            <w:r>
              <w:rPr>
                <w:rFonts w:ascii="Times New Roman" w:hAnsi="Times New Roman" w:eastAsia="Times New Roman" w:cs="Times New Roman"/>
                <w:spacing w:val="6"/>
              </w:rPr>
              <w:t>2.8m</w:t>
            </w:r>
            <w:r>
              <w:rPr>
                <w:spacing w:val="6"/>
              </w:rPr>
              <w:t>处，赧水左岸</w:t>
            </w:r>
          </w:p>
        </w:tc>
      </w:tr>
      <w:tr w14:paraId="02884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19" w:type="dxa"/>
            <w:vMerge w:val="continue"/>
            <w:tcBorders>
              <w:top w:val="nil"/>
              <w:left w:val="single" w:color="000000" w:sz="10" w:space="0"/>
              <w:bottom w:val="nil"/>
            </w:tcBorders>
            <w:vAlign w:val="top"/>
          </w:tcPr>
          <w:p w14:paraId="2D5B528D">
            <w:pPr>
              <w:rPr>
                <w:rFonts w:ascii="Arial"/>
                <w:sz w:val="21"/>
              </w:rPr>
            </w:pPr>
          </w:p>
        </w:tc>
        <w:tc>
          <w:tcPr>
            <w:tcW w:w="2690" w:type="dxa"/>
            <w:gridSpan w:val="2"/>
            <w:vAlign w:val="top"/>
          </w:tcPr>
          <w:p w14:paraId="34EE4A60">
            <w:pPr>
              <w:pStyle w:val="6"/>
              <w:spacing w:before="96" w:line="228" w:lineRule="auto"/>
              <w:ind w:left="713"/>
            </w:pPr>
            <w:r>
              <w:rPr>
                <w:spacing w:val="8"/>
              </w:rPr>
              <w:t>排污口经纬度</w:t>
            </w:r>
          </w:p>
        </w:tc>
        <w:tc>
          <w:tcPr>
            <w:tcW w:w="5114" w:type="dxa"/>
            <w:gridSpan w:val="3"/>
            <w:tcBorders>
              <w:right w:val="single" w:color="000000" w:sz="10" w:space="0"/>
            </w:tcBorders>
            <w:vAlign w:val="top"/>
          </w:tcPr>
          <w:p w14:paraId="0D50E51E">
            <w:pPr>
              <w:pStyle w:val="6"/>
              <w:spacing w:before="132" w:line="186" w:lineRule="auto"/>
              <w:ind w:left="108"/>
              <w:rPr>
                <w:rFonts w:ascii="Times New Roman" w:hAnsi="Times New Roman" w:eastAsia="Times New Roman" w:cs="Times New Roman"/>
              </w:rPr>
            </w:pPr>
            <w:r>
              <w:rPr>
                <w:rFonts w:ascii="Times New Roman" w:hAnsi="Times New Roman" w:eastAsia="Times New Roman" w:cs="Times New Roman"/>
                <w:spacing w:val="3"/>
              </w:rPr>
              <w:t>E111°3′22.36752″</w:t>
            </w:r>
            <w:r>
              <w:rPr>
                <w:spacing w:val="3"/>
              </w:rPr>
              <w:t>，</w:t>
            </w:r>
            <w:r>
              <w:rPr>
                <w:rFonts w:ascii="Times New Roman" w:hAnsi="Times New Roman" w:eastAsia="Times New Roman" w:cs="Times New Roman"/>
                <w:spacing w:val="3"/>
              </w:rPr>
              <w:t>N27°4′46.315056″</w:t>
            </w:r>
          </w:p>
        </w:tc>
      </w:tr>
      <w:tr w14:paraId="285DF1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919" w:type="dxa"/>
            <w:vMerge w:val="continue"/>
            <w:tcBorders>
              <w:top w:val="nil"/>
              <w:left w:val="single" w:color="000000" w:sz="10" w:space="0"/>
              <w:bottom w:val="nil"/>
            </w:tcBorders>
            <w:vAlign w:val="top"/>
          </w:tcPr>
          <w:p w14:paraId="19B2D020">
            <w:pPr>
              <w:rPr>
                <w:rFonts w:ascii="Arial"/>
                <w:sz w:val="21"/>
              </w:rPr>
            </w:pPr>
          </w:p>
        </w:tc>
        <w:tc>
          <w:tcPr>
            <w:tcW w:w="2690" w:type="dxa"/>
            <w:gridSpan w:val="2"/>
            <w:vAlign w:val="top"/>
          </w:tcPr>
          <w:p w14:paraId="755C4DCC">
            <w:pPr>
              <w:pStyle w:val="6"/>
              <w:spacing w:before="306" w:line="228" w:lineRule="auto"/>
              <w:ind w:left="505"/>
            </w:pPr>
            <w:r>
              <w:rPr>
                <w:spacing w:val="8"/>
              </w:rPr>
              <w:t>所在水功能区概况</w:t>
            </w:r>
          </w:p>
        </w:tc>
        <w:tc>
          <w:tcPr>
            <w:tcW w:w="5114" w:type="dxa"/>
            <w:gridSpan w:val="3"/>
            <w:tcBorders>
              <w:right w:val="single" w:color="000000" w:sz="10" w:space="0"/>
            </w:tcBorders>
            <w:vAlign w:val="top"/>
          </w:tcPr>
          <w:p w14:paraId="47B0E60F">
            <w:pPr>
              <w:pStyle w:val="6"/>
              <w:spacing w:before="32" w:line="239" w:lineRule="auto"/>
              <w:ind w:left="117" w:right="99" w:firstLine="3"/>
              <w:jc w:val="both"/>
            </w:pPr>
            <w:r>
              <w:rPr>
                <w:spacing w:val="9"/>
              </w:rPr>
              <w:t>资水（赧水）隆回</w:t>
            </w:r>
            <w:r>
              <w:rPr>
                <w:rFonts w:ascii="Times New Roman" w:hAnsi="Times New Roman" w:eastAsia="Times New Roman" w:cs="Times New Roman"/>
                <w:spacing w:val="9"/>
              </w:rPr>
              <w:t>-</w:t>
            </w:r>
            <w:r>
              <w:rPr>
                <w:spacing w:val="9"/>
              </w:rPr>
              <w:t>邵阳保留区，根据《邵</w:t>
            </w:r>
            <w:r>
              <w:rPr>
                <w:spacing w:val="8"/>
              </w:rPr>
              <w:t>阳市水功能</w:t>
            </w:r>
            <w:r>
              <w:rPr>
                <w:spacing w:val="7"/>
              </w:rPr>
              <w:t>区划》水质目标为</w:t>
            </w:r>
            <w:r>
              <w:rPr>
                <w:rFonts w:ascii="Times New Roman" w:hAnsi="Times New Roman" w:eastAsia="Times New Roman" w:cs="Times New Roman"/>
              </w:rPr>
              <w:t>III</w:t>
            </w:r>
            <w:r>
              <w:rPr>
                <w:spacing w:val="7"/>
              </w:rPr>
              <w:t>类，现状管理目标为年度平均达</w:t>
            </w:r>
            <w:r>
              <w:rPr>
                <w:spacing w:val="-1"/>
              </w:rPr>
              <w:t>到</w:t>
            </w:r>
            <w:r>
              <w:rPr>
                <w:rFonts w:ascii="Times New Roman" w:hAnsi="Times New Roman" w:eastAsia="Times New Roman" w:cs="Times New Roman"/>
                <w:spacing w:val="-1"/>
              </w:rPr>
              <w:t>II</w:t>
            </w:r>
            <w:r>
              <w:rPr>
                <w:spacing w:val="-1"/>
              </w:rPr>
              <w:t>类。</w:t>
            </w:r>
          </w:p>
        </w:tc>
      </w:tr>
      <w:tr w14:paraId="1E23E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919" w:type="dxa"/>
            <w:vMerge w:val="continue"/>
            <w:tcBorders>
              <w:top w:val="nil"/>
              <w:left w:val="single" w:color="000000" w:sz="10" w:space="0"/>
              <w:bottom w:val="nil"/>
            </w:tcBorders>
            <w:vAlign w:val="top"/>
          </w:tcPr>
          <w:p w14:paraId="11FF0547">
            <w:pPr>
              <w:rPr>
                <w:rFonts w:ascii="Arial"/>
                <w:sz w:val="21"/>
              </w:rPr>
            </w:pPr>
          </w:p>
        </w:tc>
        <w:tc>
          <w:tcPr>
            <w:tcW w:w="2690" w:type="dxa"/>
            <w:gridSpan w:val="2"/>
            <w:vAlign w:val="top"/>
          </w:tcPr>
          <w:p w14:paraId="1119DDE0">
            <w:pPr>
              <w:pStyle w:val="6"/>
              <w:spacing w:before="172" w:line="228" w:lineRule="auto"/>
              <w:ind w:left="925"/>
            </w:pPr>
            <w:r>
              <w:rPr>
                <w:spacing w:val="7"/>
              </w:rPr>
              <w:t>排放标准</w:t>
            </w:r>
          </w:p>
        </w:tc>
        <w:tc>
          <w:tcPr>
            <w:tcW w:w="5114" w:type="dxa"/>
            <w:gridSpan w:val="3"/>
            <w:tcBorders>
              <w:right w:val="single" w:color="000000" w:sz="10" w:space="0"/>
            </w:tcBorders>
            <w:vAlign w:val="top"/>
          </w:tcPr>
          <w:p w14:paraId="65BCA003">
            <w:pPr>
              <w:pStyle w:val="6"/>
              <w:spacing w:before="36" w:line="228" w:lineRule="auto"/>
              <w:ind w:right="1"/>
              <w:jc w:val="right"/>
            </w:pPr>
            <w:r>
              <w:rPr>
                <w:spacing w:val="5"/>
              </w:rPr>
              <w:t>《城镇污水处理厂污染物排放标准》（</w:t>
            </w:r>
            <w:r>
              <w:rPr>
                <w:rFonts w:ascii="Times New Roman" w:hAnsi="Times New Roman" w:eastAsia="Times New Roman" w:cs="Times New Roman"/>
              </w:rPr>
              <w:t>GB</w:t>
            </w:r>
            <w:r>
              <w:rPr>
                <w:rFonts w:ascii="Times New Roman" w:hAnsi="Times New Roman" w:eastAsia="Times New Roman" w:cs="Times New Roman"/>
                <w:spacing w:val="5"/>
              </w:rPr>
              <w:t>18918-</w:t>
            </w:r>
            <w:r>
              <w:rPr>
                <w:rFonts w:ascii="Times New Roman" w:hAnsi="Times New Roman" w:eastAsia="Times New Roman" w:cs="Times New Roman"/>
                <w:spacing w:val="4"/>
              </w:rPr>
              <w:t>2002</w:t>
            </w:r>
            <w:r>
              <w:rPr>
                <w:spacing w:val="4"/>
              </w:rPr>
              <w:t>）</w:t>
            </w:r>
          </w:p>
          <w:p w14:paraId="7CE78806">
            <w:pPr>
              <w:pStyle w:val="6"/>
              <w:spacing w:before="24" w:line="211" w:lineRule="auto"/>
              <w:ind w:left="2016"/>
            </w:pPr>
            <w:r>
              <w:rPr>
                <w:spacing w:val="3"/>
              </w:rPr>
              <w:t>一级</w:t>
            </w:r>
            <w:r>
              <w:rPr>
                <w:rFonts w:ascii="Times New Roman" w:hAnsi="Times New Roman" w:eastAsia="Times New Roman" w:cs="Times New Roman"/>
                <w:spacing w:val="3"/>
              </w:rPr>
              <w:t>A</w:t>
            </w:r>
            <w:r>
              <w:rPr>
                <w:spacing w:val="3"/>
              </w:rPr>
              <w:t>标准</w:t>
            </w:r>
          </w:p>
        </w:tc>
      </w:tr>
      <w:tr w14:paraId="62869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19" w:type="dxa"/>
            <w:vMerge w:val="continue"/>
            <w:tcBorders>
              <w:top w:val="nil"/>
              <w:left w:val="single" w:color="000000" w:sz="10" w:space="0"/>
              <w:bottom w:val="nil"/>
            </w:tcBorders>
            <w:vAlign w:val="top"/>
          </w:tcPr>
          <w:p w14:paraId="24A9ACE5">
            <w:pPr>
              <w:rPr>
                <w:rFonts w:ascii="Arial"/>
                <w:sz w:val="21"/>
              </w:rPr>
            </w:pPr>
          </w:p>
        </w:tc>
        <w:tc>
          <w:tcPr>
            <w:tcW w:w="2690" w:type="dxa"/>
            <w:gridSpan w:val="2"/>
            <w:vAlign w:val="top"/>
          </w:tcPr>
          <w:p w14:paraId="62817BCF">
            <w:pPr>
              <w:pStyle w:val="6"/>
              <w:spacing w:before="101" w:line="228" w:lineRule="auto"/>
              <w:ind w:left="819"/>
            </w:pPr>
            <w:r>
              <w:rPr>
                <w:spacing w:val="8"/>
              </w:rPr>
              <w:t>排污口类型</w:t>
            </w:r>
          </w:p>
        </w:tc>
        <w:tc>
          <w:tcPr>
            <w:tcW w:w="5114" w:type="dxa"/>
            <w:gridSpan w:val="3"/>
            <w:tcBorders>
              <w:right w:val="single" w:color="000000" w:sz="10" w:space="0"/>
            </w:tcBorders>
            <w:vAlign w:val="top"/>
          </w:tcPr>
          <w:p w14:paraId="21214745">
            <w:pPr>
              <w:pStyle w:val="6"/>
              <w:spacing w:before="101" w:line="228" w:lineRule="auto"/>
              <w:ind w:left="1616"/>
            </w:pPr>
            <w:r>
              <w:rPr>
                <w:spacing w:val="8"/>
              </w:rPr>
              <w:t>工业废水入河排污口</w:t>
            </w:r>
          </w:p>
        </w:tc>
      </w:tr>
      <w:tr w14:paraId="2822A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919" w:type="dxa"/>
            <w:vMerge w:val="continue"/>
            <w:tcBorders>
              <w:top w:val="nil"/>
              <w:left w:val="single" w:color="000000" w:sz="10" w:space="0"/>
              <w:bottom w:val="nil"/>
            </w:tcBorders>
            <w:vAlign w:val="top"/>
          </w:tcPr>
          <w:p w14:paraId="2C15BE43">
            <w:pPr>
              <w:rPr>
                <w:rFonts w:ascii="Arial"/>
                <w:sz w:val="21"/>
              </w:rPr>
            </w:pPr>
          </w:p>
        </w:tc>
        <w:tc>
          <w:tcPr>
            <w:tcW w:w="2690" w:type="dxa"/>
            <w:gridSpan w:val="2"/>
            <w:vAlign w:val="top"/>
          </w:tcPr>
          <w:p w14:paraId="0025096B">
            <w:pPr>
              <w:pStyle w:val="6"/>
              <w:spacing w:before="175" w:line="228" w:lineRule="auto"/>
              <w:ind w:left="927"/>
            </w:pPr>
            <w:r>
              <w:rPr>
                <w:spacing w:val="6"/>
              </w:rPr>
              <w:t>建设规模</w:t>
            </w:r>
          </w:p>
        </w:tc>
        <w:tc>
          <w:tcPr>
            <w:tcW w:w="5114" w:type="dxa"/>
            <w:gridSpan w:val="3"/>
            <w:tcBorders>
              <w:right w:val="single" w:color="000000" w:sz="10" w:space="0"/>
            </w:tcBorders>
            <w:vAlign w:val="top"/>
          </w:tcPr>
          <w:p w14:paraId="7B70CB8F">
            <w:pPr>
              <w:pStyle w:val="6"/>
              <w:spacing w:before="41" w:line="228" w:lineRule="auto"/>
              <w:ind w:left="111"/>
              <w:rPr>
                <w:rFonts w:ascii="Times New Roman" w:hAnsi="Times New Roman" w:eastAsia="Times New Roman" w:cs="Times New Roman"/>
              </w:rPr>
            </w:pPr>
            <w:r>
              <w:rPr>
                <w:spacing w:val="4"/>
              </w:rPr>
              <w:t>扩建工程处理规模为</w:t>
            </w:r>
            <w:r>
              <w:rPr>
                <w:rFonts w:ascii="Times New Roman" w:hAnsi="Times New Roman" w:eastAsia="Times New Roman" w:cs="Times New Roman"/>
                <w:spacing w:val="4"/>
              </w:rPr>
              <w:t>1.5</w:t>
            </w:r>
            <w:r>
              <w:rPr>
                <w:spacing w:val="4"/>
              </w:rPr>
              <w:t>万</w:t>
            </w:r>
            <w:r>
              <w:rPr>
                <w:rFonts w:ascii="Times New Roman" w:hAnsi="Times New Roman" w:eastAsia="Times New Roman" w:cs="Times New Roman"/>
                <w:spacing w:val="4"/>
              </w:rPr>
              <w:t>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rPr>
              <w:t>/d</w:t>
            </w:r>
            <w:r>
              <w:rPr>
                <w:spacing w:val="4"/>
              </w:rPr>
              <w:t>，扩建后处理</w:t>
            </w:r>
            <w:r>
              <w:rPr>
                <w:spacing w:val="3"/>
              </w:rPr>
              <w:t>规模为</w:t>
            </w:r>
            <w:r>
              <w:rPr>
                <w:rFonts w:ascii="Times New Roman" w:hAnsi="Times New Roman" w:eastAsia="Times New Roman" w:cs="Times New Roman"/>
                <w:spacing w:val="3"/>
              </w:rPr>
              <w:t>3</w:t>
            </w:r>
          </w:p>
          <w:p w14:paraId="593AC9AB">
            <w:pPr>
              <w:pStyle w:val="6"/>
              <w:spacing w:before="24" w:line="208" w:lineRule="auto"/>
              <w:ind w:left="2238"/>
              <w:rPr>
                <w:rFonts w:ascii="Times New Roman" w:hAnsi="Times New Roman" w:eastAsia="Times New Roman" w:cs="Times New Roman"/>
              </w:rPr>
            </w:pPr>
            <w:r>
              <w:rPr>
                <w:spacing w:val="2"/>
              </w:rPr>
              <w:t>万</w:t>
            </w:r>
            <w:r>
              <w:rPr>
                <w:rFonts w:ascii="Times New Roman" w:hAnsi="Times New Roman" w:eastAsia="Times New Roman" w:cs="Times New Roman"/>
                <w:spacing w:val="2"/>
              </w:rPr>
              <w:t>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rPr>
              <w:t>/d</w:t>
            </w:r>
          </w:p>
        </w:tc>
      </w:tr>
      <w:tr w14:paraId="7EED4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19" w:type="dxa"/>
            <w:vMerge w:val="continue"/>
            <w:tcBorders>
              <w:top w:val="nil"/>
              <w:left w:val="single" w:color="000000" w:sz="10" w:space="0"/>
              <w:bottom w:val="nil"/>
            </w:tcBorders>
            <w:vAlign w:val="top"/>
          </w:tcPr>
          <w:p w14:paraId="599AE555">
            <w:pPr>
              <w:rPr>
                <w:rFonts w:ascii="Arial"/>
                <w:sz w:val="21"/>
              </w:rPr>
            </w:pPr>
          </w:p>
        </w:tc>
        <w:tc>
          <w:tcPr>
            <w:tcW w:w="2690" w:type="dxa"/>
            <w:gridSpan w:val="2"/>
            <w:vAlign w:val="top"/>
          </w:tcPr>
          <w:p w14:paraId="1AF23237">
            <w:pPr>
              <w:pStyle w:val="6"/>
              <w:spacing w:before="105" w:line="228" w:lineRule="auto"/>
              <w:ind w:left="389"/>
            </w:pPr>
            <w:r>
              <w:rPr>
                <w:spacing w:val="7"/>
              </w:rPr>
              <w:t>污水年排放量（</w:t>
            </w:r>
            <w:r>
              <w:rPr>
                <w:rFonts w:ascii="Times New Roman" w:hAnsi="Times New Roman" w:eastAsia="Times New Roman" w:cs="Times New Roman"/>
                <w:spacing w:val="7"/>
              </w:rPr>
              <w:t>m</w:t>
            </w:r>
            <w:r>
              <w:rPr>
                <w:rFonts w:ascii="Times New Roman" w:hAnsi="Times New Roman" w:eastAsia="Times New Roman" w:cs="Times New Roman"/>
                <w:spacing w:val="7"/>
                <w:position w:val="6"/>
                <w:sz w:val="13"/>
                <w:szCs w:val="13"/>
              </w:rPr>
              <w:t>3</w:t>
            </w:r>
            <w:r>
              <w:rPr>
                <w:spacing w:val="7"/>
              </w:rPr>
              <w:t>）</w:t>
            </w:r>
          </w:p>
        </w:tc>
        <w:tc>
          <w:tcPr>
            <w:tcW w:w="5114" w:type="dxa"/>
            <w:gridSpan w:val="3"/>
            <w:tcBorders>
              <w:right w:val="single" w:color="000000" w:sz="10" w:space="0"/>
            </w:tcBorders>
            <w:vAlign w:val="top"/>
          </w:tcPr>
          <w:p w14:paraId="53379457">
            <w:pPr>
              <w:pStyle w:val="6"/>
              <w:spacing w:before="105" w:line="228" w:lineRule="auto"/>
              <w:ind w:left="111"/>
            </w:pPr>
            <w:r>
              <w:rPr>
                <w:spacing w:val="6"/>
              </w:rPr>
              <w:t>扩建工程年排水量</w:t>
            </w:r>
            <w:r>
              <w:rPr>
                <w:rFonts w:ascii="Times New Roman" w:hAnsi="Times New Roman" w:eastAsia="Times New Roman" w:cs="Times New Roman"/>
                <w:spacing w:val="6"/>
              </w:rPr>
              <w:t>547.5</w:t>
            </w:r>
            <w:r>
              <w:rPr>
                <w:spacing w:val="6"/>
              </w:rPr>
              <w:t>万；扩建后年排水量</w:t>
            </w:r>
            <w:r>
              <w:rPr>
                <w:rFonts w:ascii="Times New Roman" w:hAnsi="Times New Roman" w:eastAsia="Times New Roman" w:cs="Times New Roman"/>
                <w:spacing w:val="6"/>
              </w:rPr>
              <w:t>1095</w:t>
            </w:r>
            <w:r>
              <w:rPr>
                <w:spacing w:val="6"/>
              </w:rPr>
              <w:t>万</w:t>
            </w:r>
          </w:p>
        </w:tc>
      </w:tr>
      <w:tr w14:paraId="1898C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19" w:type="dxa"/>
            <w:vMerge w:val="continue"/>
            <w:tcBorders>
              <w:top w:val="nil"/>
              <w:left w:val="single" w:color="000000" w:sz="10" w:space="0"/>
              <w:bottom w:val="nil"/>
            </w:tcBorders>
            <w:vAlign w:val="top"/>
          </w:tcPr>
          <w:p w14:paraId="6176528E">
            <w:pPr>
              <w:rPr>
                <w:rFonts w:ascii="Arial"/>
                <w:sz w:val="21"/>
              </w:rPr>
            </w:pPr>
          </w:p>
        </w:tc>
        <w:tc>
          <w:tcPr>
            <w:tcW w:w="1503" w:type="dxa"/>
            <w:vMerge w:val="restart"/>
            <w:tcBorders>
              <w:bottom w:val="nil"/>
            </w:tcBorders>
            <w:vAlign w:val="top"/>
          </w:tcPr>
          <w:p w14:paraId="005AC042">
            <w:pPr>
              <w:spacing w:line="247" w:lineRule="auto"/>
              <w:rPr>
                <w:rFonts w:ascii="Arial"/>
                <w:sz w:val="21"/>
              </w:rPr>
            </w:pPr>
          </w:p>
          <w:p w14:paraId="48F9C1ED">
            <w:pPr>
              <w:spacing w:line="247" w:lineRule="auto"/>
              <w:rPr>
                <w:rFonts w:ascii="Arial"/>
                <w:sz w:val="21"/>
              </w:rPr>
            </w:pPr>
          </w:p>
          <w:p w14:paraId="62522240">
            <w:pPr>
              <w:spacing w:line="247" w:lineRule="auto"/>
              <w:rPr>
                <w:rFonts w:ascii="Arial"/>
                <w:sz w:val="21"/>
              </w:rPr>
            </w:pPr>
          </w:p>
          <w:p w14:paraId="52EA6780">
            <w:pPr>
              <w:spacing w:line="247" w:lineRule="auto"/>
              <w:rPr>
                <w:rFonts w:ascii="Arial"/>
                <w:sz w:val="21"/>
              </w:rPr>
            </w:pPr>
          </w:p>
          <w:p w14:paraId="462A3479">
            <w:pPr>
              <w:spacing w:line="247" w:lineRule="auto"/>
              <w:rPr>
                <w:rFonts w:ascii="Arial"/>
                <w:sz w:val="21"/>
              </w:rPr>
            </w:pPr>
          </w:p>
          <w:p w14:paraId="54F9DE87">
            <w:pPr>
              <w:spacing w:line="248" w:lineRule="auto"/>
              <w:rPr>
                <w:rFonts w:ascii="Arial"/>
                <w:sz w:val="21"/>
              </w:rPr>
            </w:pPr>
          </w:p>
          <w:p w14:paraId="26061EBA">
            <w:pPr>
              <w:spacing w:line="248" w:lineRule="auto"/>
              <w:rPr>
                <w:rFonts w:ascii="Arial"/>
                <w:sz w:val="21"/>
              </w:rPr>
            </w:pPr>
          </w:p>
          <w:p w14:paraId="7CD15695">
            <w:pPr>
              <w:pStyle w:val="6"/>
              <w:spacing w:before="65" w:line="228" w:lineRule="auto"/>
              <w:ind w:left="106"/>
            </w:pPr>
            <w:r>
              <w:rPr>
                <w:spacing w:val="7"/>
              </w:rPr>
              <w:t>主要污染物</w:t>
            </w:r>
          </w:p>
        </w:tc>
        <w:tc>
          <w:tcPr>
            <w:tcW w:w="6301" w:type="dxa"/>
            <w:gridSpan w:val="4"/>
            <w:tcBorders>
              <w:right w:val="single" w:color="000000" w:sz="10" w:space="0"/>
            </w:tcBorders>
            <w:vAlign w:val="top"/>
          </w:tcPr>
          <w:p w14:paraId="29C1837D">
            <w:pPr>
              <w:pStyle w:val="6"/>
              <w:spacing w:before="107" w:line="228" w:lineRule="auto"/>
              <w:ind w:left="2731"/>
            </w:pPr>
            <w:r>
              <w:rPr>
                <w:spacing w:val="7"/>
              </w:rPr>
              <w:t>扩建工程</w:t>
            </w:r>
          </w:p>
        </w:tc>
      </w:tr>
      <w:tr w14:paraId="01ED6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919" w:type="dxa"/>
            <w:vMerge w:val="continue"/>
            <w:tcBorders>
              <w:top w:val="nil"/>
              <w:left w:val="single" w:color="000000" w:sz="10" w:space="0"/>
              <w:bottom w:val="nil"/>
            </w:tcBorders>
            <w:vAlign w:val="top"/>
          </w:tcPr>
          <w:p w14:paraId="4E5B3B45">
            <w:pPr>
              <w:rPr>
                <w:rFonts w:ascii="Arial"/>
                <w:sz w:val="21"/>
              </w:rPr>
            </w:pPr>
          </w:p>
        </w:tc>
        <w:tc>
          <w:tcPr>
            <w:tcW w:w="1503" w:type="dxa"/>
            <w:vMerge w:val="continue"/>
            <w:tcBorders>
              <w:top w:val="nil"/>
              <w:bottom w:val="nil"/>
            </w:tcBorders>
            <w:vAlign w:val="top"/>
          </w:tcPr>
          <w:p w14:paraId="4FB9A66D">
            <w:pPr>
              <w:rPr>
                <w:rFonts w:ascii="Arial"/>
                <w:sz w:val="21"/>
              </w:rPr>
            </w:pPr>
          </w:p>
        </w:tc>
        <w:tc>
          <w:tcPr>
            <w:tcW w:w="1187" w:type="dxa"/>
            <w:vAlign w:val="top"/>
          </w:tcPr>
          <w:p w14:paraId="40108DD1">
            <w:pPr>
              <w:pStyle w:val="6"/>
              <w:spacing w:before="182" w:line="228" w:lineRule="auto"/>
              <w:ind w:left="111"/>
            </w:pPr>
            <w:r>
              <w:rPr>
                <w:spacing w:val="3"/>
              </w:rPr>
              <w:t>项目</w:t>
            </w:r>
          </w:p>
        </w:tc>
        <w:tc>
          <w:tcPr>
            <w:tcW w:w="1611" w:type="dxa"/>
            <w:vAlign w:val="top"/>
          </w:tcPr>
          <w:p w14:paraId="1F02D10C">
            <w:pPr>
              <w:pStyle w:val="6"/>
              <w:spacing w:before="46" w:line="227" w:lineRule="auto"/>
              <w:ind w:left="111" w:right="244" w:firstLine="36"/>
            </w:pPr>
            <w:r>
              <w:rPr>
                <w:spacing w:val="2"/>
              </w:rPr>
              <w:t>日最高排放浓</w:t>
            </w:r>
            <w:r>
              <w:rPr>
                <w:spacing w:val="6"/>
              </w:rPr>
              <w:t>度（</w:t>
            </w:r>
            <w:r>
              <w:rPr>
                <w:rFonts w:ascii="Times New Roman" w:hAnsi="Times New Roman" w:eastAsia="Times New Roman" w:cs="Times New Roman"/>
              </w:rPr>
              <w:t>mg</w:t>
            </w:r>
            <w:r>
              <w:rPr>
                <w:rFonts w:ascii="Times New Roman" w:hAnsi="Times New Roman" w:eastAsia="Times New Roman" w:cs="Times New Roman"/>
                <w:spacing w:val="6"/>
              </w:rPr>
              <w:t>/L</w:t>
            </w:r>
            <w:r>
              <w:rPr>
                <w:spacing w:val="6"/>
              </w:rPr>
              <w:t>）</w:t>
            </w:r>
          </w:p>
        </w:tc>
        <w:tc>
          <w:tcPr>
            <w:tcW w:w="1848" w:type="dxa"/>
            <w:vAlign w:val="top"/>
          </w:tcPr>
          <w:p w14:paraId="2AF09B82">
            <w:pPr>
              <w:pStyle w:val="6"/>
              <w:spacing w:before="46" w:line="227" w:lineRule="auto"/>
              <w:ind w:left="126" w:right="266" w:hanging="5"/>
            </w:pPr>
            <w:r>
              <w:rPr>
                <w:spacing w:val="7"/>
              </w:rPr>
              <w:t>月平均排放浓度</w:t>
            </w:r>
            <w:r>
              <w:rPr>
                <w:spacing w:val="2"/>
              </w:rPr>
              <w:t>（</w:t>
            </w:r>
            <w:r>
              <w:rPr>
                <w:rFonts w:ascii="Times New Roman" w:hAnsi="Times New Roman" w:eastAsia="Times New Roman" w:cs="Times New Roman"/>
              </w:rPr>
              <w:t>mg</w:t>
            </w:r>
            <w:r>
              <w:rPr>
                <w:rFonts w:ascii="Times New Roman" w:hAnsi="Times New Roman" w:eastAsia="Times New Roman" w:cs="Times New Roman"/>
                <w:spacing w:val="2"/>
              </w:rPr>
              <w:t>/L</w:t>
            </w:r>
            <w:r>
              <w:rPr>
                <w:spacing w:val="2"/>
              </w:rPr>
              <w:t>）</w:t>
            </w:r>
          </w:p>
        </w:tc>
        <w:tc>
          <w:tcPr>
            <w:tcW w:w="1655" w:type="dxa"/>
            <w:tcBorders>
              <w:right w:val="single" w:color="000000" w:sz="10" w:space="0"/>
            </w:tcBorders>
            <w:vAlign w:val="top"/>
          </w:tcPr>
          <w:p w14:paraId="2118E0FA">
            <w:pPr>
              <w:pStyle w:val="6"/>
              <w:spacing w:before="46" w:line="227" w:lineRule="auto"/>
              <w:ind w:left="130" w:right="269" w:hanging="7"/>
            </w:pPr>
            <w:r>
              <w:rPr>
                <w:spacing w:val="7"/>
              </w:rPr>
              <w:t>最大年排放量</w:t>
            </w:r>
            <w:r>
              <w:t>（</w:t>
            </w:r>
            <w:r>
              <w:rPr>
                <w:rFonts w:ascii="Times New Roman" w:hAnsi="Times New Roman" w:eastAsia="Times New Roman" w:cs="Times New Roman"/>
              </w:rPr>
              <w:t>t/a</w:t>
            </w:r>
            <w:r>
              <w:t>）</w:t>
            </w:r>
          </w:p>
        </w:tc>
      </w:tr>
      <w:tr w14:paraId="385C5E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19" w:type="dxa"/>
            <w:vMerge w:val="continue"/>
            <w:tcBorders>
              <w:top w:val="nil"/>
              <w:left w:val="single" w:color="000000" w:sz="10" w:space="0"/>
              <w:bottom w:val="nil"/>
            </w:tcBorders>
            <w:vAlign w:val="top"/>
          </w:tcPr>
          <w:p w14:paraId="34FB8FA0">
            <w:pPr>
              <w:rPr>
                <w:rFonts w:ascii="Arial"/>
                <w:sz w:val="21"/>
              </w:rPr>
            </w:pPr>
          </w:p>
        </w:tc>
        <w:tc>
          <w:tcPr>
            <w:tcW w:w="1503" w:type="dxa"/>
            <w:vMerge w:val="continue"/>
            <w:tcBorders>
              <w:top w:val="nil"/>
              <w:bottom w:val="nil"/>
            </w:tcBorders>
            <w:vAlign w:val="top"/>
          </w:tcPr>
          <w:p w14:paraId="43CE6FBB">
            <w:pPr>
              <w:rPr>
                <w:rFonts w:ascii="Arial"/>
                <w:sz w:val="21"/>
              </w:rPr>
            </w:pPr>
          </w:p>
        </w:tc>
        <w:tc>
          <w:tcPr>
            <w:tcW w:w="1187" w:type="dxa"/>
            <w:vAlign w:val="top"/>
          </w:tcPr>
          <w:p w14:paraId="5212FD7D">
            <w:pPr>
              <w:spacing w:before="145"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611" w:type="dxa"/>
            <w:vAlign w:val="top"/>
          </w:tcPr>
          <w:p w14:paraId="3A84D549">
            <w:pPr>
              <w:spacing w:before="145" w:line="195" w:lineRule="auto"/>
              <w:ind w:left="70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848" w:type="dxa"/>
            <w:vAlign w:val="top"/>
          </w:tcPr>
          <w:p w14:paraId="432615AE">
            <w:pPr>
              <w:spacing w:before="141" w:line="199" w:lineRule="auto"/>
              <w:ind w:left="8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55" w:type="dxa"/>
            <w:tcBorders>
              <w:right w:val="single" w:color="000000" w:sz="10" w:space="0"/>
            </w:tcBorders>
            <w:vAlign w:val="top"/>
          </w:tcPr>
          <w:p w14:paraId="2E841DC7">
            <w:pPr>
              <w:spacing w:before="145"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273.75</w:t>
            </w:r>
          </w:p>
        </w:tc>
      </w:tr>
      <w:tr w14:paraId="634226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19" w:type="dxa"/>
            <w:vMerge w:val="continue"/>
            <w:tcBorders>
              <w:top w:val="nil"/>
              <w:left w:val="single" w:color="000000" w:sz="10" w:space="0"/>
              <w:bottom w:val="nil"/>
            </w:tcBorders>
            <w:vAlign w:val="top"/>
          </w:tcPr>
          <w:p w14:paraId="1DFA8FAD">
            <w:pPr>
              <w:rPr>
                <w:rFonts w:ascii="Arial"/>
                <w:sz w:val="21"/>
              </w:rPr>
            </w:pPr>
          </w:p>
        </w:tc>
        <w:tc>
          <w:tcPr>
            <w:tcW w:w="1503" w:type="dxa"/>
            <w:vMerge w:val="continue"/>
            <w:tcBorders>
              <w:top w:val="nil"/>
              <w:bottom w:val="nil"/>
            </w:tcBorders>
            <w:vAlign w:val="top"/>
          </w:tcPr>
          <w:p w14:paraId="35D67C80">
            <w:pPr>
              <w:rPr>
                <w:rFonts w:ascii="Arial"/>
                <w:sz w:val="21"/>
              </w:rPr>
            </w:pPr>
          </w:p>
        </w:tc>
        <w:tc>
          <w:tcPr>
            <w:tcW w:w="1187" w:type="dxa"/>
            <w:vAlign w:val="top"/>
          </w:tcPr>
          <w:p w14:paraId="1636D410">
            <w:pPr>
              <w:spacing w:before="146" w:line="200" w:lineRule="auto"/>
              <w:ind w:left="334"/>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1611" w:type="dxa"/>
            <w:vAlign w:val="top"/>
          </w:tcPr>
          <w:p w14:paraId="3429225C">
            <w:pPr>
              <w:spacing w:before="147" w:line="195" w:lineRule="auto"/>
              <w:ind w:left="72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848" w:type="dxa"/>
            <w:vAlign w:val="top"/>
          </w:tcPr>
          <w:p w14:paraId="73D72B23">
            <w:pPr>
              <w:spacing w:before="143" w:line="199" w:lineRule="auto"/>
              <w:ind w:left="8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55" w:type="dxa"/>
            <w:tcBorders>
              <w:right w:val="single" w:color="000000" w:sz="10" w:space="0"/>
            </w:tcBorders>
            <w:vAlign w:val="top"/>
          </w:tcPr>
          <w:p w14:paraId="7C45AE04">
            <w:pPr>
              <w:spacing w:before="147"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54.75</w:t>
            </w:r>
          </w:p>
        </w:tc>
      </w:tr>
      <w:tr w14:paraId="034BE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19" w:type="dxa"/>
            <w:vMerge w:val="continue"/>
            <w:tcBorders>
              <w:top w:val="nil"/>
              <w:left w:val="single" w:color="000000" w:sz="10" w:space="0"/>
              <w:bottom w:val="nil"/>
            </w:tcBorders>
            <w:vAlign w:val="top"/>
          </w:tcPr>
          <w:p w14:paraId="2B769C93">
            <w:pPr>
              <w:rPr>
                <w:rFonts w:ascii="Arial"/>
                <w:sz w:val="21"/>
              </w:rPr>
            </w:pPr>
          </w:p>
        </w:tc>
        <w:tc>
          <w:tcPr>
            <w:tcW w:w="1503" w:type="dxa"/>
            <w:vMerge w:val="continue"/>
            <w:tcBorders>
              <w:top w:val="nil"/>
              <w:bottom w:val="nil"/>
            </w:tcBorders>
            <w:vAlign w:val="top"/>
          </w:tcPr>
          <w:p w14:paraId="341F8DCE">
            <w:pPr>
              <w:rPr>
                <w:rFonts w:ascii="Arial"/>
                <w:sz w:val="21"/>
              </w:rPr>
            </w:pPr>
          </w:p>
        </w:tc>
        <w:tc>
          <w:tcPr>
            <w:tcW w:w="1187" w:type="dxa"/>
            <w:vAlign w:val="top"/>
          </w:tcPr>
          <w:p w14:paraId="0396454C">
            <w:pPr>
              <w:spacing w:before="146" w:line="195" w:lineRule="auto"/>
              <w:ind w:left="4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611" w:type="dxa"/>
            <w:vAlign w:val="top"/>
          </w:tcPr>
          <w:p w14:paraId="04D62B67">
            <w:pPr>
              <w:spacing w:before="146" w:line="195" w:lineRule="auto"/>
              <w:ind w:left="72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848" w:type="dxa"/>
            <w:vAlign w:val="top"/>
          </w:tcPr>
          <w:p w14:paraId="7BF25BC8">
            <w:pPr>
              <w:spacing w:before="143" w:line="199" w:lineRule="auto"/>
              <w:ind w:left="8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55" w:type="dxa"/>
            <w:tcBorders>
              <w:right w:val="single" w:color="000000" w:sz="10" w:space="0"/>
            </w:tcBorders>
            <w:vAlign w:val="top"/>
          </w:tcPr>
          <w:p w14:paraId="2400BFAA">
            <w:pPr>
              <w:spacing w:before="146"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54.75</w:t>
            </w:r>
          </w:p>
        </w:tc>
      </w:tr>
      <w:tr w14:paraId="0E89B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19" w:type="dxa"/>
            <w:vMerge w:val="continue"/>
            <w:tcBorders>
              <w:top w:val="nil"/>
              <w:left w:val="single" w:color="000000" w:sz="10" w:space="0"/>
              <w:bottom w:val="nil"/>
            </w:tcBorders>
            <w:vAlign w:val="top"/>
          </w:tcPr>
          <w:p w14:paraId="2EE2D34B">
            <w:pPr>
              <w:rPr>
                <w:rFonts w:ascii="Arial"/>
                <w:sz w:val="21"/>
              </w:rPr>
            </w:pPr>
          </w:p>
        </w:tc>
        <w:tc>
          <w:tcPr>
            <w:tcW w:w="1503" w:type="dxa"/>
            <w:vMerge w:val="continue"/>
            <w:tcBorders>
              <w:top w:val="nil"/>
              <w:bottom w:val="nil"/>
            </w:tcBorders>
            <w:vAlign w:val="top"/>
          </w:tcPr>
          <w:p w14:paraId="15003E70">
            <w:pPr>
              <w:rPr>
                <w:rFonts w:ascii="Arial"/>
                <w:sz w:val="21"/>
              </w:rPr>
            </w:pPr>
          </w:p>
        </w:tc>
        <w:tc>
          <w:tcPr>
            <w:tcW w:w="1187" w:type="dxa"/>
            <w:vAlign w:val="top"/>
          </w:tcPr>
          <w:p w14:paraId="5DB709D8">
            <w:pPr>
              <w:spacing w:before="155" w:line="207" w:lineRule="auto"/>
              <w:ind w:left="302"/>
              <w:rPr>
                <w:rFonts w:ascii="Times New Roman" w:hAnsi="Times New Roman" w:eastAsia="Times New Roman" w:cs="Times New Roman"/>
                <w:sz w:val="19"/>
                <w:szCs w:val="19"/>
              </w:rPr>
            </w:pPr>
            <w:r>
              <w:rPr>
                <w:rFonts w:ascii="Times New Roman" w:hAnsi="Times New Roman" w:eastAsia="Times New Roman" w:cs="Times New Roman"/>
                <w:sz w:val="19"/>
                <w:szCs w:val="19"/>
              </w:rPr>
              <w:t>NH</w:t>
            </w:r>
            <w:r>
              <w:rPr>
                <w:rFonts w:ascii="Times New Roman" w:hAnsi="Times New Roman" w:eastAsia="Times New Roman" w:cs="Times New Roman"/>
                <w:spacing w:val="9"/>
                <w:sz w:val="12"/>
                <w:szCs w:val="12"/>
              </w:rPr>
              <w:t>3</w:t>
            </w:r>
            <w:r>
              <w:rPr>
                <w:rFonts w:ascii="Times New Roman" w:hAnsi="Times New Roman" w:eastAsia="Times New Roman" w:cs="Times New Roman"/>
                <w:spacing w:val="9"/>
                <w:sz w:val="19"/>
                <w:szCs w:val="19"/>
              </w:rPr>
              <w:t>-N</w:t>
            </w:r>
          </w:p>
        </w:tc>
        <w:tc>
          <w:tcPr>
            <w:tcW w:w="1611" w:type="dxa"/>
            <w:vAlign w:val="top"/>
          </w:tcPr>
          <w:p w14:paraId="48E3C3E5">
            <w:pPr>
              <w:spacing w:before="152" w:line="192" w:lineRule="auto"/>
              <w:ind w:left="75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848" w:type="dxa"/>
            <w:vAlign w:val="top"/>
          </w:tcPr>
          <w:p w14:paraId="3C061DCA">
            <w:pPr>
              <w:spacing w:before="146" w:line="199" w:lineRule="auto"/>
              <w:ind w:left="8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55" w:type="dxa"/>
            <w:tcBorders>
              <w:right w:val="single" w:color="000000" w:sz="10" w:space="0"/>
            </w:tcBorders>
            <w:vAlign w:val="top"/>
          </w:tcPr>
          <w:p w14:paraId="4FB4282B">
            <w:pPr>
              <w:spacing w:before="149"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27.375</w:t>
            </w:r>
          </w:p>
        </w:tc>
      </w:tr>
      <w:tr w14:paraId="56217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19" w:type="dxa"/>
            <w:vMerge w:val="continue"/>
            <w:tcBorders>
              <w:top w:val="nil"/>
              <w:left w:val="single" w:color="000000" w:sz="10" w:space="0"/>
              <w:bottom w:val="nil"/>
            </w:tcBorders>
            <w:vAlign w:val="top"/>
          </w:tcPr>
          <w:p w14:paraId="73934994">
            <w:pPr>
              <w:rPr>
                <w:rFonts w:ascii="Arial"/>
                <w:sz w:val="21"/>
              </w:rPr>
            </w:pPr>
          </w:p>
        </w:tc>
        <w:tc>
          <w:tcPr>
            <w:tcW w:w="1503" w:type="dxa"/>
            <w:vMerge w:val="continue"/>
            <w:tcBorders>
              <w:top w:val="nil"/>
              <w:bottom w:val="nil"/>
            </w:tcBorders>
            <w:vAlign w:val="top"/>
          </w:tcPr>
          <w:p w14:paraId="00BD976C">
            <w:pPr>
              <w:rPr>
                <w:rFonts w:ascii="Arial"/>
                <w:sz w:val="21"/>
              </w:rPr>
            </w:pPr>
          </w:p>
        </w:tc>
        <w:tc>
          <w:tcPr>
            <w:tcW w:w="1187" w:type="dxa"/>
            <w:vAlign w:val="top"/>
          </w:tcPr>
          <w:p w14:paraId="282C1671">
            <w:pPr>
              <w:spacing w:before="152" w:line="192"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TN</w:t>
            </w:r>
          </w:p>
        </w:tc>
        <w:tc>
          <w:tcPr>
            <w:tcW w:w="1611" w:type="dxa"/>
            <w:vAlign w:val="top"/>
          </w:tcPr>
          <w:p w14:paraId="21D7DA74">
            <w:pPr>
              <w:spacing w:before="149" w:line="195" w:lineRule="auto"/>
              <w:ind w:left="72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848" w:type="dxa"/>
            <w:vAlign w:val="top"/>
          </w:tcPr>
          <w:p w14:paraId="724148E1">
            <w:pPr>
              <w:spacing w:before="145" w:line="199" w:lineRule="auto"/>
              <w:ind w:left="8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55" w:type="dxa"/>
            <w:tcBorders>
              <w:right w:val="single" w:color="000000" w:sz="10" w:space="0"/>
            </w:tcBorders>
            <w:vAlign w:val="top"/>
          </w:tcPr>
          <w:p w14:paraId="4AF99A63">
            <w:pPr>
              <w:spacing w:before="149" w:line="195" w:lineRule="auto"/>
              <w:ind w:left="5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82.125</w:t>
            </w:r>
          </w:p>
        </w:tc>
      </w:tr>
      <w:tr w14:paraId="788F65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19" w:type="dxa"/>
            <w:vMerge w:val="continue"/>
            <w:tcBorders>
              <w:top w:val="nil"/>
              <w:left w:val="single" w:color="000000" w:sz="10" w:space="0"/>
              <w:bottom w:val="nil"/>
            </w:tcBorders>
            <w:vAlign w:val="top"/>
          </w:tcPr>
          <w:p w14:paraId="6A8D7E2E">
            <w:pPr>
              <w:rPr>
                <w:rFonts w:ascii="Arial"/>
                <w:sz w:val="21"/>
              </w:rPr>
            </w:pPr>
          </w:p>
        </w:tc>
        <w:tc>
          <w:tcPr>
            <w:tcW w:w="1503" w:type="dxa"/>
            <w:vMerge w:val="continue"/>
            <w:tcBorders>
              <w:top w:val="nil"/>
              <w:bottom w:val="nil"/>
            </w:tcBorders>
            <w:vAlign w:val="top"/>
          </w:tcPr>
          <w:p w14:paraId="058FAA7F">
            <w:pPr>
              <w:rPr>
                <w:rFonts w:ascii="Arial"/>
                <w:sz w:val="21"/>
              </w:rPr>
            </w:pPr>
          </w:p>
        </w:tc>
        <w:tc>
          <w:tcPr>
            <w:tcW w:w="1187" w:type="dxa"/>
            <w:vAlign w:val="top"/>
          </w:tcPr>
          <w:p w14:paraId="5CCD78D4">
            <w:pPr>
              <w:spacing w:before="154" w:line="192"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TP</w:t>
            </w:r>
          </w:p>
        </w:tc>
        <w:tc>
          <w:tcPr>
            <w:tcW w:w="1611" w:type="dxa"/>
            <w:vAlign w:val="top"/>
          </w:tcPr>
          <w:p w14:paraId="682A43F0">
            <w:pPr>
              <w:spacing w:before="151" w:line="195" w:lineRule="auto"/>
              <w:ind w:left="6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848" w:type="dxa"/>
            <w:vAlign w:val="top"/>
          </w:tcPr>
          <w:p w14:paraId="02454303">
            <w:pPr>
              <w:spacing w:before="147" w:line="199" w:lineRule="auto"/>
              <w:ind w:left="8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55" w:type="dxa"/>
            <w:tcBorders>
              <w:right w:val="single" w:color="000000" w:sz="10" w:space="0"/>
            </w:tcBorders>
            <w:vAlign w:val="top"/>
          </w:tcPr>
          <w:p w14:paraId="7560ABC0">
            <w:pPr>
              <w:spacing w:before="151" w:line="195" w:lineRule="auto"/>
              <w:ind w:left="5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2.7375</w:t>
            </w:r>
          </w:p>
        </w:tc>
      </w:tr>
      <w:tr w14:paraId="429FFB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919" w:type="dxa"/>
            <w:vMerge w:val="continue"/>
            <w:tcBorders>
              <w:top w:val="nil"/>
              <w:left w:val="single" w:color="000000" w:sz="10" w:space="0"/>
              <w:bottom w:val="single" w:color="000000" w:sz="10" w:space="0"/>
            </w:tcBorders>
            <w:vAlign w:val="top"/>
          </w:tcPr>
          <w:p w14:paraId="2D1DA8FF">
            <w:pPr>
              <w:rPr>
                <w:rFonts w:ascii="Arial"/>
                <w:sz w:val="21"/>
              </w:rPr>
            </w:pPr>
          </w:p>
        </w:tc>
        <w:tc>
          <w:tcPr>
            <w:tcW w:w="1503" w:type="dxa"/>
            <w:vMerge w:val="continue"/>
            <w:tcBorders>
              <w:top w:val="nil"/>
              <w:bottom w:val="single" w:color="000000" w:sz="10" w:space="0"/>
            </w:tcBorders>
            <w:vAlign w:val="top"/>
          </w:tcPr>
          <w:p w14:paraId="5D4E638E">
            <w:pPr>
              <w:rPr>
                <w:rFonts w:ascii="Arial"/>
                <w:sz w:val="21"/>
              </w:rPr>
            </w:pPr>
          </w:p>
        </w:tc>
        <w:tc>
          <w:tcPr>
            <w:tcW w:w="6301" w:type="dxa"/>
            <w:gridSpan w:val="4"/>
            <w:tcBorders>
              <w:bottom w:val="single" w:color="000000" w:sz="10" w:space="0"/>
              <w:right w:val="single" w:color="000000" w:sz="10" w:space="0"/>
            </w:tcBorders>
            <w:vAlign w:val="top"/>
          </w:tcPr>
          <w:p w14:paraId="0A46D7C2">
            <w:pPr>
              <w:pStyle w:val="6"/>
              <w:spacing w:before="115" w:line="228" w:lineRule="auto"/>
              <w:ind w:left="2837"/>
            </w:pPr>
            <w:r>
              <w:rPr>
                <w:spacing w:val="6"/>
              </w:rPr>
              <w:t>扩建后</w:t>
            </w:r>
          </w:p>
        </w:tc>
      </w:tr>
    </w:tbl>
    <w:p w14:paraId="02788C86">
      <w:pPr>
        <w:pStyle w:val="2"/>
        <w:spacing w:line="208" w:lineRule="exact"/>
        <w:rPr>
          <w:sz w:val="18"/>
        </w:rPr>
      </w:pPr>
    </w:p>
    <w:p w14:paraId="18F28752">
      <w:pPr>
        <w:spacing w:line="208" w:lineRule="exact"/>
        <w:rPr>
          <w:sz w:val="18"/>
          <w:szCs w:val="18"/>
        </w:rPr>
        <w:sectPr>
          <w:headerReference r:id="rId102" w:type="default"/>
          <w:footerReference r:id="rId103" w:type="default"/>
          <w:pgSz w:w="11907" w:h="16840"/>
          <w:pgMar w:top="1132" w:right="1579" w:bottom="1259" w:left="1578" w:header="829" w:footer="1097" w:gutter="0"/>
          <w:cols w:space="720" w:num="1"/>
        </w:sectPr>
      </w:pPr>
    </w:p>
    <w:p w14:paraId="288021D9">
      <w:pPr>
        <w:spacing w:before="42"/>
      </w:pPr>
    </w:p>
    <w:tbl>
      <w:tblPr>
        <w:tblStyle w:val="5"/>
        <w:tblW w:w="872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9"/>
        <w:gridCol w:w="1503"/>
        <w:gridCol w:w="1187"/>
        <w:gridCol w:w="1611"/>
        <w:gridCol w:w="1848"/>
        <w:gridCol w:w="1655"/>
      </w:tblGrid>
      <w:tr w14:paraId="21827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919" w:type="dxa"/>
            <w:vMerge w:val="restart"/>
            <w:tcBorders>
              <w:top w:val="single" w:color="000000" w:sz="10" w:space="0"/>
              <w:left w:val="single" w:color="000000" w:sz="10" w:space="0"/>
              <w:bottom w:val="nil"/>
            </w:tcBorders>
            <w:vAlign w:val="top"/>
          </w:tcPr>
          <w:p w14:paraId="1AF91005">
            <w:pPr>
              <w:rPr>
                <w:rFonts w:ascii="Arial"/>
                <w:sz w:val="21"/>
              </w:rPr>
            </w:pPr>
          </w:p>
        </w:tc>
        <w:tc>
          <w:tcPr>
            <w:tcW w:w="1503" w:type="dxa"/>
            <w:vMerge w:val="restart"/>
            <w:tcBorders>
              <w:top w:val="single" w:color="000000" w:sz="10" w:space="0"/>
              <w:bottom w:val="nil"/>
            </w:tcBorders>
            <w:vAlign w:val="top"/>
          </w:tcPr>
          <w:p w14:paraId="6A20B9C8">
            <w:pPr>
              <w:rPr>
                <w:rFonts w:ascii="Arial"/>
                <w:sz w:val="21"/>
              </w:rPr>
            </w:pPr>
          </w:p>
        </w:tc>
        <w:tc>
          <w:tcPr>
            <w:tcW w:w="1187" w:type="dxa"/>
            <w:tcBorders>
              <w:top w:val="single" w:color="000000" w:sz="10" w:space="0"/>
            </w:tcBorders>
            <w:vAlign w:val="top"/>
          </w:tcPr>
          <w:p w14:paraId="3CFEEEE6">
            <w:pPr>
              <w:spacing w:before="133"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611" w:type="dxa"/>
            <w:tcBorders>
              <w:top w:val="single" w:color="000000" w:sz="10" w:space="0"/>
            </w:tcBorders>
            <w:vAlign w:val="top"/>
          </w:tcPr>
          <w:p w14:paraId="171D8D46">
            <w:pPr>
              <w:spacing w:before="133" w:line="195" w:lineRule="auto"/>
              <w:ind w:left="70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848" w:type="dxa"/>
            <w:tcBorders>
              <w:top w:val="single" w:color="000000" w:sz="10" w:space="0"/>
            </w:tcBorders>
            <w:vAlign w:val="top"/>
          </w:tcPr>
          <w:p w14:paraId="33589655">
            <w:pPr>
              <w:spacing w:before="129" w:line="199" w:lineRule="auto"/>
              <w:ind w:left="8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55" w:type="dxa"/>
            <w:tcBorders>
              <w:top w:val="single" w:color="000000" w:sz="10" w:space="0"/>
              <w:right w:val="single" w:color="000000" w:sz="10" w:space="0"/>
            </w:tcBorders>
            <w:vAlign w:val="top"/>
          </w:tcPr>
          <w:p w14:paraId="797A85B9">
            <w:pPr>
              <w:spacing w:before="133"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547.5</w:t>
            </w:r>
          </w:p>
        </w:tc>
      </w:tr>
      <w:tr w14:paraId="46B574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919" w:type="dxa"/>
            <w:vMerge w:val="continue"/>
            <w:tcBorders>
              <w:top w:val="nil"/>
              <w:left w:val="single" w:color="000000" w:sz="10" w:space="0"/>
              <w:bottom w:val="nil"/>
            </w:tcBorders>
            <w:vAlign w:val="top"/>
          </w:tcPr>
          <w:p w14:paraId="46F65F03">
            <w:pPr>
              <w:rPr>
                <w:rFonts w:ascii="Arial"/>
                <w:sz w:val="21"/>
              </w:rPr>
            </w:pPr>
          </w:p>
        </w:tc>
        <w:tc>
          <w:tcPr>
            <w:tcW w:w="1503" w:type="dxa"/>
            <w:vMerge w:val="continue"/>
            <w:tcBorders>
              <w:top w:val="nil"/>
              <w:bottom w:val="nil"/>
            </w:tcBorders>
            <w:vAlign w:val="top"/>
          </w:tcPr>
          <w:p w14:paraId="5265646A">
            <w:pPr>
              <w:rPr>
                <w:rFonts w:ascii="Arial"/>
                <w:sz w:val="21"/>
              </w:rPr>
            </w:pPr>
          </w:p>
        </w:tc>
        <w:tc>
          <w:tcPr>
            <w:tcW w:w="1187" w:type="dxa"/>
            <w:vAlign w:val="top"/>
          </w:tcPr>
          <w:p w14:paraId="438DB92C">
            <w:pPr>
              <w:spacing w:before="132" w:line="200" w:lineRule="auto"/>
              <w:ind w:left="334"/>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1611" w:type="dxa"/>
            <w:vAlign w:val="top"/>
          </w:tcPr>
          <w:p w14:paraId="47D1BAD4">
            <w:pPr>
              <w:spacing w:before="132" w:line="195" w:lineRule="auto"/>
              <w:ind w:left="72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848" w:type="dxa"/>
            <w:vAlign w:val="top"/>
          </w:tcPr>
          <w:p w14:paraId="15724249">
            <w:pPr>
              <w:spacing w:before="128" w:line="199" w:lineRule="auto"/>
              <w:ind w:left="8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55" w:type="dxa"/>
            <w:tcBorders>
              <w:right w:val="single" w:color="000000" w:sz="10" w:space="0"/>
            </w:tcBorders>
            <w:vAlign w:val="top"/>
          </w:tcPr>
          <w:p w14:paraId="4760E6F0">
            <w:pPr>
              <w:spacing w:before="132" w:line="195" w:lineRule="auto"/>
              <w:ind w:left="61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109.5</w:t>
            </w:r>
          </w:p>
        </w:tc>
      </w:tr>
      <w:tr w14:paraId="110DEC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19" w:type="dxa"/>
            <w:vMerge w:val="continue"/>
            <w:tcBorders>
              <w:top w:val="nil"/>
              <w:left w:val="single" w:color="000000" w:sz="10" w:space="0"/>
              <w:bottom w:val="nil"/>
            </w:tcBorders>
            <w:vAlign w:val="top"/>
          </w:tcPr>
          <w:p w14:paraId="0087B614">
            <w:pPr>
              <w:rPr>
                <w:rFonts w:ascii="Arial"/>
                <w:sz w:val="21"/>
              </w:rPr>
            </w:pPr>
          </w:p>
        </w:tc>
        <w:tc>
          <w:tcPr>
            <w:tcW w:w="1503" w:type="dxa"/>
            <w:vMerge w:val="continue"/>
            <w:tcBorders>
              <w:top w:val="nil"/>
              <w:bottom w:val="nil"/>
            </w:tcBorders>
            <w:vAlign w:val="top"/>
          </w:tcPr>
          <w:p w14:paraId="07F9203F">
            <w:pPr>
              <w:rPr>
                <w:rFonts w:ascii="Arial"/>
                <w:sz w:val="21"/>
              </w:rPr>
            </w:pPr>
          </w:p>
        </w:tc>
        <w:tc>
          <w:tcPr>
            <w:tcW w:w="1187" w:type="dxa"/>
            <w:vAlign w:val="top"/>
          </w:tcPr>
          <w:p w14:paraId="2B1354BE">
            <w:pPr>
              <w:spacing w:before="134" w:line="195" w:lineRule="auto"/>
              <w:ind w:left="4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611" w:type="dxa"/>
            <w:vAlign w:val="top"/>
          </w:tcPr>
          <w:p w14:paraId="749FF0DF">
            <w:pPr>
              <w:spacing w:before="134" w:line="195" w:lineRule="auto"/>
              <w:ind w:left="72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848" w:type="dxa"/>
            <w:vAlign w:val="top"/>
          </w:tcPr>
          <w:p w14:paraId="458E6D15">
            <w:pPr>
              <w:spacing w:before="130" w:line="199" w:lineRule="auto"/>
              <w:ind w:left="8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55" w:type="dxa"/>
            <w:tcBorders>
              <w:right w:val="single" w:color="000000" w:sz="10" w:space="0"/>
            </w:tcBorders>
            <w:vAlign w:val="top"/>
          </w:tcPr>
          <w:p w14:paraId="1140D0CC">
            <w:pPr>
              <w:spacing w:before="134" w:line="195" w:lineRule="auto"/>
              <w:ind w:left="61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109.5</w:t>
            </w:r>
          </w:p>
        </w:tc>
      </w:tr>
      <w:tr w14:paraId="68EF2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919" w:type="dxa"/>
            <w:vMerge w:val="continue"/>
            <w:tcBorders>
              <w:top w:val="nil"/>
              <w:left w:val="single" w:color="000000" w:sz="10" w:space="0"/>
              <w:bottom w:val="nil"/>
            </w:tcBorders>
            <w:vAlign w:val="top"/>
          </w:tcPr>
          <w:p w14:paraId="7C79CDA2">
            <w:pPr>
              <w:rPr>
                <w:rFonts w:ascii="Arial"/>
                <w:sz w:val="21"/>
              </w:rPr>
            </w:pPr>
          </w:p>
        </w:tc>
        <w:tc>
          <w:tcPr>
            <w:tcW w:w="1503" w:type="dxa"/>
            <w:vMerge w:val="continue"/>
            <w:tcBorders>
              <w:top w:val="nil"/>
              <w:bottom w:val="nil"/>
            </w:tcBorders>
            <w:vAlign w:val="top"/>
          </w:tcPr>
          <w:p w14:paraId="6D9518B4">
            <w:pPr>
              <w:rPr>
                <w:rFonts w:ascii="Arial"/>
                <w:sz w:val="21"/>
              </w:rPr>
            </w:pPr>
          </w:p>
        </w:tc>
        <w:tc>
          <w:tcPr>
            <w:tcW w:w="1187" w:type="dxa"/>
            <w:vAlign w:val="top"/>
          </w:tcPr>
          <w:p w14:paraId="5B96BC8A">
            <w:pPr>
              <w:spacing w:before="145" w:line="207" w:lineRule="auto"/>
              <w:ind w:left="302"/>
              <w:rPr>
                <w:rFonts w:ascii="Times New Roman" w:hAnsi="Times New Roman" w:eastAsia="Times New Roman" w:cs="Times New Roman"/>
                <w:sz w:val="19"/>
                <w:szCs w:val="19"/>
              </w:rPr>
            </w:pPr>
            <w:r>
              <w:rPr>
                <w:rFonts w:ascii="Times New Roman" w:hAnsi="Times New Roman" w:eastAsia="Times New Roman" w:cs="Times New Roman"/>
                <w:sz w:val="19"/>
                <w:szCs w:val="19"/>
              </w:rPr>
              <w:t>NH</w:t>
            </w:r>
            <w:r>
              <w:rPr>
                <w:rFonts w:ascii="Times New Roman" w:hAnsi="Times New Roman" w:eastAsia="Times New Roman" w:cs="Times New Roman"/>
                <w:spacing w:val="9"/>
                <w:sz w:val="12"/>
                <w:szCs w:val="12"/>
              </w:rPr>
              <w:t>3</w:t>
            </w:r>
            <w:r>
              <w:rPr>
                <w:rFonts w:ascii="Times New Roman" w:hAnsi="Times New Roman" w:eastAsia="Times New Roman" w:cs="Times New Roman"/>
                <w:spacing w:val="9"/>
                <w:sz w:val="19"/>
                <w:szCs w:val="19"/>
              </w:rPr>
              <w:t>-N</w:t>
            </w:r>
          </w:p>
        </w:tc>
        <w:tc>
          <w:tcPr>
            <w:tcW w:w="1611" w:type="dxa"/>
            <w:vAlign w:val="top"/>
          </w:tcPr>
          <w:p w14:paraId="69418B76">
            <w:pPr>
              <w:spacing w:before="140" w:line="192" w:lineRule="auto"/>
              <w:ind w:left="75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848" w:type="dxa"/>
            <w:vAlign w:val="top"/>
          </w:tcPr>
          <w:p w14:paraId="7B5FB0C1">
            <w:pPr>
              <w:spacing w:before="133" w:line="199" w:lineRule="auto"/>
              <w:ind w:left="8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55" w:type="dxa"/>
            <w:tcBorders>
              <w:right w:val="single" w:color="000000" w:sz="10" w:space="0"/>
            </w:tcBorders>
            <w:vAlign w:val="top"/>
          </w:tcPr>
          <w:p w14:paraId="300D57FA">
            <w:pPr>
              <w:spacing w:before="137"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54.75</w:t>
            </w:r>
          </w:p>
        </w:tc>
      </w:tr>
      <w:tr w14:paraId="7BC87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919" w:type="dxa"/>
            <w:vMerge w:val="continue"/>
            <w:tcBorders>
              <w:top w:val="nil"/>
              <w:left w:val="single" w:color="000000" w:sz="10" w:space="0"/>
              <w:bottom w:val="nil"/>
            </w:tcBorders>
            <w:vAlign w:val="top"/>
          </w:tcPr>
          <w:p w14:paraId="5C9D8FF8">
            <w:pPr>
              <w:rPr>
                <w:rFonts w:ascii="Arial"/>
                <w:sz w:val="21"/>
              </w:rPr>
            </w:pPr>
          </w:p>
        </w:tc>
        <w:tc>
          <w:tcPr>
            <w:tcW w:w="1503" w:type="dxa"/>
            <w:vMerge w:val="continue"/>
            <w:tcBorders>
              <w:top w:val="nil"/>
              <w:bottom w:val="nil"/>
            </w:tcBorders>
            <w:vAlign w:val="top"/>
          </w:tcPr>
          <w:p w14:paraId="372DD2EE">
            <w:pPr>
              <w:rPr>
                <w:rFonts w:ascii="Arial"/>
                <w:sz w:val="21"/>
              </w:rPr>
            </w:pPr>
          </w:p>
        </w:tc>
        <w:tc>
          <w:tcPr>
            <w:tcW w:w="1187" w:type="dxa"/>
            <w:vAlign w:val="top"/>
          </w:tcPr>
          <w:p w14:paraId="51E51F70">
            <w:pPr>
              <w:spacing w:before="144" w:line="192" w:lineRule="auto"/>
              <w:ind w:left="4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TN</w:t>
            </w:r>
          </w:p>
        </w:tc>
        <w:tc>
          <w:tcPr>
            <w:tcW w:w="1611" w:type="dxa"/>
            <w:vAlign w:val="top"/>
          </w:tcPr>
          <w:p w14:paraId="1D58DA1B">
            <w:pPr>
              <w:spacing w:before="141" w:line="195" w:lineRule="auto"/>
              <w:ind w:left="72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848" w:type="dxa"/>
            <w:vAlign w:val="top"/>
          </w:tcPr>
          <w:p w14:paraId="2EE8DEA2">
            <w:pPr>
              <w:spacing w:before="137" w:line="199" w:lineRule="auto"/>
              <w:ind w:left="8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55" w:type="dxa"/>
            <w:tcBorders>
              <w:right w:val="single" w:color="000000" w:sz="10" w:space="0"/>
            </w:tcBorders>
            <w:vAlign w:val="top"/>
          </w:tcPr>
          <w:p w14:paraId="42363B18">
            <w:pPr>
              <w:spacing w:before="141" w:line="195" w:lineRule="auto"/>
              <w:ind w:left="564"/>
              <w:rPr>
                <w:rFonts w:ascii="Times New Roman" w:hAnsi="Times New Roman" w:eastAsia="Times New Roman" w:cs="Times New Roman"/>
                <w:sz w:val="20"/>
                <w:szCs w:val="20"/>
              </w:rPr>
            </w:pPr>
            <w:r>
              <w:rPr>
                <w:rFonts w:ascii="Times New Roman" w:hAnsi="Times New Roman" w:eastAsia="Times New Roman" w:cs="Times New Roman"/>
                <w:sz w:val="20"/>
                <w:szCs w:val="20"/>
              </w:rPr>
              <w:t>164.25</w:t>
            </w:r>
          </w:p>
        </w:tc>
      </w:tr>
      <w:tr w14:paraId="2D3C4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19" w:type="dxa"/>
            <w:vMerge w:val="continue"/>
            <w:tcBorders>
              <w:top w:val="nil"/>
              <w:left w:val="single" w:color="000000" w:sz="10" w:space="0"/>
              <w:bottom w:val="nil"/>
            </w:tcBorders>
            <w:vAlign w:val="top"/>
          </w:tcPr>
          <w:p w14:paraId="6D18A586">
            <w:pPr>
              <w:rPr>
                <w:rFonts w:ascii="Arial"/>
                <w:sz w:val="21"/>
              </w:rPr>
            </w:pPr>
          </w:p>
        </w:tc>
        <w:tc>
          <w:tcPr>
            <w:tcW w:w="1503" w:type="dxa"/>
            <w:vMerge w:val="continue"/>
            <w:tcBorders>
              <w:top w:val="nil"/>
            </w:tcBorders>
            <w:vAlign w:val="top"/>
          </w:tcPr>
          <w:p w14:paraId="74DFC4F3">
            <w:pPr>
              <w:rPr>
                <w:rFonts w:ascii="Arial"/>
                <w:sz w:val="21"/>
              </w:rPr>
            </w:pPr>
          </w:p>
        </w:tc>
        <w:tc>
          <w:tcPr>
            <w:tcW w:w="1187" w:type="dxa"/>
            <w:vAlign w:val="top"/>
          </w:tcPr>
          <w:p w14:paraId="643E76F2">
            <w:pPr>
              <w:spacing w:before="145" w:line="192" w:lineRule="auto"/>
              <w:ind w:left="4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TP</w:t>
            </w:r>
          </w:p>
        </w:tc>
        <w:tc>
          <w:tcPr>
            <w:tcW w:w="1611" w:type="dxa"/>
            <w:vAlign w:val="top"/>
          </w:tcPr>
          <w:p w14:paraId="7146BC0F">
            <w:pPr>
              <w:spacing w:before="142" w:line="195" w:lineRule="auto"/>
              <w:ind w:left="67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848" w:type="dxa"/>
            <w:vAlign w:val="top"/>
          </w:tcPr>
          <w:p w14:paraId="69F4E7E7">
            <w:pPr>
              <w:spacing w:before="139" w:line="199" w:lineRule="auto"/>
              <w:ind w:left="8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655" w:type="dxa"/>
            <w:tcBorders>
              <w:right w:val="single" w:color="000000" w:sz="10" w:space="0"/>
            </w:tcBorders>
            <w:vAlign w:val="top"/>
          </w:tcPr>
          <w:p w14:paraId="25584666">
            <w:pPr>
              <w:spacing w:before="142" w:line="195" w:lineRule="auto"/>
              <w:ind w:left="6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5.475</w:t>
            </w:r>
          </w:p>
        </w:tc>
      </w:tr>
      <w:tr w14:paraId="2D99F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19" w:type="dxa"/>
            <w:vMerge w:val="continue"/>
            <w:tcBorders>
              <w:top w:val="nil"/>
              <w:left w:val="single" w:color="000000" w:sz="10" w:space="0"/>
              <w:bottom w:val="nil"/>
            </w:tcBorders>
            <w:vAlign w:val="top"/>
          </w:tcPr>
          <w:p w14:paraId="092896B4">
            <w:pPr>
              <w:rPr>
                <w:rFonts w:ascii="Arial"/>
                <w:sz w:val="21"/>
              </w:rPr>
            </w:pPr>
          </w:p>
        </w:tc>
        <w:tc>
          <w:tcPr>
            <w:tcW w:w="1503" w:type="dxa"/>
            <w:vAlign w:val="top"/>
          </w:tcPr>
          <w:p w14:paraId="216F3653">
            <w:pPr>
              <w:pStyle w:val="6"/>
              <w:spacing w:before="109" w:line="228" w:lineRule="auto"/>
              <w:ind w:left="107"/>
            </w:pPr>
            <w:r>
              <w:rPr>
                <w:spacing w:val="6"/>
              </w:rPr>
              <w:t>设置类型</w:t>
            </w:r>
          </w:p>
        </w:tc>
        <w:tc>
          <w:tcPr>
            <w:tcW w:w="6301" w:type="dxa"/>
            <w:gridSpan w:val="4"/>
            <w:tcBorders>
              <w:right w:val="single" w:color="000000" w:sz="10" w:space="0"/>
            </w:tcBorders>
            <w:vAlign w:val="top"/>
          </w:tcPr>
          <w:p w14:paraId="58558C8D">
            <w:pPr>
              <w:pStyle w:val="6"/>
              <w:spacing w:before="72" w:line="281" w:lineRule="exact"/>
              <w:ind w:left="109"/>
            </w:pPr>
            <w:r>
              <w:rPr>
                <w:spacing w:val="-3"/>
              </w:rPr>
              <w:t>新建</w:t>
            </w:r>
            <w:r>
              <w:rPr>
                <w:spacing w:val="-9"/>
              </w:rPr>
              <w:t>（）</w:t>
            </w:r>
            <w:r>
              <w:rPr>
                <w:spacing w:val="-3"/>
              </w:rPr>
              <w:t>改建</w:t>
            </w:r>
            <w:r>
              <w:rPr>
                <w:spacing w:val="-9"/>
              </w:rPr>
              <w:t>（）</w:t>
            </w:r>
            <w:r>
              <w:rPr>
                <w:spacing w:val="-3"/>
              </w:rPr>
              <w:t>扩大(</w:t>
            </w:r>
            <w:r>
              <w:rPr>
                <w:rFonts w:ascii="Times New Roman" w:hAnsi="Times New Roman" w:eastAsia="Times New Roman" w:cs="Times New Roman"/>
                <w:spacing w:val="-3"/>
              </w:rPr>
              <w:t>√</w:t>
            </w:r>
            <w:r>
              <w:rPr>
                <w:spacing w:val="-3"/>
              </w:rPr>
              <w:t>)</w:t>
            </w:r>
          </w:p>
        </w:tc>
      </w:tr>
      <w:tr w14:paraId="61CFB8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919" w:type="dxa"/>
            <w:vMerge w:val="continue"/>
            <w:tcBorders>
              <w:top w:val="nil"/>
              <w:left w:val="single" w:color="000000" w:sz="10" w:space="0"/>
              <w:bottom w:val="nil"/>
            </w:tcBorders>
            <w:vAlign w:val="top"/>
          </w:tcPr>
          <w:p w14:paraId="4867BEB2">
            <w:pPr>
              <w:rPr>
                <w:rFonts w:ascii="Arial"/>
                <w:sz w:val="21"/>
              </w:rPr>
            </w:pPr>
          </w:p>
        </w:tc>
        <w:tc>
          <w:tcPr>
            <w:tcW w:w="1503" w:type="dxa"/>
            <w:vAlign w:val="top"/>
          </w:tcPr>
          <w:p w14:paraId="1C7D295B">
            <w:pPr>
              <w:pStyle w:val="6"/>
              <w:spacing w:before="110" w:line="228" w:lineRule="auto"/>
              <w:ind w:left="106"/>
            </w:pPr>
            <w:r>
              <w:rPr>
                <w:spacing w:val="6"/>
              </w:rPr>
              <w:t>污水性质</w:t>
            </w:r>
          </w:p>
        </w:tc>
        <w:tc>
          <w:tcPr>
            <w:tcW w:w="6301" w:type="dxa"/>
            <w:gridSpan w:val="4"/>
            <w:tcBorders>
              <w:right w:val="single" w:color="000000" w:sz="10" w:space="0"/>
            </w:tcBorders>
            <w:vAlign w:val="top"/>
          </w:tcPr>
          <w:p w14:paraId="12A97A57">
            <w:pPr>
              <w:pStyle w:val="6"/>
              <w:spacing w:before="75" w:line="281" w:lineRule="exact"/>
              <w:ind w:left="111"/>
            </w:pPr>
            <w:r>
              <w:rPr>
                <w:spacing w:val="-5"/>
              </w:rPr>
              <w:t>工业(</w:t>
            </w:r>
            <w:r>
              <w:rPr>
                <w:rFonts w:ascii="Times New Roman" w:hAnsi="Times New Roman" w:eastAsia="Times New Roman" w:cs="Times New Roman"/>
                <w:spacing w:val="-5"/>
              </w:rPr>
              <w:t>√</w:t>
            </w:r>
            <w:r>
              <w:rPr>
                <w:spacing w:val="-5"/>
              </w:rPr>
              <w:t>)生活</w:t>
            </w:r>
            <w:r>
              <w:rPr>
                <w:spacing w:val="-11"/>
              </w:rPr>
              <w:t>（）</w:t>
            </w:r>
            <w:r>
              <w:rPr>
                <w:spacing w:val="-5"/>
              </w:rPr>
              <w:t>混合</w:t>
            </w:r>
            <w:r>
              <w:rPr>
                <w:spacing w:val="-11"/>
              </w:rPr>
              <w:t>（）</w:t>
            </w:r>
            <w:r>
              <w:rPr>
                <w:spacing w:val="-5"/>
              </w:rPr>
              <w:t>其他()</w:t>
            </w:r>
          </w:p>
        </w:tc>
      </w:tr>
      <w:tr w14:paraId="0AF73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19" w:type="dxa"/>
            <w:vMerge w:val="continue"/>
            <w:tcBorders>
              <w:top w:val="nil"/>
              <w:left w:val="single" w:color="000000" w:sz="10" w:space="0"/>
              <w:bottom w:val="nil"/>
            </w:tcBorders>
            <w:vAlign w:val="top"/>
          </w:tcPr>
          <w:p w14:paraId="3FCAA37D">
            <w:pPr>
              <w:rPr>
                <w:rFonts w:ascii="Arial"/>
                <w:sz w:val="21"/>
              </w:rPr>
            </w:pPr>
          </w:p>
        </w:tc>
        <w:tc>
          <w:tcPr>
            <w:tcW w:w="1503" w:type="dxa"/>
            <w:vAlign w:val="top"/>
          </w:tcPr>
          <w:p w14:paraId="6C315E47">
            <w:pPr>
              <w:pStyle w:val="6"/>
              <w:spacing w:before="114" w:line="228" w:lineRule="auto"/>
              <w:ind w:left="106"/>
            </w:pPr>
            <w:r>
              <w:rPr>
                <w:spacing w:val="7"/>
              </w:rPr>
              <w:t>污水入河方式</w:t>
            </w:r>
          </w:p>
        </w:tc>
        <w:tc>
          <w:tcPr>
            <w:tcW w:w="6301" w:type="dxa"/>
            <w:gridSpan w:val="4"/>
            <w:tcBorders>
              <w:right w:val="single" w:color="000000" w:sz="10" w:space="0"/>
            </w:tcBorders>
            <w:vAlign w:val="top"/>
          </w:tcPr>
          <w:p w14:paraId="63083719">
            <w:pPr>
              <w:pStyle w:val="6"/>
              <w:spacing w:before="77" w:line="281" w:lineRule="exact"/>
              <w:ind w:left="113"/>
            </w:pPr>
            <w:r>
              <w:rPr>
                <w:spacing w:val="-3"/>
              </w:rPr>
              <w:t>管道(</w:t>
            </w:r>
            <w:r>
              <w:rPr>
                <w:rFonts w:ascii="Times New Roman" w:hAnsi="Times New Roman" w:eastAsia="Times New Roman" w:cs="Times New Roman"/>
                <w:spacing w:val="-3"/>
              </w:rPr>
              <w:t>√</w:t>
            </w:r>
            <w:r>
              <w:rPr>
                <w:spacing w:val="-3"/>
              </w:rPr>
              <w:t>)明渠</w:t>
            </w:r>
            <w:r>
              <w:rPr>
                <w:spacing w:val="-11"/>
              </w:rPr>
              <w:t>（）</w:t>
            </w:r>
            <w:r>
              <w:rPr>
                <w:spacing w:val="-3"/>
              </w:rPr>
              <w:t>涵闸</w:t>
            </w:r>
            <w:r>
              <w:rPr>
                <w:spacing w:val="-11"/>
              </w:rPr>
              <w:t>（）</w:t>
            </w:r>
            <w:r>
              <w:rPr>
                <w:spacing w:val="-3"/>
              </w:rPr>
              <w:t>阴沟</w:t>
            </w:r>
            <w:r>
              <w:rPr>
                <w:spacing w:val="-11"/>
              </w:rPr>
              <w:t>（）</w:t>
            </w:r>
            <w:r>
              <w:rPr>
                <w:spacing w:val="-3"/>
              </w:rPr>
              <w:t>干沟</w:t>
            </w:r>
            <w:r>
              <w:rPr>
                <w:spacing w:val="-11"/>
              </w:rPr>
              <w:t>（）</w:t>
            </w:r>
            <w:r>
              <w:rPr>
                <w:spacing w:val="-3"/>
              </w:rPr>
              <w:t>其他()</w:t>
            </w:r>
          </w:p>
        </w:tc>
      </w:tr>
      <w:tr w14:paraId="5B073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919" w:type="dxa"/>
            <w:vMerge w:val="continue"/>
            <w:tcBorders>
              <w:top w:val="nil"/>
              <w:left w:val="single" w:color="000000" w:sz="10" w:space="0"/>
              <w:bottom w:val="single" w:color="000000" w:sz="10" w:space="0"/>
            </w:tcBorders>
            <w:vAlign w:val="top"/>
          </w:tcPr>
          <w:p w14:paraId="610804D6">
            <w:pPr>
              <w:rPr>
                <w:rFonts w:ascii="Arial"/>
                <w:sz w:val="21"/>
              </w:rPr>
            </w:pPr>
          </w:p>
        </w:tc>
        <w:tc>
          <w:tcPr>
            <w:tcW w:w="1503" w:type="dxa"/>
            <w:tcBorders>
              <w:bottom w:val="single" w:color="000000" w:sz="10" w:space="0"/>
            </w:tcBorders>
            <w:vAlign w:val="top"/>
          </w:tcPr>
          <w:p w14:paraId="73FBEF10">
            <w:pPr>
              <w:pStyle w:val="6"/>
              <w:spacing w:before="114" w:line="228" w:lineRule="auto"/>
              <w:ind w:left="106"/>
            </w:pPr>
            <w:r>
              <w:rPr>
                <w:spacing w:val="7"/>
              </w:rPr>
              <w:t>污水排放方式</w:t>
            </w:r>
          </w:p>
        </w:tc>
        <w:tc>
          <w:tcPr>
            <w:tcW w:w="6301" w:type="dxa"/>
            <w:gridSpan w:val="4"/>
            <w:tcBorders>
              <w:bottom w:val="single" w:color="000000" w:sz="10" w:space="0"/>
              <w:right w:val="single" w:color="000000" w:sz="10" w:space="0"/>
            </w:tcBorders>
            <w:vAlign w:val="top"/>
          </w:tcPr>
          <w:p w14:paraId="3CEAE42D">
            <w:pPr>
              <w:pStyle w:val="6"/>
              <w:spacing w:before="80" w:line="281" w:lineRule="exact"/>
              <w:ind w:left="109"/>
            </w:pPr>
            <w:r>
              <w:rPr>
                <w:spacing w:val="-11"/>
              </w:rPr>
              <w:t>连续(</w:t>
            </w:r>
            <w:r>
              <w:rPr>
                <w:rFonts w:ascii="Times New Roman" w:hAnsi="Times New Roman" w:eastAsia="Times New Roman" w:cs="Times New Roman"/>
                <w:spacing w:val="-11"/>
              </w:rPr>
              <w:t>√</w:t>
            </w:r>
            <w:r>
              <w:rPr>
                <w:spacing w:val="-11"/>
              </w:rPr>
              <w:t>)间歇()</w:t>
            </w:r>
          </w:p>
        </w:tc>
      </w:tr>
    </w:tbl>
    <w:p w14:paraId="721C1673">
      <w:pPr>
        <w:spacing w:before="155" w:line="219" w:lineRule="auto"/>
        <w:ind w:left="614"/>
        <w:rPr>
          <w:rFonts w:ascii="宋体" w:hAnsi="宋体" w:eastAsia="宋体" w:cs="宋体"/>
          <w:sz w:val="24"/>
          <w:szCs w:val="24"/>
        </w:rPr>
      </w:pPr>
      <w:r>
        <w:rPr>
          <w:rFonts w:ascii="宋体" w:hAnsi="宋体" w:eastAsia="宋体" w:cs="宋体"/>
          <w:spacing w:val="-2"/>
          <w:sz w:val="24"/>
          <w:szCs w:val="24"/>
        </w:rPr>
        <w:t>依托现有排口的可行性：</w:t>
      </w:r>
    </w:p>
    <w:p w14:paraId="4BDF0413">
      <w:pPr>
        <w:spacing w:before="184" w:line="219" w:lineRule="auto"/>
        <w:ind w:left="618"/>
        <w:rPr>
          <w:rFonts w:ascii="宋体" w:hAnsi="宋体" w:eastAsia="宋体" w:cs="宋体"/>
          <w:sz w:val="24"/>
          <w:szCs w:val="24"/>
        </w:rPr>
      </w:pPr>
      <w:r>
        <w:rPr>
          <w:rFonts w:ascii="宋体" w:hAnsi="宋体" w:eastAsia="宋体" w:cs="宋体"/>
          <w:spacing w:val="-3"/>
          <w:sz w:val="24"/>
          <w:szCs w:val="24"/>
        </w:rPr>
        <w:t>管径计算公式：</w:t>
      </w:r>
    </w:p>
    <w:p w14:paraId="14CD98D8">
      <w:pPr>
        <w:spacing w:before="145" w:line="1395" w:lineRule="exact"/>
        <w:ind w:firstLine="3636"/>
      </w:pPr>
      <w:r>
        <w:rPr>
          <w:position w:val="-27"/>
        </w:rPr>
        <w:drawing>
          <wp:inline distT="0" distB="0" distL="0" distR="0">
            <wp:extent cx="1292225" cy="88519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03"/>
                    <a:stretch>
                      <a:fillRect/>
                    </a:stretch>
                  </pic:blipFill>
                  <pic:spPr>
                    <a:xfrm>
                      <a:off x="0" y="0"/>
                      <a:ext cx="1292352" cy="885444"/>
                    </a:xfrm>
                    <a:prstGeom prst="rect">
                      <a:avLst/>
                    </a:prstGeom>
                  </pic:spPr>
                </pic:pic>
              </a:graphicData>
            </a:graphic>
          </wp:inline>
        </w:drawing>
      </w:r>
    </w:p>
    <w:p w14:paraId="612C04BF">
      <w:pPr>
        <w:spacing w:before="174" w:line="220" w:lineRule="auto"/>
        <w:ind w:left="617"/>
        <w:rPr>
          <w:rFonts w:ascii="宋体" w:hAnsi="宋体" w:eastAsia="宋体" w:cs="宋体"/>
          <w:sz w:val="24"/>
          <w:szCs w:val="24"/>
        </w:rPr>
      </w:pPr>
      <w:r>
        <w:rPr>
          <w:rFonts w:ascii="宋体" w:hAnsi="宋体" w:eastAsia="宋体" w:cs="宋体"/>
          <w:spacing w:val="-2"/>
          <w:sz w:val="24"/>
          <w:szCs w:val="24"/>
        </w:rPr>
        <w:t>式中：</w:t>
      </w:r>
      <w:r>
        <w:rPr>
          <w:rFonts w:ascii="Times New Roman" w:hAnsi="Times New Roman" w:eastAsia="Times New Roman" w:cs="Times New Roman"/>
          <w:spacing w:val="-2"/>
          <w:sz w:val="24"/>
          <w:szCs w:val="24"/>
        </w:rPr>
        <w:t>D</w:t>
      </w:r>
      <w:r>
        <w:rPr>
          <w:rFonts w:ascii="宋体" w:hAnsi="宋体" w:eastAsia="宋体" w:cs="宋体"/>
          <w:spacing w:val="-2"/>
          <w:sz w:val="24"/>
          <w:szCs w:val="24"/>
        </w:rPr>
        <w:t>——混合段长度，</w:t>
      </w:r>
      <w:r>
        <w:rPr>
          <w:rFonts w:ascii="Times New Roman" w:hAnsi="Times New Roman" w:eastAsia="Times New Roman" w:cs="Times New Roman"/>
          <w:spacing w:val="-2"/>
          <w:sz w:val="24"/>
          <w:szCs w:val="24"/>
        </w:rPr>
        <w:t>m</w:t>
      </w:r>
      <w:r>
        <w:rPr>
          <w:rFonts w:ascii="宋体" w:hAnsi="宋体" w:eastAsia="宋体" w:cs="宋体"/>
          <w:spacing w:val="-2"/>
          <w:sz w:val="24"/>
          <w:szCs w:val="24"/>
        </w:rPr>
        <w:t>；</w:t>
      </w:r>
    </w:p>
    <w:p w14:paraId="08824B49">
      <w:pPr>
        <w:spacing w:before="182" w:line="219" w:lineRule="auto"/>
        <w:ind w:left="1325"/>
        <w:rPr>
          <w:rFonts w:ascii="宋体" w:hAnsi="宋体" w:eastAsia="宋体" w:cs="宋体"/>
          <w:sz w:val="24"/>
          <w:szCs w:val="24"/>
        </w:rPr>
      </w:pPr>
      <w:r>
        <w:rPr>
          <w:rFonts w:ascii="Times New Roman" w:hAnsi="Times New Roman" w:eastAsia="Times New Roman" w:cs="Times New Roman"/>
          <w:spacing w:val="-1"/>
          <w:sz w:val="24"/>
          <w:szCs w:val="24"/>
        </w:rPr>
        <w:t>V</w:t>
      </w:r>
      <w:r>
        <w:rPr>
          <w:rFonts w:ascii="宋体" w:hAnsi="宋体" w:eastAsia="宋体" w:cs="宋体"/>
          <w:spacing w:val="-1"/>
          <w:sz w:val="24"/>
          <w:szCs w:val="24"/>
        </w:rPr>
        <w:t>秒——通过管道的流量，</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/s</w:t>
      </w:r>
      <w:r>
        <w:rPr>
          <w:rFonts w:ascii="宋体" w:hAnsi="宋体" w:eastAsia="宋体" w:cs="宋体"/>
          <w:spacing w:val="-1"/>
          <w:sz w:val="24"/>
          <w:szCs w:val="24"/>
        </w:rPr>
        <w:t>，核算结果为</w:t>
      </w:r>
      <w:r>
        <w:rPr>
          <w:rFonts w:ascii="Times New Roman" w:hAnsi="Times New Roman" w:eastAsia="Times New Roman" w:cs="Times New Roman"/>
          <w:spacing w:val="-1"/>
          <w:sz w:val="24"/>
          <w:szCs w:val="24"/>
        </w:rPr>
        <w:t>0.695m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2"/>
          <w:sz w:val="24"/>
          <w:szCs w:val="24"/>
        </w:rPr>
        <w:t>/s</w:t>
      </w:r>
      <w:r>
        <w:rPr>
          <w:rFonts w:ascii="宋体" w:hAnsi="宋体" w:eastAsia="宋体" w:cs="宋体"/>
          <w:spacing w:val="-2"/>
          <w:sz w:val="24"/>
          <w:szCs w:val="24"/>
        </w:rPr>
        <w:t>；</w:t>
      </w:r>
    </w:p>
    <w:p w14:paraId="4726C612">
      <w:pPr>
        <w:spacing w:before="180" w:line="219" w:lineRule="auto"/>
        <w:ind w:left="1390"/>
        <w:rPr>
          <w:rFonts w:ascii="宋体" w:hAnsi="宋体" w:eastAsia="宋体" w:cs="宋体"/>
          <w:sz w:val="24"/>
          <w:szCs w:val="24"/>
        </w:rPr>
      </w:pPr>
      <w:r>
        <w:rPr>
          <w:rFonts w:ascii="宋体" w:hAnsi="宋体" w:eastAsia="宋体" w:cs="宋体"/>
          <w:spacing w:val="-9"/>
          <w:sz w:val="24"/>
          <w:szCs w:val="24"/>
        </w:rPr>
        <w:t>π——常数，</w:t>
      </w:r>
      <w:r>
        <w:rPr>
          <w:rFonts w:ascii="Times New Roman" w:hAnsi="Times New Roman" w:eastAsia="Times New Roman" w:cs="Times New Roman"/>
          <w:spacing w:val="-9"/>
          <w:sz w:val="24"/>
          <w:szCs w:val="24"/>
        </w:rPr>
        <w:t>3.14</w:t>
      </w:r>
      <w:r>
        <w:rPr>
          <w:rFonts w:ascii="宋体" w:hAnsi="宋体" w:eastAsia="宋体" w:cs="宋体"/>
          <w:spacing w:val="-9"/>
          <w:sz w:val="24"/>
          <w:szCs w:val="24"/>
        </w:rPr>
        <w:t>；</w:t>
      </w:r>
    </w:p>
    <w:p w14:paraId="2668028E">
      <w:pPr>
        <w:spacing w:before="183" w:line="359" w:lineRule="auto"/>
        <w:ind w:left="612" w:right="42" w:firstLine="713"/>
        <w:rPr>
          <w:rFonts w:ascii="宋体" w:hAnsi="宋体" w:eastAsia="宋体" w:cs="宋体"/>
          <w:sz w:val="24"/>
          <w:szCs w:val="24"/>
        </w:rPr>
      </w:pPr>
      <w:r>
        <w:rPr>
          <w:rFonts w:ascii="Times New Roman" w:hAnsi="Times New Roman" w:eastAsia="Times New Roman" w:cs="Times New Roman"/>
          <w:spacing w:val="-4"/>
          <w:sz w:val="24"/>
          <w:szCs w:val="24"/>
        </w:rPr>
        <w:t>W</w:t>
      </w:r>
      <w:r>
        <w:rPr>
          <w:rFonts w:ascii="宋体" w:hAnsi="宋体" w:eastAsia="宋体" w:cs="宋体"/>
          <w:spacing w:val="-4"/>
          <w:sz w:val="24"/>
          <w:szCs w:val="24"/>
        </w:rPr>
        <w:t>——通过管道的流体速度，</w:t>
      </w:r>
      <w:r>
        <w:rPr>
          <w:rFonts w:ascii="Times New Roman" w:hAnsi="Times New Roman" w:eastAsia="Times New Roman" w:cs="Times New Roman"/>
          <w:spacing w:val="-4"/>
          <w:sz w:val="24"/>
          <w:szCs w:val="24"/>
        </w:rPr>
        <w:t>m/s</w:t>
      </w:r>
      <w:r>
        <w:rPr>
          <w:rFonts w:ascii="宋体" w:hAnsi="宋体" w:eastAsia="宋体" w:cs="宋体"/>
          <w:spacing w:val="-4"/>
          <w:sz w:val="24"/>
          <w:szCs w:val="24"/>
        </w:rPr>
        <w:t>，一般取</w:t>
      </w:r>
      <w:r>
        <w:rPr>
          <w:rFonts w:ascii="Times New Roman" w:hAnsi="Times New Roman" w:eastAsia="Times New Roman" w:cs="Times New Roman"/>
          <w:spacing w:val="-4"/>
          <w:sz w:val="24"/>
          <w:szCs w:val="24"/>
        </w:rPr>
        <w:t>1.5~2.0m/s</w:t>
      </w:r>
      <w:r>
        <w:rPr>
          <w:rFonts w:ascii="宋体" w:hAnsi="宋体" w:eastAsia="宋体" w:cs="宋体"/>
          <w:spacing w:val="-4"/>
          <w:sz w:val="24"/>
          <w:szCs w:val="24"/>
        </w:rPr>
        <w:t>，本次取</w:t>
      </w:r>
      <w:r>
        <w:rPr>
          <w:rFonts w:ascii="Times New Roman" w:hAnsi="Times New Roman" w:eastAsia="Times New Roman" w:cs="Times New Roman"/>
          <w:spacing w:val="-4"/>
          <w:sz w:val="24"/>
          <w:szCs w:val="24"/>
        </w:rPr>
        <w:t>2.0m</w:t>
      </w:r>
      <w:r>
        <w:rPr>
          <w:rFonts w:ascii="Times New Roman" w:hAnsi="Times New Roman" w:eastAsia="Times New Roman" w:cs="Times New Roman"/>
          <w:spacing w:val="-5"/>
          <w:sz w:val="24"/>
          <w:szCs w:val="24"/>
        </w:rPr>
        <w:t>/s</w:t>
      </w:r>
      <w:r>
        <w:rPr>
          <w:rFonts w:ascii="宋体" w:hAnsi="宋体" w:eastAsia="宋体" w:cs="宋体"/>
          <w:spacing w:val="-5"/>
          <w:sz w:val="24"/>
          <w:szCs w:val="24"/>
        </w:rPr>
        <w:t>。</w:t>
      </w:r>
      <w:r>
        <w:rPr>
          <w:rFonts w:ascii="宋体" w:hAnsi="宋体" w:eastAsia="宋体" w:cs="宋体"/>
          <w:spacing w:val="-4"/>
          <w:sz w:val="24"/>
          <w:szCs w:val="24"/>
        </w:rPr>
        <w:t>根据计算管径：</w:t>
      </w:r>
      <w:r>
        <w:rPr>
          <w:rFonts w:ascii="Times New Roman" w:hAnsi="Times New Roman" w:eastAsia="Times New Roman" w:cs="Times New Roman"/>
          <w:spacing w:val="-4"/>
          <w:sz w:val="24"/>
          <w:szCs w:val="24"/>
        </w:rPr>
        <w:t>D=0.67m</w:t>
      </w:r>
      <w:r>
        <w:rPr>
          <w:rFonts w:ascii="宋体" w:hAnsi="宋体" w:eastAsia="宋体" w:cs="宋体"/>
          <w:spacing w:val="-4"/>
          <w:sz w:val="24"/>
          <w:szCs w:val="24"/>
        </w:rPr>
        <w:t>，现依托排污口的管径</w:t>
      </w:r>
      <w:r>
        <w:rPr>
          <w:rFonts w:ascii="Times New Roman" w:hAnsi="Times New Roman" w:eastAsia="Times New Roman" w:cs="Times New Roman"/>
          <w:spacing w:val="-4"/>
          <w:sz w:val="24"/>
          <w:szCs w:val="24"/>
        </w:rPr>
        <w:t>D</w:t>
      </w:r>
      <w:r>
        <w:rPr>
          <w:rFonts w:ascii="宋体" w:hAnsi="宋体" w:eastAsia="宋体" w:cs="宋体"/>
          <w:spacing w:val="-4"/>
          <w:sz w:val="24"/>
          <w:szCs w:val="24"/>
        </w:rPr>
        <w:t>为</w:t>
      </w:r>
      <w:r>
        <w:rPr>
          <w:rFonts w:ascii="Times New Roman" w:hAnsi="Times New Roman" w:eastAsia="Times New Roman" w:cs="Times New Roman"/>
          <w:spacing w:val="-4"/>
          <w:sz w:val="24"/>
          <w:szCs w:val="24"/>
        </w:rPr>
        <w:t>1.2m</w:t>
      </w:r>
      <w:r>
        <w:rPr>
          <w:rFonts w:ascii="宋体" w:hAnsi="宋体" w:eastAsia="宋体" w:cs="宋体"/>
          <w:spacing w:val="-4"/>
          <w:sz w:val="24"/>
          <w:szCs w:val="24"/>
        </w:rPr>
        <w:t>＞</w:t>
      </w:r>
      <w:r>
        <w:rPr>
          <w:rFonts w:ascii="Times New Roman" w:hAnsi="Times New Roman" w:eastAsia="Times New Roman" w:cs="Times New Roman"/>
          <w:spacing w:val="-4"/>
          <w:sz w:val="24"/>
          <w:szCs w:val="24"/>
        </w:rPr>
        <w:t>0.67m</w:t>
      </w:r>
      <w:r>
        <w:rPr>
          <w:rFonts w:ascii="宋体" w:hAnsi="宋体" w:eastAsia="宋体" w:cs="宋体"/>
          <w:spacing w:val="-4"/>
          <w:sz w:val="24"/>
          <w:szCs w:val="24"/>
        </w:rPr>
        <w:t>，</w:t>
      </w:r>
      <w:r>
        <w:rPr>
          <w:rFonts w:ascii="宋体" w:hAnsi="宋体" w:eastAsia="宋体" w:cs="宋体"/>
          <w:spacing w:val="-5"/>
          <w:sz w:val="24"/>
          <w:szCs w:val="24"/>
        </w:rPr>
        <w:t>因此依托</w:t>
      </w:r>
    </w:p>
    <w:p w14:paraId="30573A46">
      <w:pPr>
        <w:spacing w:line="220" w:lineRule="auto"/>
        <w:ind w:left="134"/>
        <w:rPr>
          <w:rFonts w:ascii="宋体" w:hAnsi="宋体" w:eastAsia="宋体" w:cs="宋体"/>
          <w:sz w:val="24"/>
          <w:szCs w:val="24"/>
        </w:rPr>
      </w:pPr>
      <w:r>
        <w:rPr>
          <w:rFonts w:ascii="宋体" w:hAnsi="宋体" w:eastAsia="宋体" w:cs="宋体"/>
          <w:spacing w:val="-2"/>
          <w:sz w:val="24"/>
          <w:szCs w:val="24"/>
        </w:rPr>
        <w:t>现有排口可行。</w:t>
      </w:r>
    </w:p>
    <w:p w14:paraId="7018541A">
      <w:pPr>
        <w:spacing w:line="145" w:lineRule="exact"/>
      </w:pPr>
    </w:p>
    <w:tbl>
      <w:tblPr>
        <w:tblStyle w:val="5"/>
        <w:tblW w:w="872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62"/>
        <w:gridCol w:w="4363"/>
      </w:tblGrid>
      <w:tr w14:paraId="7D85B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8" w:hRule="atLeast"/>
        </w:trPr>
        <w:tc>
          <w:tcPr>
            <w:tcW w:w="4362" w:type="dxa"/>
            <w:vAlign w:val="top"/>
          </w:tcPr>
          <w:p w14:paraId="37109F64">
            <w:pPr>
              <w:spacing w:before="4" w:line="3406" w:lineRule="exact"/>
              <w:ind w:firstLine="108"/>
            </w:pPr>
            <w:r>
              <w:rPr>
                <w:position w:val="-68"/>
              </w:rPr>
              <w:drawing>
                <wp:inline distT="0" distB="0" distL="0" distR="0">
                  <wp:extent cx="2524760" cy="216217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04"/>
                          <a:stretch>
                            <a:fillRect/>
                          </a:stretch>
                        </pic:blipFill>
                        <pic:spPr>
                          <a:xfrm>
                            <a:off x="0" y="0"/>
                            <a:ext cx="2525267" cy="2162555"/>
                          </a:xfrm>
                          <a:prstGeom prst="rect">
                            <a:avLst/>
                          </a:prstGeom>
                        </pic:spPr>
                      </pic:pic>
                    </a:graphicData>
                  </a:graphic>
                </wp:inline>
              </w:drawing>
            </w:r>
          </w:p>
        </w:tc>
        <w:tc>
          <w:tcPr>
            <w:tcW w:w="4363" w:type="dxa"/>
            <w:vAlign w:val="top"/>
          </w:tcPr>
          <w:p w14:paraId="2DC73732">
            <w:pPr>
              <w:spacing w:before="4" w:line="3398" w:lineRule="exact"/>
              <w:ind w:firstLine="104"/>
            </w:pPr>
            <w:r>
              <w:rPr>
                <w:position w:val="-67"/>
              </w:rPr>
              <w:drawing>
                <wp:inline distT="0" distB="0" distL="0" distR="0">
                  <wp:extent cx="2523490" cy="215773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05"/>
                          <a:stretch>
                            <a:fillRect/>
                          </a:stretch>
                        </pic:blipFill>
                        <pic:spPr>
                          <a:xfrm>
                            <a:off x="0" y="0"/>
                            <a:ext cx="2523744" cy="2157983"/>
                          </a:xfrm>
                          <a:prstGeom prst="rect">
                            <a:avLst/>
                          </a:prstGeom>
                        </pic:spPr>
                      </pic:pic>
                    </a:graphicData>
                  </a:graphic>
                </wp:inline>
              </w:drawing>
            </w:r>
          </w:p>
        </w:tc>
      </w:tr>
      <w:tr w14:paraId="55437C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4362" w:type="dxa"/>
            <w:vAlign w:val="top"/>
          </w:tcPr>
          <w:p w14:paraId="6F270A8C">
            <w:pPr>
              <w:pStyle w:val="6"/>
              <w:spacing w:before="35" w:line="230" w:lineRule="auto"/>
              <w:ind w:left="1978"/>
            </w:pPr>
            <w:r>
              <w:rPr>
                <w:spacing w:val="4"/>
              </w:rPr>
              <w:t>排口</w:t>
            </w:r>
          </w:p>
        </w:tc>
        <w:tc>
          <w:tcPr>
            <w:tcW w:w="4363" w:type="dxa"/>
            <w:vAlign w:val="top"/>
          </w:tcPr>
          <w:p w14:paraId="33F11F89">
            <w:pPr>
              <w:pStyle w:val="6"/>
              <w:spacing w:before="35" w:line="228" w:lineRule="auto"/>
              <w:ind w:left="1976"/>
            </w:pPr>
            <w:r>
              <w:rPr>
                <w:spacing w:val="4"/>
              </w:rPr>
              <w:t>专管</w:t>
            </w:r>
          </w:p>
        </w:tc>
      </w:tr>
    </w:tbl>
    <w:p w14:paraId="497196E4">
      <w:pPr>
        <w:pStyle w:val="2"/>
      </w:pPr>
    </w:p>
    <w:p w14:paraId="2B677D75">
      <w:pPr>
        <w:sectPr>
          <w:footerReference r:id="rId104" w:type="default"/>
          <w:pgSz w:w="11907" w:h="16840"/>
          <w:pgMar w:top="1132" w:right="1579" w:bottom="1259" w:left="1578" w:header="829" w:footer="1097" w:gutter="0"/>
          <w:cols w:space="720" w:num="1"/>
        </w:sectPr>
      </w:pPr>
    </w:p>
    <w:p w14:paraId="00363709">
      <w:pPr>
        <w:spacing w:before="42"/>
      </w:pPr>
    </w:p>
    <w:tbl>
      <w:tblPr>
        <w:tblStyle w:val="5"/>
        <w:tblW w:w="87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62"/>
        <w:gridCol w:w="4363"/>
      </w:tblGrid>
      <w:tr w14:paraId="60BFA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6" w:hRule="atLeast"/>
        </w:trPr>
        <w:tc>
          <w:tcPr>
            <w:tcW w:w="4362" w:type="dxa"/>
            <w:vAlign w:val="top"/>
          </w:tcPr>
          <w:p w14:paraId="0C79DF37">
            <w:pPr>
              <w:spacing w:before="6" w:line="3398" w:lineRule="exact"/>
              <w:ind w:firstLine="108"/>
            </w:pPr>
            <w:r>
              <w:rPr>
                <w:position w:val="-67"/>
              </w:rPr>
              <w:drawing>
                <wp:inline distT="0" distB="0" distL="0" distR="0">
                  <wp:extent cx="2523490" cy="215773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06"/>
                          <a:stretch>
                            <a:fillRect/>
                          </a:stretch>
                        </pic:blipFill>
                        <pic:spPr>
                          <a:xfrm>
                            <a:off x="0" y="0"/>
                            <a:ext cx="2523743" cy="2157983"/>
                          </a:xfrm>
                          <a:prstGeom prst="rect">
                            <a:avLst/>
                          </a:prstGeom>
                        </pic:spPr>
                      </pic:pic>
                    </a:graphicData>
                  </a:graphic>
                </wp:inline>
              </w:drawing>
            </w:r>
          </w:p>
        </w:tc>
        <w:tc>
          <w:tcPr>
            <w:tcW w:w="4363" w:type="dxa"/>
            <w:vAlign w:val="top"/>
          </w:tcPr>
          <w:p w14:paraId="2890D3CC">
            <w:pPr>
              <w:spacing w:before="6" w:line="3403" w:lineRule="exact"/>
              <w:ind w:firstLine="104"/>
            </w:pPr>
            <w:r>
              <w:rPr>
                <w:position w:val="-68"/>
              </w:rPr>
              <w:drawing>
                <wp:inline distT="0" distB="0" distL="0" distR="0">
                  <wp:extent cx="2523490" cy="216090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07"/>
                          <a:stretch>
                            <a:fillRect/>
                          </a:stretch>
                        </pic:blipFill>
                        <pic:spPr>
                          <a:xfrm>
                            <a:off x="0" y="0"/>
                            <a:ext cx="2523744" cy="2161031"/>
                          </a:xfrm>
                          <a:prstGeom prst="rect">
                            <a:avLst/>
                          </a:prstGeom>
                        </pic:spPr>
                      </pic:pic>
                    </a:graphicData>
                  </a:graphic>
                </wp:inline>
              </w:drawing>
            </w:r>
          </w:p>
        </w:tc>
      </w:tr>
      <w:tr w14:paraId="2DDA0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4362" w:type="dxa"/>
            <w:vAlign w:val="top"/>
          </w:tcPr>
          <w:p w14:paraId="08EEE6EE">
            <w:pPr>
              <w:pStyle w:val="6"/>
              <w:spacing w:before="34" w:line="228" w:lineRule="auto"/>
              <w:ind w:left="1979"/>
            </w:pPr>
            <w:r>
              <w:rPr>
                <w:spacing w:val="4"/>
              </w:rPr>
              <w:t>专管</w:t>
            </w:r>
          </w:p>
        </w:tc>
        <w:tc>
          <w:tcPr>
            <w:tcW w:w="4363" w:type="dxa"/>
            <w:vAlign w:val="top"/>
          </w:tcPr>
          <w:p w14:paraId="3DEED4E5">
            <w:pPr>
              <w:pStyle w:val="6"/>
              <w:spacing w:before="39" w:line="219" w:lineRule="auto"/>
              <w:ind w:left="1587"/>
              <w:rPr>
                <w:sz w:val="24"/>
                <w:szCs w:val="24"/>
              </w:rPr>
            </w:pPr>
            <w:r>
              <w:rPr>
                <w:spacing w:val="-2"/>
                <w:sz w:val="24"/>
                <w:szCs w:val="24"/>
              </w:rPr>
              <w:t>排口标志牌</w:t>
            </w:r>
          </w:p>
        </w:tc>
      </w:tr>
    </w:tbl>
    <w:p w14:paraId="5951D8E2">
      <w:pPr>
        <w:spacing w:before="35" w:line="220" w:lineRule="auto"/>
        <w:ind w:left="2853"/>
        <w:outlineLvl w:val="0"/>
        <w:rPr>
          <w:rFonts w:ascii="宋体" w:hAnsi="宋体" w:eastAsia="宋体" w:cs="宋体"/>
          <w:sz w:val="24"/>
          <w:szCs w:val="24"/>
        </w:rPr>
      </w:pPr>
      <w:bookmarkStart w:id="27" w:name="bookmark52"/>
      <w:bookmarkEnd w:id="27"/>
      <w:r>
        <w:rPr>
          <w:rFonts w:ascii="宋体" w:hAnsi="宋体" w:eastAsia="宋体" w:cs="宋体"/>
          <w:b/>
          <w:bCs/>
          <w:spacing w:val="-4"/>
          <w:sz w:val="24"/>
          <w:szCs w:val="24"/>
        </w:rPr>
        <w:t>图</w:t>
      </w:r>
      <w:r>
        <w:rPr>
          <w:rFonts w:ascii="Times New Roman" w:hAnsi="Times New Roman" w:eastAsia="Times New Roman" w:cs="Times New Roman"/>
          <w:b/>
          <w:bCs/>
          <w:spacing w:val="-4"/>
          <w:sz w:val="24"/>
          <w:szCs w:val="24"/>
        </w:rPr>
        <w:t>5.1-1</w:t>
      </w:r>
      <w:r>
        <w:rPr>
          <w:rFonts w:ascii="宋体" w:hAnsi="宋体" w:eastAsia="宋体" w:cs="宋体"/>
          <w:b/>
          <w:bCs/>
          <w:spacing w:val="-4"/>
          <w:sz w:val="24"/>
          <w:szCs w:val="24"/>
        </w:rPr>
        <w:t>入河排污口现场照片</w:t>
      </w:r>
    </w:p>
    <w:p w14:paraId="199724AE">
      <w:pPr>
        <w:spacing w:line="220" w:lineRule="auto"/>
        <w:rPr>
          <w:rFonts w:ascii="宋体" w:hAnsi="宋体" w:eastAsia="宋体" w:cs="宋体"/>
          <w:sz w:val="24"/>
          <w:szCs w:val="24"/>
        </w:rPr>
        <w:sectPr>
          <w:headerReference r:id="rId105" w:type="default"/>
          <w:footerReference r:id="rId106" w:type="default"/>
          <w:pgSz w:w="11907" w:h="16840"/>
          <w:pgMar w:top="1132" w:right="1588" w:bottom="1259" w:left="1588" w:header="829" w:footer="1097" w:gutter="0"/>
          <w:cols w:space="720" w:num="1"/>
        </w:sectPr>
      </w:pPr>
    </w:p>
    <w:p w14:paraId="53460DC9">
      <w:pPr>
        <w:pStyle w:val="2"/>
        <w:spacing w:line="282" w:lineRule="auto"/>
      </w:pPr>
    </w:p>
    <w:p w14:paraId="09179ADF">
      <w:pPr>
        <w:pStyle w:val="2"/>
        <w:spacing w:line="283" w:lineRule="auto"/>
      </w:pPr>
    </w:p>
    <w:p w14:paraId="3F1C6E0C">
      <w:pPr>
        <w:spacing w:line="8201" w:lineRule="exact"/>
        <w:ind w:firstLine="450"/>
      </w:pPr>
      <w:r>
        <w:rPr>
          <w:position w:val="-164"/>
        </w:rPr>
        <w:drawing>
          <wp:inline distT="0" distB="0" distL="0" distR="0">
            <wp:extent cx="8321040" cy="520700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08"/>
                    <a:stretch>
                      <a:fillRect/>
                    </a:stretch>
                  </pic:blipFill>
                  <pic:spPr>
                    <a:xfrm>
                      <a:off x="0" y="0"/>
                      <a:ext cx="8321040" cy="5207508"/>
                    </a:xfrm>
                    <a:prstGeom prst="rect">
                      <a:avLst/>
                    </a:prstGeom>
                  </pic:spPr>
                </pic:pic>
              </a:graphicData>
            </a:graphic>
          </wp:inline>
        </w:drawing>
      </w:r>
    </w:p>
    <w:p w14:paraId="6277E732">
      <w:pPr>
        <w:spacing w:before="30" w:line="229" w:lineRule="auto"/>
        <w:ind w:left="5521"/>
        <w:outlineLvl w:val="1"/>
        <w:rPr>
          <w:rFonts w:ascii="宋体" w:hAnsi="宋体" w:eastAsia="宋体" w:cs="宋体"/>
          <w:sz w:val="20"/>
          <w:szCs w:val="20"/>
        </w:rPr>
      </w:pPr>
      <w:bookmarkStart w:id="28" w:name="bookmark53"/>
      <w:bookmarkEnd w:id="28"/>
      <w:r>
        <w:rPr>
          <w:rFonts w:ascii="宋体" w:hAnsi="宋体" w:eastAsia="宋体" w:cs="宋体"/>
          <w:b/>
          <w:bCs/>
          <w:spacing w:val="4"/>
          <w:sz w:val="20"/>
          <w:szCs w:val="20"/>
        </w:rPr>
        <w:t>图</w:t>
      </w:r>
      <w:r>
        <w:rPr>
          <w:rFonts w:ascii="Times New Roman" w:hAnsi="Times New Roman" w:eastAsia="Times New Roman" w:cs="Times New Roman"/>
          <w:b/>
          <w:bCs/>
          <w:spacing w:val="4"/>
          <w:sz w:val="20"/>
          <w:szCs w:val="20"/>
        </w:rPr>
        <w:t>5.1-2</w:t>
      </w:r>
      <w:r>
        <w:rPr>
          <w:rFonts w:ascii="宋体" w:hAnsi="宋体" w:eastAsia="宋体" w:cs="宋体"/>
          <w:b/>
          <w:bCs/>
          <w:spacing w:val="4"/>
          <w:sz w:val="20"/>
          <w:szCs w:val="20"/>
        </w:rPr>
        <w:t>入河排污口设置位置图</w:t>
      </w:r>
    </w:p>
    <w:p w14:paraId="2A992464">
      <w:pPr>
        <w:spacing w:line="229" w:lineRule="auto"/>
        <w:rPr>
          <w:rFonts w:ascii="宋体" w:hAnsi="宋体" w:eastAsia="宋体" w:cs="宋体"/>
          <w:sz w:val="20"/>
          <w:szCs w:val="20"/>
        </w:rPr>
        <w:sectPr>
          <w:headerReference r:id="rId107" w:type="default"/>
          <w:footerReference r:id="rId108" w:type="default"/>
          <w:pgSz w:w="16840" w:h="11907"/>
          <w:pgMar w:top="1132" w:right="1416" w:bottom="1258" w:left="1417" w:header="829" w:footer="1096" w:gutter="0"/>
          <w:cols w:space="720" w:num="1"/>
        </w:sectPr>
      </w:pPr>
    </w:p>
    <w:p w14:paraId="3C35DAFF">
      <w:pPr>
        <w:spacing w:before="325" w:line="221" w:lineRule="auto"/>
        <w:ind w:left="10"/>
        <w:outlineLvl w:val="1"/>
        <w:rPr>
          <w:rFonts w:ascii="宋体" w:hAnsi="宋体" w:eastAsia="宋体" w:cs="宋体"/>
          <w:sz w:val="28"/>
          <w:szCs w:val="28"/>
        </w:rPr>
      </w:pPr>
      <w:bookmarkStart w:id="29" w:name="bookmark26"/>
      <w:bookmarkEnd w:id="29"/>
      <w:r>
        <w:rPr>
          <w:rFonts w:ascii="Times New Roman" w:hAnsi="Times New Roman" w:eastAsia="Times New Roman" w:cs="Times New Roman"/>
          <w:b/>
          <w:bCs/>
          <w:spacing w:val="-3"/>
          <w:sz w:val="28"/>
          <w:szCs w:val="28"/>
        </w:rPr>
        <w:t>5.2</w:t>
      </w:r>
      <w:r>
        <w:rPr>
          <w:rFonts w:ascii="宋体" w:hAnsi="宋体" w:eastAsia="宋体" w:cs="宋体"/>
          <w:b/>
          <w:bCs/>
          <w:spacing w:val="-3"/>
          <w:sz w:val="28"/>
          <w:szCs w:val="28"/>
        </w:rPr>
        <w:t>入河排污口排污情况</w:t>
      </w:r>
    </w:p>
    <w:p w14:paraId="220576DC">
      <w:pPr>
        <w:spacing w:before="203" w:line="359" w:lineRule="auto"/>
        <w:ind w:left="11" w:firstLine="479"/>
        <w:jc w:val="both"/>
        <w:rPr>
          <w:rFonts w:ascii="宋体" w:hAnsi="宋体" w:eastAsia="宋体" w:cs="宋体"/>
          <w:sz w:val="24"/>
          <w:szCs w:val="24"/>
        </w:rPr>
      </w:pPr>
      <w:r>
        <w:rPr>
          <w:rFonts w:ascii="宋体" w:hAnsi="宋体" w:eastAsia="宋体" w:cs="宋体"/>
          <w:spacing w:val="3"/>
          <w:sz w:val="24"/>
          <w:szCs w:val="24"/>
        </w:rPr>
        <w:t>本入河排污口为隆回县华茂污水处理厂和隆回县工业污水处理厂</w:t>
      </w:r>
      <w:r>
        <w:rPr>
          <w:rFonts w:ascii="宋体" w:hAnsi="宋体" w:eastAsia="宋体" w:cs="宋体"/>
          <w:spacing w:val="2"/>
          <w:sz w:val="24"/>
          <w:szCs w:val="24"/>
        </w:rPr>
        <w:t>（一期）共</w:t>
      </w:r>
      <w:r>
        <w:rPr>
          <w:rFonts w:ascii="宋体" w:hAnsi="宋体" w:eastAsia="宋体" w:cs="宋体"/>
          <w:spacing w:val="3"/>
          <w:sz w:val="24"/>
          <w:szCs w:val="24"/>
        </w:rPr>
        <w:t>用排污口。隆回县华茂污水处理厂主要处理隆回县县</w:t>
      </w:r>
      <w:r>
        <w:rPr>
          <w:rFonts w:ascii="宋体" w:hAnsi="宋体" w:eastAsia="宋体" w:cs="宋体"/>
          <w:spacing w:val="2"/>
          <w:sz w:val="24"/>
          <w:szCs w:val="24"/>
        </w:rPr>
        <w:t>城规划区生活废水，工业污</w:t>
      </w:r>
      <w:r>
        <w:rPr>
          <w:rFonts w:ascii="宋体" w:hAnsi="宋体" w:eastAsia="宋体" w:cs="宋体"/>
          <w:spacing w:val="3"/>
          <w:sz w:val="24"/>
          <w:szCs w:val="24"/>
        </w:rPr>
        <w:t>水处理厂（一期）主要处理寺山片区、集南片</w:t>
      </w:r>
      <w:r>
        <w:rPr>
          <w:rFonts w:ascii="宋体" w:hAnsi="宋体" w:eastAsia="宋体" w:cs="宋体"/>
          <w:spacing w:val="2"/>
          <w:sz w:val="24"/>
          <w:szCs w:val="24"/>
        </w:rPr>
        <w:t>区、北山片区的工业废水及城东生</w:t>
      </w:r>
      <w:r>
        <w:rPr>
          <w:rFonts w:ascii="宋体" w:hAnsi="宋体" w:eastAsia="宋体" w:cs="宋体"/>
          <w:spacing w:val="-6"/>
          <w:sz w:val="24"/>
          <w:szCs w:val="24"/>
        </w:rPr>
        <w:t>活小区的生活废水，主要污染物为</w:t>
      </w:r>
      <w:r>
        <w:rPr>
          <w:rFonts w:ascii="Times New Roman" w:hAnsi="Times New Roman" w:eastAsia="Times New Roman" w:cs="Times New Roman"/>
          <w:spacing w:val="-6"/>
          <w:sz w:val="24"/>
          <w:szCs w:val="24"/>
        </w:rPr>
        <w:t>COD</w:t>
      </w:r>
      <w:r>
        <w:rPr>
          <w:rFonts w:ascii="宋体" w:hAnsi="宋体" w:eastAsia="宋体" w:cs="宋体"/>
          <w:spacing w:val="-6"/>
          <w:sz w:val="24"/>
          <w:szCs w:val="24"/>
        </w:rPr>
        <w:t>、</w:t>
      </w:r>
      <w:r>
        <w:rPr>
          <w:rFonts w:ascii="Times New Roman" w:hAnsi="Times New Roman" w:eastAsia="Times New Roman" w:cs="Times New Roman"/>
          <w:spacing w:val="-6"/>
          <w:sz w:val="24"/>
          <w:szCs w:val="24"/>
        </w:rPr>
        <w:t>BOD</w:t>
      </w:r>
      <w:r>
        <w:rPr>
          <w:rFonts w:ascii="Times New Roman" w:hAnsi="Times New Roman" w:eastAsia="Times New Roman" w:cs="Times New Roman"/>
          <w:spacing w:val="-6"/>
          <w:position w:val="-1"/>
          <w:sz w:val="15"/>
          <w:szCs w:val="15"/>
        </w:rPr>
        <w:t>5</w:t>
      </w:r>
      <w:r>
        <w:rPr>
          <w:rFonts w:ascii="宋体" w:hAnsi="宋体" w:eastAsia="宋体" w:cs="宋体"/>
          <w:spacing w:val="-6"/>
          <w:sz w:val="24"/>
          <w:szCs w:val="24"/>
        </w:rPr>
        <w:t>、</w:t>
      </w:r>
      <w:r>
        <w:rPr>
          <w:rFonts w:ascii="Times New Roman" w:hAnsi="Times New Roman" w:eastAsia="Times New Roman" w:cs="Times New Roman"/>
          <w:spacing w:val="-6"/>
          <w:sz w:val="24"/>
          <w:szCs w:val="24"/>
        </w:rPr>
        <w:t>NH</w:t>
      </w:r>
      <w:r>
        <w:rPr>
          <w:rFonts w:ascii="Times New Roman" w:hAnsi="Times New Roman" w:eastAsia="Times New Roman" w:cs="Times New Roman"/>
          <w:spacing w:val="-6"/>
          <w:sz w:val="15"/>
          <w:szCs w:val="15"/>
        </w:rPr>
        <w:t>3</w:t>
      </w:r>
      <w:r>
        <w:rPr>
          <w:rFonts w:ascii="Times New Roman" w:hAnsi="Times New Roman" w:eastAsia="Times New Roman" w:cs="Times New Roman"/>
          <w:spacing w:val="-6"/>
          <w:sz w:val="24"/>
          <w:szCs w:val="24"/>
        </w:rPr>
        <w:t>-N</w:t>
      </w:r>
      <w:r>
        <w:rPr>
          <w:rFonts w:ascii="宋体" w:hAnsi="宋体" w:eastAsia="宋体" w:cs="宋体"/>
          <w:spacing w:val="-6"/>
          <w:sz w:val="24"/>
          <w:szCs w:val="24"/>
        </w:rPr>
        <w:t>、</w:t>
      </w:r>
      <w:r>
        <w:rPr>
          <w:rFonts w:ascii="Times New Roman" w:hAnsi="Times New Roman" w:eastAsia="Times New Roman" w:cs="Times New Roman"/>
          <w:spacing w:val="-6"/>
          <w:sz w:val="24"/>
          <w:szCs w:val="24"/>
        </w:rPr>
        <w:t>SS</w:t>
      </w:r>
      <w:r>
        <w:rPr>
          <w:rFonts w:ascii="宋体" w:hAnsi="宋体" w:eastAsia="宋体" w:cs="宋体"/>
          <w:spacing w:val="-6"/>
          <w:sz w:val="24"/>
          <w:szCs w:val="24"/>
        </w:rPr>
        <w:t>、石油类、动植物油、</w:t>
      </w:r>
      <w:r>
        <w:rPr>
          <w:rFonts w:ascii="宋体" w:hAnsi="宋体" w:eastAsia="宋体" w:cs="宋体"/>
          <w:spacing w:val="-1"/>
          <w:sz w:val="24"/>
          <w:szCs w:val="24"/>
        </w:rPr>
        <w:t>总氮、总磷、粪大肠菌群等。</w:t>
      </w:r>
    </w:p>
    <w:p w14:paraId="24346639">
      <w:pPr>
        <w:spacing w:before="1" w:line="359" w:lineRule="auto"/>
        <w:ind w:left="10" w:right="78" w:firstLine="485"/>
        <w:jc w:val="both"/>
        <w:rPr>
          <w:rFonts w:ascii="宋体" w:hAnsi="宋体" w:eastAsia="宋体" w:cs="宋体"/>
          <w:sz w:val="24"/>
          <w:szCs w:val="24"/>
        </w:rPr>
      </w:pPr>
      <w:r>
        <w:rPr>
          <w:rFonts w:ascii="宋体" w:hAnsi="宋体" w:eastAsia="宋体" w:cs="宋体"/>
          <w:spacing w:val="-5"/>
          <w:sz w:val="24"/>
          <w:szCs w:val="24"/>
        </w:rPr>
        <w:t>高新区内规模企业所属行业主要是电子、服装、工艺品制造、建材、造纸（不</w:t>
      </w:r>
      <w:r>
        <w:rPr>
          <w:rFonts w:ascii="宋体" w:hAnsi="宋体" w:eastAsia="宋体" w:cs="宋体"/>
          <w:spacing w:val="3"/>
          <w:sz w:val="24"/>
          <w:szCs w:val="24"/>
        </w:rPr>
        <w:t>制浆）、仓储等，没有石化、化工等重污染行业，没有</w:t>
      </w:r>
      <w:r>
        <w:rPr>
          <w:rFonts w:ascii="宋体" w:hAnsi="宋体" w:eastAsia="宋体" w:cs="宋体"/>
          <w:spacing w:val="2"/>
          <w:sz w:val="24"/>
          <w:szCs w:val="24"/>
        </w:rPr>
        <w:t>引进不符合国家法律法规</w:t>
      </w:r>
      <w:r>
        <w:rPr>
          <w:rFonts w:ascii="宋体" w:hAnsi="宋体" w:eastAsia="宋体" w:cs="宋体"/>
          <w:spacing w:val="-1"/>
          <w:sz w:val="24"/>
          <w:szCs w:val="24"/>
        </w:rPr>
        <w:t>要求的违规企业。高新区没有涉重金属规模工业企业。</w:t>
      </w:r>
    </w:p>
    <w:p w14:paraId="6CE811A7">
      <w:pPr>
        <w:spacing w:line="218" w:lineRule="auto"/>
        <w:ind w:left="496"/>
        <w:rPr>
          <w:rFonts w:ascii="宋体" w:hAnsi="宋体" w:eastAsia="宋体" w:cs="宋体"/>
          <w:sz w:val="24"/>
          <w:szCs w:val="24"/>
        </w:rPr>
      </w:pPr>
      <w:r>
        <w:rPr>
          <w:rFonts w:ascii="宋体" w:hAnsi="宋体" w:eastAsia="宋体" w:cs="宋体"/>
          <w:spacing w:val="-1"/>
          <w:sz w:val="24"/>
          <w:szCs w:val="24"/>
        </w:rPr>
        <w:t>高新区内电子企业主要是元件的加工，不涉及原件原材料的生产。</w:t>
      </w:r>
    </w:p>
    <w:p w14:paraId="55D07BE0">
      <w:pPr>
        <w:spacing w:before="179" w:line="360" w:lineRule="auto"/>
        <w:ind w:left="13" w:right="77" w:firstLine="482"/>
        <w:rPr>
          <w:rFonts w:ascii="宋体" w:hAnsi="宋体" w:eastAsia="宋体" w:cs="宋体"/>
          <w:sz w:val="24"/>
          <w:szCs w:val="24"/>
        </w:rPr>
      </w:pPr>
      <w:r>
        <w:rPr>
          <w:rFonts w:ascii="宋体" w:hAnsi="宋体" w:eastAsia="宋体" w:cs="宋体"/>
          <w:spacing w:val="2"/>
          <w:sz w:val="24"/>
          <w:szCs w:val="24"/>
        </w:rPr>
        <w:t>高新区内造纸企业共有</w:t>
      </w:r>
      <w:r>
        <w:rPr>
          <w:rFonts w:ascii="Times New Roman" w:hAnsi="Times New Roman" w:eastAsia="Times New Roman" w:cs="Times New Roman"/>
          <w:spacing w:val="2"/>
          <w:sz w:val="24"/>
          <w:szCs w:val="24"/>
        </w:rPr>
        <w:t>3</w:t>
      </w:r>
      <w:r>
        <w:rPr>
          <w:rFonts w:ascii="宋体" w:hAnsi="宋体" w:eastAsia="宋体" w:cs="宋体"/>
          <w:spacing w:val="2"/>
          <w:sz w:val="24"/>
          <w:szCs w:val="24"/>
        </w:rPr>
        <w:t>家：隆回瀚星纸业有限公司、湖南湘</w:t>
      </w:r>
      <w:r>
        <w:rPr>
          <w:rFonts w:ascii="宋体" w:hAnsi="宋体" w:eastAsia="宋体" w:cs="宋体"/>
          <w:spacing w:val="1"/>
          <w:sz w:val="24"/>
          <w:szCs w:val="24"/>
        </w:rPr>
        <w:t>丰特种纸业有</w:t>
      </w:r>
      <w:r>
        <w:rPr>
          <w:rFonts w:ascii="宋体" w:hAnsi="宋体" w:eastAsia="宋体" w:cs="宋体"/>
          <w:spacing w:val="3"/>
          <w:sz w:val="24"/>
          <w:szCs w:val="24"/>
        </w:rPr>
        <w:t>限公司、湖南康业生物科技有限公司。其中湖南</w:t>
      </w:r>
      <w:r>
        <w:rPr>
          <w:rFonts w:ascii="宋体" w:hAnsi="宋体" w:eastAsia="宋体" w:cs="宋体"/>
          <w:spacing w:val="2"/>
          <w:sz w:val="24"/>
          <w:szCs w:val="24"/>
        </w:rPr>
        <w:t>湘丰特种纸业有限公司原材料为</w:t>
      </w:r>
      <w:r>
        <w:rPr>
          <w:rFonts w:ascii="宋体" w:hAnsi="宋体" w:eastAsia="宋体" w:cs="宋体"/>
          <w:spacing w:val="3"/>
          <w:sz w:val="24"/>
          <w:szCs w:val="24"/>
        </w:rPr>
        <w:t>商品木浆，隆回瀚星纸业有限公司和湖南康业生</w:t>
      </w:r>
      <w:r>
        <w:rPr>
          <w:rFonts w:ascii="宋体" w:hAnsi="宋体" w:eastAsia="宋体" w:cs="宋体"/>
          <w:spacing w:val="2"/>
          <w:sz w:val="24"/>
          <w:szCs w:val="24"/>
        </w:rPr>
        <w:t>物科技有限公司采用废纸浆，均</w:t>
      </w:r>
      <w:r>
        <w:rPr>
          <w:rFonts w:ascii="宋体" w:hAnsi="宋体" w:eastAsia="宋体" w:cs="宋体"/>
          <w:spacing w:val="-1"/>
          <w:sz w:val="24"/>
          <w:szCs w:val="24"/>
        </w:rPr>
        <w:t>不涉及氨氮浓度</w:t>
      </w:r>
      <w:r>
        <w:rPr>
          <w:rFonts w:ascii="Times New Roman" w:hAnsi="Times New Roman" w:eastAsia="Times New Roman" w:cs="Times New Roman"/>
          <w:spacing w:val="-1"/>
          <w:sz w:val="24"/>
          <w:szCs w:val="24"/>
        </w:rPr>
        <w:t>≥2000mg/L</w:t>
      </w:r>
      <w:r>
        <w:rPr>
          <w:rFonts w:ascii="宋体" w:hAnsi="宋体" w:eastAsia="宋体" w:cs="宋体"/>
          <w:spacing w:val="-1"/>
          <w:sz w:val="24"/>
          <w:szCs w:val="24"/>
        </w:rPr>
        <w:t>和</w:t>
      </w:r>
      <w:r>
        <w:rPr>
          <w:rFonts w:ascii="Times New Roman" w:hAnsi="Times New Roman" w:eastAsia="Times New Roman" w:cs="Times New Roman"/>
          <w:spacing w:val="-1"/>
          <w:sz w:val="24"/>
          <w:szCs w:val="24"/>
        </w:rPr>
        <w:t>COD</w:t>
      </w:r>
      <w:r>
        <w:rPr>
          <w:rFonts w:ascii="Times New Roman" w:hAnsi="Times New Roman" w:eastAsia="Times New Roman" w:cs="Times New Roman"/>
          <w:spacing w:val="-1"/>
          <w:position w:val="-1"/>
          <w:sz w:val="15"/>
          <w:szCs w:val="15"/>
        </w:rPr>
        <w:t>Cr</w:t>
      </w:r>
      <w:r>
        <w:rPr>
          <w:rFonts w:ascii="宋体" w:hAnsi="宋体" w:eastAsia="宋体" w:cs="宋体"/>
          <w:spacing w:val="-2"/>
          <w:sz w:val="24"/>
          <w:szCs w:val="24"/>
        </w:rPr>
        <w:t>浓度</w:t>
      </w:r>
      <w:r>
        <w:rPr>
          <w:rFonts w:ascii="Times New Roman" w:hAnsi="Times New Roman" w:eastAsia="Times New Roman" w:cs="Times New Roman"/>
          <w:spacing w:val="-2"/>
          <w:sz w:val="24"/>
          <w:szCs w:val="24"/>
        </w:rPr>
        <w:t>≥10000mg/L</w:t>
      </w:r>
      <w:r>
        <w:rPr>
          <w:rFonts w:ascii="宋体" w:hAnsi="宋体" w:eastAsia="宋体" w:cs="宋体"/>
          <w:spacing w:val="-2"/>
          <w:sz w:val="24"/>
          <w:szCs w:val="24"/>
        </w:rPr>
        <w:t>的有机废液。</w:t>
      </w:r>
    </w:p>
    <w:p w14:paraId="2566A4D8">
      <w:pPr>
        <w:spacing w:before="3" w:line="358" w:lineRule="auto"/>
        <w:ind w:left="10" w:right="80" w:firstLine="485"/>
        <w:jc w:val="both"/>
        <w:rPr>
          <w:rFonts w:ascii="宋体" w:hAnsi="宋体" w:eastAsia="宋体" w:cs="宋体"/>
          <w:sz w:val="24"/>
          <w:szCs w:val="24"/>
        </w:rPr>
      </w:pPr>
      <w:r>
        <w:rPr>
          <w:rFonts w:ascii="宋体" w:hAnsi="宋体" w:eastAsia="宋体" w:cs="宋体"/>
          <w:spacing w:val="2"/>
          <w:sz w:val="24"/>
          <w:szCs w:val="24"/>
        </w:rPr>
        <w:t>高新区内有化工企业</w:t>
      </w:r>
      <w:r>
        <w:rPr>
          <w:rFonts w:ascii="Times New Roman" w:hAnsi="Times New Roman" w:eastAsia="Times New Roman" w:cs="Times New Roman"/>
          <w:spacing w:val="2"/>
          <w:sz w:val="24"/>
          <w:szCs w:val="24"/>
        </w:rPr>
        <w:t>3</w:t>
      </w:r>
      <w:r>
        <w:rPr>
          <w:rFonts w:ascii="宋体" w:hAnsi="宋体" w:eastAsia="宋体" w:cs="宋体"/>
          <w:spacing w:val="2"/>
          <w:sz w:val="24"/>
          <w:szCs w:val="24"/>
        </w:rPr>
        <w:t>家，隆回群丰生物化工有限公司、湖南和诚医药化学</w:t>
      </w:r>
      <w:r>
        <w:rPr>
          <w:rFonts w:ascii="宋体" w:hAnsi="宋体" w:eastAsia="宋体" w:cs="宋体"/>
          <w:spacing w:val="-2"/>
          <w:sz w:val="24"/>
          <w:szCs w:val="24"/>
        </w:rPr>
        <w:t>品有限公司、湖南康和霖生物技术有限公司，</w:t>
      </w:r>
      <w:r>
        <w:rPr>
          <w:rFonts w:ascii="Times New Roman" w:hAnsi="Times New Roman" w:eastAsia="Times New Roman" w:cs="Times New Roman"/>
          <w:spacing w:val="-2"/>
          <w:sz w:val="24"/>
          <w:szCs w:val="24"/>
        </w:rPr>
        <w:t>3</w:t>
      </w:r>
      <w:r>
        <w:rPr>
          <w:rFonts w:ascii="宋体" w:hAnsi="宋体" w:eastAsia="宋体" w:cs="宋体"/>
          <w:spacing w:val="-3"/>
          <w:sz w:val="24"/>
          <w:szCs w:val="24"/>
        </w:rPr>
        <w:t>家公司生产原材料涉及醋酐、冰醋</w:t>
      </w:r>
      <w:r>
        <w:rPr>
          <w:rFonts w:ascii="宋体" w:hAnsi="宋体" w:eastAsia="宋体" w:cs="宋体"/>
          <w:spacing w:val="-2"/>
          <w:sz w:val="24"/>
          <w:szCs w:val="24"/>
        </w:rPr>
        <w:t>酸等化学原料。</w:t>
      </w:r>
    </w:p>
    <w:p w14:paraId="41F1CE25">
      <w:pPr>
        <w:spacing w:before="1" w:line="360" w:lineRule="auto"/>
        <w:ind w:left="9" w:right="21" w:firstLine="486"/>
        <w:jc w:val="both"/>
        <w:rPr>
          <w:rFonts w:ascii="宋体" w:hAnsi="宋体" w:eastAsia="宋体" w:cs="宋体"/>
          <w:sz w:val="24"/>
          <w:szCs w:val="24"/>
        </w:rPr>
      </w:pPr>
      <w:r>
        <w:rPr>
          <w:rFonts w:ascii="宋体" w:hAnsi="宋体" w:eastAsia="宋体" w:cs="宋体"/>
          <w:spacing w:val="-3"/>
          <w:sz w:val="24"/>
          <w:szCs w:val="24"/>
        </w:rPr>
        <w:t>高新区内工艺品企业主要为饰品和雕刻加工；建材加工主要为门窗加工企业；</w:t>
      </w:r>
      <w:r>
        <w:rPr>
          <w:rFonts w:ascii="宋体" w:hAnsi="宋体" w:eastAsia="宋体" w:cs="宋体"/>
          <w:spacing w:val="3"/>
          <w:sz w:val="24"/>
          <w:szCs w:val="24"/>
        </w:rPr>
        <w:t>服装行业主要工艺为缝制，不涉及服装布料的生产；鞋</w:t>
      </w:r>
      <w:r>
        <w:rPr>
          <w:rFonts w:ascii="宋体" w:hAnsi="宋体" w:eastAsia="宋体" w:cs="宋体"/>
          <w:spacing w:val="2"/>
          <w:sz w:val="24"/>
          <w:szCs w:val="24"/>
        </w:rPr>
        <w:t>材加工企业主要为成品鞋</w:t>
      </w:r>
      <w:r>
        <w:rPr>
          <w:rFonts w:ascii="宋体" w:hAnsi="宋体" w:eastAsia="宋体" w:cs="宋体"/>
          <w:spacing w:val="-3"/>
          <w:sz w:val="24"/>
          <w:szCs w:val="24"/>
        </w:rPr>
        <w:t>和</w:t>
      </w:r>
      <w:r>
        <w:rPr>
          <w:rFonts w:ascii="Times New Roman" w:hAnsi="Times New Roman" w:eastAsia="Times New Roman" w:cs="Times New Roman"/>
          <w:spacing w:val="-3"/>
          <w:sz w:val="24"/>
          <w:szCs w:val="24"/>
        </w:rPr>
        <w:t>EVA/TPR</w:t>
      </w:r>
      <w:r>
        <w:rPr>
          <w:rFonts w:ascii="宋体" w:hAnsi="宋体" w:eastAsia="宋体" w:cs="宋体"/>
          <w:spacing w:val="-3"/>
          <w:sz w:val="24"/>
          <w:szCs w:val="24"/>
        </w:rPr>
        <w:t>鞋材辅料加工。</w:t>
      </w:r>
    </w:p>
    <w:p w14:paraId="53CE4BB4">
      <w:pPr>
        <w:spacing w:before="2" w:line="220" w:lineRule="auto"/>
        <w:ind w:left="10"/>
        <w:outlineLvl w:val="1"/>
        <w:rPr>
          <w:rFonts w:ascii="宋体" w:hAnsi="宋体" w:eastAsia="宋体" w:cs="宋体"/>
          <w:sz w:val="28"/>
          <w:szCs w:val="28"/>
        </w:rPr>
      </w:pPr>
      <w:bookmarkStart w:id="30" w:name="bookmark27"/>
      <w:bookmarkEnd w:id="30"/>
      <w:r>
        <w:rPr>
          <w:rFonts w:ascii="Times New Roman" w:hAnsi="Times New Roman" w:eastAsia="Times New Roman" w:cs="Times New Roman"/>
          <w:b/>
          <w:bCs/>
          <w:spacing w:val="-2"/>
          <w:sz w:val="28"/>
          <w:szCs w:val="28"/>
        </w:rPr>
        <w:t>5.3</w:t>
      </w:r>
      <w:r>
        <w:rPr>
          <w:rFonts w:ascii="宋体" w:hAnsi="宋体" w:eastAsia="宋体" w:cs="宋体"/>
          <w:b/>
          <w:bCs/>
          <w:spacing w:val="-2"/>
          <w:sz w:val="28"/>
          <w:szCs w:val="28"/>
        </w:rPr>
        <w:t>废污水所含主要污染物种类及其排放浓度、总量</w:t>
      </w:r>
    </w:p>
    <w:p w14:paraId="1EF4D61F">
      <w:pPr>
        <w:spacing w:before="205" w:line="360" w:lineRule="auto"/>
        <w:ind w:left="9" w:right="80" w:firstLine="495"/>
        <w:jc w:val="both"/>
        <w:rPr>
          <w:rFonts w:ascii="宋体" w:hAnsi="宋体" w:eastAsia="宋体" w:cs="宋体"/>
          <w:sz w:val="24"/>
          <w:szCs w:val="24"/>
        </w:rPr>
      </w:pPr>
      <w:r>
        <w:rPr>
          <w:rFonts w:ascii="宋体" w:hAnsi="宋体" w:eastAsia="宋体" w:cs="宋体"/>
          <w:spacing w:val="-2"/>
          <w:sz w:val="24"/>
          <w:szCs w:val="24"/>
        </w:rPr>
        <w:t>隆回工业污水处理厂扩建后污水污水处理规模为</w:t>
      </w:r>
      <w:r>
        <w:rPr>
          <w:rFonts w:ascii="Times New Roman" w:hAnsi="Times New Roman" w:eastAsia="Times New Roman" w:cs="Times New Roman"/>
          <w:spacing w:val="-2"/>
          <w:sz w:val="24"/>
          <w:szCs w:val="24"/>
        </w:rPr>
        <w:t>30000m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4"/>
          <w:szCs w:val="24"/>
        </w:rPr>
        <w:t>/d</w:t>
      </w:r>
      <w:r>
        <w:rPr>
          <w:rFonts w:ascii="宋体" w:hAnsi="宋体" w:eastAsia="宋体" w:cs="宋体"/>
          <w:spacing w:val="-2"/>
          <w:sz w:val="24"/>
          <w:szCs w:val="24"/>
        </w:rPr>
        <w:t>，污水</w:t>
      </w:r>
      <w:r>
        <w:rPr>
          <w:rFonts w:ascii="宋体" w:hAnsi="宋体" w:eastAsia="宋体" w:cs="宋体"/>
          <w:spacing w:val="-3"/>
          <w:sz w:val="24"/>
          <w:szCs w:val="24"/>
        </w:rPr>
        <w:t>主要为工业</w:t>
      </w:r>
      <w:r>
        <w:rPr>
          <w:rFonts w:ascii="宋体" w:hAnsi="宋体" w:eastAsia="宋体" w:cs="宋体"/>
          <w:spacing w:val="-4"/>
          <w:sz w:val="24"/>
          <w:szCs w:val="24"/>
        </w:rPr>
        <w:t>污水（无涉重）及部分生活废水，主要污染物为</w:t>
      </w:r>
      <w:r>
        <w:rPr>
          <w:rFonts w:ascii="Times New Roman" w:hAnsi="Times New Roman" w:eastAsia="Times New Roman" w:cs="Times New Roman"/>
          <w:spacing w:val="-4"/>
          <w:sz w:val="24"/>
          <w:szCs w:val="24"/>
        </w:rPr>
        <w:t>COD</w:t>
      </w:r>
      <w:r>
        <w:rPr>
          <w:rFonts w:ascii="宋体" w:hAnsi="宋体" w:eastAsia="宋体" w:cs="宋体"/>
          <w:spacing w:val="-4"/>
          <w:sz w:val="24"/>
          <w:szCs w:val="24"/>
        </w:rPr>
        <w:t>、</w:t>
      </w:r>
      <w:r>
        <w:rPr>
          <w:rFonts w:ascii="Times New Roman" w:hAnsi="Times New Roman" w:eastAsia="Times New Roman" w:cs="Times New Roman"/>
          <w:spacing w:val="-4"/>
          <w:sz w:val="24"/>
          <w:szCs w:val="24"/>
        </w:rPr>
        <w:t>BOD</w:t>
      </w:r>
      <w:r>
        <w:rPr>
          <w:rFonts w:ascii="Times New Roman" w:hAnsi="Times New Roman" w:eastAsia="Times New Roman" w:cs="Times New Roman"/>
          <w:spacing w:val="-4"/>
          <w:position w:val="-1"/>
          <w:sz w:val="15"/>
          <w:szCs w:val="15"/>
        </w:rPr>
        <w:t>5</w:t>
      </w:r>
      <w:r>
        <w:rPr>
          <w:rFonts w:ascii="宋体" w:hAnsi="宋体" w:eastAsia="宋体" w:cs="宋体"/>
          <w:spacing w:val="-4"/>
          <w:sz w:val="24"/>
          <w:szCs w:val="24"/>
        </w:rPr>
        <w:t>、</w:t>
      </w:r>
      <w:r>
        <w:rPr>
          <w:rFonts w:ascii="Times New Roman" w:hAnsi="Times New Roman" w:eastAsia="Times New Roman" w:cs="Times New Roman"/>
          <w:spacing w:val="-4"/>
          <w:sz w:val="24"/>
          <w:szCs w:val="24"/>
        </w:rPr>
        <w:t>NH</w:t>
      </w:r>
      <w:r>
        <w:rPr>
          <w:rFonts w:ascii="Times New Roman" w:hAnsi="Times New Roman" w:eastAsia="Times New Roman" w:cs="Times New Roman"/>
          <w:spacing w:val="-4"/>
          <w:sz w:val="15"/>
          <w:szCs w:val="15"/>
        </w:rPr>
        <w:t>3</w:t>
      </w:r>
      <w:r>
        <w:rPr>
          <w:rFonts w:ascii="Times New Roman" w:hAnsi="Times New Roman" w:eastAsia="Times New Roman" w:cs="Times New Roman"/>
          <w:spacing w:val="-4"/>
          <w:sz w:val="24"/>
          <w:szCs w:val="24"/>
        </w:rPr>
        <w:t>-N</w:t>
      </w:r>
      <w:r>
        <w:rPr>
          <w:rFonts w:ascii="宋体" w:hAnsi="宋体" w:eastAsia="宋体" w:cs="宋体"/>
          <w:spacing w:val="-4"/>
          <w:sz w:val="24"/>
          <w:szCs w:val="24"/>
        </w:rPr>
        <w:t>、</w:t>
      </w:r>
      <w:r>
        <w:rPr>
          <w:rFonts w:ascii="Times New Roman" w:hAnsi="Times New Roman" w:eastAsia="Times New Roman" w:cs="Times New Roman"/>
          <w:spacing w:val="-4"/>
          <w:sz w:val="24"/>
          <w:szCs w:val="24"/>
        </w:rPr>
        <w:t>SS</w:t>
      </w:r>
      <w:r>
        <w:rPr>
          <w:rFonts w:ascii="宋体" w:hAnsi="宋体" w:eastAsia="宋体" w:cs="宋体"/>
          <w:spacing w:val="-5"/>
          <w:sz w:val="24"/>
          <w:szCs w:val="24"/>
        </w:rPr>
        <w:t>、石油</w:t>
      </w:r>
      <w:r>
        <w:rPr>
          <w:rFonts w:ascii="宋体" w:hAnsi="宋体" w:eastAsia="宋体" w:cs="宋体"/>
          <w:spacing w:val="18"/>
          <w:sz w:val="24"/>
          <w:szCs w:val="24"/>
        </w:rPr>
        <w:t>类、总氮、总磷等，出水水质达到《城镇污水处理厂污染物排放标准》</w:t>
      </w:r>
      <w:r>
        <w:rPr>
          <w:rFonts w:ascii="宋体" w:hAnsi="宋体" w:eastAsia="宋体" w:cs="宋体"/>
          <w:spacing w:val="2"/>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2"/>
          <w:sz w:val="24"/>
          <w:szCs w:val="24"/>
        </w:rPr>
        <w:t>18918—2002</w:t>
      </w:r>
      <w:r>
        <w:rPr>
          <w:rFonts w:ascii="宋体" w:hAnsi="宋体" w:eastAsia="宋体" w:cs="宋体"/>
          <w:spacing w:val="2"/>
          <w:sz w:val="24"/>
          <w:szCs w:val="24"/>
        </w:rPr>
        <w:t>）一级</w:t>
      </w:r>
      <w:r>
        <w:rPr>
          <w:rFonts w:ascii="Times New Roman" w:hAnsi="Times New Roman" w:eastAsia="Times New Roman" w:cs="Times New Roman"/>
          <w:spacing w:val="2"/>
          <w:sz w:val="24"/>
          <w:szCs w:val="24"/>
        </w:rPr>
        <w:t>A</w:t>
      </w:r>
      <w:r>
        <w:rPr>
          <w:rFonts w:ascii="宋体" w:hAnsi="宋体" w:eastAsia="宋体" w:cs="宋体"/>
          <w:spacing w:val="2"/>
          <w:sz w:val="24"/>
          <w:szCs w:val="24"/>
        </w:rPr>
        <w:t>标准后排入赧</w:t>
      </w:r>
      <w:r>
        <w:rPr>
          <w:rFonts w:ascii="宋体" w:hAnsi="宋体" w:eastAsia="宋体" w:cs="宋体"/>
          <w:spacing w:val="1"/>
          <w:sz w:val="24"/>
          <w:szCs w:val="24"/>
        </w:rPr>
        <w:t>水。本项目建成前后污染物排放量与减</w:t>
      </w:r>
      <w:r>
        <w:rPr>
          <w:rFonts w:ascii="宋体" w:hAnsi="宋体" w:eastAsia="宋体" w:cs="宋体"/>
          <w:spacing w:val="-2"/>
          <w:sz w:val="24"/>
          <w:szCs w:val="24"/>
        </w:rPr>
        <w:t>排量见下表。</w:t>
      </w:r>
    </w:p>
    <w:p w14:paraId="0C20E8E8">
      <w:pPr>
        <w:spacing w:line="360" w:lineRule="auto"/>
        <w:rPr>
          <w:rFonts w:ascii="宋体" w:hAnsi="宋体" w:eastAsia="宋体" w:cs="宋体"/>
          <w:sz w:val="24"/>
          <w:szCs w:val="24"/>
        </w:rPr>
        <w:sectPr>
          <w:headerReference r:id="rId109" w:type="default"/>
          <w:footerReference r:id="rId110" w:type="default"/>
          <w:pgSz w:w="11907" w:h="16840"/>
          <w:pgMar w:top="1132" w:right="1621" w:bottom="1259" w:left="1701" w:header="829" w:footer="1097" w:gutter="0"/>
          <w:cols w:space="720" w:num="1"/>
        </w:sectPr>
      </w:pPr>
    </w:p>
    <w:p w14:paraId="51F1357F">
      <w:pPr>
        <w:pStyle w:val="2"/>
        <w:spacing w:line="241" w:lineRule="auto"/>
      </w:pPr>
    </w:p>
    <w:p w14:paraId="4EEF5843">
      <w:pPr>
        <w:spacing w:before="78" w:line="211" w:lineRule="auto"/>
        <w:ind w:left="1199"/>
        <w:rPr>
          <w:rFonts w:ascii="宋体" w:hAnsi="宋体" w:eastAsia="宋体" w:cs="宋体"/>
          <w:sz w:val="24"/>
          <w:szCs w:val="24"/>
        </w:rPr>
      </w:pPr>
      <w:r>
        <w:rPr>
          <w:rFonts w:ascii="宋体" w:hAnsi="宋体" w:eastAsia="宋体" w:cs="宋体"/>
          <w:b/>
          <w:bCs/>
          <w:spacing w:val="-2"/>
          <w:sz w:val="24"/>
          <w:szCs w:val="24"/>
        </w:rPr>
        <w:t>表</w:t>
      </w:r>
      <w:r>
        <w:rPr>
          <w:rFonts w:ascii="Times New Roman" w:hAnsi="Times New Roman" w:eastAsia="Times New Roman" w:cs="Times New Roman"/>
          <w:b/>
          <w:bCs/>
          <w:spacing w:val="-2"/>
          <w:sz w:val="24"/>
          <w:szCs w:val="24"/>
        </w:rPr>
        <w:t>5.3-1</w:t>
      </w:r>
      <w:r>
        <w:rPr>
          <w:rFonts w:ascii="宋体" w:hAnsi="宋体" w:eastAsia="宋体" w:cs="宋体"/>
          <w:b/>
          <w:bCs/>
          <w:spacing w:val="-2"/>
          <w:sz w:val="24"/>
          <w:szCs w:val="24"/>
        </w:rPr>
        <w:t>本工程扩建后污染物减排情况一览表（单位：</w:t>
      </w:r>
      <w:r>
        <w:rPr>
          <w:rFonts w:ascii="Times New Roman" w:hAnsi="Times New Roman" w:eastAsia="Times New Roman" w:cs="Times New Roman"/>
          <w:b/>
          <w:bCs/>
          <w:spacing w:val="-2"/>
          <w:sz w:val="24"/>
          <w:szCs w:val="24"/>
        </w:rPr>
        <w:t>t/a</w:t>
      </w:r>
      <w:r>
        <w:rPr>
          <w:rFonts w:ascii="宋体" w:hAnsi="宋体" w:eastAsia="宋体" w:cs="宋体"/>
          <w:b/>
          <w:bCs/>
          <w:spacing w:val="-2"/>
          <w:sz w:val="24"/>
          <w:szCs w:val="24"/>
        </w:rPr>
        <w:t>）</w:t>
      </w:r>
    </w:p>
    <w:tbl>
      <w:tblPr>
        <w:tblStyle w:val="5"/>
        <w:tblW w:w="872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1"/>
        <w:gridCol w:w="1077"/>
        <w:gridCol w:w="1206"/>
        <w:gridCol w:w="1088"/>
        <w:gridCol w:w="927"/>
        <w:gridCol w:w="927"/>
        <w:gridCol w:w="927"/>
        <w:gridCol w:w="927"/>
        <w:gridCol w:w="944"/>
      </w:tblGrid>
      <w:tr w14:paraId="4B787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701" w:type="dxa"/>
            <w:tcBorders>
              <w:top w:val="single" w:color="000000" w:sz="10" w:space="0"/>
              <w:left w:val="single" w:color="000000" w:sz="10" w:space="0"/>
            </w:tcBorders>
            <w:vAlign w:val="top"/>
          </w:tcPr>
          <w:p w14:paraId="2AAC215A">
            <w:pPr>
              <w:pStyle w:val="6"/>
              <w:spacing w:before="173" w:line="230" w:lineRule="auto"/>
              <w:ind w:left="132"/>
            </w:pPr>
            <w:r>
              <w:rPr>
                <w:spacing w:val="4"/>
              </w:rPr>
              <w:t>排污</w:t>
            </w:r>
          </w:p>
          <w:p w14:paraId="2D44AFC7">
            <w:pPr>
              <w:pStyle w:val="6"/>
              <w:spacing w:before="22" w:line="228" w:lineRule="auto"/>
              <w:ind w:left="134"/>
            </w:pPr>
            <w:r>
              <w:rPr>
                <w:spacing w:val="3"/>
              </w:rPr>
              <w:t>单位</w:t>
            </w:r>
          </w:p>
        </w:tc>
        <w:tc>
          <w:tcPr>
            <w:tcW w:w="1077" w:type="dxa"/>
            <w:tcBorders>
              <w:top w:val="single" w:color="000000" w:sz="10" w:space="0"/>
            </w:tcBorders>
            <w:vAlign w:val="top"/>
          </w:tcPr>
          <w:p w14:paraId="23441439">
            <w:pPr>
              <w:pStyle w:val="6"/>
              <w:spacing w:before="173" w:line="228" w:lineRule="auto"/>
              <w:ind w:left="117"/>
            </w:pPr>
            <w:r>
              <w:rPr>
                <w:spacing w:val="6"/>
              </w:rPr>
              <w:t>污染物种</w:t>
            </w:r>
          </w:p>
          <w:p w14:paraId="495C0D69">
            <w:pPr>
              <w:pStyle w:val="6"/>
              <w:spacing w:before="23" w:line="228" w:lineRule="auto"/>
              <w:ind w:left="430"/>
            </w:pPr>
            <w:r>
              <w:t>类</w:t>
            </w:r>
          </w:p>
        </w:tc>
        <w:tc>
          <w:tcPr>
            <w:tcW w:w="1206" w:type="dxa"/>
            <w:tcBorders>
              <w:top w:val="single" w:color="000000" w:sz="10" w:space="0"/>
            </w:tcBorders>
            <w:vAlign w:val="top"/>
          </w:tcPr>
          <w:p w14:paraId="45BFB69F">
            <w:pPr>
              <w:pStyle w:val="6"/>
              <w:spacing w:before="172" w:line="228" w:lineRule="auto"/>
              <w:ind w:left="179"/>
            </w:pPr>
            <w:r>
              <w:rPr>
                <w:spacing w:val="7"/>
              </w:rPr>
              <w:t>进水水质</w:t>
            </w:r>
          </w:p>
          <w:p w14:paraId="1E64ACDF">
            <w:pPr>
              <w:pStyle w:val="6"/>
              <w:spacing w:before="24" w:line="221" w:lineRule="auto"/>
              <w:ind w:left="174"/>
            </w:pPr>
            <w:r>
              <w:rPr>
                <w:spacing w:val="2"/>
              </w:rPr>
              <w:t>（</w:t>
            </w:r>
            <w:r>
              <w:rPr>
                <w:rFonts w:ascii="Times New Roman" w:hAnsi="Times New Roman" w:eastAsia="Times New Roman" w:cs="Times New Roman"/>
              </w:rPr>
              <w:t>mg</w:t>
            </w:r>
            <w:r>
              <w:rPr>
                <w:rFonts w:ascii="Times New Roman" w:hAnsi="Times New Roman" w:eastAsia="Times New Roman" w:cs="Times New Roman"/>
                <w:spacing w:val="2"/>
              </w:rPr>
              <w:t>/L</w:t>
            </w:r>
            <w:r>
              <w:rPr>
                <w:spacing w:val="2"/>
              </w:rPr>
              <w:t>）</w:t>
            </w:r>
          </w:p>
        </w:tc>
        <w:tc>
          <w:tcPr>
            <w:tcW w:w="1088" w:type="dxa"/>
            <w:tcBorders>
              <w:top w:val="single" w:color="000000" w:sz="10" w:space="0"/>
            </w:tcBorders>
            <w:vAlign w:val="top"/>
          </w:tcPr>
          <w:p w14:paraId="76457378">
            <w:pPr>
              <w:pStyle w:val="6"/>
              <w:spacing w:before="172" w:line="228" w:lineRule="auto"/>
              <w:ind w:left="145"/>
            </w:pPr>
            <w:r>
              <w:rPr>
                <w:spacing w:val="2"/>
              </w:rPr>
              <w:t>出水水质</w:t>
            </w:r>
          </w:p>
          <w:p w14:paraId="181FB379">
            <w:pPr>
              <w:pStyle w:val="6"/>
              <w:spacing w:before="24" w:line="221" w:lineRule="auto"/>
              <w:ind w:left="120"/>
            </w:pPr>
            <w:r>
              <w:rPr>
                <w:spacing w:val="2"/>
              </w:rPr>
              <w:t>（</w:t>
            </w:r>
            <w:r>
              <w:rPr>
                <w:rFonts w:ascii="Times New Roman" w:hAnsi="Times New Roman" w:eastAsia="Times New Roman" w:cs="Times New Roman"/>
              </w:rPr>
              <w:t>mg</w:t>
            </w:r>
            <w:r>
              <w:rPr>
                <w:rFonts w:ascii="Times New Roman" w:hAnsi="Times New Roman" w:eastAsia="Times New Roman" w:cs="Times New Roman"/>
                <w:spacing w:val="2"/>
              </w:rPr>
              <w:t>/L</w:t>
            </w:r>
            <w:r>
              <w:rPr>
                <w:spacing w:val="2"/>
              </w:rPr>
              <w:t>）</w:t>
            </w:r>
          </w:p>
        </w:tc>
        <w:tc>
          <w:tcPr>
            <w:tcW w:w="927" w:type="dxa"/>
            <w:tcBorders>
              <w:top w:val="single" w:color="000000" w:sz="10" w:space="0"/>
            </w:tcBorders>
            <w:vAlign w:val="top"/>
          </w:tcPr>
          <w:p w14:paraId="3D7E790B">
            <w:pPr>
              <w:pStyle w:val="6"/>
              <w:spacing w:before="172" w:line="252" w:lineRule="auto"/>
              <w:ind w:left="362" w:right="145" w:hanging="203"/>
            </w:pPr>
            <w:r>
              <w:rPr>
                <w:spacing w:val="5"/>
              </w:rPr>
              <w:t>处理规</w:t>
            </w:r>
            <w:r>
              <w:rPr>
                <w:spacing w:val="1"/>
              </w:rPr>
              <w:t>模</w:t>
            </w:r>
          </w:p>
        </w:tc>
        <w:tc>
          <w:tcPr>
            <w:tcW w:w="927" w:type="dxa"/>
            <w:tcBorders>
              <w:top w:val="single" w:color="000000" w:sz="10" w:space="0"/>
            </w:tcBorders>
            <w:vAlign w:val="top"/>
          </w:tcPr>
          <w:p w14:paraId="25C48E5A">
            <w:pPr>
              <w:pStyle w:val="6"/>
              <w:spacing w:before="36" w:line="228" w:lineRule="auto"/>
              <w:ind w:left="155"/>
            </w:pPr>
            <w:r>
              <w:rPr>
                <w:spacing w:val="7"/>
              </w:rPr>
              <w:t>进水污</w:t>
            </w:r>
          </w:p>
          <w:p w14:paraId="330995DF">
            <w:pPr>
              <w:pStyle w:val="6"/>
              <w:spacing w:before="25" w:line="233" w:lineRule="auto"/>
              <w:ind w:left="116" w:right="15" w:firstLine="44"/>
            </w:pPr>
            <w:r>
              <w:rPr>
                <w:spacing w:val="5"/>
              </w:rPr>
              <w:t>染物总</w:t>
            </w:r>
            <w:r>
              <w:rPr>
                <w:spacing w:val="-2"/>
              </w:rPr>
              <w:t>量（</w:t>
            </w:r>
            <w:r>
              <w:rPr>
                <w:rFonts w:ascii="Times New Roman" w:hAnsi="Times New Roman" w:eastAsia="Times New Roman" w:cs="Times New Roman"/>
                <w:spacing w:val="-2"/>
              </w:rPr>
              <w:t>t/a</w:t>
            </w:r>
            <w:r>
              <w:rPr>
                <w:spacing w:val="-2"/>
              </w:rPr>
              <w:t>）</w:t>
            </w:r>
          </w:p>
        </w:tc>
        <w:tc>
          <w:tcPr>
            <w:tcW w:w="927" w:type="dxa"/>
            <w:tcBorders>
              <w:top w:val="single" w:color="000000" w:sz="10" w:space="0"/>
            </w:tcBorders>
            <w:vAlign w:val="top"/>
          </w:tcPr>
          <w:p w14:paraId="3C18075C">
            <w:pPr>
              <w:pStyle w:val="6"/>
              <w:spacing w:before="36" w:line="228" w:lineRule="auto"/>
              <w:ind w:left="163"/>
            </w:pPr>
            <w:r>
              <w:rPr>
                <w:spacing w:val="6"/>
              </w:rPr>
              <w:t>污染物</w:t>
            </w:r>
          </w:p>
          <w:p w14:paraId="6DFD933F">
            <w:pPr>
              <w:pStyle w:val="6"/>
              <w:spacing w:before="23" w:line="229" w:lineRule="auto"/>
              <w:ind w:left="161"/>
            </w:pPr>
            <w:r>
              <w:rPr>
                <w:spacing w:val="6"/>
              </w:rPr>
              <w:t>排放量</w:t>
            </w:r>
          </w:p>
          <w:p w14:paraId="35D03C36">
            <w:pPr>
              <w:pStyle w:val="6"/>
              <w:spacing w:before="25" w:line="214" w:lineRule="auto"/>
              <w:ind w:left="171"/>
            </w:pPr>
            <w:r>
              <w:rPr>
                <w:spacing w:val="-1"/>
              </w:rPr>
              <w:t>（</w:t>
            </w:r>
            <w:r>
              <w:rPr>
                <w:rFonts w:ascii="Times New Roman" w:hAnsi="Times New Roman" w:eastAsia="Times New Roman" w:cs="Times New Roman"/>
                <w:spacing w:val="-1"/>
              </w:rPr>
              <w:t>t/a</w:t>
            </w:r>
            <w:r>
              <w:rPr>
                <w:spacing w:val="-1"/>
              </w:rPr>
              <w:t>）</w:t>
            </w:r>
          </w:p>
        </w:tc>
        <w:tc>
          <w:tcPr>
            <w:tcW w:w="927" w:type="dxa"/>
            <w:tcBorders>
              <w:top w:val="single" w:color="000000" w:sz="10" w:space="0"/>
            </w:tcBorders>
            <w:vAlign w:val="top"/>
          </w:tcPr>
          <w:p w14:paraId="6DB4B6AD">
            <w:pPr>
              <w:pStyle w:val="6"/>
              <w:spacing w:before="36" w:line="228" w:lineRule="auto"/>
              <w:ind w:left="164"/>
            </w:pPr>
            <w:r>
              <w:rPr>
                <w:spacing w:val="6"/>
              </w:rPr>
              <w:t>污染物</w:t>
            </w:r>
          </w:p>
          <w:p w14:paraId="652977A5">
            <w:pPr>
              <w:pStyle w:val="6"/>
              <w:spacing w:before="23" w:line="229" w:lineRule="auto"/>
              <w:ind w:left="176"/>
            </w:pPr>
            <w:r>
              <w:rPr>
                <w:spacing w:val="2"/>
              </w:rPr>
              <w:t>削减量</w:t>
            </w:r>
          </w:p>
          <w:p w14:paraId="251FE820">
            <w:pPr>
              <w:pStyle w:val="6"/>
              <w:spacing w:before="25" w:line="214" w:lineRule="auto"/>
              <w:ind w:left="173"/>
            </w:pPr>
            <w:r>
              <w:t>（</w:t>
            </w:r>
            <w:r>
              <w:rPr>
                <w:rFonts w:ascii="Times New Roman" w:hAnsi="Times New Roman" w:eastAsia="Times New Roman" w:cs="Times New Roman"/>
              </w:rPr>
              <w:t>t/a</w:t>
            </w:r>
            <w:r>
              <w:t>）</w:t>
            </w:r>
          </w:p>
        </w:tc>
        <w:tc>
          <w:tcPr>
            <w:tcW w:w="944" w:type="dxa"/>
            <w:tcBorders>
              <w:top w:val="single" w:color="000000" w:sz="10" w:space="0"/>
              <w:right w:val="single" w:color="000000" w:sz="10" w:space="0"/>
            </w:tcBorders>
            <w:vAlign w:val="top"/>
          </w:tcPr>
          <w:p w14:paraId="0891E987">
            <w:pPr>
              <w:pStyle w:val="6"/>
              <w:spacing w:before="36" w:line="228" w:lineRule="auto"/>
              <w:ind w:left="169"/>
            </w:pPr>
            <w:r>
              <w:rPr>
                <w:spacing w:val="6"/>
              </w:rPr>
              <w:t>污染物</w:t>
            </w:r>
          </w:p>
          <w:p w14:paraId="02CB1CFA">
            <w:pPr>
              <w:pStyle w:val="6"/>
              <w:spacing w:before="23" w:line="228" w:lineRule="auto"/>
              <w:ind w:left="180"/>
            </w:pPr>
            <w:r>
              <w:rPr>
                <w:spacing w:val="2"/>
              </w:rPr>
              <w:t>削减率</w:t>
            </w:r>
          </w:p>
          <w:p w14:paraId="162ABBA1">
            <w:pPr>
              <w:pStyle w:val="6"/>
              <w:spacing w:before="26" w:line="214" w:lineRule="auto"/>
              <w:ind w:left="194"/>
            </w:pPr>
            <w:r>
              <w:t>（</w:t>
            </w:r>
            <w:r>
              <w:rPr>
                <w:rFonts w:ascii="Times New Roman" w:hAnsi="Times New Roman" w:eastAsia="Times New Roman" w:cs="Times New Roman"/>
              </w:rPr>
              <w:t>%</w:t>
            </w:r>
            <w:r>
              <w:t>）</w:t>
            </w:r>
          </w:p>
        </w:tc>
      </w:tr>
      <w:tr w14:paraId="6A7EA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01" w:type="dxa"/>
            <w:vMerge w:val="restart"/>
            <w:tcBorders>
              <w:left w:val="single" w:color="000000" w:sz="10" w:space="0"/>
              <w:bottom w:val="nil"/>
            </w:tcBorders>
            <w:vAlign w:val="top"/>
          </w:tcPr>
          <w:p w14:paraId="1BB40383">
            <w:pPr>
              <w:spacing w:line="302" w:lineRule="auto"/>
              <w:rPr>
                <w:rFonts w:ascii="Arial"/>
                <w:sz w:val="21"/>
              </w:rPr>
            </w:pPr>
          </w:p>
          <w:p w14:paraId="2147C684">
            <w:pPr>
              <w:spacing w:line="302" w:lineRule="auto"/>
              <w:rPr>
                <w:rFonts w:ascii="Arial"/>
                <w:sz w:val="21"/>
              </w:rPr>
            </w:pPr>
          </w:p>
          <w:p w14:paraId="1E65C54D">
            <w:pPr>
              <w:spacing w:line="302" w:lineRule="auto"/>
              <w:rPr>
                <w:rFonts w:ascii="Arial"/>
                <w:sz w:val="21"/>
              </w:rPr>
            </w:pPr>
          </w:p>
          <w:p w14:paraId="67B8B2A0">
            <w:pPr>
              <w:pStyle w:val="6"/>
              <w:spacing w:before="65" w:line="255" w:lineRule="auto"/>
              <w:ind w:left="238" w:right="143" w:hanging="106"/>
            </w:pPr>
            <w:r>
              <w:rPr>
                <w:spacing w:val="4"/>
              </w:rPr>
              <w:t>扩建</w:t>
            </w:r>
            <w:r>
              <w:t>前</w:t>
            </w:r>
          </w:p>
        </w:tc>
        <w:tc>
          <w:tcPr>
            <w:tcW w:w="1077" w:type="dxa"/>
            <w:vAlign w:val="top"/>
          </w:tcPr>
          <w:p w14:paraId="668C309E">
            <w:pPr>
              <w:spacing w:before="132"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CODcr</w:t>
            </w:r>
          </w:p>
        </w:tc>
        <w:tc>
          <w:tcPr>
            <w:tcW w:w="1206" w:type="dxa"/>
            <w:vAlign w:val="top"/>
          </w:tcPr>
          <w:p w14:paraId="30ABE782">
            <w:pPr>
              <w:spacing w:before="132"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450</w:t>
            </w:r>
          </w:p>
        </w:tc>
        <w:tc>
          <w:tcPr>
            <w:tcW w:w="1088" w:type="dxa"/>
            <w:vAlign w:val="top"/>
          </w:tcPr>
          <w:p w14:paraId="570B6BD7">
            <w:pPr>
              <w:spacing w:before="132" w:line="195" w:lineRule="auto"/>
              <w:ind w:left="443"/>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927" w:type="dxa"/>
            <w:vMerge w:val="restart"/>
            <w:tcBorders>
              <w:bottom w:val="nil"/>
            </w:tcBorders>
            <w:vAlign w:val="top"/>
          </w:tcPr>
          <w:p w14:paraId="7F952395">
            <w:pPr>
              <w:spacing w:line="241" w:lineRule="auto"/>
              <w:rPr>
                <w:rFonts w:ascii="Arial"/>
                <w:sz w:val="21"/>
              </w:rPr>
            </w:pPr>
          </w:p>
          <w:p w14:paraId="1EC87EE4">
            <w:pPr>
              <w:spacing w:line="241" w:lineRule="auto"/>
              <w:rPr>
                <w:rFonts w:ascii="Arial"/>
                <w:sz w:val="21"/>
              </w:rPr>
            </w:pPr>
          </w:p>
          <w:p w14:paraId="4853B91B">
            <w:pPr>
              <w:spacing w:line="242" w:lineRule="auto"/>
              <w:rPr>
                <w:rFonts w:ascii="Arial"/>
                <w:sz w:val="21"/>
              </w:rPr>
            </w:pPr>
          </w:p>
          <w:p w14:paraId="4C73DB54">
            <w:pPr>
              <w:spacing w:line="242" w:lineRule="auto"/>
              <w:rPr>
                <w:rFonts w:ascii="Arial"/>
                <w:sz w:val="21"/>
              </w:rPr>
            </w:pPr>
          </w:p>
          <w:p w14:paraId="0FBC8E56">
            <w:pPr>
              <w:spacing w:before="58" w:line="195" w:lineRule="auto"/>
              <w:ind w:left="222"/>
              <w:rPr>
                <w:rFonts w:ascii="Times New Roman" w:hAnsi="Times New Roman" w:eastAsia="Times New Roman" w:cs="Times New Roman"/>
                <w:sz w:val="20"/>
                <w:szCs w:val="20"/>
              </w:rPr>
            </w:pPr>
            <w:r>
              <w:rPr>
                <w:rFonts w:ascii="Times New Roman" w:hAnsi="Times New Roman" w:eastAsia="Times New Roman" w:cs="Times New Roman"/>
                <w:sz w:val="20"/>
                <w:szCs w:val="20"/>
              </w:rPr>
              <w:t>15000</w:t>
            </w:r>
          </w:p>
          <w:p w14:paraId="61DE9498">
            <w:pPr>
              <w:spacing w:before="35" w:line="216"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5"/>
                <w:sz w:val="13"/>
                <w:szCs w:val="13"/>
              </w:rPr>
              <w:t>3</w:t>
            </w:r>
            <w:r>
              <w:rPr>
                <w:rFonts w:ascii="Times New Roman" w:hAnsi="Times New Roman" w:eastAsia="Times New Roman" w:cs="Times New Roman"/>
                <w:spacing w:val="4"/>
                <w:sz w:val="20"/>
                <w:szCs w:val="20"/>
              </w:rPr>
              <w:t>/d</w:t>
            </w:r>
          </w:p>
        </w:tc>
        <w:tc>
          <w:tcPr>
            <w:tcW w:w="927" w:type="dxa"/>
            <w:vAlign w:val="top"/>
          </w:tcPr>
          <w:p w14:paraId="29D9DD70">
            <w:pPr>
              <w:spacing w:before="132" w:line="195"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2463.75</w:t>
            </w:r>
          </w:p>
        </w:tc>
        <w:tc>
          <w:tcPr>
            <w:tcW w:w="927" w:type="dxa"/>
            <w:vAlign w:val="top"/>
          </w:tcPr>
          <w:p w14:paraId="336F3138">
            <w:pPr>
              <w:spacing w:before="132"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273.75</w:t>
            </w:r>
          </w:p>
        </w:tc>
        <w:tc>
          <w:tcPr>
            <w:tcW w:w="927" w:type="dxa"/>
            <w:vAlign w:val="top"/>
          </w:tcPr>
          <w:p w14:paraId="566CAA64">
            <w:pPr>
              <w:spacing w:before="132" w:line="195" w:lineRule="auto"/>
              <w:ind w:left="13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2190.00</w:t>
            </w:r>
          </w:p>
        </w:tc>
        <w:tc>
          <w:tcPr>
            <w:tcW w:w="944" w:type="dxa"/>
            <w:tcBorders>
              <w:right w:val="single" w:color="000000" w:sz="10" w:space="0"/>
            </w:tcBorders>
            <w:vAlign w:val="top"/>
          </w:tcPr>
          <w:p w14:paraId="4CBF22DF">
            <w:pPr>
              <w:spacing w:before="132"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88.89</w:t>
            </w:r>
          </w:p>
        </w:tc>
      </w:tr>
      <w:tr w14:paraId="3BD50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01" w:type="dxa"/>
            <w:vMerge w:val="continue"/>
            <w:tcBorders>
              <w:top w:val="nil"/>
              <w:left w:val="single" w:color="000000" w:sz="10" w:space="0"/>
              <w:bottom w:val="nil"/>
            </w:tcBorders>
            <w:vAlign w:val="top"/>
          </w:tcPr>
          <w:p w14:paraId="26AE1A45">
            <w:pPr>
              <w:rPr>
                <w:rFonts w:ascii="Arial"/>
                <w:sz w:val="21"/>
              </w:rPr>
            </w:pPr>
          </w:p>
        </w:tc>
        <w:tc>
          <w:tcPr>
            <w:tcW w:w="1077" w:type="dxa"/>
            <w:vAlign w:val="top"/>
          </w:tcPr>
          <w:p w14:paraId="563F0F71">
            <w:pPr>
              <w:spacing w:before="135" w:line="202" w:lineRule="auto"/>
              <w:ind w:left="274"/>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1206" w:type="dxa"/>
            <w:vAlign w:val="top"/>
          </w:tcPr>
          <w:p w14:paraId="7282C15D">
            <w:pPr>
              <w:spacing w:before="135" w:line="195" w:lineRule="auto"/>
              <w:ind w:left="4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350</w:t>
            </w:r>
          </w:p>
        </w:tc>
        <w:tc>
          <w:tcPr>
            <w:tcW w:w="1088" w:type="dxa"/>
            <w:vAlign w:val="top"/>
          </w:tcPr>
          <w:p w14:paraId="3AE8E162">
            <w:pPr>
              <w:spacing w:before="135"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927" w:type="dxa"/>
            <w:vMerge w:val="continue"/>
            <w:tcBorders>
              <w:top w:val="nil"/>
              <w:bottom w:val="nil"/>
            </w:tcBorders>
            <w:vAlign w:val="top"/>
          </w:tcPr>
          <w:p w14:paraId="79D815C7">
            <w:pPr>
              <w:rPr>
                <w:rFonts w:ascii="Arial"/>
                <w:sz w:val="21"/>
              </w:rPr>
            </w:pPr>
          </w:p>
        </w:tc>
        <w:tc>
          <w:tcPr>
            <w:tcW w:w="927" w:type="dxa"/>
            <w:vAlign w:val="top"/>
          </w:tcPr>
          <w:p w14:paraId="17F68DEF">
            <w:pPr>
              <w:spacing w:before="135"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1916.25</w:t>
            </w:r>
          </w:p>
        </w:tc>
        <w:tc>
          <w:tcPr>
            <w:tcW w:w="927" w:type="dxa"/>
            <w:vAlign w:val="top"/>
          </w:tcPr>
          <w:p w14:paraId="540B7DAD">
            <w:pPr>
              <w:spacing w:before="135"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54.75</w:t>
            </w:r>
          </w:p>
        </w:tc>
        <w:tc>
          <w:tcPr>
            <w:tcW w:w="927" w:type="dxa"/>
            <w:vAlign w:val="top"/>
          </w:tcPr>
          <w:p w14:paraId="6CB65129">
            <w:pPr>
              <w:spacing w:before="135" w:line="195" w:lineRule="auto"/>
              <w:ind w:left="1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1861.50</w:t>
            </w:r>
          </w:p>
        </w:tc>
        <w:tc>
          <w:tcPr>
            <w:tcW w:w="944" w:type="dxa"/>
            <w:tcBorders>
              <w:right w:val="single" w:color="000000" w:sz="10" w:space="0"/>
            </w:tcBorders>
            <w:vAlign w:val="top"/>
          </w:tcPr>
          <w:p w14:paraId="2E36A6B9">
            <w:pPr>
              <w:spacing w:before="135"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97.14</w:t>
            </w:r>
          </w:p>
        </w:tc>
      </w:tr>
      <w:tr w14:paraId="029EE6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01" w:type="dxa"/>
            <w:vMerge w:val="continue"/>
            <w:tcBorders>
              <w:top w:val="nil"/>
              <w:left w:val="single" w:color="000000" w:sz="10" w:space="0"/>
              <w:bottom w:val="nil"/>
            </w:tcBorders>
            <w:vAlign w:val="top"/>
          </w:tcPr>
          <w:p w14:paraId="08C56705">
            <w:pPr>
              <w:rPr>
                <w:rFonts w:ascii="Arial"/>
                <w:sz w:val="21"/>
              </w:rPr>
            </w:pPr>
          </w:p>
        </w:tc>
        <w:tc>
          <w:tcPr>
            <w:tcW w:w="1077" w:type="dxa"/>
            <w:vAlign w:val="top"/>
          </w:tcPr>
          <w:p w14:paraId="27658E8B">
            <w:pPr>
              <w:spacing w:before="138" w:line="195" w:lineRule="auto"/>
              <w:ind w:left="4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206" w:type="dxa"/>
            <w:vAlign w:val="top"/>
          </w:tcPr>
          <w:p w14:paraId="1B8810D8">
            <w:pPr>
              <w:spacing w:before="138" w:line="195" w:lineRule="auto"/>
              <w:ind w:left="4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350</w:t>
            </w:r>
          </w:p>
        </w:tc>
        <w:tc>
          <w:tcPr>
            <w:tcW w:w="1088" w:type="dxa"/>
            <w:vAlign w:val="top"/>
          </w:tcPr>
          <w:p w14:paraId="53358F66">
            <w:pPr>
              <w:spacing w:before="138"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927" w:type="dxa"/>
            <w:vMerge w:val="continue"/>
            <w:tcBorders>
              <w:top w:val="nil"/>
              <w:bottom w:val="nil"/>
            </w:tcBorders>
            <w:vAlign w:val="top"/>
          </w:tcPr>
          <w:p w14:paraId="3D66D824">
            <w:pPr>
              <w:rPr>
                <w:rFonts w:ascii="Arial"/>
                <w:sz w:val="21"/>
              </w:rPr>
            </w:pPr>
          </w:p>
        </w:tc>
        <w:tc>
          <w:tcPr>
            <w:tcW w:w="927" w:type="dxa"/>
            <w:vAlign w:val="top"/>
          </w:tcPr>
          <w:p w14:paraId="6AC52F88">
            <w:pPr>
              <w:spacing w:before="138"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1916.25</w:t>
            </w:r>
          </w:p>
        </w:tc>
        <w:tc>
          <w:tcPr>
            <w:tcW w:w="927" w:type="dxa"/>
            <w:vAlign w:val="top"/>
          </w:tcPr>
          <w:p w14:paraId="4B0E2796">
            <w:pPr>
              <w:spacing w:before="138"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54.75</w:t>
            </w:r>
          </w:p>
        </w:tc>
        <w:tc>
          <w:tcPr>
            <w:tcW w:w="927" w:type="dxa"/>
            <w:vAlign w:val="top"/>
          </w:tcPr>
          <w:p w14:paraId="3B7A5977">
            <w:pPr>
              <w:spacing w:before="138" w:line="195" w:lineRule="auto"/>
              <w:ind w:left="1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1861.50</w:t>
            </w:r>
          </w:p>
        </w:tc>
        <w:tc>
          <w:tcPr>
            <w:tcW w:w="944" w:type="dxa"/>
            <w:tcBorders>
              <w:right w:val="single" w:color="000000" w:sz="10" w:space="0"/>
            </w:tcBorders>
            <w:vAlign w:val="top"/>
          </w:tcPr>
          <w:p w14:paraId="11333E04">
            <w:pPr>
              <w:spacing w:before="138"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97.14</w:t>
            </w:r>
          </w:p>
        </w:tc>
      </w:tr>
      <w:tr w14:paraId="393318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01" w:type="dxa"/>
            <w:vMerge w:val="continue"/>
            <w:tcBorders>
              <w:top w:val="nil"/>
              <w:left w:val="single" w:color="000000" w:sz="10" w:space="0"/>
              <w:bottom w:val="nil"/>
            </w:tcBorders>
            <w:vAlign w:val="top"/>
          </w:tcPr>
          <w:p w14:paraId="56559487">
            <w:pPr>
              <w:rPr>
                <w:rFonts w:ascii="Arial"/>
                <w:sz w:val="21"/>
              </w:rPr>
            </w:pPr>
          </w:p>
        </w:tc>
        <w:tc>
          <w:tcPr>
            <w:tcW w:w="1077" w:type="dxa"/>
            <w:vAlign w:val="top"/>
          </w:tcPr>
          <w:p w14:paraId="6C8CC1F7">
            <w:pPr>
              <w:spacing w:before="141" w:line="192"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TN</w:t>
            </w:r>
          </w:p>
        </w:tc>
        <w:tc>
          <w:tcPr>
            <w:tcW w:w="1206" w:type="dxa"/>
            <w:vAlign w:val="top"/>
          </w:tcPr>
          <w:p w14:paraId="6A963570">
            <w:pPr>
              <w:spacing w:before="138" w:line="195" w:lineRule="auto"/>
              <w:ind w:left="500"/>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088" w:type="dxa"/>
            <w:vAlign w:val="top"/>
          </w:tcPr>
          <w:p w14:paraId="46390FF2">
            <w:pPr>
              <w:spacing w:before="138"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927" w:type="dxa"/>
            <w:vMerge w:val="continue"/>
            <w:tcBorders>
              <w:top w:val="nil"/>
              <w:bottom w:val="nil"/>
            </w:tcBorders>
            <w:vAlign w:val="top"/>
          </w:tcPr>
          <w:p w14:paraId="40622DDD">
            <w:pPr>
              <w:rPr>
                <w:rFonts w:ascii="Arial"/>
                <w:sz w:val="21"/>
              </w:rPr>
            </w:pPr>
          </w:p>
        </w:tc>
        <w:tc>
          <w:tcPr>
            <w:tcW w:w="927" w:type="dxa"/>
            <w:vAlign w:val="top"/>
          </w:tcPr>
          <w:p w14:paraId="6CA83BC2">
            <w:pPr>
              <w:spacing w:before="138"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273.75</w:t>
            </w:r>
          </w:p>
        </w:tc>
        <w:tc>
          <w:tcPr>
            <w:tcW w:w="927" w:type="dxa"/>
            <w:vAlign w:val="top"/>
          </w:tcPr>
          <w:p w14:paraId="1A0B6149">
            <w:pPr>
              <w:spacing w:before="138" w:line="195" w:lineRule="auto"/>
              <w:ind w:left="2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82.13</w:t>
            </w:r>
          </w:p>
        </w:tc>
        <w:tc>
          <w:tcPr>
            <w:tcW w:w="927" w:type="dxa"/>
            <w:vAlign w:val="top"/>
          </w:tcPr>
          <w:p w14:paraId="456C5C38">
            <w:pPr>
              <w:spacing w:before="138" w:line="195" w:lineRule="auto"/>
              <w:ind w:left="205"/>
              <w:rPr>
                <w:rFonts w:ascii="Times New Roman" w:hAnsi="Times New Roman" w:eastAsia="Times New Roman" w:cs="Times New Roman"/>
                <w:sz w:val="20"/>
                <w:szCs w:val="20"/>
              </w:rPr>
            </w:pPr>
            <w:r>
              <w:rPr>
                <w:rFonts w:ascii="Times New Roman" w:hAnsi="Times New Roman" w:eastAsia="Times New Roman" w:cs="Times New Roman"/>
                <w:sz w:val="20"/>
                <w:szCs w:val="20"/>
              </w:rPr>
              <w:t>191.63</w:t>
            </w:r>
          </w:p>
        </w:tc>
        <w:tc>
          <w:tcPr>
            <w:tcW w:w="944" w:type="dxa"/>
            <w:tcBorders>
              <w:right w:val="single" w:color="000000" w:sz="10" w:space="0"/>
            </w:tcBorders>
            <w:vAlign w:val="top"/>
          </w:tcPr>
          <w:p w14:paraId="03CAF6CD">
            <w:pPr>
              <w:spacing w:before="138"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70.00</w:t>
            </w:r>
          </w:p>
        </w:tc>
      </w:tr>
      <w:tr w14:paraId="315EFC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01" w:type="dxa"/>
            <w:vMerge w:val="continue"/>
            <w:tcBorders>
              <w:top w:val="nil"/>
              <w:left w:val="single" w:color="000000" w:sz="10" w:space="0"/>
              <w:bottom w:val="nil"/>
            </w:tcBorders>
            <w:vAlign w:val="top"/>
          </w:tcPr>
          <w:p w14:paraId="2BC5C2C4">
            <w:pPr>
              <w:rPr>
                <w:rFonts w:ascii="Arial"/>
                <w:sz w:val="21"/>
              </w:rPr>
            </w:pPr>
          </w:p>
        </w:tc>
        <w:tc>
          <w:tcPr>
            <w:tcW w:w="1077" w:type="dxa"/>
            <w:vAlign w:val="top"/>
          </w:tcPr>
          <w:p w14:paraId="0089030F">
            <w:pPr>
              <w:spacing w:before="144" w:line="209" w:lineRule="auto"/>
              <w:ind w:left="227"/>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9"/>
                <w:sz w:val="13"/>
                <w:szCs w:val="13"/>
              </w:rPr>
              <w:t>3</w:t>
            </w:r>
            <w:r>
              <w:rPr>
                <w:rFonts w:ascii="Times New Roman" w:hAnsi="Times New Roman" w:eastAsia="Times New Roman" w:cs="Times New Roman"/>
                <w:spacing w:val="9"/>
                <w:sz w:val="20"/>
                <w:szCs w:val="20"/>
              </w:rPr>
              <w:t>-N</w:t>
            </w:r>
          </w:p>
        </w:tc>
        <w:tc>
          <w:tcPr>
            <w:tcW w:w="1206" w:type="dxa"/>
            <w:vAlign w:val="top"/>
          </w:tcPr>
          <w:p w14:paraId="1F4CB76E">
            <w:pPr>
              <w:spacing w:before="141" w:line="195" w:lineRule="auto"/>
              <w:ind w:left="4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088" w:type="dxa"/>
            <w:vAlign w:val="top"/>
          </w:tcPr>
          <w:p w14:paraId="03C21986">
            <w:pPr>
              <w:spacing w:before="144" w:line="192" w:lineRule="auto"/>
              <w:ind w:left="49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927" w:type="dxa"/>
            <w:vMerge w:val="continue"/>
            <w:tcBorders>
              <w:top w:val="nil"/>
              <w:bottom w:val="nil"/>
            </w:tcBorders>
            <w:vAlign w:val="top"/>
          </w:tcPr>
          <w:p w14:paraId="5FF3AE15">
            <w:pPr>
              <w:rPr>
                <w:rFonts w:ascii="Arial"/>
                <w:sz w:val="21"/>
              </w:rPr>
            </w:pPr>
          </w:p>
        </w:tc>
        <w:tc>
          <w:tcPr>
            <w:tcW w:w="927" w:type="dxa"/>
            <w:vAlign w:val="top"/>
          </w:tcPr>
          <w:p w14:paraId="01155591">
            <w:pPr>
              <w:spacing w:before="141"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246.38</w:t>
            </w:r>
          </w:p>
        </w:tc>
        <w:tc>
          <w:tcPr>
            <w:tcW w:w="927" w:type="dxa"/>
            <w:vAlign w:val="top"/>
          </w:tcPr>
          <w:p w14:paraId="4E2CB082">
            <w:pPr>
              <w:spacing w:before="141" w:line="195" w:lineRule="auto"/>
              <w:ind w:left="2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27.38</w:t>
            </w:r>
          </w:p>
        </w:tc>
        <w:tc>
          <w:tcPr>
            <w:tcW w:w="927" w:type="dxa"/>
            <w:vAlign w:val="top"/>
          </w:tcPr>
          <w:p w14:paraId="108EB2E1">
            <w:pPr>
              <w:spacing w:before="141"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219.00</w:t>
            </w:r>
          </w:p>
        </w:tc>
        <w:tc>
          <w:tcPr>
            <w:tcW w:w="944" w:type="dxa"/>
            <w:tcBorders>
              <w:right w:val="single" w:color="000000" w:sz="10" w:space="0"/>
            </w:tcBorders>
            <w:vAlign w:val="top"/>
          </w:tcPr>
          <w:p w14:paraId="04CB039A">
            <w:pPr>
              <w:spacing w:before="141"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88.89</w:t>
            </w:r>
          </w:p>
        </w:tc>
      </w:tr>
      <w:tr w14:paraId="5A036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01" w:type="dxa"/>
            <w:vMerge w:val="continue"/>
            <w:tcBorders>
              <w:top w:val="nil"/>
              <w:left w:val="single" w:color="000000" w:sz="10" w:space="0"/>
            </w:tcBorders>
            <w:vAlign w:val="top"/>
          </w:tcPr>
          <w:p w14:paraId="16181C8C">
            <w:pPr>
              <w:rPr>
                <w:rFonts w:ascii="Arial"/>
                <w:sz w:val="21"/>
              </w:rPr>
            </w:pPr>
          </w:p>
        </w:tc>
        <w:tc>
          <w:tcPr>
            <w:tcW w:w="1077" w:type="dxa"/>
            <w:vAlign w:val="top"/>
          </w:tcPr>
          <w:p w14:paraId="49BC5AB6">
            <w:pPr>
              <w:spacing w:before="145" w:line="192"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TP</w:t>
            </w:r>
          </w:p>
        </w:tc>
        <w:tc>
          <w:tcPr>
            <w:tcW w:w="1206" w:type="dxa"/>
            <w:vAlign w:val="top"/>
          </w:tcPr>
          <w:p w14:paraId="6AAD178B">
            <w:pPr>
              <w:spacing w:before="142" w:line="195" w:lineRule="auto"/>
              <w:ind w:left="55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088" w:type="dxa"/>
            <w:vAlign w:val="top"/>
          </w:tcPr>
          <w:p w14:paraId="6186C296">
            <w:pPr>
              <w:spacing w:before="142"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927" w:type="dxa"/>
            <w:vMerge w:val="continue"/>
            <w:tcBorders>
              <w:top w:val="nil"/>
            </w:tcBorders>
            <w:vAlign w:val="top"/>
          </w:tcPr>
          <w:p w14:paraId="7C15C055">
            <w:pPr>
              <w:rPr>
                <w:rFonts w:ascii="Arial"/>
                <w:sz w:val="21"/>
              </w:rPr>
            </w:pPr>
          </w:p>
        </w:tc>
        <w:tc>
          <w:tcPr>
            <w:tcW w:w="927" w:type="dxa"/>
            <w:vAlign w:val="top"/>
          </w:tcPr>
          <w:p w14:paraId="50581D79">
            <w:pPr>
              <w:spacing w:before="142"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32.85</w:t>
            </w:r>
          </w:p>
        </w:tc>
        <w:tc>
          <w:tcPr>
            <w:tcW w:w="927" w:type="dxa"/>
            <w:vAlign w:val="top"/>
          </w:tcPr>
          <w:p w14:paraId="61653AD0">
            <w:pPr>
              <w:spacing w:before="142"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2.74</w:t>
            </w:r>
          </w:p>
        </w:tc>
        <w:tc>
          <w:tcPr>
            <w:tcW w:w="927" w:type="dxa"/>
            <w:vAlign w:val="top"/>
          </w:tcPr>
          <w:p w14:paraId="476908D9">
            <w:pPr>
              <w:spacing w:before="142" w:line="195" w:lineRule="auto"/>
              <w:ind w:left="2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30.11</w:t>
            </w:r>
          </w:p>
        </w:tc>
        <w:tc>
          <w:tcPr>
            <w:tcW w:w="944" w:type="dxa"/>
            <w:tcBorders>
              <w:right w:val="single" w:color="000000" w:sz="10" w:space="0"/>
            </w:tcBorders>
            <w:vAlign w:val="top"/>
          </w:tcPr>
          <w:p w14:paraId="0CAF2344">
            <w:pPr>
              <w:spacing w:before="142"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91.67</w:t>
            </w:r>
          </w:p>
        </w:tc>
      </w:tr>
      <w:tr w14:paraId="7B84B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01" w:type="dxa"/>
            <w:vMerge w:val="restart"/>
            <w:tcBorders>
              <w:left w:val="single" w:color="000000" w:sz="10" w:space="0"/>
              <w:bottom w:val="nil"/>
            </w:tcBorders>
            <w:vAlign w:val="top"/>
          </w:tcPr>
          <w:p w14:paraId="2F9922E8">
            <w:pPr>
              <w:spacing w:line="306" w:lineRule="auto"/>
              <w:rPr>
                <w:rFonts w:ascii="Arial"/>
                <w:sz w:val="21"/>
              </w:rPr>
            </w:pPr>
          </w:p>
          <w:p w14:paraId="7B63A85E">
            <w:pPr>
              <w:spacing w:line="306" w:lineRule="auto"/>
              <w:rPr>
                <w:rFonts w:ascii="Arial"/>
                <w:sz w:val="21"/>
              </w:rPr>
            </w:pPr>
          </w:p>
          <w:p w14:paraId="155E15E1">
            <w:pPr>
              <w:spacing w:line="307" w:lineRule="auto"/>
              <w:rPr>
                <w:rFonts w:ascii="Arial"/>
                <w:sz w:val="21"/>
              </w:rPr>
            </w:pPr>
          </w:p>
          <w:p w14:paraId="086AA217">
            <w:pPr>
              <w:pStyle w:val="6"/>
              <w:spacing w:before="65" w:line="252" w:lineRule="auto"/>
              <w:ind w:left="236" w:right="143" w:hanging="104"/>
            </w:pPr>
            <w:r>
              <w:rPr>
                <w:spacing w:val="4"/>
              </w:rPr>
              <w:t>扩建</w:t>
            </w:r>
            <w:r>
              <w:t>后</w:t>
            </w:r>
          </w:p>
        </w:tc>
        <w:tc>
          <w:tcPr>
            <w:tcW w:w="1077" w:type="dxa"/>
            <w:vAlign w:val="top"/>
          </w:tcPr>
          <w:p w14:paraId="3DF7840A">
            <w:pPr>
              <w:spacing w:before="145"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CODcr</w:t>
            </w:r>
          </w:p>
        </w:tc>
        <w:tc>
          <w:tcPr>
            <w:tcW w:w="1206" w:type="dxa"/>
            <w:vAlign w:val="top"/>
          </w:tcPr>
          <w:p w14:paraId="7DF82716">
            <w:pPr>
              <w:spacing w:before="145" w:line="195" w:lineRule="auto"/>
              <w:ind w:left="44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450</w:t>
            </w:r>
          </w:p>
        </w:tc>
        <w:tc>
          <w:tcPr>
            <w:tcW w:w="1088" w:type="dxa"/>
            <w:vAlign w:val="top"/>
          </w:tcPr>
          <w:p w14:paraId="0140327D">
            <w:pPr>
              <w:spacing w:before="145" w:line="195" w:lineRule="auto"/>
              <w:ind w:left="443"/>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927" w:type="dxa"/>
            <w:vMerge w:val="restart"/>
            <w:tcBorders>
              <w:bottom w:val="nil"/>
            </w:tcBorders>
            <w:vAlign w:val="top"/>
          </w:tcPr>
          <w:p w14:paraId="1FB12C5E">
            <w:pPr>
              <w:spacing w:line="244" w:lineRule="auto"/>
              <w:rPr>
                <w:rFonts w:ascii="Arial"/>
                <w:sz w:val="21"/>
              </w:rPr>
            </w:pPr>
          </w:p>
          <w:p w14:paraId="14458DF6">
            <w:pPr>
              <w:spacing w:line="245" w:lineRule="auto"/>
              <w:rPr>
                <w:rFonts w:ascii="Arial"/>
                <w:sz w:val="21"/>
              </w:rPr>
            </w:pPr>
          </w:p>
          <w:p w14:paraId="2D825E22">
            <w:pPr>
              <w:spacing w:line="245" w:lineRule="auto"/>
              <w:rPr>
                <w:rFonts w:ascii="Arial"/>
                <w:sz w:val="21"/>
              </w:rPr>
            </w:pPr>
          </w:p>
          <w:p w14:paraId="6E42A66B">
            <w:pPr>
              <w:spacing w:line="245" w:lineRule="auto"/>
              <w:rPr>
                <w:rFonts w:ascii="Arial"/>
                <w:sz w:val="21"/>
              </w:rPr>
            </w:pPr>
          </w:p>
          <w:p w14:paraId="72BF1877">
            <w:pPr>
              <w:spacing w:before="58" w:line="195" w:lineRule="auto"/>
              <w:ind w:left="2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30000</w:t>
            </w:r>
          </w:p>
          <w:p w14:paraId="14254D4A">
            <w:pPr>
              <w:spacing w:before="33" w:line="216"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5"/>
                <w:sz w:val="13"/>
                <w:szCs w:val="13"/>
              </w:rPr>
              <w:t>3</w:t>
            </w:r>
            <w:r>
              <w:rPr>
                <w:rFonts w:ascii="Times New Roman" w:hAnsi="Times New Roman" w:eastAsia="Times New Roman" w:cs="Times New Roman"/>
                <w:spacing w:val="4"/>
                <w:sz w:val="20"/>
                <w:szCs w:val="20"/>
              </w:rPr>
              <w:t>/d</w:t>
            </w:r>
          </w:p>
        </w:tc>
        <w:tc>
          <w:tcPr>
            <w:tcW w:w="927" w:type="dxa"/>
            <w:vAlign w:val="top"/>
          </w:tcPr>
          <w:p w14:paraId="781BE4FB">
            <w:pPr>
              <w:spacing w:before="145"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4927.50</w:t>
            </w:r>
          </w:p>
        </w:tc>
        <w:tc>
          <w:tcPr>
            <w:tcW w:w="927" w:type="dxa"/>
            <w:vAlign w:val="top"/>
          </w:tcPr>
          <w:p w14:paraId="440F8823">
            <w:pPr>
              <w:spacing w:before="145" w:line="195"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547.50</w:t>
            </w:r>
          </w:p>
        </w:tc>
        <w:tc>
          <w:tcPr>
            <w:tcW w:w="927" w:type="dxa"/>
            <w:vAlign w:val="top"/>
          </w:tcPr>
          <w:p w14:paraId="75F46EEB">
            <w:pPr>
              <w:spacing w:before="145"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4380.00</w:t>
            </w:r>
          </w:p>
        </w:tc>
        <w:tc>
          <w:tcPr>
            <w:tcW w:w="944" w:type="dxa"/>
            <w:tcBorders>
              <w:right w:val="single" w:color="000000" w:sz="10" w:space="0"/>
            </w:tcBorders>
            <w:vAlign w:val="top"/>
          </w:tcPr>
          <w:p w14:paraId="599BA169">
            <w:pPr>
              <w:spacing w:before="145"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88.89</w:t>
            </w:r>
          </w:p>
        </w:tc>
      </w:tr>
      <w:tr w14:paraId="4E3E6D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01" w:type="dxa"/>
            <w:vMerge w:val="continue"/>
            <w:tcBorders>
              <w:top w:val="nil"/>
              <w:left w:val="single" w:color="000000" w:sz="10" w:space="0"/>
              <w:bottom w:val="nil"/>
            </w:tcBorders>
            <w:vAlign w:val="top"/>
          </w:tcPr>
          <w:p w14:paraId="1AA4296E">
            <w:pPr>
              <w:rPr>
                <w:rFonts w:ascii="Arial"/>
                <w:sz w:val="21"/>
              </w:rPr>
            </w:pPr>
          </w:p>
        </w:tc>
        <w:tc>
          <w:tcPr>
            <w:tcW w:w="1077" w:type="dxa"/>
            <w:vAlign w:val="top"/>
          </w:tcPr>
          <w:p w14:paraId="0145660D">
            <w:pPr>
              <w:spacing w:before="144" w:line="205" w:lineRule="auto"/>
              <w:ind w:left="274"/>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1206" w:type="dxa"/>
            <w:vAlign w:val="top"/>
          </w:tcPr>
          <w:p w14:paraId="1D8B2D70">
            <w:pPr>
              <w:spacing w:before="145" w:line="195" w:lineRule="auto"/>
              <w:ind w:left="4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350</w:t>
            </w:r>
          </w:p>
        </w:tc>
        <w:tc>
          <w:tcPr>
            <w:tcW w:w="1088" w:type="dxa"/>
            <w:vAlign w:val="top"/>
          </w:tcPr>
          <w:p w14:paraId="79ED1F9D">
            <w:pPr>
              <w:spacing w:before="145"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927" w:type="dxa"/>
            <w:vMerge w:val="continue"/>
            <w:tcBorders>
              <w:top w:val="nil"/>
              <w:bottom w:val="nil"/>
            </w:tcBorders>
            <w:vAlign w:val="top"/>
          </w:tcPr>
          <w:p w14:paraId="1F80DD31">
            <w:pPr>
              <w:rPr>
                <w:rFonts w:ascii="Arial"/>
                <w:sz w:val="21"/>
              </w:rPr>
            </w:pPr>
          </w:p>
        </w:tc>
        <w:tc>
          <w:tcPr>
            <w:tcW w:w="927" w:type="dxa"/>
            <w:vAlign w:val="top"/>
          </w:tcPr>
          <w:p w14:paraId="069411F2">
            <w:pPr>
              <w:spacing w:before="145"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3832.50</w:t>
            </w:r>
          </w:p>
        </w:tc>
        <w:tc>
          <w:tcPr>
            <w:tcW w:w="927" w:type="dxa"/>
            <w:vAlign w:val="top"/>
          </w:tcPr>
          <w:p w14:paraId="467AC2F3">
            <w:pPr>
              <w:spacing w:before="145" w:line="195"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109.50</w:t>
            </w:r>
          </w:p>
        </w:tc>
        <w:tc>
          <w:tcPr>
            <w:tcW w:w="927" w:type="dxa"/>
            <w:vAlign w:val="top"/>
          </w:tcPr>
          <w:p w14:paraId="26F075BE">
            <w:pPr>
              <w:spacing w:before="145"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3723.00</w:t>
            </w:r>
          </w:p>
        </w:tc>
        <w:tc>
          <w:tcPr>
            <w:tcW w:w="944" w:type="dxa"/>
            <w:tcBorders>
              <w:right w:val="single" w:color="000000" w:sz="10" w:space="0"/>
            </w:tcBorders>
            <w:vAlign w:val="top"/>
          </w:tcPr>
          <w:p w14:paraId="4DE4991A">
            <w:pPr>
              <w:spacing w:before="145"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97.14</w:t>
            </w:r>
          </w:p>
        </w:tc>
      </w:tr>
      <w:tr w14:paraId="1A635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01" w:type="dxa"/>
            <w:vMerge w:val="continue"/>
            <w:tcBorders>
              <w:top w:val="nil"/>
              <w:left w:val="single" w:color="000000" w:sz="10" w:space="0"/>
              <w:bottom w:val="nil"/>
            </w:tcBorders>
            <w:vAlign w:val="top"/>
          </w:tcPr>
          <w:p w14:paraId="627ED49D">
            <w:pPr>
              <w:rPr>
                <w:rFonts w:ascii="Arial"/>
                <w:sz w:val="21"/>
              </w:rPr>
            </w:pPr>
          </w:p>
        </w:tc>
        <w:tc>
          <w:tcPr>
            <w:tcW w:w="1077" w:type="dxa"/>
            <w:vAlign w:val="top"/>
          </w:tcPr>
          <w:p w14:paraId="33F950FF">
            <w:pPr>
              <w:spacing w:before="147" w:line="195" w:lineRule="auto"/>
              <w:ind w:left="4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206" w:type="dxa"/>
            <w:vAlign w:val="top"/>
          </w:tcPr>
          <w:p w14:paraId="2D741593">
            <w:pPr>
              <w:spacing w:before="147" w:line="195" w:lineRule="auto"/>
              <w:ind w:left="4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350</w:t>
            </w:r>
          </w:p>
        </w:tc>
        <w:tc>
          <w:tcPr>
            <w:tcW w:w="1088" w:type="dxa"/>
            <w:vAlign w:val="top"/>
          </w:tcPr>
          <w:p w14:paraId="0787051F">
            <w:pPr>
              <w:spacing w:before="147"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927" w:type="dxa"/>
            <w:vMerge w:val="continue"/>
            <w:tcBorders>
              <w:top w:val="nil"/>
              <w:bottom w:val="nil"/>
            </w:tcBorders>
            <w:vAlign w:val="top"/>
          </w:tcPr>
          <w:p w14:paraId="34D5F51C">
            <w:pPr>
              <w:rPr>
                <w:rFonts w:ascii="Arial"/>
                <w:sz w:val="21"/>
              </w:rPr>
            </w:pPr>
          </w:p>
        </w:tc>
        <w:tc>
          <w:tcPr>
            <w:tcW w:w="927" w:type="dxa"/>
            <w:vAlign w:val="top"/>
          </w:tcPr>
          <w:p w14:paraId="7F272314">
            <w:pPr>
              <w:spacing w:before="147" w:line="195" w:lineRule="auto"/>
              <w:ind w:left="1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3832.50</w:t>
            </w:r>
          </w:p>
        </w:tc>
        <w:tc>
          <w:tcPr>
            <w:tcW w:w="927" w:type="dxa"/>
            <w:vAlign w:val="top"/>
          </w:tcPr>
          <w:p w14:paraId="6915BC27">
            <w:pPr>
              <w:spacing w:before="147" w:line="195"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109.50</w:t>
            </w:r>
          </w:p>
        </w:tc>
        <w:tc>
          <w:tcPr>
            <w:tcW w:w="927" w:type="dxa"/>
            <w:vAlign w:val="top"/>
          </w:tcPr>
          <w:p w14:paraId="349E23FB">
            <w:pPr>
              <w:spacing w:before="147" w:line="195" w:lineRule="auto"/>
              <w:ind w:left="1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3723.00</w:t>
            </w:r>
          </w:p>
        </w:tc>
        <w:tc>
          <w:tcPr>
            <w:tcW w:w="944" w:type="dxa"/>
            <w:tcBorders>
              <w:right w:val="single" w:color="000000" w:sz="10" w:space="0"/>
            </w:tcBorders>
            <w:vAlign w:val="top"/>
          </w:tcPr>
          <w:p w14:paraId="3B4A8E2E">
            <w:pPr>
              <w:spacing w:before="147"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97.14</w:t>
            </w:r>
          </w:p>
        </w:tc>
      </w:tr>
      <w:tr w14:paraId="62C24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01" w:type="dxa"/>
            <w:vMerge w:val="continue"/>
            <w:tcBorders>
              <w:top w:val="nil"/>
              <w:left w:val="single" w:color="000000" w:sz="10" w:space="0"/>
              <w:bottom w:val="nil"/>
            </w:tcBorders>
            <w:vAlign w:val="top"/>
          </w:tcPr>
          <w:p w14:paraId="3C7D6094">
            <w:pPr>
              <w:rPr>
                <w:rFonts w:ascii="Arial"/>
                <w:sz w:val="21"/>
              </w:rPr>
            </w:pPr>
          </w:p>
        </w:tc>
        <w:tc>
          <w:tcPr>
            <w:tcW w:w="1077" w:type="dxa"/>
            <w:vAlign w:val="top"/>
          </w:tcPr>
          <w:p w14:paraId="74DCB124">
            <w:pPr>
              <w:spacing w:before="153" w:line="192"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TN</w:t>
            </w:r>
          </w:p>
        </w:tc>
        <w:tc>
          <w:tcPr>
            <w:tcW w:w="1206" w:type="dxa"/>
            <w:vAlign w:val="top"/>
          </w:tcPr>
          <w:p w14:paraId="7CA936BF">
            <w:pPr>
              <w:spacing w:before="150" w:line="195" w:lineRule="auto"/>
              <w:ind w:left="500"/>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088" w:type="dxa"/>
            <w:vAlign w:val="top"/>
          </w:tcPr>
          <w:p w14:paraId="1BA79C9A">
            <w:pPr>
              <w:spacing w:before="150"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927" w:type="dxa"/>
            <w:vMerge w:val="continue"/>
            <w:tcBorders>
              <w:top w:val="nil"/>
              <w:bottom w:val="nil"/>
            </w:tcBorders>
            <w:vAlign w:val="top"/>
          </w:tcPr>
          <w:p w14:paraId="1B20642B">
            <w:pPr>
              <w:rPr>
                <w:rFonts w:ascii="Arial"/>
                <w:sz w:val="21"/>
              </w:rPr>
            </w:pPr>
          </w:p>
        </w:tc>
        <w:tc>
          <w:tcPr>
            <w:tcW w:w="927" w:type="dxa"/>
            <w:vAlign w:val="top"/>
          </w:tcPr>
          <w:p w14:paraId="49721001">
            <w:pPr>
              <w:spacing w:before="150"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547.50</w:t>
            </w:r>
          </w:p>
        </w:tc>
        <w:tc>
          <w:tcPr>
            <w:tcW w:w="927" w:type="dxa"/>
            <w:vAlign w:val="top"/>
          </w:tcPr>
          <w:p w14:paraId="3D05A3D0">
            <w:pPr>
              <w:spacing w:before="150" w:line="195"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164.25</w:t>
            </w:r>
          </w:p>
        </w:tc>
        <w:tc>
          <w:tcPr>
            <w:tcW w:w="927" w:type="dxa"/>
            <w:vAlign w:val="top"/>
          </w:tcPr>
          <w:p w14:paraId="3CB08E27">
            <w:pPr>
              <w:spacing w:before="150" w:line="195" w:lineRule="auto"/>
              <w:ind w:left="1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383.25</w:t>
            </w:r>
          </w:p>
        </w:tc>
        <w:tc>
          <w:tcPr>
            <w:tcW w:w="944" w:type="dxa"/>
            <w:tcBorders>
              <w:right w:val="single" w:color="000000" w:sz="10" w:space="0"/>
            </w:tcBorders>
            <w:vAlign w:val="top"/>
          </w:tcPr>
          <w:p w14:paraId="6784A977">
            <w:pPr>
              <w:spacing w:before="150"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70.00</w:t>
            </w:r>
          </w:p>
        </w:tc>
      </w:tr>
      <w:tr w14:paraId="13831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701" w:type="dxa"/>
            <w:vMerge w:val="continue"/>
            <w:tcBorders>
              <w:top w:val="nil"/>
              <w:left w:val="single" w:color="000000" w:sz="10" w:space="0"/>
              <w:bottom w:val="nil"/>
            </w:tcBorders>
            <w:vAlign w:val="top"/>
          </w:tcPr>
          <w:p w14:paraId="4B7FE2F2">
            <w:pPr>
              <w:rPr>
                <w:rFonts w:ascii="Arial"/>
                <w:sz w:val="21"/>
              </w:rPr>
            </w:pPr>
          </w:p>
        </w:tc>
        <w:tc>
          <w:tcPr>
            <w:tcW w:w="1077" w:type="dxa"/>
            <w:vAlign w:val="top"/>
          </w:tcPr>
          <w:p w14:paraId="0607259C">
            <w:pPr>
              <w:spacing w:before="153" w:line="209" w:lineRule="auto"/>
              <w:ind w:left="227"/>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9"/>
                <w:sz w:val="13"/>
                <w:szCs w:val="13"/>
              </w:rPr>
              <w:t>3</w:t>
            </w:r>
            <w:r>
              <w:rPr>
                <w:rFonts w:ascii="Times New Roman" w:hAnsi="Times New Roman" w:eastAsia="Times New Roman" w:cs="Times New Roman"/>
                <w:spacing w:val="9"/>
                <w:sz w:val="20"/>
                <w:szCs w:val="20"/>
              </w:rPr>
              <w:t>-N</w:t>
            </w:r>
          </w:p>
        </w:tc>
        <w:tc>
          <w:tcPr>
            <w:tcW w:w="1206" w:type="dxa"/>
            <w:vAlign w:val="top"/>
          </w:tcPr>
          <w:p w14:paraId="5948ED4C">
            <w:pPr>
              <w:spacing w:before="150" w:line="195" w:lineRule="auto"/>
              <w:ind w:left="49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1088" w:type="dxa"/>
            <w:vAlign w:val="top"/>
          </w:tcPr>
          <w:p w14:paraId="43BC3FC9">
            <w:pPr>
              <w:spacing w:before="153" w:line="192" w:lineRule="auto"/>
              <w:ind w:left="49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927" w:type="dxa"/>
            <w:vMerge w:val="continue"/>
            <w:tcBorders>
              <w:top w:val="nil"/>
              <w:bottom w:val="nil"/>
            </w:tcBorders>
            <w:vAlign w:val="top"/>
          </w:tcPr>
          <w:p w14:paraId="56DD3CB8">
            <w:pPr>
              <w:rPr>
                <w:rFonts w:ascii="Arial"/>
                <w:sz w:val="21"/>
              </w:rPr>
            </w:pPr>
          </w:p>
        </w:tc>
        <w:tc>
          <w:tcPr>
            <w:tcW w:w="927" w:type="dxa"/>
            <w:vAlign w:val="top"/>
          </w:tcPr>
          <w:p w14:paraId="1FA1D931">
            <w:pPr>
              <w:spacing w:before="150"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492.75</w:t>
            </w:r>
          </w:p>
        </w:tc>
        <w:tc>
          <w:tcPr>
            <w:tcW w:w="927" w:type="dxa"/>
            <w:vAlign w:val="top"/>
          </w:tcPr>
          <w:p w14:paraId="7C13AFF6">
            <w:pPr>
              <w:spacing w:before="150" w:line="195"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54.75</w:t>
            </w:r>
          </w:p>
        </w:tc>
        <w:tc>
          <w:tcPr>
            <w:tcW w:w="927" w:type="dxa"/>
            <w:vAlign w:val="top"/>
          </w:tcPr>
          <w:p w14:paraId="7BDF93A2">
            <w:pPr>
              <w:spacing w:before="150"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438.00</w:t>
            </w:r>
          </w:p>
        </w:tc>
        <w:tc>
          <w:tcPr>
            <w:tcW w:w="944" w:type="dxa"/>
            <w:tcBorders>
              <w:right w:val="single" w:color="000000" w:sz="10" w:space="0"/>
            </w:tcBorders>
            <w:vAlign w:val="top"/>
          </w:tcPr>
          <w:p w14:paraId="6B779A55">
            <w:pPr>
              <w:spacing w:before="150" w:line="195" w:lineRule="auto"/>
              <w:ind w:left="25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88.89</w:t>
            </w:r>
          </w:p>
        </w:tc>
      </w:tr>
      <w:tr w14:paraId="3047C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701" w:type="dxa"/>
            <w:vMerge w:val="continue"/>
            <w:tcBorders>
              <w:top w:val="nil"/>
              <w:left w:val="single" w:color="000000" w:sz="10" w:space="0"/>
              <w:bottom w:val="single" w:color="000000" w:sz="10" w:space="0"/>
            </w:tcBorders>
            <w:vAlign w:val="top"/>
          </w:tcPr>
          <w:p w14:paraId="390D5F18">
            <w:pPr>
              <w:rPr>
                <w:rFonts w:ascii="Arial"/>
                <w:sz w:val="21"/>
              </w:rPr>
            </w:pPr>
          </w:p>
        </w:tc>
        <w:tc>
          <w:tcPr>
            <w:tcW w:w="1077" w:type="dxa"/>
            <w:tcBorders>
              <w:bottom w:val="single" w:color="000000" w:sz="10" w:space="0"/>
            </w:tcBorders>
            <w:vAlign w:val="top"/>
          </w:tcPr>
          <w:p w14:paraId="349A192A">
            <w:pPr>
              <w:spacing w:before="156" w:line="192"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TP</w:t>
            </w:r>
          </w:p>
        </w:tc>
        <w:tc>
          <w:tcPr>
            <w:tcW w:w="1206" w:type="dxa"/>
            <w:tcBorders>
              <w:bottom w:val="single" w:color="000000" w:sz="10" w:space="0"/>
            </w:tcBorders>
            <w:vAlign w:val="top"/>
          </w:tcPr>
          <w:p w14:paraId="3508FDC5">
            <w:pPr>
              <w:spacing w:before="153" w:line="195" w:lineRule="auto"/>
              <w:ind w:left="55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088" w:type="dxa"/>
            <w:tcBorders>
              <w:bottom w:val="single" w:color="000000" w:sz="10" w:space="0"/>
            </w:tcBorders>
            <w:vAlign w:val="top"/>
          </w:tcPr>
          <w:p w14:paraId="4C834E96">
            <w:pPr>
              <w:spacing w:before="153" w:line="195" w:lineRule="auto"/>
              <w:ind w:left="414"/>
              <w:outlineLvl w:val="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927" w:type="dxa"/>
            <w:vMerge w:val="continue"/>
            <w:tcBorders>
              <w:top w:val="nil"/>
              <w:bottom w:val="single" w:color="000000" w:sz="10" w:space="0"/>
            </w:tcBorders>
            <w:vAlign w:val="top"/>
          </w:tcPr>
          <w:p w14:paraId="396A92AA">
            <w:pPr>
              <w:rPr>
                <w:rFonts w:ascii="Arial"/>
                <w:sz w:val="21"/>
              </w:rPr>
            </w:pPr>
          </w:p>
        </w:tc>
        <w:tc>
          <w:tcPr>
            <w:tcW w:w="927" w:type="dxa"/>
            <w:tcBorders>
              <w:bottom w:val="single" w:color="000000" w:sz="10" w:space="0"/>
            </w:tcBorders>
            <w:vAlign w:val="top"/>
          </w:tcPr>
          <w:p w14:paraId="6E529A5A">
            <w:pPr>
              <w:spacing w:before="153"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65.70</w:t>
            </w:r>
          </w:p>
        </w:tc>
        <w:tc>
          <w:tcPr>
            <w:tcW w:w="927" w:type="dxa"/>
            <w:tcBorders>
              <w:bottom w:val="single" w:color="000000" w:sz="10" w:space="0"/>
            </w:tcBorders>
            <w:vAlign w:val="top"/>
          </w:tcPr>
          <w:p w14:paraId="74671F4C">
            <w:pPr>
              <w:spacing w:before="153"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5.48</w:t>
            </w:r>
          </w:p>
        </w:tc>
        <w:tc>
          <w:tcPr>
            <w:tcW w:w="927" w:type="dxa"/>
            <w:tcBorders>
              <w:bottom w:val="single" w:color="000000" w:sz="10" w:space="0"/>
            </w:tcBorders>
            <w:vAlign w:val="top"/>
          </w:tcPr>
          <w:p w14:paraId="686E8864">
            <w:pPr>
              <w:spacing w:before="153" w:line="195"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60.23</w:t>
            </w:r>
          </w:p>
        </w:tc>
        <w:tc>
          <w:tcPr>
            <w:tcW w:w="944" w:type="dxa"/>
            <w:tcBorders>
              <w:bottom w:val="single" w:color="000000" w:sz="10" w:space="0"/>
              <w:right w:val="single" w:color="000000" w:sz="10" w:space="0"/>
            </w:tcBorders>
            <w:vAlign w:val="top"/>
          </w:tcPr>
          <w:p w14:paraId="6C86C413">
            <w:pPr>
              <w:spacing w:before="153"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91.67</w:t>
            </w:r>
          </w:p>
        </w:tc>
      </w:tr>
    </w:tbl>
    <w:p w14:paraId="1909547A">
      <w:pPr>
        <w:pStyle w:val="2"/>
      </w:pPr>
    </w:p>
    <w:p w14:paraId="62F59F67">
      <w:pPr>
        <w:sectPr>
          <w:headerReference r:id="rId111" w:type="default"/>
          <w:footerReference r:id="rId112" w:type="default"/>
          <w:pgSz w:w="11907" w:h="16840"/>
          <w:pgMar w:top="1132" w:right="1578" w:bottom="1259" w:left="1578" w:header="829" w:footer="1097" w:gutter="0"/>
          <w:cols w:space="720" w:num="1"/>
        </w:sectPr>
      </w:pPr>
    </w:p>
    <w:p w14:paraId="30C46223">
      <w:pPr>
        <w:spacing w:before="333" w:line="225" w:lineRule="auto"/>
        <w:ind w:left="1923"/>
        <w:outlineLvl w:val="1"/>
        <w:rPr>
          <w:rFonts w:ascii="宋体" w:hAnsi="宋体" w:eastAsia="宋体" w:cs="宋体"/>
          <w:sz w:val="31"/>
          <w:szCs w:val="31"/>
        </w:rPr>
      </w:pPr>
      <w:bookmarkStart w:id="31" w:name="bookmark28"/>
      <w:bookmarkEnd w:id="31"/>
      <w:r>
        <w:rPr>
          <w:rFonts w:ascii="Times New Roman" w:hAnsi="Times New Roman" w:eastAsia="Times New Roman" w:cs="Times New Roman"/>
          <w:b/>
          <w:bCs/>
          <w:spacing w:val="6"/>
          <w:sz w:val="31"/>
          <w:szCs w:val="31"/>
        </w:rPr>
        <w:t>6</w:t>
      </w:r>
      <w:r>
        <w:rPr>
          <w:rFonts w:ascii="宋体" w:hAnsi="宋体" w:eastAsia="宋体" w:cs="宋体"/>
          <w:b/>
          <w:bCs/>
          <w:spacing w:val="6"/>
          <w:sz w:val="31"/>
          <w:szCs w:val="31"/>
        </w:rPr>
        <w:t>入河排污口设置水环境影响分析</w:t>
      </w:r>
    </w:p>
    <w:p w14:paraId="29B0E17B">
      <w:pPr>
        <w:spacing w:before="236" w:line="219" w:lineRule="auto"/>
        <w:ind w:left="40"/>
        <w:outlineLvl w:val="1"/>
        <w:rPr>
          <w:rFonts w:ascii="宋体" w:hAnsi="宋体" w:eastAsia="宋体" w:cs="宋体"/>
          <w:sz w:val="28"/>
          <w:szCs w:val="28"/>
        </w:rPr>
      </w:pPr>
      <w:bookmarkStart w:id="32" w:name="bookmark29"/>
      <w:bookmarkEnd w:id="32"/>
      <w:r>
        <w:rPr>
          <w:rFonts w:ascii="Times New Roman" w:hAnsi="Times New Roman" w:eastAsia="Times New Roman" w:cs="Times New Roman"/>
          <w:b/>
          <w:bCs/>
          <w:spacing w:val="-2"/>
          <w:sz w:val="28"/>
          <w:szCs w:val="28"/>
        </w:rPr>
        <w:t>6.1</w:t>
      </w:r>
      <w:r>
        <w:rPr>
          <w:rFonts w:ascii="宋体" w:hAnsi="宋体" w:eastAsia="宋体" w:cs="宋体"/>
          <w:b/>
          <w:bCs/>
          <w:spacing w:val="-2"/>
          <w:sz w:val="28"/>
          <w:szCs w:val="28"/>
        </w:rPr>
        <w:t>水功能区（水域）对入河排污口设置基本</w:t>
      </w:r>
      <w:r>
        <w:rPr>
          <w:rFonts w:ascii="宋体" w:hAnsi="宋体" w:eastAsia="宋体" w:cs="宋体"/>
          <w:b/>
          <w:bCs/>
          <w:spacing w:val="-3"/>
          <w:sz w:val="28"/>
          <w:szCs w:val="28"/>
        </w:rPr>
        <w:t>要求</w:t>
      </w:r>
    </w:p>
    <w:p w14:paraId="48244744">
      <w:pPr>
        <w:spacing w:before="206" w:line="221" w:lineRule="auto"/>
        <w:ind w:left="38"/>
        <w:outlineLvl w:val="2"/>
        <w:rPr>
          <w:rFonts w:ascii="宋体" w:hAnsi="宋体" w:eastAsia="宋体" w:cs="宋体"/>
          <w:sz w:val="24"/>
          <w:szCs w:val="24"/>
        </w:rPr>
      </w:pPr>
      <w:r>
        <w:rPr>
          <w:rFonts w:ascii="Times New Roman" w:hAnsi="Times New Roman" w:eastAsia="Times New Roman" w:cs="Times New Roman"/>
          <w:b/>
          <w:bCs/>
          <w:spacing w:val="-2"/>
          <w:sz w:val="24"/>
          <w:szCs w:val="24"/>
        </w:rPr>
        <w:t>6.1.1.</w:t>
      </w:r>
      <w:r>
        <w:rPr>
          <w:rFonts w:ascii="宋体" w:hAnsi="宋体" w:eastAsia="宋体" w:cs="宋体"/>
          <w:b/>
          <w:bCs/>
          <w:spacing w:val="-2"/>
          <w:sz w:val="24"/>
          <w:szCs w:val="24"/>
        </w:rPr>
        <w:t>入河排污口设置要求</w:t>
      </w:r>
    </w:p>
    <w:p w14:paraId="6C05ADEE">
      <w:pPr>
        <w:spacing w:before="181" w:line="358" w:lineRule="auto"/>
        <w:ind w:left="41" w:right="57" w:firstLine="478"/>
        <w:rPr>
          <w:rFonts w:ascii="宋体" w:hAnsi="宋体" w:eastAsia="宋体" w:cs="宋体"/>
          <w:sz w:val="24"/>
          <w:szCs w:val="24"/>
        </w:rPr>
      </w:pPr>
      <w:r>
        <w:rPr>
          <w:rFonts w:ascii="宋体" w:hAnsi="宋体" w:eastAsia="宋体" w:cs="宋体"/>
          <w:spacing w:val="3"/>
          <w:sz w:val="24"/>
          <w:szCs w:val="24"/>
        </w:rPr>
        <w:t>根据《入河排污口管理技术导则》（</w:t>
      </w:r>
      <w:r>
        <w:rPr>
          <w:rFonts w:ascii="Times New Roman" w:hAnsi="Times New Roman" w:eastAsia="Times New Roman" w:cs="Times New Roman"/>
          <w:sz w:val="24"/>
          <w:szCs w:val="24"/>
        </w:rPr>
        <w:t>SL</w:t>
      </w:r>
      <w:r>
        <w:rPr>
          <w:rFonts w:ascii="Times New Roman" w:hAnsi="Times New Roman" w:eastAsia="Times New Roman" w:cs="Times New Roman"/>
          <w:spacing w:val="3"/>
          <w:sz w:val="24"/>
          <w:szCs w:val="24"/>
        </w:rPr>
        <w:t>532-201</w:t>
      </w:r>
      <w:r>
        <w:rPr>
          <w:rFonts w:ascii="Times New Roman" w:hAnsi="Times New Roman" w:eastAsia="Times New Roman" w:cs="Times New Roman"/>
          <w:spacing w:val="2"/>
          <w:sz w:val="24"/>
          <w:szCs w:val="24"/>
        </w:rPr>
        <w:t>1</w:t>
      </w:r>
      <w:r>
        <w:rPr>
          <w:rFonts w:ascii="宋体" w:hAnsi="宋体" w:eastAsia="宋体" w:cs="宋体"/>
          <w:spacing w:val="2"/>
          <w:sz w:val="24"/>
          <w:szCs w:val="24"/>
        </w:rPr>
        <w:t>）要求，入河排污口设置应</w:t>
      </w:r>
      <w:r>
        <w:rPr>
          <w:rFonts w:ascii="宋体" w:hAnsi="宋体" w:eastAsia="宋体" w:cs="宋体"/>
          <w:spacing w:val="-2"/>
          <w:sz w:val="24"/>
          <w:szCs w:val="24"/>
        </w:rPr>
        <w:t>符合下列要求：</w:t>
      </w:r>
    </w:p>
    <w:p w14:paraId="78AA14B0">
      <w:pPr>
        <w:spacing w:before="1" w:line="290" w:lineRule="auto"/>
        <w:ind w:left="42" w:right="59" w:firstLine="488"/>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）入河排污口设置应便于采集样品，便于计量监测、便于日常</w:t>
      </w:r>
      <w:r>
        <w:rPr>
          <w:rFonts w:ascii="宋体" w:hAnsi="宋体" w:eastAsia="宋体" w:cs="宋体"/>
          <w:spacing w:val="-2"/>
          <w:sz w:val="24"/>
          <w:szCs w:val="24"/>
        </w:rPr>
        <w:t>现场监督检</w:t>
      </w:r>
      <w:r>
        <w:rPr>
          <w:rFonts w:ascii="宋体" w:hAnsi="宋体" w:eastAsia="宋体" w:cs="宋体"/>
          <w:spacing w:val="-7"/>
          <w:sz w:val="24"/>
          <w:szCs w:val="24"/>
        </w:rPr>
        <w:t>查；</w:t>
      </w:r>
    </w:p>
    <w:p w14:paraId="36E6B39A">
      <w:pPr>
        <w:spacing w:before="181" w:line="219" w:lineRule="auto"/>
        <w:ind w:left="53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）入河排污口应设置在设计洪水淹没线之上；</w:t>
      </w:r>
    </w:p>
    <w:p w14:paraId="7911B08A">
      <w:pPr>
        <w:spacing w:before="181" w:line="289" w:lineRule="auto"/>
        <w:ind w:left="43" w:right="101" w:firstLine="487"/>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）入河排污口口门不得设暗管通入河道底部</w:t>
      </w:r>
      <w:r>
        <w:rPr>
          <w:rFonts w:ascii="宋体" w:hAnsi="宋体" w:eastAsia="宋体" w:cs="宋体"/>
          <w:spacing w:val="-3"/>
          <w:sz w:val="24"/>
          <w:szCs w:val="24"/>
        </w:rPr>
        <w:t>，如特殊情况需要设管道的，</w:t>
      </w:r>
      <w:r>
        <w:rPr>
          <w:rFonts w:ascii="宋体" w:hAnsi="宋体" w:eastAsia="宋体" w:cs="宋体"/>
          <w:spacing w:val="-1"/>
          <w:sz w:val="24"/>
          <w:szCs w:val="24"/>
        </w:rPr>
        <w:t>必须留出观测窗口，以便于采样和监督；</w:t>
      </w:r>
    </w:p>
    <w:p w14:paraId="314C9A97">
      <w:pPr>
        <w:spacing w:before="182" w:line="219" w:lineRule="auto"/>
        <w:jc w:val="right"/>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宋体" w:hAnsi="宋体" w:eastAsia="宋体" w:cs="宋体"/>
          <w:spacing w:val="-6"/>
          <w:sz w:val="24"/>
          <w:szCs w:val="24"/>
        </w:rPr>
        <w:t>）入河排污口口门处应有明显的标志牌，标志牌内容应</w:t>
      </w:r>
      <w:r>
        <w:rPr>
          <w:rFonts w:ascii="宋体" w:hAnsi="宋体" w:eastAsia="宋体" w:cs="宋体"/>
          <w:spacing w:val="-7"/>
          <w:sz w:val="24"/>
          <w:szCs w:val="24"/>
        </w:rPr>
        <w:t>包括下列资料信息：</w:t>
      </w:r>
    </w:p>
    <w:p w14:paraId="19ABB91C">
      <w:pPr>
        <w:spacing w:before="183" w:line="217" w:lineRule="auto"/>
        <w:ind w:left="518"/>
        <w:rPr>
          <w:rFonts w:ascii="宋体" w:hAnsi="宋体" w:eastAsia="宋体" w:cs="宋体"/>
          <w:sz w:val="24"/>
          <w:szCs w:val="24"/>
        </w:rPr>
      </w:pPr>
      <w:r>
        <w:rPr>
          <w:rFonts w:ascii="宋体" w:hAnsi="宋体" w:eastAsia="宋体" w:cs="宋体"/>
          <w:spacing w:val="-1"/>
          <w:sz w:val="24"/>
          <w:szCs w:val="24"/>
        </w:rPr>
        <w:t>①入河排污口编号；</w:t>
      </w:r>
    </w:p>
    <w:p w14:paraId="46752AD4">
      <w:pPr>
        <w:spacing w:before="184" w:line="217" w:lineRule="auto"/>
        <w:ind w:left="517"/>
        <w:rPr>
          <w:rFonts w:ascii="宋体" w:hAnsi="宋体" w:eastAsia="宋体" w:cs="宋体"/>
          <w:sz w:val="24"/>
          <w:szCs w:val="24"/>
        </w:rPr>
      </w:pPr>
      <w:r>
        <w:rPr>
          <w:rFonts w:ascii="宋体" w:hAnsi="宋体" w:eastAsia="宋体" w:cs="宋体"/>
          <w:spacing w:val="-1"/>
          <w:sz w:val="24"/>
          <w:szCs w:val="24"/>
        </w:rPr>
        <w:t>②入河排污口名称；</w:t>
      </w:r>
    </w:p>
    <w:p w14:paraId="6016ACD0">
      <w:pPr>
        <w:spacing w:before="186" w:line="217" w:lineRule="auto"/>
        <w:ind w:left="517"/>
        <w:rPr>
          <w:rFonts w:ascii="宋体" w:hAnsi="宋体" w:eastAsia="宋体" w:cs="宋体"/>
          <w:sz w:val="24"/>
          <w:szCs w:val="24"/>
        </w:rPr>
      </w:pPr>
      <w:r>
        <w:rPr>
          <w:rFonts w:ascii="宋体" w:hAnsi="宋体" w:eastAsia="宋体" w:cs="宋体"/>
          <w:spacing w:val="-1"/>
          <w:sz w:val="24"/>
          <w:szCs w:val="24"/>
        </w:rPr>
        <w:t>③入河排污口地理位置及经纬度坐标；</w:t>
      </w:r>
    </w:p>
    <w:p w14:paraId="5D9991C3">
      <w:pPr>
        <w:spacing w:before="183" w:line="217" w:lineRule="auto"/>
        <w:ind w:left="517"/>
        <w:rPr>
          <w:rFonts w:ascii="宋体" w:hAnsi="宋体" w:eastAsia="宋体" w:cs="宋体"/>
          <w:sz w:val="24"/>
          <w:szCs w:val="24"/>
        </w:rPr>
      </w:pPr>
      <w:r>
        <w:rPr>
          <w:rFonts w:ascii="宋体" w:hAnsi="宋体" w:eastAsia="宋体" w:cs="宋体"/>
          <w:spacing w:val="-1"/>
          <w:sz w:val="24"/>
          <w:szCs w:val="24"/>
        </w:rPr>
        <w:t>④排入的水功能区名称及水质保护目标；</w:t>
      </w:r>
    </w:p>
    <w:p w14:paraId="7FFB108C">
      <w:pPr>
        <w:spacing w:before="186" w:line="217" w:lineRule="auto"/>
        <w:ind w:left="517"/>
        <w:rPr>
          <w:rFonts w:ascii="宋体" w:hAnsi="宋体" w:eastAsia="宋体" w:cs="宋体"/>
          <w:sz w:val="24"/>
          <w:szCs w:val="24"/>
        </w:rPr>
      </w:pPr>
      <w:r>
        <w:rPr>
          <w:rFonts w:ascii="宋体" w:hAnsi="宋体" w:eastAsia="宋体" w:cs="宋体"/>
          <w:spacing w:val="-1"/>
          <w:sz w:val="24"/>
          <w:szCs w:val="24"/>
        </w:rPr>
        <w:t>⑤入河排污口设置单位；</w:t>
      </w:r>
    </w:p>
    <w:p w14:paraId="1AD6A2DB">
      <w:pPr>
        <w:spacing w:before="183" w:line="217" w:lineRule="auto"/>
        <w:ind w:left="517"/>
        <w:rPr>
          <w:rFonts w:ascii="宋体" w:hAnsi="宋体" w:eastAsia="宋体" w:cs="宋体"/>
          <w:sz w:val="24"/>
          <w:szCs w:val="24"/>
        </w:rPr>
      </w:pPr>
      <w:r>
        <w:rPr>
          <w:rFonts w:ascii="宋体" w:hAnsi="宋体" w:eastAsia="宋体" w:cs="宋体"/>
          <w:spacing w:val="-1"/>
          <w:sz w:val="24"/>
          <w:szCs w:val="24"/>
        </w:rPr>
        <w:t>⑥入河排污口设施审批单位及监督电话。</w:t>
      </w:r>
    </w:p>
    <w:p w14:paraId="36CEF7EA">
      <w:pPr>
        <w:spacing w:before="185" w:line="290" w:lineRule="auto"/>
        <w:ind w:left="40" w:right="59" w:firstLine="49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）标志牌设置应距入河排污口较近处，可根据情况分别选择设</w:t>
      </w:r>
      <w:r>
        <w:rPr>
          <w:rFonts w:ascii="宋体" w:hAnsi="宋体" w:eastAsia="宋体" w:cs="宋体"/>
          <w:spacing w:val="-2"/>
          <w:sz w:val="24"/>
          <w:szCs w:val="24"/>
        </w:rPr>
        <w:t>置立式或平</w:t>
      </w:r>
      <w:r>
        <w:rPr>
          <w:rFonts w:ascii="宋体" w:hAnsi="宋体" w:eastAsia="宋体" w:cs="宋体"/>
          <w:spacing w:val="-1"/>
          <w:sz w:val="24"/>
          <w:szCs w:val="24"/>
        </w:rPr>
        <w:t>面固定式标志牌，并且能长久保留。</w:t>
      </w:r>
    </w:p>
    <w:p w14:paraId="047B7574">
      <w:pPr>
        <w:spacing w:before="180" w:line="219" w:lineRule="auto"/>
        <w:ind w:left="520"/>
        <w:rPr>
          <w:rFonts w:ascii="宋体" w:hAnsi="宋体" w:eastAsia="宋体" w:cs="宋体"/>
          <w:sz w:val="24"/>
          <w:szCs w:val="24"/>
        </w:rPr>
      </w:pPr>
      <w:r>
        <w:rPr>
          <w:rFonts w:ascii="宋体" w:hAnsi="宋体" w:eastAsia="宋体" w:cs="宋体"/>
          <w:spacing w:val="-1"/>
          <w:sz w:val="24"/>
          <w:szCs w:val="24"/>
        </w:rPr>
        <w:t>本项目入河排污口设置见下表。</w:t>
      </w:r>
    </w:p>
    <w:p w14:paraId="28D0D279">
      <w:pPr>
        <w:spacing w:before="182" w:line="220" w:lineRule="auto"/>
        <w:ind w:left="2565"/>
        <w:rPr>
          <w:rFonts w:ascii="宋体" w:hAnsi="宋体" w:eastAsia="宋体" w:cs="宋体"/>
          <w:sz w:val="24"/>
          <w:szCs w:val="24"/>
        </w:rPr>
      </w:pPr>
      <w:r>
        <w:rPr>
          <w:rFonts w:ascii="宋体" w:hAnsi="宋体" w:eastAsia="宋体" w:cs="宋体"/>
          <w:b/>
          <w:bCs/>
          <w:spacing w:val="-2"/>
          <w:sz w:val="24"/>
          <w:szCs w:val="24"/>
        </w:rPr>
        <w:t>表</w:t>
      </w:r>
      <w:r>
        <w:rPr>
          <w:rFonts w:ascii="Times New Roman" w:hAnsi="Times New Roman" w:eastAsia="Times New Roman" w:cs="Times New Roman"/>
          <w:b/>
          <w:bCs/>
          <w:spacing w:val="-2"/>
          <w:sz w:val="24"/>
          <w:szCs w:val="24"/>
        </w:rPr>
        <w:t>6.1-1</w:t>
      </w:r>
      <w:r>
        <w:rPr>
          <w:rFonts w:ascii="宋体" w:hAnsi="宋体" w:eastAsia="宋体" w:cs="宋体"/>
          <w:b/>
          <w:bCs/>
          <w:spacing w:val="-2"/>
          <w:sz w:val="24"/>
          <w:szCs w:val="24"/>
        </w:rPr>
        <w:t>入河排污口设置情况表</w:t>
      </w:r>
    </w:p>
    <w:p w14:paraId="566A585A">
      <w:pPr>
        <w:spacing w:line="147" w:lineRule="exact"/>
      </w:pPr>
    </w:p>
    <w:tbl>
      <w:tblPr>
        <w:tblStyle w:val="5"/>
        <w:tblW w:w="853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1853"/>
        <w:gridCol w:w="2321"/>
        <w:gridCol w:w="3661"/>
      </w:tblGrid>
      <w:tr w14:paraId="04CC17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700" w:type="dxa"/>
            <w:tcBorders>
              <w:top w:val="single" w:color="000000" w:sz="10" w:space="0"/>
              <w:left w:val="single" w:color="000000" w:sz="10" w:space="0"/>
            </w:tcBorders>
            <w:vAlign w:val="top"/>
          </w:tcPr>
          <w:p w14:paraId="14810FC6">
            <w:pPr>
              <w:pStyle w:val="6"/>
              <w:spacing w:before="106" w:line="229" w:lineRule="auto"/>
              <w:ind w:left="129"/>
            </w:pPr>
            <w:r>
              <w:rPr>
                <w:spacing w:val="5"/>
              </w:rPr>
              <w:t>序号</w:t>
            </w:r>
          </w:p>
        </w:tc>
        <w:tc>
          <w:tcPr>
            <w:tcW w:w="1853" w:type="dxa"/>
            <w:tcBorders>
              <w:top w:val="single" w:color="000000" w:sz="10" w:space="0"/>
            </w:tcBorders>
            <w:vAlign w:val="top"/>
          </w:tcPr>
          <w:p w14:paraId="5DEA278E">
            <w:pPr>
              <w:pStyle w:val="6"/>
              <w:spacing w:before="106" w:line="230" w:lineRule="auto"/>
              <w:ind w:left="717"/>
            </w:pPr>
            <w:r>
              <w:rPr>
                <w:spacing w:val="3"/>
              </w:rPr>
              <w:t>名称</w:t>
            </w:r>
          </w:p>
        </w:tc>
        <w:tc>
          <w:tcPr>
            <w:tcW w:w="5982" w:type="dxa"/>
            <w:gridSpan w:val="2"/>
            <w:tcBorders>
              <w:top w:val="single" w:color="000000" w:sz="10" w:space="0"/>
              <w:right w:val="single" w:color="000000" w:sz="10" w:space="0"/>
            </w:tcBorders>
            <w:vAlign w:val="top"/>
          </w:tcPr>
          <w:p w14:paraId="38A25A5A">
            <w:pPr>
              <w:pStyle w:val="6"/>
              <w:spacing w:before="106" w:line="228" w:lineRule="auto"/>
              <w:ind w:left="15"/>
            </w:pPr>
            <w:r>
              <w:rPr>
                <w:spacing w:val="9"/>
              </w:rPr>
              <w:t>入河排污口设置情况</w:t>
            </w:r>
          </w:p>
        </w:tc>
      </w:tr>
      <w:tr w14:paraId="57A5E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00" w:type="dxa"/>
            <w:tcBorders>
              <w:left w:val="single" w:color="000000" w:sz="10" w:space="0"/>
            </w:tcBorders>
            <w:vAlign w:val="top"/>
          </w:tcPr>
          <w:p w14:paraId="7BFDA922">
            <w:pPr>
              <w:spacing w:before="130" w:line="203" w:lineRule="auto"/>
              <w:ind w:left="296"/>
              <w:rPr>
                <w:rFonts w:ascii="Arial" w:hAnsi="Arial" w:eastAsia="Arial" w:cs="Arial"/>
                <w:sz w:val="20"/>
                <w:szCs w:val="20"/>
              </w:rPr>
            </w:pPr>
            <w:r>
              <w:rPr>
                <w:rFonts w:ascii="Arial" w:hAnsi="Arial" w:eastAsia="Arial" w:cs="Arial"/>
                <w:sz w:val="20"/>
                <w:szCs w:val="20"/>
              </w:rPr>
              <w:t>1</w:t>
            </w:r>
          </w:p>
        </w:tc>
        <w:tc>
          <w:tcPr>
            <w:tcW w:w="1853" w:type="dxa"/>
            <w:vAlign w:val="top"/>
          </w:tcPr>
          <w:p w14:paraId="221E0AB1">
            <w:pPr>
              <w:pStyle w:val="6"/>
              <w:spacing w:before="102" w:line="228" w:lineRule="auto"/>
              <w:ind w:left="188"/>
            </w:pPr>
            <w:r>
              <w:rPr>
                <w:spacing w:val="8"/>
              </w:rPr>
              <w:t>入河排污口编号</w:t>
            </w:r>
          </w:p>
        </w:tc>
        <w:tc>
          <w:tcPr>
            <w:tcW w:w="5982" w:type="dxa"/>
            <w:gridSpan w:val="2"/>
            <w:tcBorders>
              <w:right w:val="single" w:color="000000" w:sz="10" w:space="0"/>
            </w:tcBorders>
            <w:vAlign w:val="top"/>
          </w:tcPr>
          <w:p w14:paraId="7EF6D05F">
            <w:pPr>
              <w:spacing w:before="65" w:line="285" w:lineRule="exact"/>
              <w:ind w:left="25"/>
              <w:rPr>
                <w:rFonts w:ascii="Arial" w:hAnsi="Arial" w:eastAsia="Arial" w:cs="Arial"/>
                <w:sz w:val="20"/>
                <w:szCs w:val="20"/>
              </w:rPr>
            </w:pPr>
            <w:r>
              <w:rPr>
                <w:rFonts w:ascii="Arial" w:hAnsi="Arial" w:eastAsia="Arial" w:cs="Arial"/>
                <w:position w:val="1"/>
                <w:sz w:val="20"/>
                <w:szCs w:val="20"/>
              </w:rPr>
              <w:t>FF</w:t>
            </w:r>
            <w:r>
              <w:rPr>
                <w:rFonts w:ascii="Arial" w:hAnsi="Arial" w:eastAsia="Arial" w:cs="Arial"/>
                <w:spacing w:val="6"/>
                <w:position w:val="1"/>
                <w:sz w:val="20"/>
                <w:szCs w:val="20"/>
              </w:rPr>
              <w:t>4305240007</w:t>
            </w:r>
            <w:r>
              <w:rPr>
                <w:rFonts w:ascii="Arial" w:hAnsi="Arial" w:eastAsia="Arial" w:cs="Arial"/>
                <w:position w:val="1"/>
                <w:sz w:val="20"/>
                <w:szCs w:val="20"/>
              </w:rPr>
              <w:t>SH</w:t>
            </w:r>
            <w:r>
              <w:rPr>
                <w:rFonts w:ascii="Arial" w:hAnsi="Arial" w:eastAsia="Arial" w:cs="Arial"/>
                <w:spacing w:val="6"/>
                <w:position w:val="1"/>
                <w:sz w:val="20"/>
                <w:szCs w:val="20"/>
              </w:rPr>
              <w:t>00</w:t>
            </w:r>
          </w:p>
        </w:tc>
      </w:tr>
      <w:tr w14:paraId="3EA82F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00" w:type="dxa"/>
            <w:tcBorders>
              <w:left w:val="single" w:color="000000" w:sz="10" w:space="0"/>
            </w:tcBorders>
            <w:vAlign w:val="top"/>
          </w:tcPr>
          <w:p w14:paraId="664FD815">
            <w:pPr>
              <w:spacing w:before="135" w:line="203" w:lineRule="auto"/>
              <w:ind w:left="279"/>
              <w:rPr>
                <w:rFonts w:ascii="Arial" w:hAnsi="Arial" w:eastAsia="Arial" w:cs="Arial"/>
                <w:sz w:val="20"/>
                <w:szCs w:val="20"/>
              </w:rPr>
            </w:pPr>
            <w:r>
              <w:rPr>
                <w:rFonts w:ascii="Arial" w:hAnsi="Arial" w:eastAsia="Arial" w:cs="Arial"/>
                <w:sz w:val="20"/>
                <w:szCs w:val="20"/>
              </w:rPr>
              <w:t>2</w:t>
            </w:r>
          </w:p>
        </w:tc>
        <w:tc>
          <w:tcPr>
            <w:tcW w:w="1853" w:type="dxa"/>
            <w:vAlign w:val="top"/>
          </w:tcPr>
          <w:p w14:paraId="0E2F6E1B">
            <w:pPr>
              <w:pStyle w:val="6"/>
              <w:spacing w:before="105" w:line="230" w:lineRule="auto"/>
              <w:ind w:left="188"/>
            </w:pPr>
            <w:r>
              <w:rPr>
                <w:spacing w:val="8"/>
              </w:rPr>
              <w:t>入河排污口名称</w:t>
            </w:r>
          </w:p>
        </w:tc>
        <w:tc>
          <w:tcPr>
            <w:tcW w:w="5982" w:type="dxa"/>
            <w:gridSpan w:val="2"/>
            <w:tcBorders>
              <w:right w:val="single" w:color="000000" w:sz="10" w:space="0"/>
            </w:tcBorders>
            <w:vAlign w:val="top"/>
          </w:tcPr>
          <w:p w14:paraId="3E52DB05">
            <w:pPr>
              <w:pStyle w:val="6"/>
              <w:spacing w:before="104" w:line="228" w:lineRule="auto"/>
              <w:ind w:left="29"/>
            </w:pPr>
            <w:r>
              <w:rPr>
                <w:spacing w:val="8"/>
              </w:rPr>
              <w:t>隆回县工业污水处理厂入河排污口</w:t>
            </w:r>
          </w:p>
        </w:tc>
      </w:tr>
      <w:tr w14:paraId="0089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00" w:type="dxa"/>
            <w:vMerge w:val="restart"/>
            <w:tcBorders>
              <w:left w:val="single" w:color="000000" w:sz="10" w:space="0"/>
              <w:bottom w:val="nil"/>
            </w:tcBorders>
            <w:vAlign w:val="top"/>
          </w:tcPr>
          <w:p w14:paraId="22172B72">
            <w:pPr>
              <w:spacing w:line="257" w:lineRule="auto"/>
              <w:rPr>
                <w:rFonts w:ascii="Arial"/>
                <w:sz w:val="21"/>
              </w:rPr>
            </w:pPr>
          </w:p>
          <w:p w14:paraId="20B83CCA">
            <w:pPr>
              <w:spacing w:line="257" w:lineRule="auto"/>
              <w:rPr>
                <w:rFonts w:ascii="Arial"/>
                <w:sz w:val="21"/>
              </w:rPr>
            </w:pPr>
          </w:p>
          <w:p w14:paraId="61F38F39">
            <w:pPr>
              <w:spacing w:line="258" w:lineRule="auto"/>
              <w:rPr>
                <w:rFonts w:ascii="Arial"/>
                <w:sz w:val="21"/>
              </w:rPr>
            </w:pPr>
          </w:p>
          <w:p w14:paraId="20C78526">
            <w:pPr>
              <w:spacing w:line="258" w:lineRule="auto"/>
              <w:rPr>
                <w:rFonts w:ascii="Arial"/>
                <w:sz w:val="21"/>
              </w:rPr>
            </w:pPr>
          </w:p>
          <w:p w14:paraId="1110DF16">
            <w:pPr>
              <w:spacing w:before="58" w:line="284" w:lineRule="exact"/>
              <w:ind w:left="282"/>
              <w:rPr>
                <w:rFonts w:ascii="Arial" w:hAnsi="Arial" w:eastAsia="Arial" w:cs="Arial"/>
                <w:sz w:val="20"/>
                <w:szCs w:val="20"/>
              </w:rPr>
            </w:pPr>
            <w:r>
              <w:rPr>
                <w:rFonts w:ascii="Arial" w:hAnsi="Arial" w:eastAsia="Arial" w:cs="Arial"/>
                <w:position w:val="1"/>
                <w:sz w:val="20"/>
                <w:szCs w:val="20"/>
              </w:rPr>
              <w:t>3</w:t>
            </w:r>
          </w:p>
        </w:tc>
        <w:tc>
          <w:tcPr>
            <w:tcW w:w="1853" w:type="dxa"/>
            <w:vMerge w:val="restart"/>
            <w:tcBorders>
              <w:bottom w:val="nil"/>
            </w:tcBorders>
            <w:vAlign w:val="top"/>
          </w:tcPr>
          <w:p w14:paraId="649D09E2">
            <w:pPr>
              <w:spacing w:line="265" w:lineRule="auto"/>
              <w:rPr>
                <w:rFonts w:ascii="Arial"/>
                <w:sz w:val="21"/>
              </w:rPr>
            </w:pPr>
          </w:p>
          <w:p w14:paraId="2E1DF479">
            <w:pPr>
              <w:spacing w:line="265" w:lineRule="auto"/>
              <w:rPr>
                <w:rFonts w:ascii="Arial"/>
                <w:sz w:val="21"/>
              </w:rPr>
            </w:pPr>
          </w:p>
          <w:p w14:paraId="60279839">
            <w:pPr>
              <w:spacing w:line="265" w:lineRule="auto"/>
              <w:rPr>
                <w:rFonts w:ascii="Arial"/>
                <w:sz w:val="21"/>
              </w:rPr>
            </w:pPr>
          </w:p>
          <w:p w14:paraId="6927694F">
            <w:pPr>
              <w:spacing w:line="265" w:lineRule="auto"/>
              <w:rPr>
                <w:rFonts w:ascii="Arial"/>
                <w:sz w:val="21"/>
              </w:rPr>
            </w:pPr>
          </w:p>
          <w:p w14:paraId="0E63336D">
            <w:pPr>
              <w:pStyle w:val="6"/>
              <w:spacing w:before="65" w:line="229" w:lineRule="auto"/>
              <w:ind w:left="398"/>
            </w:pPr>
            <w:r>
              <w:rPr>
                <w:spacing w:val="8"/>
              </w:rPr>
              <w:t>排污口位置</w:t>
            </w:r>
          </w:p>
        </w:tc>
        <w:tc>
          <w:tcPr>
            <w:tcW w:w="2321" w:type="dxa"/>
            <w:vAlign w:val="top"/>
          </w:tcPr>
          <w:p w14:paraId="3A0A02C7">
            <w:pPr>
              <w:pStyle w:val="6"/>
              <w:spacing w:before="110" w:line="228" w:lineRule="auto"/>
              <w:ind w:left="16"/>
            </w:pPr>
            <w:r>
              <w:rPr>
                <w:spacing w:val="8"/>
              </w:rPr>
              <w:t>所在行政区</w:t>
            </w:r>
          </w:p>
        </w:tc>
        <w:tc>
          <w:tcPr>
            <w:tcW w:w="3661" w:type="dxa"/>
            <w:tcBorders>
              <w:right w:val="single" w:color="000000" w:sz="10" w:space="0"/>
            </w:tcBorders>
            <w:vAlign w:val="top"/>
          </w:tcPr>
          <w:p w14:paraId="500E40D7">
            <w:pPr>
              <w:pStyle w:val="6"/>
              <w:spacing w:before="109" w:line="228" w:lineRule="auto"/>
              <w:ind w:left="36"/>
            </w:pPr>
            <w:r>
              <w:rPr>
                <w:spacing w:val="6"/>
              </w:rPr>
              <w:t>隆回县北山镇</w:t>
            </w:r>
          </w:p>
        </w:tc>
      </w:tr>
      <w:tr w14:paraId="54A07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700" w:type="dxa"/>
            <w:vMerge w:val="continue"/>
            <w:tcBorders>
              <w:top w:val="nil"/>
              <w:left w:val="single" w:color="000000" w:sz="10" w:space="0"/>
              <w:bottom w:val="nil"/>
            </w:tcBorders>
            <w:vAlign w:val="top"/>
          </w:tcPr>
          <w:p w14:paraId="28040F96">
            <w:pPr>
              <w:rPr>
                <w:rFonts w:ascii="Arial"/>
                <w:sz w:val="21"/>
              </w:rPr>
            </w:pPr>
          </w:p>
        </w:tc>
        <w:tc>
          <w:tcPr>
            <w:tcW w:w="1853" w:type="dxa"/>
            <w:vMerge w:val="continue"/>
            <w:tcBorders>
              <w:top w:val="nil"/>
              <w:bottom w:val="nil"/>
            </w:tcBorders>
            <w:vAlign w:val="top"/>
          </w:tcPr>
          <w:p w14:paraId="4EC5E3C1">
            <w:pPr>
              <w:rPr>
                <w:rFonts w:ascii="Arial"/>
                <w:sz w:val="21"/>
              </w:rPr>
            </w:pPr>
          </w:p>
        </w:tc>
        <w:tc>
          <w:tcPr>
            <w:tcW w:w="2321" w:type="dxa"/>
            <w:vAlign w:val="top"/>
          </w:tcPr>
          <w:p w14:paraId="15F1670C">
            <w:pPr>
              <w:pStyle w:val="6"/>
              <w:spacing w:before="193" w:line="252" w:lineRule="auto"/>
              <w:ind w:left="16" w:right="418"/>
            </w:pPr>
            <w:r>
              <w:rPr>
                <w:spacing w:val="8"/>
              </w:rPr>
              <w:t>排入水体名称及水质</w:t>
            </w:r>
            <w:r>
              <w:rPr>
                <w:spacing w:val="7"/>
              </w:rPr>
              <w:t>保护目标</w:t>
            </w:r>
          </w:p>
        </w:tc>
        <w:tc>
          <w:tcPr>
            <w:tcW w:w="3661" w:type="dxa"/>
            <w:tcBorders>
              <w:right w:val="single" w:color="000000" w:sz="10" w:space="0"/>
            </w:tcBorders>
            <w:vAlign w:val="top"/>
          </w:tcPr>
          <w:p w14:paraId="619DE8CB">
            <w:pPr>
              <w:pStyle w:val="6"/>
              <w:spacing w:before="57" w:line="235" w:lineRule="auto"/>
              <w:ind w:left="22" w:right="4" w:firstLine="9"/>
              <w:jc w:val="both"/>
            </w:pPr>
            <w:r>
              <w:rPr>
                <w:spacing w:val="8"/>
              </w:rPr>
              <w:t>资水（赧水</w:t>
            </w:r>
            <w:r>
              <w:rPr>
                <w:spacing w:val="15"/>
              </w:rPr>
              <w:t>），</w:t>
            </w:r>
            <w:r>
              <w:rPr>
                <w:spacing w:val="8"/>
              </w:rPr>
              <w:t>根据《邵阳市水功能区</w:t>
            </w:r>
            <w:r>
              <w:rPr>
                <w:spacing w:val="7"/>
              </w:rPr>
              <w:t>划》水质目标为</w:t>
            </w:r>
            <w:r>
              <w:rPr>
                <w:rFonts w:ascii="Arial" w:hAnsi="Arial" w:eastAsia="Arial" w:cs="Arial"/>
              </w:rPr>
              <w:t>III</w:t>
            </w:r>
            <w:r>
              <w:rPr>
                <w:spacing w:val="7"/>
              </w:rPr>
              <w:t>类，现状管理目标为</w:t>
            </w:r>
            <w:r>
              <w:rPr>
                <w:spacing w:val="4"/>
              </w:rPr>
              <w:t>年度平均达到</w:t>
            </w:r>
            <w:r>
              <w:rPr>
                <w:rFonts w:ascii="Arial" w:hAnsi="Arial" w:eastAsia="Arial" w:cs="Arial"/>
              </w:rPr>
              <w:t>II</w:t>
            </w:r>
            <w:r>
              <w:rPr>
                <w:spacing w:val="4"/>
              </w:rPr>
              <w:t>类。</w:t>
            </w:r>
          </w:p>
        </w:tc>
      </w:tr>
      <w:tr w14:paraId="7FF7C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00" w:type="dxa"/>
            <w:vMerge w:val="continue"/>
            <w:tcBorders>
              <w:top w:val="nil"/>
              <w:left w:val="single" w:color="000000" w:sz="10" w:space="0"/>
              <w:bottom w:val="nil"/>
            </w:tcBorders>
            <w:vAlign w:val="top"/>
          </w:tcPr>
          <w:p w14:paraId="04B49D49">
            <w:pPr>
              <w:rPr>
                <w:rFonts w:ascii="Arial"/>
                <w:sz w:val="21"/>
              </w:rPr>
            </w:pPr>
          </w:p>
        </w:tc>
        <w:tc>
          <w:tcPr>
            <w:tcW w:w="1853" w:type="dxa"/>
            <w:vMerge w:val="continue"/>
            <w:tcBorders>
              <w:top w:val="nil"/>
              <w:bottom w:val="nil"/>
            </w:tcBorders>
            <w:vAlign w:val="top"/>
          </w:tcPr>
          <w:p w14:paraId="07932701">
            <w:pPr>
              <w:rPr>
                <w:rFonts w:ascii="Arial"/>
                <w:sz w:val="21"/>
              </w:rPr>
            </w:pPr>
          </w:p>
        </w:tc>
        <w:tc>
          <w:tcPr>
            <w:tcW w:w="2321" w:type="dxa"/>
            <w:vAlign w:val="top"/>
          </w:tcPr>
          <w:p w14:paraId="558AB36B">
            <w:pPr>
              <w:pStyle w:val="6"/>
              <w:spacing w:before="117" w:line="228" w:lineRule="auto"/>
              <w:ind w:left="16"/>
            </w:pPr>
            <w:r>
              <w:rPr>
                <w:spacing w:val="8"/>
              </w:rPr>
              <w:t>排入的水功能区名称</w:t>
            </w:r>
          </w:p>
        </w:tc>
        <w:tc>
          <w:tcPr>
            <w:tcW w:w="3661" w:type="dxa"/>
            <w:tcBorders>
              <w:right w:val="single" w:color="000000" w:sz="10" w:space="0"/>
            </w:tcBorders>
            <w:vAlign w:val="top"/>
          </w:tcPr>
          <w:p w14:paraId="61F38C2E">
            <w:pPr>
              <w:pStyle w:val="6"/>
              <w:spacing w:before="117" w:line="228" w:lineRule="auto"/>
              <w:ind w:left="32"/>
            </w:pPr>
            <w:r>
              <w:rPr>
                <w:spacing w:val="8"/>
              </w:rPr>
              <w:t>资水（赧水）隆回</w:t>
            </w:r>
            <w:r>
              <w:rPr>
                <w:rFonts w:ascii="Arial" w:hAnsi="Arial" w:eastAsia="Arial" w:cs="Arial"/>
                <w:spacing w:val="8"/>
              </w:rPr>
              <w:t>-</w:t>
            </w:r>
            <w:r>
              <w:rPr>
                <w:spacing w:val="8"/>
              </w:rPr>
              <w:t>邵阳保留区</w:t>
            </w:r>
          </w:p>
        </w:tc>
      </w:tr>
      <w:tr w14:paraId="75E924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700" w:type="dxa"/>
            <w:vMerge w:val="continue"/>
            <w:tcBorders>
              <w:top w:val="nil"/>
              <w:left w:val="single" w:color="000000" w:sz="10" w:space="0"/>
              <w:bottom w:val="single" w:color="000000" w:sz="10" w:space="0"/>
            </w:tcBorders>
            <w:vAlign w:val="top"/>
          </w:tcPr>
          <w:p w14:paraId="36B844A0">
            <w:pPr>
              <w:rPr>
                <w:rFonts w:ascii="Arial"/>
                <w:sz w:val="21"/>
              </w:rPr>
            </w:pPr>
          </w:p>
        </w:tc>
        <w:tc>
          <w:tcPr>
            <w:tcW w:w="1853" w:type="dxa"/>
            <w:vMerge w:val="continue"/>
            <w:tcBorders>
              <w:top w:val="nil"/>
              <w:bottom w:val="single" w:color="000000" w:sz="10" w:space="0"/>
            </w:tcBorders>
            <w:vAlign w:val="top"/>
          </w:tcPr>
          <w:p w14:paraId="03DB53C7">
            <w:pPr>
              <w:rPr>
                <w:rFonts w:ascii="Arial"/>
                <w:sz w:val="21"/>
              </w:rPr>
            </w:pPr>
          </w:p>
        </w:tc>
        <w:tc>
          <w:tcPr>
            <w:tcW w:w="2321" w:type="dxa"/>
            <w:tcBorders>
              <w:bottom w:val="single" w:color="000000" w:sz="10" w:space="0"/>
            </w:tcBorders>
            <w:vAlign w:val="top"/>
          </w:tcPr>
          <w:p w14:paraId="6DCA0341">
            <w:pPr>
              <w:spacing w:line="248" w:lineRule="auto"/>
              <w:rPr>
                <w:rFonts w:ascii="Arial"/>
                <w:sz w:val="21"/>
              </w:rPr>
            </w:pPr>
          </w:p>
          <w:p w14:paraId="16C8FEA4">
            <w:pPr>
              <w:pStyle w:val="6"/>
              <w:spacing w:before="65" w:line="228" w:lineRule="auto"/>
              <w:ind w:left="18"/>
            </w:pPr>
            <w:r>
              <w:rPr>
                <w:spacing w:val="6"/>
              </w:rPr>
              <w:t>经纬度</w:t>
            </w:r>
          </w:p>
        </w:tc>
        <w:tc>
          <w:tcPr>
            <w:tcW w:w="3661" w:type="dxa"/>
            <w:tcBorders>
              <w:bottom w:val="single" w:color="000000" w:sz="10" w:space="0"/>
              <w:right w:val="single" w:color="000000" w:sz="10" w:space="0"/>
            </w:tcBorders>
            <w:vAlign w:val="top"/>
          </w:tcPr>
          <w:p w14:paraId="303F93CF">
            <w:pPr>
              <w:spacing w:line="284" w:lineRule="auto"/>
              <w:rPr>
                <w:rFonts w:ascii="Arial"/>
                <w:sz w:val="21"/>
              </w:rPr>
            </w:pPr>
          </w:p>
          <w:p w14:paraId="07BF7B02">
            <w:pPr>
              <w:pStyle w:val="6"/>
              <w:spacing w:before="65" w:line="186" w:lineRule="auto"/>
              <w:ind w:left="19"/>
              <w:rPr>
                <w:rFonts w:ascii="Times New Roman" w:hAnsi="Times New Roman" w:eastAsia="Times New Roman" w:cs="Times New Roman"/>
              </w:rPr>
            </w:pPr>
            <w:r>
              <w:rPr>
                <w:rFonts w:ascii="Times New Roman" w:hAnsi="Times New Roman" w:eastAsia="Times New Roman" w:cs="Times New Roman"/>
                <w:spacing w:val="3"/>
              </w:rPr>
              <w:t>E111°3′22.36752″</w:t>
            </w:r>
            <w:r>
              <w:rPr>
                <w:spacing w:val="3"/>
              </w:rPr>
              <w:t>，</w:t>
            </w:r>
            <w:r>
              <w:rPr>
                <w:rFonts w:ascii="Times New Roman" w:hAnsi="Times New Roman" w:eastAsia="Times New Roman" w:cs="Times New Roman"/>
                <w:spacing w:val="3"/>
              </w:rPr>
              <w:t>N27°4′46.3150</w:t>
            </w:r>
            <w:r>
              <w:rPr>
                <w:rFonts w:ascii="Times New Roman" w:hAnsi="Times New Roman" w:eastAsia="Times New Roman" w:cs="Times New Roman"/>
                <w:spacing w:val="2"/>
              </w:rPr>
              <w:t>56″</w:t>
            </w:r>
          </w:p>
        </w:tc>
      </w:tr>
    </w:tbl>
    <w:p w14:paraId="38D4AF47">
      <w:pPr>
        <w:pStyle w:val="2"/>
      </w:pPr>
    </w:p>
    <w:p w14:paraId="11EBA5AB">
      <w:pPr>
        <w:sectPr>
          <w:headerReference r:id="rId113" w:type="default"/>
          <w:footerReference r:id="rId114" w:type="default"/>
          <w:pgSz w:w="11907" w:h="16840"/>
          <w:pgMar w:top="1132" w:right="1642" w:bottom="1259" w:left="1671" w:header="829" w:footer="1097" w:gutter="0"/>
          <w:cols w:space="720" w:num="1"/>
        </w:sectPr>
      </w:pPr>
    </w:p>
    <w:p w14:paraId="58F0CC31">
      <w:pPr>
        <w:spacing w:before="42"/>
      </w:pPr>
    </w:p>
    <w:tbl>
      <w:tblPr>
        <w:tblStyle w:val="5"/>
        <w:tblW w:w="853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1853"/>
        <w:gridCol w:w="5982"/>
      </w:tblGrid>
      <w:tr w14:paraId="14B80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700" w:type="dxa"/>
            <w:tcBorders>
              <w:top w:val="single" w:color="000000" w:sz="10" w:space="0"/>
              <w:left w:val="single" w:color="000000" w:sz="10" w:space="0"/>
            </w:tcBorders>
            <w:vAlign w:val="top"/>
          </w:tcPr>
          <w:p w14:paraId="312EFD30">
            <w:pPr>
              <w:spacing w:before="79" w:line="203" w:lineRule="auto"/>
              <w:ind w:left="276"/>
              <w:rPr>
                <w:rFonts w:ascii="Arial" w:hAnsi="Arial" w:eastAsia="Arial" w:cs="Arial"/>
                <w:sz w:val="20"/>
                <w:szCs w:val="20"/>
              </w:rPr>
            </w:pPr>
            <w:r>
              <w:rPr>
                <w:rFonts w:ascii="Arial" w:hAnsi="Arial" w:eastAsia="Arial" w:cs="Arial"/>
                <w:spacing w:val="2"/>
                <w:sz w:val="20"/>
                <w:szCs w:val="20"/>
              </w:rPr>
              <w:t>4</w:t>
            </w:r>
          </w:p>
        </w:tc>
        <w:tc>
          <w:tcPr>
            <w:tcW w:w="1853" w:type="dxa"/>
            <w:tcBorders>
              <w:top w:val="single" w:color="000000" w:sz="10" w:space="0"/>
            </w:tcBorders>
            <w:vAlign w:val="top"/>
          </w:tcPr>
          <w:p w14:paraId="18A53F25">
            <w:pPr>
              <w:pStyle w:val="6"/>
              <w:spacing w:before="52" w:line="213" w:lineRule="auto"/>
              <w:ind w:left="398"/>
            </w:pPr>
            <w:r>
              <w:rPr>
                <w:spacing w:val="8"/>
              </w:rPr>
              <w:t>排污口类型</w:t>
            </w:r>
          </w:p>
        </w:tc>
        <w:tc>
          <w:tcPr>
            <w:tcW w:w="5982" w:type="dxa"/>
            <w:tcBorders>
              <w:top w:val="single" w:color="000000" w:sz="10" w:space="0"/>
              <w:right w:val="single" w:color="000000" w:sz="10" w:space="0"/>
            </w:tcBorders>
            <w:vAlign w:val="top"/>
          </w:tcPr>
          <w:p w14:paraId="62EA75D2">
            <w:pPr>
              <w:pStyle w:val="6"/>
              <w:spacing w:before="52" w:line="213" w:lineRule="auto"/>
              <w:ind w:left="19"/>
            </w:pPr>
            <w:r>
              <w:rPr>
                <w:spacing w:val="8"/>
              </w:rPr>
              <w:t>工业废水入河排污口</w:t>
            </w:r>
          </w:p>
        </w:tc>
      </w:tr>
      <w:tr w14:paraId="099DB1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700" w:type="dxa"/>
            <w:tcBorders>
              <w:left w:val="single" w:color="000000" w:sz="10" w:space="0"/>
            </w:tcBorders>
            <w:vAlign w:val="top"/>
          </w:tcPr>
          <w:p w14:paraId="01C5EFF1">
            <w:pPr>
              <w:spacing w:before="11" w:line="268" w:lineRule="exact"/>
              <w:ind w:left="282"/>
              <w:rPr>
                <w:rFonts w:ascii="Arial" w:hAnsi="Arial" w:eastAsia="Arial" w:cs="Arial"/>
                <w:sz w:val="20"/>
                <w:szCs w:val="20"/>
              </w:rPr>
            </w:pPr>
            <w:r>
              <w:rPr>
                <w:rFonts w:ascii="Arial" w:hAnsi="Arial" w:eastAsia="Arial" w:cs="Arial"/>
                <w:position w:val="1"/>
                <w:sz w:val="20"/>
                <w:szCs w:val="20"/>
              </w:rPr>
              <w:t>5</w:t>
            </w:r>
          </w:p>
        </w:tc>
        <w:tc>
          <w:tcPr>
            <w:tcW w:w="1853" w:type="dxa"/>
            <w:vAlign w:val="top"/>
          </w:tcPr>
          <w:p w14:paraId="223F0F37">
            <w:pPr>
              <w:pStyle w:val="6"/>
              <w:spacing w:before="49" w:line="212" w:lineRule="auto"/>
              <w:ind w:left="503"/>
            </w:pPr>
            <w:r>
              <w:rPr>
                <w:spacing w:val="7"/>
              </w:rPr>
              <w:t>排放方式</w:t>
            </w:r>
          </w:p>
        </w:tc>
        <w:tc>
          <w:tcPr>
            <w:tcW w:w="5982" w:type="dxa"/>
            <w:tcBorders>
              <w:right w:val="single" w:color="000000" w:sz="10" w:space="0"/>
            </w:tcBorders>
            <w:vAlign w:val="top"/>
          </w:tcPr>
          <w:p w14:paraId="57EA9942">
            <w:pPr>
              <w:pStyle w:val="6"/>
              <w:spacing w:before="49" w:line="212" w:lineRule="auto"/>
              <w:ind w:left="17"/>
            </w:pPr>
            <w:r>
              <w:rPr>
                <w:spacing w:val="7"/>
              </w:rPr>
              <w:t>连续排放</w:t>
            </w:r>
          </w:p>
        </w:tc>
      </w:tr>
      <w:tr w14:paraId="4685CF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700" w:type="dxa"/>
            <w:tcBorders>
              <w:left w:val="single" w:color="000000" w:sz="10" w:space="0"/>
            </w:tcBorders>
            <w:vAlign w:val="top"/>
          </w:tcPr>
          <w:p w14:paraId="339DC1B1">
            <w:pPr>
              <w:spacing w:before="15" w:line="264" w:lineRule="exact"/>
              <w:ind w:left="281"/>
              <w:rPr>
                <w:rFonts w:ascii="Arial" w:hAnsi="Arial" w:eastAsia="Arial" w:cs="Arial"/>
                <w:sz w:val="20"/>
                <w:szCs w:val="20"/>
              </w:rPr>
            </w:pPr>
            <w:r>
              <w:rPr>
                <w:rFonts w:ascii="Arial" w:hAnsi="Arial" w:eastAsia="Arial" w:cs="Arial"/>
                <w:position w:val="1"/>
                <w:sz w:val="20"/>
                <w:szCs w:val="20"/>
              </w:rPr>
              <w:t>6</w:t>
            </w:r>
          </w:p>
        </w:tc>
        <w:tc>
          <w:tcPr>
            <w:tcW w:w="1853" w:type="dxa"/>
            <w:vAlign w:val="top"/>
          </w:tcPr>
          <w:p w14:paraId="62A885CC">
            <w:pPr>
              <w:pStyle w:val="6"/>
              <w:spacing w:before="52" w:line="209" w:lineRule="auto"/>
              <w:ind w:left="503"/>
            </w:pPr>
            <w:r>
              <w:rPr>
                <w:spacing w:val="7"/>
              </w:rPr>
              <w:t>入河方式</w:t>
            </w:r>
          </w:p>
        </w:tc>
        <w:tc>
          <w:tcPr>
            <w:tcW w:w="5982" w:type="dxa"/>
            <w:tcBorders>
              <w:right w:val="single" w:color="000000" w:sz="10" w:space="0"/>
            </w:tcBorders>
            <w:vAlign w:val="top"/>
          </w:tcPr>
          <w:p w14:paraId="555C85B3">
            <w:pPr>
              <w:pStyle w:val="6"/>
              <w:spacing w:before="52" w:line="209" w:lineRule="auto"/>
              <w:ind w:left="21"/>
            </w:pPr>
            <w:r>
              <w:rPr>
                <w:spacing w:val="2"/>
              </w:rPr>
              <w:t>管道</w:t>
            </w:r>
          </w:p>
        </w:tc>
      </w:tr>
      <w:tr w14:paraId="1CDB4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700" w:type="dxa"/>
            <w:tcBorders>
              <w:left w:val="single" w:color="000000" w:sz="10" w:space="0"/>
            </w:tcBorders>
            <w:vAlign w:val="top"/>
          </w:tcPr>
          <w:p w14:paraId="2A5A2B50">
            <w:pPr>
              <w:spacing w:before="222" w:line="201" w:lineRule="auto"/>
              <w:ind w:left="283"/>
              <w:rPr>
                <w:rFonts w:ascii="Arial" w:hAnsi="Arial" w:eastAsia="Arial" w:cs="Arial"/>
                <w:sz w:val="20"/>
                <w:szCs w:val="20"/>
              </w:rPr>
            </w:pPr>
            <w:r>
              <w:rPr>
                <w:rFonts w:ascii="Arial" w:hAnsi="Arial" w:eastAsia="Arial" w:cs="Arial"/>
                <w:sz w:val="20"/>
                <w:szCs w:val="20"/>
              </w:rPr>
              <w:t>7</w:t>
            </w:r>
          </w:p>
        </w:tc>
        <w:tc>
          <w:tcPr>
            <w:tcW w:w="1853" w:type="dxa"/>
            <w:vAlign w:val="top"/>
          </w:tcPr>
          <w:p w14:paraId="7BEE54E7">
            <w:pPr>
              <w:pStyle w:val="6"/>
              <w:spacing w:before="57" w:line="228" w:lineRule="auto"/>
              <w:ind w:left="83"/>
            </w:pPr>
            <w:r>
              <w:rPr>
                <w:spacing w:val="8"/>
              </w:rPr>
              <w:t>入河排污口设置单</w:t>
            </w:r>
          </w:p>
          <w:p w14:paraId="7F30E6D2">
            <w:pPr>
              <w:pStyle w:val="6"/>
              <w:spacing w:before="26" w:line="202" w:lineRule="auto"/>
              <w:ind w:left="818"/>
            </w:pPr>
            <w:r>
              <w:t>位</w:t>
            </w:r>
          </w:p>
        </w:tc>
        <w:tc>
          <w:tcPr>
            <w:tcW w:w="5982" w:type="dxa"/>
            <w:tcBorders>
              <w:right w:val="single" w:color="000000" w:sz="10" w:space="0"/>
            </w:tcBorders>
            <w:vAlign w:val="top"/>
          </w:tcPr>
          <w:p w14:paraId="4A2A46E0">
            <w:pPr>
              <w:pStyle w:val="6"/>
              <w:spacing w:before="193" w:line="228" w:lineRule="auto"/>
              <w:ind w:left="29"/>
            </w:pPr>
            <w:r>
              <w:rPr>
                <w:spacing w:val="8"/>
              </w:rPr>
              <w:t>隆回县工业园开发建设投资有限公司</w:t>
            </w:r>
          </w:p>
        </w:tc>
      </w:tr>
      <w:tr w14:paraId="4DB051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700" w:type="dxa"/>
            <w:tcBorders>
              <w:left w:val="single" w:color="000000" w:sz="10" w:space="0"/>
              <w:bottom w:val="single" w:color="000000" w:sz="10" w:space="0"/>
            </w:tcBorders>
            <w:vAlign w:val="top"/>
          </w:tcPr>
          <w:p w14:paraId="6043585F">
            <w:pPr>
              <w:spacing w:before="256" w:line="285" w:lineRule="exact"/>
              <w:ind w:left="282"/>
              <w:rPr>
                <w:rFonts w:ascii="Arial" w:hAnsi="Arial" w:eastAsia="Arial" w:cs="Arial"/>
                <w:sz w:val="20"/>
                <w:szCs w:val="20"/>
              </w:rPr>
            </w:pPr>
            <w:r>
              <w:rPr>
                <w:rFonts w:ascii="Arial" w:hAnsi="Arial" w:eastAsia="Arial" w:cs="Arial"/>
                <w:position w:val="1"/>
                <w:sz w:val="20"/>
                <w:szCs w:val="20"/>
              </w:rPr>
              <w:t>8</w:t>
            </w:r>
          </w:p>
        </w:tc>
        <w:tc>
          <w:tcPr>
            <w:tcW w:w="1853" w:type="dxa"/>
            <w:tcBorders>
              <w:bottom w:val="single" w:color="000000" w:sz="10" w:space="0"/>
            </w:tcBorders>
            <w:vAlign w:val="top"/>
          </w:tcPr>
          <w:p w14:paraId="0ED0EE64">
            <w:pPr>
              <w:pStyle w:val="6"/>
              <w:spacing w:before="157" w:line="252" w:lineRule="auto"/>
              <w:ind w:left="83" w:right="94"/>
            </w:pPr>
            <w:r>
              <w:rPr>
                <w:spacing w:val="8"/>
              </w:rPr>
              <w:t>入河排污口设置审批单位及监督电话</w:t>
            </w:r>
          </w:p>
        </w:tc>
        <w:tc>
          <w:tcPr>
            <w:tcW w:w="5982" w:type="dxa"/>
            <w:tcBorders>
              <w:bottom w:val="single" w:color="000000" w:sz="10" w:space="0"/>
              <w:right w:val="single" w:color="000000" w:sz="10" w:space="0"/>
            </w:tcBorders>
            <w:vAlign w:val="top"/>
          </w:tcPr>
          <w:p w14:paraId="0AD5769F">
            <w:pPr>
              <w:pStyle w:val="6"/>
              <w:spacing w:before="256" w:line="285" w:lineRule="exact"/>
              <w:ind w:left="16"/>
              <w:rPr>
                <w:rFonts w:ascii="Arial" w:hAnsi="Arial" w:eastAsia="Arial" w:cs="Arial"/>
              </w:rPr>
            </w:pPr>
            <w:r>
              <w:rPr>
                <w:spacing w:val="6"/>
                <w:position w:val="1"/>
              </w:rPr>
              <w:t>邵阳市生态环境局监督电话</w:t>
            </w:r>
            <w:r>
              <w:rPr>
                <w:rFonts w:ascii="Arial" w:hAnsi="Arial" w:eastAsia="Arial" w:cs="Arial"/>
                <w:spacing w:val="6"/>
                <w:position w:val="1"/>
              </w:rPr>
              <w:t>12369</w:t>
            </w:r>
          </w:p>
        </w:tc>
      </w:tr>
    </w:tbl>
    <w:p w14:paraId="665CD935">
      <w:pPr>
        <w:spacing w:before="36" w:line="219" w:lineRule="auto"/>
        <w:ind w:left="38"/>
        <w:outlineLvl w:val="2"/>
        <w:rPr>
          <w:rFonts w:ascii="宋体" w:hAnsi="宋体" w:eastAsia="宋体" w:cs="宋体"/>
          <w:sz w:val="24"/>
          <w:szCs w:val="24"/>
        </w:rPr>
      </w:pPr>
      <w:r>
        <w:rPr>
          <w:rFonts w:ascii="Times New Roman" w:hAnsi="Times New Roman" w:eastAsia="Times New Roman" w:cs="Times New Roman"/>
          <w:b/>
          <w:bCs/>
          <w:spacing w:val="-2"/>
          <w:sz w:val="24"/>
          <w:szCs w:val="24"/>
        </w:rPr>
        <w:t>6.1.2.</w:t>
      </w:r>
      <w:r>
        <w:rPr>
          <w:rFonts w:ascii="宋体" w:hAnsi="宋体" w:eastAsia="宋体" w:cs="宋体"/>
          <w:b/>
          <w:bCs/>
          <w:spacing w:val="-2"/>
          <w:sz w:val="24"/>
          <w:szCs w:val="24"/>
        </w:rPr>
        <w:t>入河排污口管理要求</w:t>
      </w:r>
    </w:p>
    <w:p w14:paraId="0CC3E379">
      <w:pPr>
        <w:spacing w:before="183" w:line="312" w:lineRule="auto"/>
        <w:ind w:left="39" w:right="80"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）监测及排污量统计工作须符合《水环境监测规范》（</w:t>
      </w:r>
      <w:r>
        <w:rPr>
          <w:rFonts w:ascii="Times New Roman" w:hAnsi="Times New Roman" w:eastAsia="Times New Roman" w:cs="Times New Roman"/>
          <w:sz w:val="24"/>
          <w:szCs w:val="24"/>
        </w:rPr>
        <w:t>SL</w:t>
      </w:r>
      <w:r>
        <w:rPr>
          <w:rFonts w:ascii="Times New Roman" w:hAnsi="Times New Roman" w:eastAsia="Times New Roman" w:cs="Times New Roman"/>
          <w:spacing w:val="1"/>
          <w:sz w:val="24"/>
          <w:szCs w:val="24"/>
        </w:rPr>
        <w:t>219</w:t>
      </w:r>
      <w:r>
        <w:rPr>
          <w:rFonts w:ascii="宋体" w:hAnsi="宋体" w:eastAsia="宋体" w:cs="宋体"/>
          <w:spacing w:val="1"/>
          <w:sz w:val="24"/>
          <w:szCs w:val="24"/>
        </w:rPr>
        <w:t>）及《入河</w:t>
      </w:r>
      <w:r>
        <w:rPr>
          <w:rFonts w:ascii="宋体" w:hAnsi="宋体" w:eastAsia="宋体" w:cs="宋体"/>
          <w:spacing w:val="-2"/>
          <w:sz w:val="24"/>
          <w:szCs w:val="24"/>
        </w:rPr>
        <w:t>排污量统计技术规程》（</w:t>
      </w:r>
      <w:r>
        <w:rPr>
          <w:rFonts w:ascii="Times New Roman" w:hAnsi="Times New Roman" w:eastAsia="Times New Roman" w:cs="Times New Roman"/>
          <w:spacing w:val="-2"/>
          <w:sz w:val="24"/>
          <w:szCs w:val="24"/>
        </w:rPr>
        <w:t>SL662</w:t>
      </w:r>
      <w:r>
        <w:rPr>
          <w:rFonts w:ascii="宋体" w:hAnsi="宋体" w:eastAsia="宋体" w:cs="宋体"/>
          <w:spacing w:val="-2"/>
          <w:sz w:val="24"/>
          <w:szCs w:val="24"/>
        </w:rPr>
        <w:t>）等有关要求，水质检测数据应由具备计量认证资质的检测机构出具。</w:t>
      </w:r>
    </w:p>
    <w:p w14:paraId="781E205F">
      <w:pPr>
        <w:spacing w:before="183" w:line="312" w:lineRule="auto"/>
        <w:ind w:left="43" w:firstLine="487"/>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）污水排放单位需要为入河排污口建立档案，并按要求认真填写有关内容。</w:t>
      </w:r>
      <w:r>
        <w:rPr>
          <w:rFonts w:ascii="宋体" w:hAnsi="宋体" w:eastAsia="宋体" w:cs="宋体"/>
          <w:spacing w:val="3"/>
          <w:sz w:val="24"/>
          <w:szCs w:val="24"/>
        </w:rPr>
        <w:t>如：排污单位名称，入河排污口性质及编号，入</w:t>
      </w:r>
      <w:r>
        <w:rPr>
          <w:rFonts w:ascii="宋体" w:hAnsi="宋体" w:eastAsia="宋体" w:cs="宋体"/>
          <w:spacing w:val="2"/>
          <w:sz w:val="24"/>
          <w:szCs w:val="24"/>
        </w:rPr>
        <w:t>河排污口地理位置，排放主要污</w:t>
      </w:r>
      <w:r>
        <w:rPr>
          <w:rFonts w:ascii="宋体" w:hAnsi="宋体" w:eastAsia="宋体" w:cs="宋体"/>
          <w:sz w:val="24"/>
          <w:szCs w:val="24"/>
        </w:rPr>
        <w:t>染物种类、数量、浓度，排放去向，立标情</w:t>
      </w:r>
      <w:r>
        <w:rPr>
          <w:rFonts w:ascii="宋体" w:hAnsi="宋体" w:eastAsia="宋体" w:cs="宋体"/>
          <w:spacing w:val="-1"/>
          <w:sz w:val="24"/>
          <w:szCs w:val="24"/>
        </w:rPr>
        <w:t>况，设施运行情况及整改意见等。</w:t>
      </w:r>
    </w:p>
    <w:p w14:paraId="773C664F">
      <w:pPr>
        <w:spacing w:before="184" w:line="312" w:lineRule="auto"/>
        <w:ind w:left="39" w:right="78" w:firstLine="49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）规范化入河排污口的相关设施（如：计量、监控装置、标志牌等</w:t>
      </w:r>
      <w:r>
        <w:rPr>
          <w:rFonts w:ascii="宋体" w:hAnsi="宋体" w:eastAsia="宋体" w:cs="宋体"/>
          <w:spacing w:val="12"/>
          <w:sz w:val="24"/>
          <w:szCs w:val="24"/>
        </w:rPr>
        <w:t>），</w:t>
      </w:r>
      <w:r>
        <w:rPr>
          <w:rFonts w:ascii="宋体" w:hAnsi="宋体" w:eastAsia="宋体" w:cs="宋体"/>
          <w:spacing w:val="-2"/>
          <w:sz w:val="24"/>
          <w:szCs w:val="24"/>
        </w:rPr>
        <w:t>生</w:t>
      </w:r>
      <w:r>
        <w:rPr>
          <w:rFonts w:ascii="宋体" w:hAnsi="宋体" w:eastAsia="宋体" w:cs="宋体"/>
          <w:spacing w:val="3"/>
          <w:sz w:val="24"/>
          <w:szCs w:val="24"/>
        </w:rPr>
        <w:t>态环境部门应按照有关环境保护设施监督管理规定，加</w:t>
      </w:r>
      <w:r>
        <w:rPr>
          <w:rFonts w:ascii="宋体" w:hAnsi="宋体" w:eastAsia="宋体" w:cs="宋体"/>
          <w:spacing w:val="2"/>
          <w:sz w:val="24"/>
          <w:szCs w:val="24"/>
        </w:rPr>
        <w:t>强日常监督管理。排污单</w:t>
      </w:r>
      <w:r>
        <w:rPr>
          <w:rFonts w:ascii="宋体" w:hAnsi="宋体" w:eastAsia="宋体" w:cs="宋体"/>
          <w:sz w:val="24"/>
          <w:szCs w:val="24"/>
        </w:rPr>
        <w:t>位应将环境保护设施纳入本单位设备管理，制定相应</w:t>
      </w:r>
      <w:r>
        <w:rPr>
          <w:rFonts w:ascii="宋体" w:hAnsi="宋体" w:eastAsia="宋体" w:cs="宋体"/>
          <w:spacing w:val="-1"/>
          <w:sz w:val="24"/>
          <w:szCs w:val="24"/>
        </w:rPr>
        <w:t>的管理办法和规章制度。</w:t>
      </w:r>
    </w:p>
    <w:p w14:paraId="7635273A">
      <w:pPr>
        <w:spacing w:before="181" w:line="219" w:lineRule="auto"/>
        <w:ind w:left="53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）及时申请入河排污口设置验收，完善设置管理手续。</w:t>
      </w:r>
    </w:p>
    <w:p w14:paraId="39829870">
      <w:pPr>
        <w:spacing w:before="182" w:line="290" w:lineRule="auto"/>
        <w:ind w:left="37" w:right="80" w:firstLine="493"/>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）排污单位应选派责任心强，有专业知识和技能的专职人员对</w:t>
      </w:r>
      <w:r>
        <w:rPr>
          <w:rFonts w:ascii="宋体" w:hAnsi="宋体" w:eastAsia="宋体" w:cs="宋体"/>
          <w:spacing w:val="-2"/>
          <w:sz w:val="24"/>
          <w:szCs w:val="24"/>
        </w:rPr>
        <w:t>入河排污口</w:t>
      </w:r>
      <w:r>
        <w:rPr>
          <w:rFonts w:ascii="宋体" w:hAnsi="宋体" w:eastAsia="宋体" w:cs="宋体"/>
          <w:spacing w:val="-1"/>
          <w:sz w:val="24"/>
          <w:szCs w:val="24"/>
        </w:rPr>
        <w:t>进行管理，做到责任明确、奖罚分明。</w:t>
      </w:r>
    </w:p>
    <w:p w14:paraId="0F92DA78">
      <w:pPr>
        <w:spacing w:before="186" w:line="220" w:lineRule="auto"/>
        <w:ind w:left="40"/>
        <w:outlineLvl w:val="1"/>
        <w:rPr>
          <w:rFonts w:ascii="宋体" w:hAnsi="宋体" w:eastAsia="宋体" w:cs="宋体"/>
          <w:sz w:val="28"/>
          <w:szCs w:val="28"/>
        </w:rPr>
      </w:pPr>
      <w:bookmarkStart w:id="33" w:name="bookmark30"/>
      <w:bookmarkEnd w:id="33"/>
      <w:r>
        <w:rPr>
          <w:rFonts w:ascii="Times New Roman" w:hAnsi="Times New Roman" w:eastAsia="Times New Roman" w:cs="Times New Roman"/>
          <w:b/>
          <w:bCs/>
          <w:spacing w:val="-2"/>
          <w:sz w:val="28"/>
          <w:szCs w:val="28"/>
        </w:rPr>
        <w:t>6.2</w:t>
      </w:r>
      <w:r>
        <w:rPr>
          <w:rFonts w:ascii="宋体" w:hAnsi="宋体" w:eastAsia="宋体" w:cs="宋体"/>
          <w:b/>
          <w:bCs/>
          <w:spacing w:val="-2"/>
          <w:sz w:val="28"/>
          <w:szCs w:val="28"/>
        </w:rPr>
        <w:t>水功能区（水域）纳污能力、限制排污</w:t>
      </w:r>
      <w:r>
        <w:rPr>
          <w:rFonts w:ascii="宋体" w:hAnsi="宋体" w:eastAsia="宋体" w:cs="宋体"/>
          <w:b/>
          <w:bCs/>
          <w:spacing w:val="-3"/>
          <w:sz w:val="28"/>
          <w:szCs w:val="28"/>
        </w:rPr>
        <w:t>总量</w:t>
      </w:r>
    </w:p>
    <w:p w14:paraId="514F03EC">
      <w:pPr>
        <w:spacing w:before="207" w:line="359" w:lineRule="auto"/>
        <w:ind w:left="39" w:right="18" w:firstLine="482"/>
        <w:jc w:val="both"/>
        <w:rPr>
          <w:rFonts w:ascii="宋体" w:hAnsi="宋体" w:eastAsia="宋体" w:cs="宋体"/>
          <w:sz w:val="24"/>
          <w:szCs w:val="24"/>
        </w:rPr>
      </w:pPr>
      <w:r>
        <w:rPr>
          <w:rFonts w:ascii="宋体" w:hAnsi="宋体" w:eastAsia="宋体" w:cs="宋体"/>
          <w:spacing w:val="-3"/>
          <w:sz w:val="24"/>
          <w:szCs w:val="24"/>
        </w:rPr>
        <w:t>水功能区纳污能力是指在设计水文条件下，满足计算水域的水质目标要求时，</w:t>
      </w:r>
      <w:r>
        <w:rPr>
          <w:rFonts w:ascii="宋体" w:hAnsi="宋体" w:eastAsia="宋体" w:cs="宋体"/>
          <w:sz w:val="24"/>
          <w:szCs w:val="24"/>
        </w:rPr>
        <w:t>水体所能容纳的某种污染物的最大数量。其大小与水体</w:t>
      </w:r>
      <w:r>
        <w:rPr>
          <w:rFonts w:ascii="宋体" w:hAnsi="宋体" w:eastAsia="宋体" w:cs="宋体"/>
          <w:spacing w:val="-1"/>
          <w:sz w:val="24"/>
          <w:szCs w:val="24"/>
        </w:rPr>
        <w:t>特征、水质目标及污染物特性有关，通常以单位时间内水体所能承受的污染物总量表示。</w:t>
      </w:r>
    </w:p>
    <w:p w14:paraId="697EF9F3">
      <w:pPr>
        <w:spacing w:before="1" w:line="220" w:lineRule="auto"/>
        <w:ind w:left="38"/>
        <w:outlineLvl w:val="2"/>
        <w:rPr>
          <w:rFonts w:ascii="宋体" w:hAnsi="宋体" w:eastAsia="宋体" w:cs="宋体"/>
          <w:sz w:val="24"/>
          <w:szCs w:val="24"/>
        </w:rPr>
      </w:pPr>
      <w:r>
        <w:rPr>
          <w:rFonts w:ascii="Times New Roman" w:hAnsi="Times New Roman" w:eastAsia="Times New Roman" w:cs="Times New Roman"/>
          <w:b/>
          <w:bCs/>
          <w:spacing w:val="-2"/>
          <w:sz w:val="24"/>
          <w:szCs w:val="24"/>
        </w:rPr>
        <w:t>6.2.1</w:t>
      </w:r>
      <w:r>
        <w:rPr>
          <w:rFonts w:ascii="宋体" w:hAnsi="宋体" w:eastAsia="宋体" w:cs="宋体"/>
          <w:b/>
          <w:bCs/>
          <w:spacing w:val="-2"/>
          <w:sz w:val="24"/>
          <w:szCs w:val="24"/>
        </w:rPr>
        <w:t>控制指标</w:t>
      </w:r>
    </w:p>
    <w:p w14:paraId="51FC83BE">
      <w:pPr>
        <w:spacing w:before="179" w:line="359" w:lineRule="auto"/>
        <w:ind w:left="48" w:right="80" w:firstLine="470"/>
        <w:rPr>
          <w:rFonts w:ascii="宋体" w:hAnsi="宋体" w:eastAsia="宋体" w:cs="宋体"/>
          <w:sz w:val="24"/>
          <w:szCs w:val="24"/>
        </w:rPr>
      </w:pPr>
      <w:r>
        <w:rPr>
          <w:rFonts w:ascii="宋体" w:hAnsi="宋体" w:eastAsia="宋体" w:cs="宋体"/>
          <w:spacing w:val="-1"/>
          <w:sz w:val="24"/>
          <w:szCs w:val="24"/>
        </w:rPr>
        <w:t>根据废水水质特征及总量控制指标，本次论证取</w:t>
      </w:r>
      <w:r>
        <w:rPr>
          <w:rFonts w:ascii="Times New Roman" w:hAnsi="Times New Roman" w:eastAsia="Times New Roman" w:cs="Times New Roman"/>
          <w:spacing w:val="-1"/>
          <w:sz w:val="24"/>
          <w:szCs w:val="24"/>
        </w:rPr>
        <w:t>COD</w:t>
      </w:r>
      <w:r>
        <w:rPr>
          <w:rFonts w:ascii="宋体" w:hAnsi="宋体" w:eastAsia="宋体" w:cs="宋体"/>
          <w:spacing w:val="-1"/>
          <w:sz w:val="24"/>
          <w:szCs w:val="24"/>
        </w:rPr>
        <w:t>、</w:t>
      </w:r>
      <w:r>
        <w:rPr>
          <w:rFonts w:ascii="Times New Roman" w:hAnsi="Times New Roman" w:eastAsia="Times New Roman" w:cs="Times New Roman"/>
          <w:spacing w:val="-1"/>
          <w:sz w:val="24"/>
          <w:szCs w:val="24"/>
        </w:rPr>
        <w:t>NH</w:t>
      </w:r>
      <w:r>
        <w:rPr>
          <w:rFonts w:ascii="Times New Roman" w:hAnsi="Times New Roman" w:eastAsia="Times New Roman" w:cs="Times New Roman"/>
          <w:spacing w:val="-1"/>
          <w:sz w:val="15"/>
          <w:szCs w:val="15"/>
        </w:rPr>
        <w:t>3</w:t>
      </w:r>
      <w:r>
        <w:rPr>
          <w:rFonts w:ascii="Times New Roman" w:hAnsi="Times New Roman" w:eastAsia="Times New Roman" w:cs="Times New Roman"/>
          <w:spacing w:val="-1"/>
          <w:sz w:val="24"/>
          <w:szCs w:val="24"/>
        </w:rPr>
        <w:t>-N</w:t>
      </w:r>
      <w:r>
        <w:rPr>
          <w:rFonts w:ascii="宋体" w:hAnsi="宋体" w:eastAsia="宋体" w:cs="宋体"/>
          <w:spacing w:val="-2"/>
          <w:sz w:val="24"/>
          <w:szCs w:val="24"/>
        </w:rPr>
        <w:t>指标作为纳污</w:t>
      </w:r>
      <w:r>
        <w:rPr>
          <w:rFonts w:ascii="宋体" w:hAnsi="宋体" w:eastAsia="宋体" w:cs="宋体"/>
          <w:spacing w:val="-3"/>
          <w:sz w:val="24"/>
          <w:szCs w:val="24"/>
        </w:rPr>
        <w:t>能力分析指标。</w:t>
      </w:r>
    </w:p>
    <w:p w14:paraId="6B1B8AD4">
      <w:pPr>
        <w:spacing w:before="1" w:line="219" w:lineRule="auto"/>
        <w:ind w:left="38"/>
        <w:outlineLvl w:val="2"/>
        <w:rPr>
          <w:rFonts w:ascii="宋体" w:hAnsi="宋体" w:eastAsia="宋体" w:cs="宋体"/>
          <w:sz w:val="24"/>
          <w:szCs w:val="24"/>
        </w:rPr>
      </w:pPr>
      <w:r>
        <w:rPr>
          <w:rFonts w:ascii="Times New Roman" w:hAnsi="Times New Roman" w:eastAsia="Times New Roman" w:cs="Times New Roman"/>
          <w:b/>
          <w:bCs/>
          <w:spacing w:val="-2"/>
          <w:sz w:val="24"/>
          <w:szCs w:val="24"/>
        </w:rPr>
        <w:t>6.2.2</w:t>
      </w:r>
      <w:r>
        <w:rPr>
          <w:rFonts w:ascii="宋体" w:hAnsi="宋体" w:eastAsia="宋体" w:cs="宋体"/>
          <w:b/>
          <w:bCs/>
          <w:spacing w:val="-2"/>
          <w:sz w:val="24"/>
          <w:szCs w:val="24"/>
        </w:rPr>
        <w:t>计算模型</w:t>
      </w:r>
    </w:p>
    <w:p w14:paraId="70982F62">
      <w:pPr>
        <w:spacing w:before="183" w:line="359" w:lineRule="auto"/>
        <w:ind w:left="44" w:right="80" w:firstLine="475"/>
        <w:rPr>
          <w:rFonts w:ascii="宋体" w:hAnsi="宋体" w:eastAsia="宋体" w:cs="宋体"/>
          <w:sz w:val="24"/>
          <w:szCs w:val="24"/>
        </w:rPr>
      </w:pPr>
      <w:r>
        <w:rPr>
          <w:rFonts w:ascii="宋体" w:hAnsi="宋体" w:eastAsia="宋体" w:cs="宋体"/>
          <w:spacing w:val="1"/>
          <w:sz w:val="24"/>
          <w:szCs w:val="24"/>
        </w:rPr>
        <w:t>根据《水域纳污能力计算规程》（</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/T25137-2010</w:t>
      </w:r>
      <w:r>
        <w:rPr>
          <w:rFonts w:ascii="宋体" w:hAnsi="宋体" w:eastAsia="宋体" w:cs="宋体"/>
          <w:spacing w:val="15"/>
          <w:sz w:val="24"/>
          <w:szCs w:val="24"/>
        </w:rPr>
        <w:t>），</w:t>
      </w:r>
      <w:r>
        <w:rPr>
          <w:rFonts w:ascii="宋体" w:hAnsi="宋体" w:eastAsia="宋体" w:cs="宋体"/>
          <w:spacing w:val="1"/>
          <w:sz w:val="24"/>
          <w:szCs w:val="24"/>
        </w:rPr>
        <w:t>选取河流纳污能力数</w:t>
      </w:r>
      <w:r>
        <w:rPr>
          <w:rFonts w:ascii="宋体" w:hAnsi="宋体" w:eastAsia="宋体" w:cs="宋体"/>
          <w:spacing w:val="-1"/>
          <w:sz w:val="24"/>
          <w:szCs w:val="24"/>
        </w:rPr>
        <w:t>学模型计算法计算项目排污口论证范围的水域纳污能力。</w:t>
      </w:r>
    </w:p>
    <w:p w14:paraId="3D2E9704">
      <w:pPr>
        <w:spacing w:line="360" w:lineRule="auto"/>
        <w:ind w:left="38" w:right="80" w:firstLine="480"/>
        <w:rPr>
          <w:rFonts w:ascii="宋体" w:hAnsi="宋体" w:eastAsia="宋体" w:cs="宋体"/>
          <w:sz w:val="24"/>
          <w:szCs w:val="24"/>
        </w:rPr>
      </w:pPr>
      <w:r>
        <w:rPr>
          <w:rFonts w:ascii="宋体" w:hAnsi="宋体" w:eastAsia="宋体" w:cs="宋体"/>
          <w:spacing w:val="2"/>
          <w:sz w:val="24"/>
          <w:szCs w:val="24"/>
        </w:rPr>
        <w:t>根据《元木山电站竣工环保验收报告》及近</w:t>
      </w:r>
      <w:r>
        <w:rPr>
          <w:rFonts w:ascii="Times New Roman" w:hAnsi="Times New Roman" w:eastAsia="Times New Roman" w:cs="Times New Roman"/>
          <w:spacing w:val="2"/>
          <w:sz w:val="24"/>
          <w:szCs w:val="24"/>
        </w:rPr>
        <w:t>3</w:t>
      </w:r>
      <w:r>
        <w:rPr>
          <w:rFonts w:ascii="宋体" w:hAnsi="宋体" w:eastAsia="宋体" w:cs="宋体"/>
          <w:spacing w:val="2"/>
          <w:sz w:val="24"/>
          <w:szCs w:val="24"/>
        </w:rPr>
        <w:t>年调水记录可知，元木山电站</w:t>
      </w:r>
      <w:r>
        <w:rPr>
          <w:rFonts w:ascii="宋体" w:hAnsi="宋体" w:eastAsia="宋体" w:cs="宋体"/>
          <w:sz w:val="24"/>
          <w:szCs w:val="24"/>
        </w:rPr>
        <w:t>坝址处多年平均流量为</w:t>
      </w:r>
      <w:r>
        <w:rPr>
          <w:rFonts w:ascii="Times New Roman" w:hAnsi="Times New Roman" w:eastAsia="Times New Roman" w:cs="Times New Roman"/>
          <w:sz w:val="24"/>
          <w:szCs w:val="24"/>
        </w:rPr>
        <w:t>172.8m</w:t>
      </w:r>
      <w:r>
        <w:rPr>
          <w:rFonts w:ascii="Times New Roman" w:hAnsi="Times New Roman" w:eastAsia="Times New Roman" w:cs="Times New Roman"/>
          <w:position w:val="7"/>
          <w:sz w:val="15"/>
          <w:szCs w:val="15"/>
        </w:rPr>
        <w:t>3</w:t>
      </w:r>
      <w:r>
        <w:rPr>
          <w:rFonts w:ascii="Times New Roman" w:hAnsi="Times New Roman" w:eastAsia="Times New Roman" w:cs="Times New Roman"/>
          <w:sz w:val="24"/>
          <w:szCs w:val="24"/>
        </w:rPr>
        <w:t>/s</w:t>
      </w:r>
      <w:r>
        <w:rPr>
          <w:rFonts w:ascii="宋体" w:hAnsi="宋体" w:eastAsia="宋体" w:cs="宋体"/>
          <w:sz w:val="24"/>
          <w:szCs w:val="24"/>
        </w:rPr>
        <w:t>(</w:t>
      </w:r>
      <w:r>
        <w:rPr>
          <w:rFonts w:ascii="Times New Roman" w:hAnsi="Times New Roman" w:eastAsia="Times New Roman" w:cs="Times New Roman"/>
          <w:sz w:val="24"/>
          <w:szCs w:val="24"/>
        </w:rPr>
        <w:t>≥150m3</w:t>
      </w:r>
      <w:r>
        <w:rPr>
          <w:rFonts w:ascii="Times New Roman" w:hAnsi="Times New Roman" w:eastAsia="Times New Roman" w:cs="Times New Roman"/>
          <w:spacing w:val="-1"/>
          <w:sz w:val="24"/>
          <w:szCs w:val="24"/>
        </w:rPr>
        <w:t>/s</w:t>
      </w:r>
      <w:r>
        <w:rPr>
          <w:rFonts w:ascii="宋体" w:hAnsi="宋体" w:eastAsia="宋体" w:cs="宋体"/>
          <w:spacing w:val="9"/>
          <w:sz w:val="24"/>
          <w:szCs w:val="24"/>
        </w:rPr>
        <w:t>），</w:t>
      </w:r>
      <w:r>
        <w:rPr>
          <w:rFonts w:ascii="宋体" w:hAnsi="宋体" w:eastAsia="宋体" w:cs="宋体"/>
          <w:spacing w:val="-1"/>
          <w:sz w:val="24"/>
          <w:szCs w:val="24"/>
        </w:rPr>
        <w:t>属于大型河段，历史枯水期月平</w:t>
      </w:r>
    </w:p>
    <w:p w14:paraId="7D67B62A">
      <w:pPr>
        <w:spacing w:line="360" w:lineRule="auto"/>
        <w:rPr>
          <w:rFonts w:ascii="宋体" w:hAnsi="宋体" w:eastAsia="宋体" w:cs="宋体"/>
          <w:sz w:val="24"/>
          <w:szCs w:val="24"/>
        </w:rPr>
        <w:sectPr>
          <w:headerReference r:id="rId115" w:type="default"/>
          <w:footerReference r:id="rId116" w:type="default"/>
          <w:pgSz w:w="11907" w:h="16840"/>
          <w:pgMar w:top="1132" w:right="1621" w:bottom="1259" w:left="1671" w:header="829" w:footer="1097" w:gutter="0"/>
          <w:cols w:space="720" w:num="1"/>
        </w:sectPr>
      </w:pPr>
    </w:p>
    <w:p w14:paraId="542E6CC7">
      <w:pPr>
        <w:pStyle w:val="2"/>
        <w:spacing w:line="241" w:lineRule="auto"/>
      </w:pPr>
    </w:p>
    <w:p w14:paraId="0A553F58">
      <w:pPr>
        <w:spacing w:before="78" w:line="359" w:lineRule="auto"/>
        <w:ind w:left="10"/>
        <w:rPr>
          <w:rFonts w:ascii="宋体" w:hAnsi="宋体" w:eastAsia="宋体" w:cs="宋体"/>
          <w:sz w:val="24"/>
          <w:szCs w:val="24"/>
        </w:rPr>
      </w:pPr>
      <w:r>
        <w:rPr>
          <w:rFonts w:ascii="宋体" w:hAnsi="宋体" w:eastAsia="宋体" w:cs="宋体"/>
          <w:spacing w:val="-4"/>
          <w:sz w:val="24"/>
          <w:szCs w:val="24"/>
        </w:rPr>
        <w:t>均流量为</w:t>
      </w:r>
      <w:r>
        <w:rPr>
          <w:rFonts w:ascii="Times New Roman" w:hAnsi="Times New Roman" w:eastAsia="Times New Roman" w:cs="Times New Roman"/>
          <w:spacing w:val="-4"/>
          <w:sz w:val="24"/>
          <w:szCs w:val="24"/>
        </w:rPr>
        <w:t>66m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sz w:val="24"/>
          <w:szCs w:val="24"/>
        </w:rPr>
        <w:t>/s</w:t>
      </w:r>
      <w:r>
        <w:rPr>
          <w:rFonts w:ascii="宋体" w:hAnsi="宋体" w:eastAsia="宋体" w:cs="宋体"/>
          <w:spacing w:val="-4"/>
          <w:sz w:val="24"/>
          <w:szCs w:val="24"/>
        </w:rPr>
        <w:t>。近</w:t>
      </w:r>
      <w:r>
        <w:rPr>
          <w:rFonts w:ascii="Times New Roman" w:hAnsi="Times New Roman" w:eastAsia="Times New Roman" w:cs="Times New Roman"/>
          <w:spacing w:val="-4"/>
          <w:sz w:val="24"/>
          <w:szCs w:val="24"/>
        </w:rPr>
        <w:t>3</w:t>
      </w:r>
      <w:r>
        <w:rPr>
          <w:rFonts w:ascii="宋体" w:hAnsi="宋体" w:eastAsia="宋体" w:cs="宋体"/>
          <w:spacing w:val="-4"/>
          <w:sz w:val="24"/>
          <w:szCs w:val="24"/>
        </w:rPr>
        <w:t>年来电站调水泄水最小量为</w:t>
      </w:r>
      <w:r>
        <w:rPr>
          <w:rFonts w:ascii="Times New Roman" w:hAnsi="Times New Roman" w:eastAsia="Times New Roman" w:cs="Times New Roman"/>
          <w:spacing w:val="-4"/>
          <w:sz w:val="24"/>
          <w:szCs w:val="24"/>
        </w:rPr>
        <w:t>100m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sz w:val="24"/>
          <w:szCs w:val="24"/>
        </w:rPr>
        <w:t>/s</w:t>
      </w:r>
      <w:r>
        <w:rPr>
          <w:rFonts w:ascii="宋体" w:hAnsi="宋体" w:eastAsia="宋体" w:cs="宋体"/>
          <w:spacing w:val="-4"/>
          <w:sz w:val="24"/>
          <w:szCs w:val="24"/>
        </w:rPr>
        <w:t>，最大泄水量为</w:t>
      </w:r>
      <w:r>
        <w:rPr>
          <w:rFonts w:ascii="Times New Roman" w:hAnsi="Times New Roman" w:eastAsia="Times New Roman" w:cs="Times New Roman"/>
          <w:spacing w:val="-4"/>
          <w:sz w:val="24"/>
          <w:szCs w:val="24"/>
        </w:rPr>
        <w:t>2500m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sz w:val="24"/>
          <w:szCs w:val="24"/>
        </w:rPr>
        <w:t>/s</w:t>
      </w:r>
      <w:r>
        <w:rPr>
          <w:rFonts w:ascii="宋体" w:hAnsi="宋体" w:eastAsia="宋体" w:cs="宋体"/>
          <w:spacing w:val="-4"/>
          <w:sz w:val="24"/>
          <w:szCs w:val="24"/>
        </w:rPr>
        <w:t>，</w:t>
      </w:r>
      <w:r>
        <w:rPr>
          <w:rFonts w:ascii="宋体" w:hAnsi="宋体" w:eastAsia="宋体" w:cs="宋体"/>
          <w:spacing w:val="-2"/>
          <w:sz w:val="24"/>
          <w:szCs w:val="24"/>
        </w:rPr>
        <w:t>生态基流量为</w:t>
      </w:r>
      <w:r>
        <w:rPr>
          <w:rFonts w:ascii="Times New Roman" w:hAnsi="Times New Roman" w:eastAsia="Times New Roman" w:cs="Times New Roman"/>
          <w:spacing w:val="-2"/>
          <w:sz w:val="24"/>
          <w:szCs w:val="24"/>
        </w:rPr>
        <w:t>18m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4"/>
          <w:szCs w:val="24"/>
        </w:rPr>
        <w:t>/s</w:t>
      </w:r>
      <w:r>
        <w:rPr>
          <w:rFonts w:ascii="宋体" w:hAnsi="宋体" w:eastAsia="宋体" w:cs="宋体"/>
          <w:spacing w:val="-2"/>
          <w:sz w:val="24"/>
          <w:szCs w:val="24"/>
        </w:rPr>
        <w:t>。采用河流二维模型对其进行计算。具体计算过程如下：</w:t>
      </w:r>
    </w:p>
    <w:p w14:paraId="3FFBA2E7">
      <w:pPr>
        <w:spacing w:before="3" w:line="349" w:lineRule="auto"/>
        <w:ind w:left="13" w:right="61" w:firstLine="477"/>
        <w:jc w:val="both"/>
        <w:rPr>
          <w:rFonts w:ascii="宋体" w:hAnsi="宋体" w:eastAsia="宋体" w:cs="宋体"/>
          <w:sz w:val="24"/>
          <w:szCs w:val="24"/>
        </w:rPr>
      </w:pPr>
      <w:r>
        <w:rPr>
          <w:rFonts w:ascii="宋体" w:hAnsi="宋体" w:eastAsia="宋体" w:cs="宋体"/>
          <w:sz w:val="24"/>
          <w:szCs w:val="24"/>
        </w:rPr>
        <w:t>本项目污染源岸边点源稳定排放，受纳水体类型</w:t>
      </w:r>
      <w:r>
        <w:rPr>
          <w:rFonts w:ascii="宋体" w:hAnsi="宋体" w:eastAsia="宋体" w:cs="宋体"/>
          <w:spacing w:val="-1"/>
          <w:sz w:val="24"/>
          <w:szCs w:val="24"/>
        </w:rPr>
        <w:t>为大河，水流恒定，垂向均</w:t>
      </w:r>
      <w:r>
        <w:rPr>
          <w:rFonts w:ascii="宋体" w:hAnsi="宋体" w:eastAsia="宋体" w:cs="宋体"/>
          <w:spacing w:val="-2"/>
          <w:sz w:val="24"/>
          <w:szCs w:val="24"/>
        </w:rPr>
        <w:t>匀混合，根据《水域纳污能力计算规程》（</w:t>
      </w:r>
      <w:r>
        <w:rPr>
          <w:rFonts w:ascii="Times New Roman" w:hAnsi="Times New Roman" w:eastAsia="Times New Roman" w:cs="Times New Roman"/>
          <w:spacing w:val="-2"/>
          <w:sz w:val="24"/>
          <w:szCs w:val="24"/>
        </w:rPr>
        <w:t>GBT25173-201</w:t>
      </w:r>
      <w:r>
        <w:rPr>
          <w:rFonts w:ascii="Times New Roman" w:hAnsi="Times New Roman" w:eastAsia="Times New Roman" w:cs="Times New Roman"/>
          <w:spacing w:val="-3"/>
          <w:sz w:val="24"/>
          <w:szCs w:val="24"/>
        </w:rPr>
        <w:t>0</w:t>
      </w:r>
      <w:r>
        <w:rPr>
          <w:rFonts w:ascii="宋体" w:hAnsi="宋体" w:eastAsia="宋体" w:cs="宋体"/>
          <w:spacing w:val="-11"/>
          <w:sz w:val="24"/>
          <w:szCs w:val="24"/>
        </w:rPr>
        <w:t>），</w:t>
      </w:r>
      <w:r>
        <w:rPr>
          <w:rFonts w:ascii="宋体" w:hAnsi="宋体" w:eastAsia="宋体" w:cs="宋体"/>
          <w:spacing w:val="-3"/>
          <w:sz w:val="24"/>
          <w:szCs w:val="24"/>
        </w:rPr>
        <w:t>模型选择为河流二</w:t>
      </w:r>
      <w:r>
        <w:rPr>
          <w:rFonts w:ascii="宋体" w:hAnsi="宋体" w:eastAsia="宋体" w:cs="宋体"/>
          <w:spacing w:val="-1"/>
          <w:sz w:val="24"/>
          <w:szCs w:val="24"/>
        </w:rPr>
        <w:t>维对流扩散方程。计算公式如下：</w:t>
      </w:r>
    </w:p>
    <w:p w14:paraId="74A8ED45">
      <w:pPr>
        <w:spacing w:line="729" w:lineRule="exact"/>
        <w:ind w:firstLine="559"/>
      </w:pPr>
      <w:r>
        <w:rPr>
          <w:position w:val="-14"/>
        </w:rPr>
        <w:drawing>
          <wp:inline distT="0" distB="0" distL="0" distR="0">
            <wp:extent cx="3486785" cy="46291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209"/>
                    <a:stretch>
                      <a:fillRect/>
                    </a:stretch>
                  </pic:blipFill>
                  <pic:spPr>
                    <a:xfrm>
                      <a:off x="0" y="0"/>
                      <a:ext cx="3486911" cy="463295"/>
                    </a:xfrm>
                    <a:prstGeom prst="rect">
                      <a:avLst/>
                    </a:prstGeom>
                  </pic:spPr>
                </pic:pic>
              </a:graphicData>
            </a:graphic>
          </wp:inline>
        </w:drawing>
      </w:r>
    </w:p>
    <w:p w14:paraId="5A15B29D">
      <w:pPr>
        <w:spacing w:before="174" w:line="212" w:lineRule="auto"/>
        <w:ind w:left="494"/>
        <w:rPr>
          <w:rFonts w:ascii="宋体" w:hAnsi="宋体" w:eastAsia="宋体" w:cs="宋体"/>
          <w:sz w:val="24"/>
          <w:szCs w:val="24"/>
        </w:rPr>
      </w:pPr>
      <w:r>
        <w:rPr>
          <w:rFonts w:ascii="宋体" w:hAnsi="宋体" w:eastAsia="宋体" w:cs="宋体"/>
          <w:spacing w:val="-1"/>
          <w:sz w:val="24"/>
          <w:szCs w:val="24"/>
        </w:rPr>
        <w:t>式中：</w:t>
      </w:r>
      <w:r>
        <w:rPr>
          <w:rFonts w:ascii="Times New Roman" w:hAnsi="Times New Roman" w:eastAsia="Times New Roman" w:cs="Times New Roman"/>
          <w:spacing w:val="-1"/>
          <w:sz w:val="24"/>
          <w:szCs w:val="24"/>
        </w:rPr>
        <w:t>C</w:t>
      </w:r>
      <w:r>
        <w:rPr>
          <w:rFonts w:ascii="Times New Roman" w:hAnsi="Times New Roman" w:eastAsia="Times New Roman" w:cs="Times New Roman"/>
          <w:spacing w:val="-1"/>
          <w:sz w:val="15"/>
          <w:szCs w:val="15"/>
        </w:rPr>
        <w:t>0</w:t>
      </w:r>
      <w:r>
        <w:rPr>
          <w:rFonts w:ascii="Times New Roman" w:hAnsi="Times New Roman" w:eastAsia="Times New Roman" w:cs="Times New Roman"/>
          <w:spacing w:val="-1"/>
          <w:sz w:val="24"/>
          <w:szCs w:val="24"/>
        </w:rPr>
        <w:t>--</w:t>
      </w:r>
      <w:r>
        <w:rPr>
          <w:rFonts w:ascii="宋体" w:hAnsi="宋体" w:eastAsia="宋体" w:cs="宋体"/>
          <w:spacing w:val="-1"/>
          <w:sz w:val="24"/>
          <w:szCs w:val="24"/>
        </w:rPr>
        <w:t>初始断面污染物浓度，</w:t>
      </w:r>
      <w:r>
        <w:rPr>
          <w:rFonts w:ascii="Times New Roman" w:hAnsi="Times New Roman" w:eastAsia="Times New Roman" w:cs="Times New Roman"/>
          <w:spacing w:val="-1"/>
          <w:sz w:val="24"/>
          <w:szCs w:val="24"/>
        </w:rPr>
        <w:t>mg/L</w:t>
      </w:r>
      <w:r>
        <w:rPr>
          <w:rFonts w:ascii="宋体" w:hAnsi="宋体" w:eastAsia="宋体" w:cs="宋体"/>
          <w:spacing w:val="-1"/>
          <w:sz w:val="24"/>
          <w:szCs w:val="24"/>
        </w:rPr>
        <w:t>；</w:t>
      </w:r>
    </w:p>
    <w:p w14:paraId="503B1FD6">
      <w:pPr>
        <w:spacing w:before="146" w:line="354" w:lineRule="auto"/>
        <w:ind w:left="3" w:right="61" w:firstLine="1200"/>
        <w:rPr>
          <w:rFonts w:ascii="宋体" w:hAnsi="宋体" w:eastAsia="宋体" w:cs="宋体"/>
          <w:sz w:val="24"/>
          <w:szCs w:val="24"/>
        </w:rPr>
      </w:pPr>
      <w:r>
        <w:rPr>
          <w:rFonts w:ascii="Times New Roman" w:hAnsi="Times New Roman" w:eastAsia="Times New Roman" w:cs="Times New Roman"/>
          <w:spacing w:val="-1"/>
          <w:sz w:val="24"/>
          <w:szCs w:val="24"/>
        </w:rPr>
        <w:t>x--</w:t>
      </w:r>
      <w:r>
        <w:rPr>
          <w:rFonts w:ascii="宋体" w:hAnsi="宋体" w:eastAsia="宋体" w:cs="宋体"/>
          <w:spacing w:val="-1"/>
          <w:sz w:val="24"/>
          <w:szCs w:val="24"/>
        </w:rPr>
        <w:t>河流沿程坐标，单位米，</w:t>
      </w:r>
      <w:r>
        <w:rPr>
          <w:rFonts w:ascii="Times New Roman" w:hAnsi="Times New Roman" w:eastAsia="Times New Roman" w:cs="Times New Roman"/>
          <w:spacing w:val="-1"/>
          <w:sz w:val="24"/>
          <w:szCs w:val="24"/>
        </w:rPr>
        <w:t>m</w:t>
      </w:r>
      <w:r>
        <w:rPr>
          <w:rFonts w:ascii="宋体" w:hAnsi="宋体" w:eastAsia="宋体" w:cs="宋体"/>
          <w:spacing w:val="-1"/>
          <w:sz w:val="24"/>
          <w:szCs w:val="24"/>
        </w:rPr>
        <w:t>。</w:t>
      </w:r>
      <w:r>
        <w:rPr>
          <w:rFonts w:ascii="Times New Roman" w:hAnsi="Times New Roman" w:eastAsia="Times New Roman" w:cs="Times New Roman"/>
          <w:spacing w:val="-1"/>
          <w:sz w:val="24"/>
          <w:szCs w:val="24"/>
        </w:rPr>
        <w:t>x=0</w:t>
      </w:r>
      <w:r>
        <w:rPr>
          <w:rFonts w:ascii="宋体" w:hAnsi="宋体" w:eastAsia="宋体" w:cs="宋体"/>
          <w:spacing w:val="-1"/>
          <w:sz w:val="24"/>
          <w:szCs w:val="24"/>
        </w:rPr>
        <w:t>指排放口处，</w:t>
      </w:r>
      <w:r>
        <w:rPr>
          <w:rFonts w:ascii="Times New Roman" w:hAnsi="Times New Roman" w:eastAsia="Times New Roman" w:cs="Times New Roman"/>
          <w:spacing w:val="-1"/>
          <w:sz w:val="24"/>
          <w:szCs w:val="24"/>
        </w:rPr>
        <w:t>x&gt;0</w:t>
      </w:r>
      <w:r>
        <w:rPr>
          <w:rFonts w:ascii="宋体" w:hAnsi="宋体" w:eastAsia="宋体" w:cs="宋体"/>
          <w:spacing w:val="-1"/>
          <w:sz w:val="24"/>
          <w:szCs w:val="24"/>
        </w:rPr>
        <w:t>指排放口下</w:t>
      </w:r>
      <w:r>
        <w:rPr>
          <w:rFonts w:ascii="宋体" w:hAnsi="宋体" w:eastAsia="宋体" w:cs="宋体"/>
          <w:spacing w:val="-2"/>
          <w:sz w:val="24"/>
          <w:szCs w:val="24"/>
        </w:rPr>
        <w:t>游段</w:t>
      </w:r>
      <w:r>
        <w:rPr>
          <w:rFonts w:ascii="Times New Roman" w:hAnsi="Times New Roman" w:eastAsia="Times New Roman" w:cs="Times New Roman"/>
          <w:spacing w:val="-1"/>
          <w:sz w:val="24"/>
          <w:szCs w:val="24"/>
        </w:rPr>
        <w:t>x&lt;0</w:t>
      </w:r>
      <w:r>
        <w:rPr>
          <w:rFonts w:ascii="宋体" w:hAnsi="宋体" w:eastAsia="宋体" w:cs="宋体"/>
          <w:spacing w:val="-1"/>
          <w:sz w:val="24"/>
          <w:szCs w:val="24"/>
        </w:rPr>
        <w:t>值排放口上游段；</w:t>
      </w:r>
    </w:p>
    <w:p w14:paraId="30EB9869">
      <w:pPr>
        <w:spacing w:before="56" w:line="212" w:lineRule="auto"/>
        <w:ind w:left="1202"/>
        <w:rPr>
          <w:rFonts w:ascii="宋体" w:hAnsi="宋体" w:eastAsia="宋体" w:cs="宋体"/>
          <w:sz w:val="24"/>
          <w:szCs w:val="24"/>
        </w:rPr>
      </w:pPr>
      <w:r>
        <w:rPr>
          <w:rFonts w:ascii="Times New Roman" w:hAnsi="Times New Roman" w:eastAsia="Times New Roman" w:cs="Times New Roman"/>
          <w:spacing w:val="-1"/>
          <w:sz w:val="24"/>
          <w:szCs w:val="24"/>
        </w:rPr>
        <w:t>y--</w:t>
      </w:r>
      <w:r>
        <w:rPr>
          <w:rFonts w:ascii="宋体" w:hAnsi="宋体" w:eastAsia="宋体" w:cs="宋体"/>
          <w:spacing w:val="-1"/>
          <w:sz w:val="24"/>
          <w:szCs w:val="24"/>
        </w:rPr>
        <w:t>计算点到岸边的横向距离，单位为米，</w:t>
      </w:r>
      <w:r>
        <w:rPr>
          <w:rFonts w:ascii="Times New Roman" w:hAnsi="Times New Roman" w:eastAsia="Times New Roman" w:cs="Times New Roman"/>
          <w:spacing w:val="-1"/>
          <w:sz w:val="24"/>
          <w:szCs w:val="24"/>
        </w:rPr>
        <w:t>m</w:t>
      </w:r>
      <w:r>
        <w:rPr>
          <w:rFonts w:ascii="宋体" w:hAnsi="宋体" w:eastAsia="宋体" w:cs="宋体"/>
          <w:spacing w:val="-1"/>
          <w:sz w:val="24"/>
          <w:szCs w:val="24"/>
        </w:rPr>
        <w:t>；</w:t>
      </w:r>
    </w:p>
    <w:p w14:paraId="67D31E8E">
      <w:pPr>
        <w:spacing w:before="192" w:line="210" w:lineRule="auto"/>
        <w:ind w:left="1202"/>
        <w:rPr>
          <w:rFonts w:ascii="宋体" w:hAnsi="宋体" w:eastAsia="宋体" w:cs="宋体"/>
          <w:sz w:val="24"/>
          <w:szCs w:val="24"/>
        </w:rPr>
      </w:pPr>
      <w:r>
        <w:rPr>
          <w:rFonts w:ascii="Times New Roman" w:hAnsi="Times New Roman" w:eastAsia="Times New Roman" w:cs="Times New Roman"/>
          <w:spacing w:val="-1"/>
          <w:sz w:val="24"/>
          <w:szCs w:val="24"/>
        </w:rPr>
        <w:t>m--</w:t>
      </w:r>
      <w:r>
        <w:rPr>
          <w:rFonts w:ascii="宋体" w:hAnsi="宋体" w:eastAsia="宋体" w:cs="宋体"/>
          <w:spacing w:val="-1"/>
          <w:sz w:val="24"/>
          <w:szCs w:val="24"/>
        </w:rPr>
        <w:t>污染物入河速率。单位为克每秒，</w:t>
      </w:r>
      <w:r>
        <w:rPr>
          <w:rFonts w:ascii="Times New Roman" w:hAnsi="Times New Roman" w:eastAsia="Times New Roman" w:cs="Times New Roman"/>
          <w:spacing w:val="-1"/>
          <w:sz w:val="24"/>
          <w:szCs w:val="24"/>
        </w:rPr>
        <w:t>g/s</w:t>
      </w:r>
      <w:r>
        <w:rPr>
          <w:rFonts w:ascii="宋体" w:hAnsi="宋体" w:eastAsia="宋体" w:cs="宋体"/>
          <w:spacing w:val="-1"/>
          <w:sz w:val="24"/>
          <w:szCs w:val="24"/>
        </w:rPr>
        <w:t>；</w:t>
      </w:r>
    </w:p>
    <w:p w14:paraId="6512D6AA">
      <w:pPr>
        <w:spacing w:before="193" w:line="219" w:lineRule="auto"/>
        <w:ind w:left="1200"/>
        <w:rPr>
          <w:rFonts w:ascii="宋体" w:hAnsi="宋体" w:eastAsia="宋体" w:cs="宋体"/>
          <w:sz w:val="24"/>
          <w:szCs w:val="24"/>
        </w:rPr>
      </w:pPr>
      <w:r>
        <w:rPr>
          <w:rFonts w:ascii="Times New Roman" w:hAnsi="Times New Roman" w:eastAsia="Times New Roman" w:cs="Times New Roman"/>
          <w:spacing w:val="-1"/>
          <w:sz w:val="24"/>
          <w:szCs w:val="24"/>
        </w:rPr>
        <w:t>u--</w:t>
      </w:r>
      <w:r>
        <w:rPr>
          <w:rFonts w:ascii="宋体" w:hAnsi="宋体" w:eastAsia="宋体" w:cs="宋体"/>
          <w:spacing w:val="-1"/>
          <w:sz w:val="24"/>
          <w:szCs w:val="24"/>
        </w:rPr>
        <w:t>断面流速，单位为米每秒，</w:t>
      </w:r>
      <w:r>
        <w:rPr>
          <w:rFonts w:ascii="Times New Roman" w:hAnsi="Times New Roman" w:eastAsia="Times New Roman" w:cs="Times New Roman"/>
          <w:spacing w:val="-1"/>
          <w:sz w:val="24"/>
          <w:szCs w:val="24"/>
        </w:rPr>
        <w:t>m/s</w:t>
      </w:r>
      <w:r>
        <w:rPr>
          <w:rFonts w:ascii="宋体" w:hAnsi="宋体" w:eastAsia="宋体" w:cs="宋体"/>
          <w:spacing w:val="-1"/>
          <w:sz w:val="24"/>
          <w:szCs w:val="24"/>
        </w:rPr>
        <w:t>；</w:t>
      </w:r>
    </w:p>
    <w:p w14:paraId="11DC3078">
      <w:pPr>
        <w:spacing w:before="183" w:line="219" w:lineRule="auto"/>
        <w:ind w:left="1202"/>
        <w:rPr>
          <w:rFonts w:ascii="宋体" w:hAnsi="宋体" w:eastAsia="宋体" w:cs="宋体"/>
          <w:sz w:val="24"/>
          <w:szCs w:val="24"/>
        </w:rPr>
      </w:pPr>
      <w:r>
        <w:rPr>
          <w:rFonts w:ascii="Times New Roman" w:hAnsi="Times New Roman" w:eastAsia="Times New Roman" w:cs="Times New Roman"/>
          <w:spacing w:val="-1"/>
          <w:sz w:val="24"/>
          <w:szCs w:val="24"/>
        </w:rPr>
        <w:t>h--</w:t>
      </w:r>
      <w:r>
        <w:rPr>
          <w:rFonts w:ascii="宋体" w:hAnsi="宋体" w:eastAsia="宋体" w:cs="宋体"/>
          <w:spacing w:val="-1"/>
          <w:sz w:val="24"/>
          <w:szCs w:val="24"/>
        </w:rPr>
        <w:t>断面水深，单位为米，</w:t>
      </w:r>
      <w:r>
        <w:rPr>
          <w:rFonts w:ascii="Times New Roman" w:hAnsi="Times New Roman" w:eastAsia="Times New Roman" w:cs="Times New Roman"/>
          <w:spacing w:val="-1"/>
          <w:sz w:val="24"/>
          <w:szCs w:val="24"/>
        </w:rPr>
        <w:t>m</w:t>
      </w:r>
      <w:r>
        <w:rPr>
          <w:rFonts w:ascii="宋体" w:hAnsi="宋体" w:eastAsia="宋体" w:cs="宋体"/>
          <w:spacing w:val="-1"/>
          <w:sz w:val="24"/>
          <w:szCs w:val="24"/>
        </w:rPr>
        <w:t>；</w:t>
      </w:r>
    </w:p>
    <w:p w14:paraId="40A5EEB1">
      <w:pPr>
        <w:spacing w:before="184" w:line="219" w:lineRule="auto"/>
        <w:ind w:left="1202"/>
        <w:rPr>
          <w:rFonts w:ascii="宋体" w:hAnsi="宋体" w:eastAsia="宋体" w:cs="宋体"/>
          <w:sz w:val="24"/>
          <w:szCs w:val="24"/>
        </w:rPr>
      </w:pPr>
      <w:r>
        <w:rPr>
          <w:rFonts w:ascii="Times New Roman" w:hAnsi="Times New Roman" w:eastAsia="Times New Roman" w:cs="Times New Roman"/>
          <w:spacing w:val="-2"/>
          <w:sz w:val="24"/>
          <w:szCs w:val="24"/>
        </w:rPr>
        <w:t>k--</w:t>
      </w:r>
      <w:r>
        <w:rPr>
          <w:rFonts w:ascii="宋体" w:hAnsi="宋体" w:eastAsia="宋体" w:cs="宋体"/>
          <w:spacing w:val="-2"/>
          <w:sz w:val="24"/>
          <w:szCs w:val="24"/>
        </w:rPr>
        <w:t>污染物综合降解系数</w:t>
      </w:r>
      <w:r>
        <w:rPr>
          <w:rFonts w:ascii="Times New Roman" w:hAnsi="Times New Roman" w:eastAsia="Times New Roman" w:cs="Times New Roman"/>
          <w:spacing w:val="-2"/>
          <w:sz w:val="24"/>
          <w:szCs w:val="24"/>
        </w:rPr>
        <w:t>1/s</w:t>
      </w:r>
      <w:r>
        <w:rPr>
          <w:rFonts w:ascii="宋体" w:hAnsi="宋体" w:eastAsia="宋体" w:cs="宋体"/>
          <w:spacing w:val="-2"/>
          <w:sz w:val="24"/>
          <w:szCs w:val="24"/>
        </w:rPr>
        <w:t>；</w:t>
      </w:r>
    </w:p>
    <w:p w14:paraId="081F2E6B">
      <w:pPr>
        <w:spacing w:before="180" w:line="212" w:lineRule="auto"/>
        <w:ind w:left="1205"/>
        <w:rPr>
          <w:rFonts w:ascii="宋体" w:hAnsi="宋体" w:eastAsia="宋体" w:cs="宋体"/>
          <w:sz w:val="24"/>
          <w:szCs w:val="24"/>
        </w:rPr>
      </w:pPr>
      <w:r>
        <w:rPr>
          <w:rFonts w:ascii="Times New Roman" w:hAnsi="Times New Roman" w:eastAsia="Times New Roman" w:cs="Times New Roman"/>
          <w:sz w:val="24"/>
          <w:szCs w:val="24"/>
        </w:rPr>
        <w:t>Ey--</w:t>
      </w:r>
      <w:r>
        <w:rPr>
          <w:rFonts w:ascii="宋体" w:hAnsi="宋体" w:eastAsia="宋体" w:cs="宋体"/>
          <w:sz w:val="24"/>
          <w:szCs w:val="24"/>
        </w:rPr>
        <w:t>污染物的横向扩散系数。单位为平方米每秒</w:t>
      </w:r>
      <w:r>
        <w:rPr>
          <w:rFonts w:ascii="Times New Roman" w:hAnsi="Times New Roman" w:eastAsia="Times New Roman" w:cs="Times New Roman"/>
          <w:sz w:val="24"/>
          <w:szCs w:val="24"/>
        </w:rPr>
        <w:t>(m</w:t>
      </w:r>
      <w:r>
        <w:rPr>
          <w:rFonts w:ascii="Times New Roman" w:hAnsi="Times New Roman" w:eastAsia="Times New Roman" w:cs="Times New Roman"/>
          <w:position w:val="8"/>
          <w:sz w:val="15"/>
          <w:szCs w:val="15"/>
        </w:rPr>
        <w:t>2</w:t>
      </w:r>
      <w:r>
        <w:rPr>
          <w:rFonts w:ascii="Times New Roman" w:hAnsi="Times New Roman" w:eastAsia="Times New Roman" w:cs="Times New Roman"/>
          <w:sz w:val="24"/>
          <w:szCs w:val="24"/>
        </w:rPr>
        <w:t>/</w:t>
      </w:r>
      <w:r>
        <w:rPr>
          <w:rFonts w:ascii="Times New Roman" w:hAnsi="Times New Roman" w:eastAsia="Times New Roman" w:cs="Times New Roman"/>
          <w:spacing w:val="-1"/>
          <w:sz w:val="24"/>
          <w:szCs w:val="24"/>
        </w:rPr>
        <w:t>s)</w:t>
      </w:r>
      <w:r>
        <w:rPr>
          <w:rFonts w:ascii="宋体" w:hAnsi="宋体" w:eastAsia="宋体" w:cs="宋体"/>
          <w:spacing w:val="-1"/>
          <w:sz w:val="24"/>
          <w:szCs w:val="24"/>
        </w:rPr>
        <w:t>；</w:t>
      </w:r>
    </w:p>
    <w:p w14:paraId="5887D044">
      <w:pPr>
        <w:spacing w:before="155" w:line="360" w:lineRule="exact"/>
        <w:ind w:firstLine="3742"/>
      </w:pPr>
      <w:r>
        <w:rPr>
          <w:position w:val="-7"/>
        </w:rPr>
        <w:drawing>
          <wp:inline distT="0" distB="0" distL="0" distR="0">
            <wp:extent cx="1409700" cy="22860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210"/>
                    <a:stretch>
                      <a:fillRect/>
                    </a:stretch>
                  </pic:blipFill>
                  <pic:spPr>
                    <a:xfrm>
                      <a:off x="0" y="0"/>
                      <a:ext cx="1409700" cy="228600"/>
                    </a:xfrm>
                    <a:prstGeom prst="rect">
                      <a:avLst/>
                    </a:prstGeom>
                  </pic:spPr>
                </pic:pic>
              </a:graphicData>
            </a:graphic>
          </wp:inline>
        </w:drawing>
      </w:r>
    </w:p>
    <w:p w14:paraId="5ABC443C">
      <w:pPr>
        <w:spacing w:before="175" w:line="212" w:lineRule="auto"/>
        <w:ind w:left="494"/>
        <w:rPr>
          <w:rFonts w:ascii="宋体" w:hAnsi="宋体" w:eastAsia="宋体" w:cs="宋体"/>
          <w:sz w:val="24"/>
          <w:szCs w:val="24"/>
        </w:rPr>
      </w:pPr>
      <w:r>
        <w:rPr>
          <w:rFonts w:ascii="宋体" w:hAnsi="宋体" w:eastAsia="宋体" w:cs="宋体"/>
          <w:spacing w:val="-2"/>
          <w:sz w:val="24"/>
          <w:szCs w:val="24"/>
        </w:rPr>
        <w:t>式中：</w:t>
      </w:r>
      <w:r>
        <w:rPr>
          <w:rFonts w:ascii="Times New Roman" w:hAnsi="Times New Roman" w:eastAsia="Times New Roman" w:cs="Times New Roman"/>
          <w:spacing w:val="-2"/>
          <w:sz w:val="24"/>
          <w:szCs w:val="24"/>
        </w:rPr>
        <w:t>M--</w:t>
      </w:r>
      <w:r>
        <w:rPr>
          <w:rFonts w:ascii="宋体" w:hAnsi="宋体" w:eastAsia="宋体" w:cs="宋体"/>
          <w:spacing w:val="-2"/>
          <w:sz w:val="24"/>
          <w:szCs w:val="24"/>
        </w:rPr>
        <w:t>水域纳污能力，</w:t>
      </w:r>
      <w:r>
        <w:rPr>
          <w:rFonts w:ascii="Times New Roman" w:hAnsi="Times New Roman" w:eastAsia="Times New Roman" w:cs="Times New Roman"/>
          <w:spacing w:val="-2"/>
          <w:sz w:val="24"/>
          <w:szCs w:val="24"/>
        </w:rPr>
        <w:t>g/s</w:t>
      </w:r>
      <w:r>
        <w:rPr>
          <w:rFonts w:ascii="宋体" w:hAnsi="宋体" w:eastAsia="宋体" w:cs="宋体"/>
          <w:spacing w:val="-2"/>
          <w:sz w:val="24"/>
          <w:szCs w:val="24"/>
        </w:rPr>
        <w:t>；</w:t>
      </w:r>
    </w:p>
    <w:p w14:paraId="44BA68AA">
      <w:pPr>
        <w:spacing w:before="192" w:line="210" w:lineRule="auto"/>
        <w:ind w:left="1209"/>
        <w:rPr>
          <w:rFonts w:ascii="宋体" w:hAnsi="宋体" w:eastAsia="宋体" w:cs="宋体"/>
          <w:sz w:val="24"/>
          <w:szCs w:val="24"/>
        </w:rPr>
      </w:pPr>
      <w:r>
        <w:rPr>
          <w:rFonts w:ascii="Times New Roman" w:hAnsi="Times New Roman" w:eastAsia="Times New Roman" w:cs="Times New Roman"/>
          <w:spacing w:val="-1"/>
          <w:sz w:val="24"/>
          <w:szCs w:val="24"/>
        </w:rPr>
        <w:t>Cs--</w:t>
      </w:r>
      <w:r>
        <w:rPr>
          <w:rFonts w:ascii="宋体" w:hAnsi="宋体" w:eastAsia="宋体" w:cs="宋体"/>
          <w:spacing w:val="-1"/>
          <w:sz w:val="24"/>
          <w:szCs w:val="24"/>
        </w:rPr>
        <w:t>水质目标浓度值，</w:t>
      </w:r>
      <w:r>
        <w:rPr>
          <w:rFonts w:ascii="Times New Roman" w:hAnsi="Times New Roman" w:eastAsia="Times New Roman" w:cs="Times New Roman"/>
          <w:spacing w:val="-1"/>
          <w:sz w:val="24"/>
          <w:szCs w:val="24"/>
        </w:rPr>
        <w:t>mg</w:t>
      </w:r>
      <w:r>
        <w:rPr>
          <w:rFonts w:ascii="宋体" w:hAnsi="宋体" w:eastAsia="宋体" w:cs="宋体"/>
          <w:spacing w:val="-1"/>
          <w:sz w:val="24"/>
          <w:szCs w:val="24"/>
        </w:rPr>
        <w:t>；</w:t>
      </w:r>
    </w:p>
    <w:p w14:paraId="579A1BD7">
      <w:pPr>
        <w:spacing w:before="193" w:line="212" w:lineRule="auto"/>
        <w:ind w:left="1208"/>
        <w:rPr>
          <w:rFonts w:ascii="宋体" w:hAnsi="宋体" w:eastAsia="宋体" w:cs="宋体"/>
          <w:sz w:val="24"/>
          <w:szCs w:val="24"/>
        </w:rPr>
      </w:pPr>
      <w:r>
        <w:rPr>
          <w:rFonts w:ascii="Times New Roman" w:hAnsi="Times New Roman" w:eastAsia="Times New Roman" w:cs="Times New Roman"/>
          <w:spacing w:val="-1"/>
          <w:sz w:val="24"/>
          <w:szCs w:val="24"/>
        </w:rPr>
        <w:t>Q--</w:t>
      </w:r>
      <w:r>
        <w:rPr>
          <w:rFonts w:ascii="宋体" w:hAnsi="宋体" w:eastAsia="宋体" w:cs="宋体"/>
          <w:spacing w:val="-1"/>
          <w:sz w:val="24"/>
          <w:szCs w:val="24"/>
        </w:rPr>
        <w:t>初始断面的入流流量，</w:t>
      </w:r>
      <w:r>
        <w:rPr>
          <w:rFonts w:ascii="Times New Roman" w:hAnsi="Times New Roman" w:eastAsia="Times New Roman" w:cs="Times New Roman"/>
          <w:spacing w:val="-1"/>
          <w:sz w:val="24"/>
          <w:szCs w:val="24"/>
        </w:rPr>
        <w:t>m/s</w:t>
      </w:r>
      <w:r>
        <w:rPr>
          <w:rFonts w:ascii="宋体" w:hAnsi="宋体" w:eastAsia="宋体" w:cs="宋体"/>
          <w:spacing w:val="-1"/>
          <w:sz w:val="24"/>
          <w:szCs w:val="24"/>
        </w:rPr>
        <w:t>。</w:t>
      </w:r>
    </w:p>
    <w:p w14:paraId="78871CBF">
      <w:pPr>
        <w:spacing w:before="191" w:line="342" w:lineRule="auto"/>
        <w:ind w:left="8" w:right="61" w:firstLine="480"/>
        <w:rPr>
          <w:rFonts w:ascii="Times New Roman" w:hAnsi="Times New Roman" w:eastAsia="Times New Roman" w:cs="Times New Roman"/>
          <w:sz w:val="24"/>
          <w:szCs w:val="24"/>
        </w:rPr>
      </w:pPr>
      <w:r>
        <w:rPr>
          <w:rFonts w:ascii="宋体" w:hAnsi="宋体" w:eastAsia="宋体" w:cs="宋体"/>
          <w:spacing w:val="-2"/>
          <w:sz w:val="24"/>
          <w:szCs w:val="24"/>
        </w:rPr>
        <w:t>根据《水域纳污能力计算规程》</w:t>
      </w:r>
      <w:r>
        <w:rPr>
          <w:rFonts w:ascii="Times New Roman" w:hAnsi="Times New Roman" w:eastAsia="Times New Roman" w:cs="Times New Roman"/>
          <w:spacing w:val="-2"/>
          <w:sz w:val="24"/>
          <w:szCs w:val="24"/>
        </w:rPr>
        <w:t>(GB/T25173-2010)</w:t>
      </w:r>
      <w:r>
        <w:rPr>
          <w:rFonts w:ascii="宋体" w:hAnsi="宋体" w:eastAsia="宋体" w:cs="宋体"/>
          <w:spacing w:val="-2"/>
          <w:sz w:val="24"/>
          <w:szCs w:val="24"/>
        </w:rPr>
        <w:t>，本</w:t>
      </w:r>
      <w:r>
        <w:rPr>
          <w:rFonts w:ascii="宋体" w:hAnsi="宋体" w:eastAsia="宋体" w:cs="宋体"/>
          <w:spacing w:val="-3"/>
          <w:sz w:val="24"/>
          <w:szCs w:val="24"/>
        </w:rPr>
        <w:t>项目河流污染物横向扩</w:t>
      </w:r>
      <w:r>
        <w:rPr>
          <w:rFonts w:ascii="宋体" w:hAnsi="宋体" w:eastAsia="宋体" w:cs="宋体"/>
          <w:spacing w:val="-1"/>
          <w:sz w:val="24"/>
          <w:szCs w:val="24"/>
        </w:rPr>
        <w:t>散系数</w:t>
      </w:r>
      <w:r>
        <w:rPr>
          <w:rFonts w:ascii="Times New Roman" w:hAnsi="Times New Roman" w:eastAsia="Times New Roman" w:cs="Times New Roman"/>
          <w:spacing w:val="-1"/>
          <w:sz w:val="24"/>
          <w:szCs w:val="24"/>
        </w:rPr>
        <w:t>Ey</w:t>
      </w:r>
      <w:r>
        <w:rPr>
          <w:rFonts w:ascii="宋体" w:hAnsi="宋体" w:eastAsia="宋体" w:cs="宋体"/>
          <w:spacing w:val="-1"/>
          <w:sz w:val="24"/>
          <w:szCs w:val="24"/>
        </w:rPr>
        <w:t>根据泰勒公式进行计算</w:t>
      </w:r>
      <w:r>
        <w:rPr>
          <w:rFonts w:ascii="Times New Roman" w:hAnsi="Times New Roman" w:eastAsia="Times New Roman" w:cs="Times New Roman"/>
          <w:spacing w:val="-1"/>
          <w:sz w:val="24"/>
          <w:szCs w:val="24"/>
        </w:rPr>
        <w:t>:</w:t>
      </w:r>
    </w:p>
    <w:p w14:paraId="02D6F2BE">
      <w:pPr>
        <w:spacing w:line="322" w:lineRule="exact"/>
        <w:ind w:left="2477"/>
        <w:rPr>
          <w:rFonts w:ascii="Times New Roman" w:hAnsi="Times New Roman" w:eastAsia="Times New Roman" w:cs="Times New Roman"/>
          <w:sz w:val="15"/>
          <w:szCs w:val="15"/>
        </w:rPr>
      </w:pPr>
      <w:r>
        <w:rPr>
          <w:rFonts w:ascii="Times New Roman" w:hAnsi="Times New Roman" w:eastAsia="Times New Roman" w:cs="Times New Roman"/>
          <w:position w:val="3"/>
          <w:sz w:val="24"/>
          <w:szCs w:val="24"/>
        </w:rPr>
        <w:t>E</w:t>
      </w:r>
      <w:r>
        <w:rPr>
          <w:rFonts w:ascii="Times New Roman" w:hAnsi="Times New Roman" w:eastAsia="Times New Roman" w:cs="Times New Roman"/>
          <w:position w:val="1"/>
          <w:sz w:val="15"/>
          <w:szCs w:val="15"/>
        </w:rPr>
        <w:t>y</w:t>
      </w:r>
      <w:r>
        <w:rPr>
          <w:rFonts w:ascii="Times New Roman" w:hAnsi="Times New Roman" w:eastAsia="Times New Roman" w:cs="Times New Roman"/>
          <w:spacing w:val="1"/>
          <w:position w:val="3"/>
          <w:sz w:val="24"/>
          <w:szCs w:val="24"/>
        </w:rPr>
        <w:t>=</w:t>
      </w:r>
      <w:r>
        <w:rPr>
          <w:rFonts w:ascii="宋体" w:hAnsi="宋体" w:eastAsia="宋体" w:cs="宋体"/>
          <w:spacing w:val="1"/>
          <w:position w:val="3"/>
          <w:sz w:val="24"/>
          <w:szCs w:val="24"/>
        </w:rPr>
        <w:t>（</w:t>
      </w:r>
      <w:r>
        <w:rPr>
          <w:rFonts w:ascii="Times New Roman" w:hAnsi="Times New Roman" w:eastAsia="Times New Roman" w:cs="Times New Roman"/>
          <w:spacing w:val="1"/>
          <w:position w:val="3"/>
          <w:sz w:val="24"/>
          <w:szCs w:val="24"/>
        </w:rPr>
        <w:t>0.058H+0.0065B</w:t>
      </w:r>
      <w:r>
        <w:rPr>
          <w:rFonts w:ascii="宋体" w:hAnsi="宋体" w:eastAsia="宋体" w:cs="宋体"/>
          <w:spacing w:val="-9"/>
          <w:position w:val="3"/>
          <w:sz w:val="24"/>
          <w:szCs w:val="24"/>
        </w:rPr>
        <w:t>）（</w:t>
      </w:r>
      <w:r>
        <w:rPr>
          <w:rFonts w:ascii="Times New Roman" w:hAnsi="Times New Roman" w:eastAsia="Times New Roman" w:cs="Times New Roman"/>
          <w:position w:val="3"/>
          <w:sz w:val="24"/>
          <w:szCs w:val="24"/>
        </w:rPr>
        <w:t>gHI</w:t>
      </w:r>
      <w:r>
        <w:rPr>
          <w:rFonts w:ascii="宋体" w:hAnsi="宋体" w:eastAsia="宋体" w:cs="宋体"/>
          <w:spacing w:val="1"/>
          <w:position w:val="3"/>
          <w:sz w:val="24"/>
          <w:szCs w:val="24"/>
        </w:rPr>
        <w:t>）</w:t>
      </w:r>
      <w:r>
        <w:rPr>
          <w:rFonts w:ascii="Times New Roman" w:hAnsi="Times New Roman" w:eastAsia="Times New Roman" w:cs="Times New Roman"/>
          <w:spacing w:val="1"/>
          <w:position w:val="10"/>
          <w:sz w:val="15"/>
          <w:szCs w:val="15"/>
        </w:rPr>
        <w:t>1/2</w:t>
      </w:r>
    </w:p>
    <w:p w14:paraId="732B96FD">
      <w:pPr>
        <w:spacing w:before="189" w:line="218" w:lineRule="auto"/>
        <w:ind w:left="494"/>
        <w:rPr>
          <w:rFonts w:ascii="宋体" w:hAnsi="宋体" w:eastAsia="宋体" w:cs="宋体"/>
          <w:sz w:val="24"/>
          <w:szCs w:val="24"/>
        </w:rPr>
      </w:pPr>
      <w:r>
        <w:rPr>
          <w:rFonts w:ascii="宋体" w:hAnsi="宋体" w:eastAsia="宋体" w:cs="宋体"/>
          <w:spacing w:val="-1"/>
          <w:sz w:val="24"/>
          <w:szCs w:val="24"/>
        </w:rPr>
        <w:t>式中：</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1"/>
          <w:position w:val="-1"/>
          <w:sz w:val="15"/>
          <w:szCs w:val="15"/>
        </w:rPr>
        <w:t>y</w:t>
      </w:r>
      <w:r>
        <w:rPr>
          <w:rFonts w:ascii="Times New Roman" w:hAnsi="Times New Roman" w:eastAsia="Times New Roman" w:cs="Times New Roman"/>
          <w:spacing w:val="-1"/>
          <w:sz w:val="24"/>
          <w:szCs w:val="24"/>
        </w:rPr>
        <w:t>--</w:t>
      </w:r>
      <w:r>
        <w:rPr>
          <w:rFonts w:ascii="宋体" w:hAnsi="宋体" w:eastAsia="宋体" w:cs="宋体"/>
          <w:spacing w:val="-1"/>
          <w:sz w:val="24"/>
          <w:szCs w:val="24"/>
        </w:rPr>
        <w:t>水流的横向扩散系数，</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7"/>
          <w:sz w:val="15"/>
          <w:szCs w:val="15"/>
        </w:rPr>
        <w:t>2</w:t>
      </w:r>
      <w:r>
        <w:rPr>
          <w:rFonts w:ascii="Times New Roman" w:hAnsi="Times New Roman" w:eastAsia="Times New Roman" w:cs="Times New Roman"/>
          <w:spacing w:val="-1"/>
          <w:sz w:val="24"/>
          <w:szCs w:val="24"/>
        </w:rPr>
        <w:t>/s</w:t>
      </w:r>
      <w:r>
        <w:rPr>
          <w:rFonts w:ascii="宋体" w:hAnsi="宋体" w:eastAsia="宋体" w:cs="宋体"/>
          <w:spacing w:val="-1"/>
          <w:sz w:val="24"/>
          <w:szCs w:val="24"/>
        </w:rPr>
        <w:t>；</w:t>
      </w:r>
    </w:p>
    <w:p w14:paraId="371A90E5">
      <w:pPr>
        <w:spacing w:before="185" w:line="219" w:lineRule="auto"/>
        <w:ind w:left="1204"/>
        <w:rPr>
          <w:rFonts w:ascii="宋体" w:hAnsi="宋体" w:eastAsia="宋体" w:cs="宋体"/>
          <w:sz w:val="24"/>
          <w:szCs w:val="24"/>
        </w:rPr>
      </w:pPr>
      <w:r>
        <w:rPr>
          <w:rFonts w:ascii="Times New Roman" w:hAnsi="Times New Roman" w:eastAsia="Times New Roman" w:cs="Times New Roman"/>
          <w:spacing w:val="-1"/>
          <w:sz w:val="24"/>
          <w:szCs w:val="24"/>
        </w:rPr>
        <w:t>H--</w:t>
      </w:r>
      <w:r>
        <w:rPr>
          <w:rFonts w:ascii="宋体" w:hAnsi="宋体" w:eastAsia="宋体" w:cs="宋体"/>
          <w:spacing w:val="-1"/>
          <w:sz w:val="24"/>
          <w:szCs w:val="24"/>
        </w:rPr>
        <w:t>断面水深，</w:t>
      </w:r>
      <w:r>
        <w:rPr>
          <w:rFonts w:ascii="Times New Roman" w:hAnsi="Times New Roman" w:eastAsia="Times New Roman" w:cs="Times New Roman"/>
          <w:spacing w:val="-1"/>
          <w:sz w:val="24"/>
          <w:szCs w:val="24"/>
        </w:rPr>
        <w:t>m</w:t>
      </w:r>
      <w:r>
        <w:rPr>
          <w:rFonts w:ascii="宋体" w:hAnsi="宋体" w:eastAsia="宋体" w:cs="宋体"/>
          <w:spacing w:val="-1"/>
          <w:sz w:val="24"/>
          <w:szCs w:val="24"/>
        </w:rPr>
        <w:t>；</w:t>
      </w:r>
    </w:p>
    <w:p w14:paraId="6BB3E675">
      <w:pPr>
        <w:spacing w:before="183" w:line="210" w:lineRule="auto"/>
        <w:ind w:left="1207"/>
        <w:rPr>
          <w:rFonts w:ascii="宋体" w:hAnsi="宋体" w:eastAsia="宋体" w:cs="宋体"/>
          <w:sz w:val="24"/>
          <w:szCs w:val="24"/>
        </w:rPr>
      </w:pPr>
      <w:r>
        <w:rPr>
          <w:rFonts w:ascii="Times New Roman" w:hAnsi="Times New Roman" w:eastAsia="Times New Roman" w:cs="Times New Roman"/>
          <w:spacing w:val="-1"/>
          <w:sz w:val="24"/>
          <w:szCs w:val="24"/>
        </w:rPr>
        <w:t>g--</w:t>
      </w:r>
      <w:r>
        <w:rPr>
          <w:rFonts w:ascii="宋体" w:hAnsi="宋体" w:eastAsia="宋体" w:cs="宋体"/>
          <w:spacing w:val="-1"/>
          <w:sz w:val="24"/>
          <w:szCs w:val="24"/>
        </w:rPr>
        <w:t>重力加速度，</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7"/>
          <w:sz w:val="15"/>
          <w:szCs w:val="15"/>
        </w:rPr>
        <w:t>2</w:t>
      </w:r>
      <w:r>
        <w:rPr>
          <w:rFonts w:ascii="Times New Roman" w:hAnsi="Times New Roman" w:eastAsia="Times New Roman" w:cs="Times New Roman"/>
          <w:spacing w:val="-1"/>
          <w:sz w:val="24"/>
          <w:szCs w:val="24"/>
        </w:rPr>
        <w:t>/s</w:t>
      </w:r>
      <w:r>
        <w:rPr>
          <w:rFonts w:ascii="宋体" w:hAnsi="宋体" w:eastAsia="宋体" w:cs="宋体"/>
          <w:spacing w:val="-1"/>
          <w:sz w:val="24"/>
          <w:szCs w:val="24"/>
        </w:rPr>
        <w:t>；</w:t>
      </w:r>
    </w:p>
    <w:p w14:paraId="7922AF7B">
      <w:pPr>
        <w:spacing w:before="193" w:line="219" w:lineRule="auto"/>
        <w:ind w:left="1206"/>
        <w:rPr>
          <w:rFonts w:ascii="宋体" w:hAnsi="宋体" w:eastAsia="宋体" w:cs="宋体"/>
          <w:sz w:val="24"/>
          <w:szCs w:val="24"/>
        </w:rPr>
      </w:pPr>
      <w:r>
        <w:rPr>
          <w:rFonts w:ascii="Times New Roman" w:hAnsi="Times New Roman" w:eastAsia="Times New Roman" w:cs="Times New Roman"/>
          <w:spacing w:val="-1"/>
          <w:sz w:val="24"/>
          <w:szCs w:val="24"/>
        </w:rPr>
        <w:t>I--</w:t>
      </w:r>
      <w:r>
        <w:rPr>
          <w:rFonts w:ascii="宋体" w:hAnsi="宋体" w:eastAsia="宋体" w:cs="宋体"/>
          <w:spacing w:val="-1"/>
          <w:sz w:val="24"/>
          <w:szCs w:val="24"/>
        </w:rPr>
        <w:t>河流水力比降，赧水水力比降为</w:t>
      </w:r>
      <w:r>
        <w:rPr>
          <w:rFonts w:ascii="Times New Roman" w:hAnsi="Times New Roman" w:eastAsia="Times New Roman" w:cs="Times New Roman"/>
          <w:spacing w:val="-1"/>
          <w:sz w:val="24"/>
          <w:szCs w:val="24"/>
        </w:rPr>
        <w:t>0.53‰</w:t>
      </w:r>
      <w:r>
        <w:rPr>
          <w:rFonts w:ascii="宋体" w:hAnsi="宋体" w:eastAsia="宋体" w:cs="宋体"/>
          <w:spacing w:val="-1"/>
          <w:sz w:val="24"/>
          <w:szCs w:val="24"/>
        </w:rPr>
        <w:t>。</w:t>
      </w:r>
    </w:p>
    <w:p w14:paraId="1ED6B0F3">
      <w:pPr>
        <w:spacing w:before="181" w:line="349" w:lineRule="auto"/>
        <w:ind w:left="8" w:right="61" w:firstLine="480"/>
        <w:rPr>
          <w:rFonts w:ascii="宋体" w:hAnsi="宋体" w:eastAsia="宋体" w:cs="宋体"/>
          <w:sz w:val="24"/>
          <w:szCs w:val="24"/>
        </w:rPr>
      </w:pPr>
      <w:r>
        <w:rPr>
          <w:rFonts w:ascii="宋体" w:hAnsi="宋体" w:eastAsia="宋体" w:cs="宋体"/>
          <w:spacing w:val="-2"/>
          <w:sz w:val="24"/>
          <w:szCs w:val="24"/>
        </w:rPr>
        <w:t>根据上述公式，枯水期污染物横向扩散系数</w:t>
      </w:r>
      <w:r>
        <w:rPr>
          <w:rFonts w:ascii="Times New Roman" w:hAnsi="Times New Roman" w:eastAsia="Times New Roman" w:cs="Times New Roman"/>
          <w:spacing w:val="-2"/>
          <w:sz w:val="24"/>
          <w:szCs w:val="24"/>
        </w:rPr>
        <w:t>Ey</w:t>
      </w:r>
      <w:r>
        <w:rPr>
          <w:rFonts w:ascii="宋体" w:hAnsi="宋体" w:eastAsia="宋体" w:cs="宋体"/>
          <w:spacing w:val="-2"/>
          <w:sz w:val="24"/>
          <w:szCs w:val="24"/>
        </w:rPr>
        <w:t>约为</w:t>
      </w:r>
      <w:r>
        <w:rPr>
          <w:rFonts w:ascii="Times New Roman" w:hAnsi="Times New Roman" w:eastAsia="Times New Roman" w:cs="Times New Roman"/>
          <w:spacing w:val="-2"/>
          <w:sz w:val="24"/>
          <w:szCs w:val="24"/>
        </w:rPr>
        <w:t>0.08m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3"/>
          <w:sz w:val="24"/>
          <w:szCs w:val="24"/>
        </w:rPr>
        <w:t>/s</w:t>
      </w:r>
      <w:r>
        <w:rPr>
          <w:rFonts w:ascii="宋体" w:hAnsi="宋体" w:eastAsia="宋体" w:cs="宋体"/>
          <w:spacing w:val="-3"/>
          <w:sz w:val="24"/>
          <w:szCs w:val="24"/>
        </w:rPr>
        <w:t>，</w:t>
      </w:r>
      <w:r>
        <w:rPr>
          <w:rFonts w:ascii="宋体" w:hAnsi="宋体" w:eastAsia="宋体" w:cs="宋体"/>
          <w:spacing w:val="-3"/>
          <w:sz w:val="20"/>
          <w:szCs w:val="20"/>
        </w:rPr>
        <w:t>生态基流</w:t>
      </w:r>
      <w:r>
        <w:rPr>
          <w:rFonts w:ascii="宋体" w:hAnsi="宋体" w:eastAsia="宋体" w:cs="宋体"/>
          <w:spacing w:val="-3"/>
          <w:sz w:val="24"/>
          <w:szCs w:val="24"/>
        </w:rPr>
        <w:t>污染物</w:t>
      </w:r>
      <w:r>
        <w:rPr>
          <w:rFonts w:ascii="宋体" w:hAnsi="宋体" w:eastAsia="宋体" w:cs="宋体"/>
          <w:spacing w:val="-2"/>
          <w:sz w:val="24"/>
          <w:szCs w:val="24"/>
        </w:rPr>
        <w:t>横向扩散系数</w:t>
      </w:r>
      <w:r>
        <w:rPr>
          <w:rFonts w:ascii="Times New Roman" w:hAnsi="Times New Roman" w:eastAsia="Times New Roman" w:cs="Times New Roman"/>
          <w:spacing w:val="-2"/>
          <w:sz w:val="24"/>
          <w:szCs w:val="24"/>
        </w:rPr>
        <w:t>Ey</w:t>
      </w:r>
      <w:r>
        <w:rPr>
          <w:rFonts w:ascii="宋体" w:hAnsi="宋体" w:eastAsia="宋体" w:cs="宋体"/>
          <w:spacing w:val="-2"/>
          <w:sz w:val="24"/>
          <w:szCs w:val="24"/>
        </w:rPr>
        <w:t>约为</w:t>
      </w:r>
      <w:r>
        <w:rPr>
          <w:rFonts w:ascii="Times New Roman" w:hAnsi="Times New Roman" w:eastAsia="Times New Roman" w:cs="Times New Roman"/>
          <w:spacing w:val="-2"/>
          <w:sz w:val="24"/>
          <w:szCs w:val="24"/>
        </w:rPr>
        <w:t>0.05m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2"/>
          <w:sz w:val="24"/>
          <w:szCs w:val="24"/>
        </w:rPr>
        <w:t>/s</w:t>
      </w:r>
      <w:r>
        <w:rPr>
          <w:rFonts w:ascii="宋体" w:hAnsi="宋体" w:eastAsia="宋体" w:cs="宋体"/>
          <w:spacing w:val="-2"/>
          <w:sz w:val="24"/>
          <w:szCs w:val="24"/>
        </w:rPr>
        <w:t>。</w:t>
      </w:r>
    </w:p>
    <w:p w14:paraId="2692913A">
      <w:pPr>
        <w:spacing w:before="25" w:line="219" w:lineRule="auto"/>
        <w:ind w:left="489"/>
        <w:rPr>
          <w:rFonts w:ascii="宋体" w:hAnsi="宋体" w:eastAsia="宋体" w:cs="宋体"/>
          <w:sz w:val="24"/>
          <w:szCs w:val="24"/>
        </w:rPr>
      </w:pPr>
      <w:r>
        <w:rPr>
          <w:rFonts w:ascii="宋体" w:hAnsi="宋体" w:eastAsia="宋体" w:cs="宋体"/>
          <w:spacing w:val="3"/>
          <w:sz w:val="24"/>
          <w:szCs w:val="24"/>
        </w:rPr>
        <w:t>根据本项目入河排污口设置河段赧水枯水期的相关水文资料和水质要求，选</w:t>
      </w:r>
    </w:p>
    <w:p w14:paraId="39B09F5E">
      <w:pPr>
        <w:spacing w:line="219" w:lineRule="auto"/>
        <w:rPr>
          <w:rFonts w:ascii="宋体" w:hAnsi="宋体" w:eastAsia="宋体" w:cs="宋体"/>
          <w:sz w:val="24"/>
          <w:szCs w:val="24"/>
        </w:rPr>
        <w:sectPr>
          <w:headerReference r:id="rId117" w:type="default"/>
          <w:footerReference r:id="rId118" w:type="default"/>
          <w:pgSz w:w="11907" w:h="16840"/>
          <w:pgMar w:top="1132" w:right="1640" w:bottom="1259" w:left="1701" w:header="829" w:footer="1097" w:gutter="0"/>
          <w:cols w:space="720" w:num="1"/>
        </w:sectPr>
      </w:pPr>
    </w:p>
    <w:p w14:paraId="7C4E3489">
      <w:pPr>
        <w:pStyle w:val="2"/>
      </w:pPr>
    </w:p>
    <w:p w14:paraId="07938F24">
      <w:pPr>
        <w:spacing w:before="78" w:line="359" w:lineRule="auto"/>
        <w:ind w:left="132" w:right="60" w:firstLine="2"/>
        <w:rPr>
          <w:rFonts w:ascii="宋体" w:hAnsi="宋体" w:eastAsia="宋体" w:cs="宋体"/>
          <w:sz w:val="24"/>
          <w:szCs w:val="24"/>
        </w:rPr>
      </w:pPr>
      <w:r>
        <w:rPr>
          <w:rFonts w:ascii="宋体" w:hAnsi="宋体" w:eastAsia="宋体" w:cs="宋体"/>
          <w:spacing w:val="-2"/>
          <w:sz w:val="24"/>
          <w:szCs w:val="24"/>
        </w:rPr>
        <w:t>取</w:t>
      </w:r>
      <w:r>
        <w:rPr>
          <w:rFonts w:ascii="Times New Roman" w:hAnsi="Times New Roman" w:eastAsia="Times New Roman" w:cs="Times New Roman"/>
          <w:spacing w:val="-2"/>
          <w:sz w:val="24"/>
          <w:szCs w:val="24"/>
        </w:rPr>
        <w:t>COD</w:t>
      </w:r>
      <w:r>
        <w:rPr>
          <w:rFonts w:ascii="宋体" w:hAnsi="宋体" w:eastAsia="宋体" w:cs="宋体"/>
          <w:spacing w:val="-2"/>
          <w:sz w:val="24"/>
          <w:szCs w:val="24"/>
        </w:rPr>
        <w:t>和氨氮作为污染物。由于入河排污口属于资水（赧水）隆</w:t>
      </w:r>
      <w:r>
        <w:rPr>
          <w:rFonts w:ascii="宋体" w:hAnsi="宋体" w:eastAsia="宋体" w:cs="宋体"/>
          <w:spacing w:val="-3"/>
          <w:sz w:val="24"/>
          <w:szCs w:val="24"/>
        </w:rPr>
        <w:t>回</w:t>
      </w:r>
      <w:r>
        <w:rPr>
          <w:rFonts w:ascii="Times New Roman" w:hAnsi="Times New Roman" w:eastAsia="Times New Roman" w:cs="Times New Roman"/>
          <w:spacing w:val="-3"/>
          <w:sz w:val="24"/>
          <w:szCs w:val="24"/>
        </w:rPr>
        <w:t>-</w:t>
      </w:r>
      <w:r>
        <w:rPr>
          <w:rFonts w:ascii="宋体" w:hAnsi="宋体" w:eastAsia="宋体" w:cs="宋体"/>
          <w:spacing w:val="-3"/>
          <w:sz w:val="24"/>
          <w:szCs w:val="24"/>
        </w:rPr>
        <w:t>邵阳保留区，</w:t>
      </w:r>
      <w:r>
        <w:rPr>
          <w:rFonts w:ascii="宋体" w:hAnsi="宋体" w:eastAsia="宋体" w:cs="宋体"/>
          <w:sz w:val="24"/>
          <w:szCs w:val="24"/>
        </w:rPr>
        <w:t>根据《邵阳市水功能区划》水质目标为</w:t>
      </w:r>
      <w:r>
        <w:rPr>
          <w:rFonts w:ascii="Times New Roman" w:hAnsi="Times New Roman" w:eastAsia="Times New Roman" w:cs="Times New Roman"/>
          <w:sz w:val="24"/>
          <w:szCs w:val="24"/>
        </w:rPr>
        <w:t>III</w:t>
      </w:r>
      <w:r>
        <w:rPr>
          <w:rFonts w:ascii="宋体" w:hAnsi="宋体" w:eastAsia="宋体" w:cs="宋体"/>
          <w:sz w:val="24"/>
          <w:szCs w:val="24"/>
        </w:rPr>
        <w:t>类，但下游元木山断面（控制断面）、</w:t>
      </w:r>
      <w:r>
        <w:rPr>
          <w:rFonts w:ascii="宋体" w:hAnsi="宋体" w:eastAsia="宋体" w:cs="宋体"/>
          <w:spacing w:val="1"/>
          <w:sz w:val="24"/>
          <w:szCs w:val="24"/>
        </w:rPr>
        <w:t>邵阳县渡头村断面（出境断面）现状管理目标为年度平均达到</w:t>
      </w:r>
      <w:r>
        <w:rPr>
          <w:rFonts w:ascii="Times New Roman" w:hAnsi="Times New Roman" w:eastAsia="Times New Roman" w:cs="Times New Roman"/>
          <w:sz w:val="24"/>
          <w:szCs w:val="24"/>
        </w:rPr>
        <w:t>II</w:t>
      </w:r>
      <w:r>
        <w:rPr>
          <w:rFonts w:ascii="宋体" w:hAnsi="宋体" w:eastAsia="宋体" w:cs="宋体"/>
          <w:spacing w:val="1"/>
          <w:sz w:val="24"/>
          <w:szCs w:val="24"/>
        </w:rPr>
        <w:t>类，为确保这些</w:t>
      </w:r>
      <w:r>
        <w:rPr>
          <w:rFonts w:ascii="宋体" w:hAnsi="宋体" w:eastAsia="宋体" w:cs="宋体"/>
          <w:spacing w:val="-2"/>
          <w:sz w:val="24"/>
          <w:szCs w:val="24"/>
        </w:rPr>
        <w:t>区域水质不恶化，本次纳污能力计算以</w:t>
      </w:r>
      <w:r>
        <w:rPr>
          <w:rFonts w:ascii="Times New Roman" w:hAnsi="Times New Roman" w:eastAsia="Times New Roman" w:cs="Times New Roman"/>
          <w:spacing w:val="-2"/>
          <w:sz w:val="24"/>
          <w:szCs w:val="24"/>
        </w:rPr>
        <w:t>Ⅱ</w:t>
      </w:r>
      <w:r>
        <w:rPr>
          <w:rFonts w:ascii="宋体" w:hAnsi="宋体" w:eastAsia="宋体" w:cs="宋体"/>
          <w:spacing w:val="-2"/>
          <w:sz w:val="24"/>
          <w:szCs w:val="24"/>
        </w:rPr>
        <w:t>类标准为目标进行计算，相关参数的取值</w:t>
      </w:r>
      <w:r>
        <w:rPr>
          <w:rFonts w:ascii="宋体" w:hAnsi="宋体" w:eastAsia="宋体" w:cs="宋体"/>
          <w:spacing w:val="-3"/>
          <w:sz w:val="24"/>
          <w:szCs w:val="24"/>
        </w:rPr>
        <w:t>见下表：</w:t>
      </w:r>
    </w:p>
    <w:p w14:paraId="11748922">
      <w:pPr>
        <w:spacing w:line="213" w:lineRule="auto"/>
        <w:ind w:left="3318"/>
        <w:rPr>
          <w:rFonts w:ascii="宋体" w:hAnsi="宋体" w:eastAsia="宋体" w:cs="宋体"/>
          <w:sz w:val="24"/>
          <w:szCs w:val="24"/>
        </w:rPr>
      </w:pPr>
      <w:r>
        <w:rPr>
          <w:rFonts w:ascii="宋体" w:hAnsi="宋体" w:eastAsia="宋体" w:cs="宋体"/>
          <w:b/>
          <w:bCs/>
          <w:spacing w:val="-2"/>
          <w:sz w:val="24"/>
          <w:szCs w:val="24"/>
        </w:rPr>
        <w:t>表</w:t>
      </w:r>
      <w:r>
        <w:rPr>
          <w:rFonts w:ascii="Times New Roman" w:hAnsi="Times New Roman" w:eastAsia="Times New Roman" w:cs="Times New Roman"/>
          <w:b/>
          <w:bCs/>
          <w:spacing w:val="-2"/>
          <w:sz w:val="24"/>
          <w:szCs w:val="24"/>
        </w:rPr>
        <w:t>6.2-1</w:t>
      </w:r>
      <w:r>
        <w:rPr>
          <w:rFonts w:ascii="宋体" w:hAnsi="宋体" w:eastAsia="宋体" w:cs="宋体"/>
          <w:b/>
          <w:bCs/>
          <w:spacing w:val="-2"/>
          <w:sz w:val="24"/>
          <w:szCs w:val="24"/>
        </w:rPr>
        <w:t>参数选取表</w:t>
      </w:r>
    </w:p>
    <w:tbl>
      <w:tblPr>
        <w:tblStyle w:val="5"/>
        <w:tblW w:w="872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2"/>
        <w:gridCol w:w="2977"/>
        <w:gridCol w:w="2993"/>
      </w:tblGrid>
      <w:tr w14:paraId="69285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2752" w:type="dxa"/>
            <w:tcBorders>
              <w:top w:val="single" w:color="000000" w:sz="10" w:space="0"/>
              <w:left w:val="single" w:color="000000" w:sz="10" w:space="0"/>
            </w:tcBorders>
            <w:vAlign w:val="top"/>
          </w:tcPr>
          <w:p w14:paraId="7AAE1321">
            <w:pPr>
              <w:pStyle w:val="6"/>
              <w:spacing w:before="89" w:line="228" w:lineRule="auto"/>
              <w:ind w:left="1159"/>
            </w:pPr>
            <w:r>
              <w:rPr>
                <w:b/>
                <w:bCs/>
                <w:spacing w:val="6"/>
              </w:rPr>
              <w:t>预测参数</w:t>
            </w:r>
          </w:p>
        </w:tc>
        <w:tc>
          <w:tcPr>
            <w:tcW w:w="2977" w:type="dxa"/>
            <w:tcBorders>
              <w:top w:val="single" w:color="000000" w:sz="10" w:space="0"/>
            </w:tcBorders>
            <w:vAlign w:val="top"/>
          </w:tcPr>
          <w:p w14:paraId="14D3B50F">
            <w:pPr>
              <w:pStyle w:val="6"/>
              <w:spacing w:before="89" w:line="228" w:lineRule="auto"/>
              <w:ind w:left="1389"/>
            </w:pPr>
            <w:r>
              <w:rPr>
                <w:b/>
                <w:bCs/>
                <w:spacing w:val="5"/>
              </w:rPr>
              <w:t>枯水期</w:t>
            </w:r>
          </w:p>
        </w:tc>
        <w:tc>
          <w:tcPr>
            <w:tcW w:w="2993" w:type="dxa"/>
            <w:tcBorders>
              <w:top w:val="single" w:color="000000" w:sz="10" w:space="0"/>
              <w:right w:val="single" w:color="000000" w:sz="10" w:space="0"/>
            </w:tcBorders>
            <w:vAlign w:val="top"/>
          </w:tcPr>
          <w:p w14:paraId="20C112A8">
            <w:pPr>
              <w:pStyle w:val="6"/>
              <w:spacing w:before="89" w:line="231" w:lineRule="auto"/>
              <w:ind w:left="1293"/>
            </w:pPr>
            <w:r>
              <w:rPr>
                <w:b/>
                <w:bCs/>
                <w:spacing w:val="6"/>
              </w:rPr>
              <w:t>生态基流</w:t>
            </w:r>
          </w:p>
        </w:tc>
      </w:tr>
      <w:tr w14:paraId="14A1E2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2752" w:type="dxa"/>
            <w:tcBorders>
              <w:left w:val="single" w:color="000000" w:sz="10" w:space="0"/>
            </w:tcBorders>
            <w:vAlign w:val="top"/>
          </w:tcPr>
          <w:p w14:paraId="77F6C1DD">
            <w:pPr>
              <w:pStyle w:val="6"/>
              <w:spacing w:before="153" w:line="221" w:lineRule="auto"/>
              <w:ind w:left="179"/>
              <w:rPr>
                <w:rFonts w:ascii="Times New Roman" w:hAnsi="Times New Roman" w:eastAsia="Times New Roman" w:cs="Times New Roman"/>
              </w:rPr>
            </w:pPr>
            <w:r>
              <w:rPr>
                <w:spacing w:val="8"/>
              </w:rPr>
              <w:t>初始断面污染物浓度（</w:t>
            </w:r>
            <w:r>
              <w:rPr>
                <w:rFonts w:ascii="Times New Roman" w:hAnsi="Times New Roman" w:eastAsia="Times New Roman" w:cs="Times New Roman"/>
                <w:spacing w:val="8"/>
              </w:rPr>
              <w:t>C</w:t>
            </w:r>
            <w:r>
              <w:rPr>
                <w:rFonts w:ascii="Times New Roman" w:hAnsi="Times New Roman" w:eastAsia="Times New Roman" w:cs="Times New Roman"/>
                <w:spacing w:val="8"/>
                <w:position w:val="-1"/>
                <w:sz w:val="13"/>
                <w:szCs w:val="13"/>
              </w:rPr>
              <w:t>0</w:t>
            </w:r>
            <w:r>
              <w:rPr>
                <w:rFonts w:ascii="Times New Roman" w:hAnsi="Times New Roman" w:eastAsia="Times New Roman" w:cs="Times New Roman"/>
                <w:spacing w:val="8"/>
              </w:rPr>
              <w:t>)</w:t>
            </w:r>
          </w:p>
        </w:tc>
        <w:tc>
          <w:tcPr>
            <w:tcW w:w="2977" w:type="dxa"/>
            <w:vAlign w:val="top"/>
          </w:tcPr>
          <w:p w14:paraId="75CCC1E1">
            <w:pPr>
              <w:pStyle w:val="6"/>
              <w:spacing w:before="33" w:line="221" w:lineRule="auto"/>
              <w:ind w:left="545"/>
            </w:pPr>
            <w:r>
              <w:rPr>
                <w:rFonts w:ascii="Times New Roman" w:hAnsi="Times New Roman" w:eastAsia="Times New Roman" w:cs="Times New Roman"/>
              </w:rPr>
              <w:t>COD</w:t>
            </w:r>
            <w:r>
              <w:rPr>
                <w:spacing w:val="8"/>
              </w:rPr>
              <w:t>：</w:t>
            </w:r>
            <w:r>
              <w:rPr>
                <w:rFonts w:ascii="Times New Roman" w:hAnsi="Times New Roman" w:eastAsia="Times New Roman" w:cs="Times New Roman"/>
                <w:spacing w:val="8"/>
              </w:rPr>
              <w:t>8.92</w:t>
            </w:r>
            <w:r>
              <w:rPr>
                <w:rFonts w:ascii="Times New Roman" w:hAnsi="Times New Roman" w:eastAsia="Times New Roman" w:cs="Times New Roman"/>
              </w:rPr>
              <w:t>mg</w:t>
            </w:r>
            <w:r>
              <w:rPr>
                <w:rFonts w:ascii="Times New Roman" w:hAnsi="Times New Roman" w:eastAsia="Times New Roman" w:cs="Times New Roman"/>
                <w:spacing w:val="8"/>
              </w:rPr>
              <w:t>/L</w:t>
            </w:r>
            <w:r>
              <w:rPr>
                <w:spacing w:val="8"/>
              </w:rPr>
              <w:t>；氨氮：</w:t>
            </w:r>
          </w:p>
          <w:p w14:paraId="7EECE814">
            <w:pPr>
              <w:spacing w:before="50" w:line="190" w:lineRule="auto"/>
              <w:ind w:left="108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/L</w:t>
            </w:r>
          </w:p>
        </w:tc>
        <w:tc>
          <w:tcPr>
            <w:tcW w:w="2993" w:type="dxa"/>
            <w:tcBorders>
              <w:right w:val="single" w:color="000000" w:sz="10" w:space="0"/>
            </w:tcBorders>
            <w:vAlign w:val="top"/>
          </w:tcPr>
          <w:p w14:paraId="30A69011">
            <w:pPr>
              <w:pStyle w:val="6"/>
              <w:spacing w:before="33" w:line="221" w:lineRule="auto"/>
              <w:ind w:left="554"/>
            </w:pPr>
            <w:r>
              <w:rPr>
                <w:rFonts w:ascii="Times New Roman" w:hAnsi="Times New Roman" w:eastAsia="Times New Roman" w:cs="Times New Roman"/>
              </w:rPr>
              <w:t>COD</w:t>
            </w:r>
            <w:r>
              <w:rPr>
                <w:spacing w:val="8"/>
              </w:rPr>
              <w:t>：</w:t>
            </w:r>
            <w:r>
              <w:rPr>
                <w:rFonts w:ascii="Times New Roman" w:hAnsi="Times New Roman" w:eastAsia="Times New Roman" w:cs="Times New Roman"/>
                <w:spacing w:val="8"/>
              </w:rPr>
              <w:t>8.92</w:t>
            </w:r>
            <w:r>
              <w:rPr>
                <w:rFonts w:ascii="Times New Roman" w:hAnsi="Times New Roman" w:eastAsia="Times New Roman" w:cs="Times New Roman"/>
              </w:rPr>
              <w:t>mg</w:t>
            </w:r>
            <w:r>
              <w:rPr>
                <w:rFonts w:ascii="Times New Roman" w:hAnsi="Times New Roman" w:eastAsia="Times New Roman" w:cs="Times New Roman"/>
                <w:spacing w:val="8"/>
              </w:rPr>
              <w:t>/L</w:t>
            </w:r>
            <w:r>
              <w:rPr>
                <w:spacing w:val="8"/>
              </w:rPr>
              <w:t>；氨氮：</w:t>
            </w:r>
          </w:p>
          <w:p w14:paraId="524BCA19">
            <w:pPr>
              <w:spacing w:before="50" w:line="190" w:lineRule="auto"/>
              <w:ind w:left="10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/L</w:t>
            </w:r>
          </w:p>
        </w:tc>
      </w:tr>
      <w:tr w14:paraId="00F033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2752" w:type="dxa"/>
            <w:tcBorders>
              <w:left w:val="single" w:color="000000" w:sz="10" w:space="0"/>
            </w:tcBorders>
            <w:vAlign w:val="top"/>
          </w:tcPr>
          <w:p w14:paraId="6B698946">
            <w:pPr>
              <w:pStyle w:val="6"/>
              <w:spacing w:before="156" w:line="221" w:lineRule="auto"/>
              <w:ind w:left="415"/>
              <w:rPr>
                <w:rFonts w:ascii="Times New Roman" w:hAnsi="Times New Roman" w:eastAsia="Times New Roman" w:cs="Times New Roman"/>
              </w:rPr>
            </w:pPr>
            <w:r>
              <w:rPr>
                <w:spacing w:val="8"/>
              </w:rPr>
              <w:t>污染物排放速率（</w:t>
            </w:r>
            <w:r>
              <w:rPr>
                <w:rFonts w:ascii="Times New Roman" w:hAnsi="Times New Roman" w:eastAsia="Times New Roman" w:cs="Times New Roman"/>
                <w:spacing w:val="8"/>
              </w:rPr>
              <w:t>m)</w:t>
            </w:r>
          </w:p>
        </w:tc>
        <w:tc>
          <w:tcPr>
            <w:tcW w:w="2977" w:type="dxa"/>
            <w:vAlign w:val="top"/>
          </w:tcPr>
          <w:p w14:paraId="1249E938">
            <w:pPr>
              <w:pStyle w:val="6"/>
              <w:spacing w:before="36" w:line="221" w:lineRule="auto"/>
              <w:ind w:left="651"/>
            </w:pPr>
            <w:r>
              <w:rPr>
                <w:rFonts w:ascii="Times New Roman" w:hAnsi="Times New Roman" w:eastAsia="Times New Roman" w:cs="Times New Roman"/>
              </w:rPr>
              <w:t>COD</w:t>
            </w:r>
            <w:r>
              <w:rPr>
                <w:spacing w:val="6"/>
              </w:rPr>
              <w:t>：</w:t>
            </w:r>
            <w:r>
              <w:rPr>
                <w:rFonts w:ascii="Times New Roman" w:hAnsi="Times New Roman" w:eastAsia="Times New Roman" w:cs="Times New Roman"/>
                <w:spacing w:val="6"/>
              </w:rPr>
              <w:t>14.5g/s</w:t>
            </w:r>
            <w:r>
              <w:rPr>
                <w:spacing w:val="6"/>
              </w:rPr>
              <w:t>；氨氮：</w:t>
            </w:r>
          </w:p>
          <w:p w14:paraId="2985D293">
            <w:pPr>
              <w:spacing w:before="49" w:line="188" w:lineRule="auto"/>
              <w:ind w:left="11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0.87g/s</w:t>
            </w:r>
          </w:p>
        </w:tc>
        <w:tc>
          <w:tcPr>
            <w:tcW w:w="2993" w:type="dxa"/>
            <w:tcBorders>
              <w:right w:val="single" w:color="000000" w:sz="10" w:space="0"/>
            </w:tcBorders>
            <w:vAlign w:val="top"/>
          </w:tcPr>
          <w:p w14:paraId="34E7D6F2">
            <w:pPr>
              <w:pStyle w:val="6"/>
              <w:spacing w:before="36" w:line="221" w:lineRule="auto"/>
              <w:ind w:left="660"/>
            </w:pPr>
            <w:r>
              <w:rPr>
                <w:rFonts w:ascii="Times New Roman" w:hAnsi="Times New Roman" w:eastAsia="Times New Roman" w:cs="Times New Roman"/>
              </w:rPr>
              <w:t>COD</w:t>
            </w:r>
            <w:r>
              <w:rPr>
                <w:spacing w:val="6"/>
              </w:rPr>
              <w:t>：</w:t>
            </w:r>
            <w:r>
              <w:rPr>
                <w:rFonts w:ascii="Times New Roman" w:hAnsi="Times New Roman" w:eastAsia="Times New Roman" w:cs="Times New Roman"/>
                <w:spacing w:val="6"/>
              </w:rPr>
              <w:t>14.5g/s</w:t>
            </w:r>
            <w:r>
              <w:rPr>
                <w:spacing w:val="6"/>
              </w:rPr>
              <w:t>；氨氮：</w:t>
            </w:r>
          </w:p>
          <w:p w14:paraId="7E0B399A">
            <w:pPr>
              <w:spacing w:before="49" w:line="188" w:lineRule="auto"/>
              <w:ind w:left="11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0.87g/s</w:t>
            </w:r>
          </w:p>
        </w:tc>
      </w:tr>
      <w:tr w14:paraId="32A13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2752" w:type="dxa"/>
            <w:tcBorders>
              <w:left w:val="single" w:color="000000" w:sz="10" w:space="0"/>
            </w:tcBorders>
            <w:vAlign w:val="top"/>
          </w:tcPr>
          <w:p w14:paraId="0FE97985">
            <w:pPr>
              <w:pStyle w:val="6"/>
              <w:spacing w:before="93" w:line="228" w:lineRule="auto"/>
              <w:ind w:left="672"/>
            </w:pPr>
            <w:r>
              <w:rPr>
                <w:spacing w:val="6"/>
              </w:rPr>
              <w:t>水面宽度（</w:t>
            </w:r>
            <w:r>
              <w:rPr>
                <w:rFonts w:ascii="Times New Roman" w:hAnsi="Times New Roman" w:eastAsia="Times New Roman" w:cs="Times New Roman"/>
                <w:spacing w:val="6"/>
              </w:rPr>
              <w:t>B</w:t>
            </w:r>
            <w:r>
              <w:rPr>
                <w:spacing w:val="6"/>
              </w:rPr>
              <w:t>）</w:t>
            </w:r>
          </w:p>
        </w:tc>
        <w:tc>
          <w:tcPr>
            <w:tcW w:w="2977" w:type="dxa"/>
            <w:vAlign w:val="top"/>
          </w:tcPr>
          <w:p w14:paraId="62336374">
            <w:pPr>
              <w:spacing w:before="132" w:line="195" w:lineRule="auto"/>
              <w:ind w:left="148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120m</w:t>
            </w:r>
          </w:p>
        </w:tc>
        <w:tc>
          <w:tcPr>
            <w:tcW w:w="2993" w:type="dxa"/>
            <w:tcBorders>
              <w:right w:val="single" w:color="000000" w:sz="10" w:space="0"/>
            </w:tcBorders>
            <w:vAlign w:val="top"/>
          </w:tcPr>
          <w:p w14:paraId="396AB194">
            <w:pPr>
              <w:spacing w:before="132" w:line="195" w:lineRule="auto"/>
              <w:ind w:left="15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90m</w:t>
            </w:r>
          </w:p>
        </w:tc>
      </w:tr>
      <w:tr w14:paraId="6DA382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2752" w:type="dxa"/>
            <w:tcBorders>
              <w:left w:val="single" w:color="000000" w:sz="10" w:space="0"/>
            </w:tcBorders>
            <w:vAlign w:val="top"/>
          </w:tcPr>
          <w:p w14:paraId="2C5C0774">
            <w:pPr>
              <w:pStyle w:val="6"/>
              <w:spacing w:before="95" w:line="223" w:lineRule="auto"/>
              <w:ind w:left="743"/>
              <w:rPr>
                <w:rFonts w:ascii="Times New Roman" w:hAnsi="Times New Roman" w:eastAsia="Times New Roman" w:cs="Times New Roman"/>
              </w:rPr>
            </w:pPr>
            <w:r>
              <w:rPr>
                <w:spacing w:val="6"/>
              </w:rPr>
              <w:t>断面水深（</w:t>
            </w:r>
            <w:r>
              <w:rPr>
                <w:rFonts w:ascii="Times New Roman" w:hAnsi="Times New Roman" w:eastAsia="Times New Roman" w:cs="Times New Roman"/>
                <w:spacing w:val="6"/>
              </w:rPr>
              <w:t>H)</w:t>
            </w:r>
          </w:p>
        </w:tc>
        <w:tc>
          <w:tcPr>
            <w:tcW w:w="2977" w:type="dxa"/>
            <w:vAlign w:val="top"/>
          </w:tcPr>
          <w:p w14:paraId="05BC5F4D">
            <w:pPr>
              <w:spacing w:before="133" w:line="195" w:lineRule="auto"/>
              <w:ind w:left="15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1.5m</w:t>
            </w:r>
          </w:p>
        </w:tc>
        <w:tc>
          <w:tcPr>
            <w:tcW w:w="2993" w:type="dxa"/>
            <w:tcBorders>
              <w:right w:val="single" w:color="000000" w:sz="10" w:space="0"/>
            </w:tcBorders>
            <w:vAlign w:val="top"/>
          </w:tcPr>
          <w:p w14:paraId="2DBECBBA">
            <w:pPr>
              <w:spacing w:before="133" w:line="195" w:lineRule="auto"/>
              <w:ind w:left="15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1.0m</w:t>
            </w:r>
          </w:p>
        </w:tc>
      </w:tr>
      <w:tr w14:paraId="2CE33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2752" w:type="dxa"/>
            <w:tcBorders>
              <w:left w:val="single" w:color="000000" w:sz="10" w:space="0"/>
            </w:tcBorders>
            <w:vAlign w:val="top"/>
          </w:tcPr>
          <w:p w14:paraId="4E317965">
            <w:pPr>
              <w:pStyle w:val="6"/>
              <w:spacing w:before="99" w:line="228" w:lineRule="auto"/>
              <w:ind w:left="695"/>
            </w:pPr>
            <w:r>
              <w:rPr>
                <w:spacing w:val="5"/>
              </w:rPr>
              <w:t>断面流速（</w:t>
            </w:r>
            <w:r>
              <w:rPr>
                <w:rFonts w:ascii="Times New Roman" w:hAnsi="Times New Roman" w:eastAsia="Times New Roman" w:cs="Times New Roman"/>
                <w:spacing w:val="5"/>
              </w:rPr>
              <w:t>u</w:t>
            </w:r>
            <w:r>
              <w:rPr>
                <w:spacing w:val="5"/>
              </w:rPr>
              <w:t>）</w:t>
            </w:r>
          </w:p>
        </w:tc>
        <w:tc>
          <w:tcPr>
            <w:tcW w:w="2977" w:type="dxa"/>
            <w:vAlign w:val="top"/>
          </w:tcPr>
          <w:p w14:paraId="4C71126A">
            <w:pPr>
              <w:spacing w:before="131" w:line="199" w:lineRule="auto"/>
              <w:ind w:left="13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0.35m/s</w:t>
            </w:r>
          </w:p>
        </w:tc>
        <w:tc>
          <w:tcPr>
            <w:tcW w:w="2993" w:type="dxa"/>
            <w:tcBorders>
              <w:right w:val="single" w:color="000000" w:sz="10" w:space="0"/>
            </w:tcBorders>
            <w:vAlign w:val="top"/>
          </w:tcPr>
          <w:p w14:paraId="50D276C2">
            <w:pPr>
              <w:spacing w:before="131" w:line="199" w:lineRule="auto"/>
              <w:ind w:left="14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0.2m/s</w:t>
            </w:r>
          </w:p>
        </w:tc>
      </w:tr>
      <w:tr w14:paraId="617912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2752" w:type="dxa"/>
            <w:tcBorders>
              <w:left w:val="single" w:color="000000" w:sz="10" w:space="0"/>
            </w:tcBorders>
            <w:vAlign w:val="top"/>
          </w:tcPr>
          <w:p w14:paraId="002AB7A8">
            <w:pPr>
              <w:pStyle w:val="6"/>
              <w:spacing w:before="101" w:line="221" w:lineRule="auto"/>
              <w:ind w:left="107"/>
            </w:pPr>
            <w:r>
              <w:rPr>
                <w:spacing w:val="9"/>
              </w:rPr>
              <w:t>污染物横向扩散系数（</w:t>
            </w:r>
            <w:r>
              <w:rPr>
                <w:rFonts w:ascii="Times New Roman" w:hAnsi="Times New Roman" w:eastAsia="Times New Roman" w:cs="Times New Roman"/>
              </w:rPr>
              <w:t>Ey</w:t>
            </w:r>
            <w:r>
              <w:rPr>
                <w:spacing w:val="9"/>
              </w:rPr>
              <w:t>）</w:t>
            </w:r>
          </w:p>
        </w:tc>
        <w:tc>
          <w:tcPr>
            <w:tcW w:w="2977" w:type="dxa"/>
            <w:vAlign w:val="top"/>
          </w:tcPr>
          <w:p w14:paraId="15F56005">
            <w:pPr>
              <w:spacing w:before="116" w:line="216" w:lineRule="auto"/>
              <w:ind w:left="13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0.08m</w:t>
            </w:r>
            <w:r>
              <w:rPr>
                <w:rFonts w:ascii="Times New Roman" w:hAnsi="Times New Roman" w:eastAsia="Times New Roman" w:cs="Times New Roman"/>
                <w:spacing w:val="3"/>
                <w:position w:val="6"/>
                <w:sz w:val="13"/>
                <w:szCs w:val="13"/>
              </w:rPr>
              <w:t>2</w:t>
            </w:r>
            <w:r>
              <w:rPr>
                <w:rFonts w:ascii="Times New Roman" w:hAnsi="Times New Roman" w:eastAsia="Times New Roman" w:cs="Times New Roman"/>
                <w:spacing w:val="3"/>
                <w:sz w:val="20"/>
                <w:szCs w:val="20"/>
              </w:rPr>
              <w:t>/s</w:t>
            </w:r>
          </w:p>
        </w:tc>
        <w:tc>
          <w:tcPr>
            <w:tcW w:w="2993" w:type="dxa"/>
            <w:tcBorders>
              <w:right w:val="single" w:color="000000" w:sz="10" w:space="0"/>
            </w:tcBorders>
            <w:vAlign w:val="top"/>
          </w:tcPr>
          <w:p w14:paraId="5B7D36EE">
            <w:pPr>
              <w:spacing w:before="116" w:line="216" w:lineRule="auto"/>
              <w:ind w:left="13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0.05m</w:t>
            </w:r>
            <w:r>
              <w:rPr>
                <w:rFonts w:ascii="Times New Roman" w:hAnsi="Times New Roman" w:eastAsia="Times New Roman" w:cs="Times New Roman"/>
                <w:spacing w:val="3"/>
                <w:position w:val="6"/>
                <w:sz w:val="13"/>
                <w:szCs w:val="13"/>
              </w:rPr>
              <w:t>2</w:t>
            </w:r>
            <w:r>
              <w:rPr>
                <w:rFonts w:ascii="Times New Roman" w:hAnsi="Times New Roman" w:eastAsia="Times New Roman" w:cs="Times New Roman"/>
                <w:spacing w:val="3"/>
                <w:sz w:val="20"/>
                <w:szCs w:val="20"/>
              </w:rPr>
              <w:t>/s</w:t>
            </w:r>
          </w:p>
        </w:tc>
      </w:tr>
      <w:tr w14:paraId="2B110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2752" w:type="dxa"/>
            <w:tcBorders>
              <w:left w:val="single" w:color="000000" w:sz="10" w:space="0"/>
            </w:tcBorders>
            <w:vAlign w:val="top"/>
          </w:tcPr>
          <w:p w14:paraId="7BE1254E">
            <w:pPr>
              <w:pStyle w:val="6"/>
              <w:spacing w:before="182" w:line="223" w:lineRule="auto"/>
              <w:ind w:left="235"/>
            </w:pPr>
            <w:r>
              <w:rPr>
                <w:spacing w:val="7"/>
              </w:rPr>
              <w:t>污染物综合衰减系数</w:t>
            </w:r>
            <w:r>
              <w:rPr>
                <w:rFonts w:ascii="Times New Roman" w:hAnsi="Times New Roman" w:eastAsia="Times New Roman" w:cs="Times New Roman"/>
                <w:spacing w:val="7"/>
              </w:rPr>
              <w:t>(k</w:t>
            </w:r>
            <w:r>
              <w:rPr>
                <w:spacing w:val="7"/>
              </w:rPr>
              <w:t>）</w:t>
            </w:r>
          </w:p>
        </w:tc>
        <w:tc>
          <w:tcPr>
            <w:tcW w:w="2977" w:type="dxa"/>
            <w:vAlign w:val="top"/>
          </w:tcPr>
          <w:p w14:paraId="20E5AFE5">
            <w:pPr>
              <w:pStyle w:val="6"/>
              <w:spacing w:before="47" w:line="221" w:lineRule="auto"/>
              <w:ind w:left="985"/>
              <w:rPr>
                <w:rFonts w:ascii="Times New Roman" w:hAnsi="Times New Roman" w:eastAsia="Times New Roman" w:cs="Times New Roman"/>
              </w:rPr>
            </w:pPr>
            <w:r>
              <w:rPr>
                <w:rFonts w:ascii="Times New Roman" w:hAnsi="Times New Roman" w:eastAsia="Times New Roman" w:cs="Times New Roman"/>
              </w:rPr>
              <w:t>K</w:t>
            </w:r>
            <w:r>
              <w:rPr>
                <w:rFonts w:ascii="Times New Roman" w:hAnsi="Times New Roman" w:eastAsia="Times New Roman" w:cs="Times New Roman"/>
                <w:position w:val="-1"/>
                <w:sz w:val="13"/>
                <w:szCs w:val="13"/>
              </w:rPr>
              <w:t>COD</w:t>
            </w:r>
            <w:r>
              <w:rPr>
                <w:spacing w:val="6"/>
              </w:rPr>
              <w:t>：</w:t>
            </w:r>
            <w:r>
              <w:rPr>
                <w:rFonts w:ascii="Times New Roman" w:hAnsi="Times New Roman" w:eastAsia="Times New Roman" w:cs="Times New Roman"/>
                <w:spacing w:val="6"/>
              </w:rPr>
              <w:t>0.20(1/d)</w:t>
            </w:r>
          </w:p>
          <w:p w14:paraId="02CF11FF">
            <w:pPr>
              <w:pStyle w:val="6"/>
              <w:spacing w:before="31" w:line="202" w:lineRule="auto"/>
              <w:ind w:left="925"/>
              <w:rPr>
                <w:rFonts w:ascii="Times New Roman" w:hAnsi="Times New Roman" w:eastAsia="Times New Roman" w:cs="Times New Roman"/>
              </w:rPr>
            </w:pPr>
            <w:r>
              <w:rPr>
                <w:rFonts w:ascii="Times New Roman" w:hAnsi="Times New Roman" w:eastAsia="Times New Roman" w:cs="Times New Roman"/>
              </w:rPr>
              <w:t>K</w:t>
            </w:r>
            <w:r>
              <w:rPr>
                <w:rFonts w:ascii="Times New Roman" w:hAnsi="Times New Roman" w:eastAsia="Times New Roman" w:cs="Times New Roman"/>
                <w:position w:val="-1"/>
                <w:sz w:val="13"/>
                <w:szCs w:val="13"/>
              </w:rPr>
              <w:t>NH</w:t>
            </w:r>
            <w:r>
              <w:rPr>
                <w:rFonts w:ascii="Times New Roman" w:hAnsi="Times New Roman" w:eastAsia="Times New Roman" w:cs="Times New Roman"/>
                <w:spacing w:val="3"/>
                <w:position w:val="-1"/>
                <w:sz w:val="13"/>
                <w:szCs w:val="13"/>
              </w:rPr>
              <w:t>3-N</w:t>
            </w:r>
            <w:r>
              <w:rPr>
                <w:spacing w:val="3"/>
              </w:rPr>
              <w:t>：</w:t>
            </w:r>
            <w:r>
              <w:rPr>
                <w:rFonts w:ascii="Times New Roman" w:hAnsi="Times New Roman" w:eastAsia="Times New Roman" w:cs="Times New Roman"/>
                <w:spacing w:val="3"/>
              </w:rPr>
              <w:t>0.15(1/d)</w:t>
            </w:r>
          </w:p>
        </w:tc>
        <w:tc>
          <w:tcPr>
            <w:tcW w:w="2993" w:type="dxa"/>
            <w:tcBorders>
              <w:right w:val="single" w:color="000000" w:sz="10" w:space="0"/>
            </w:tcBorders>
            <w:vAlign w:val="top"/>
          </w:tcPr>
          <w:p w14:paraId="3579F0C5">
            <w:pPr>
              <w:pStyle w:val="6"/>
              <w:spacing w:before="47" w:line="221" w:lineRule="auto"/>
              <w:ind w:left="996"/>
              <w:rPr>
                <w:rFonts w:ascii="Times New Roman" w:hAnsi="Times New Roman" w:eastAsia="Times New Roman" w:cs="Times New Roman"/>
              </w:rPr>
            </w:pPr>
            <w:r>
              <w:rPr>
                <w:rFonts w:ascii="Times New Roman" w:hAnsi="Times New Roman" w:eastAsia="Times New Roman" w:cs="Times New Roman"/>
              </w:rPr>
              <w:t>K</w:t>
            </w:r>
            <w:r>
              <w:rPr>
                <w:rFonts w:ascii="Times New Roman" w:hAnsi="Times New Roman" w:eastAsia="Times New Roman" w:cs="Times New Roman"/>
                <w:position w:val="-1"/>
                <w:sz w:val="13"/>
                <w:szCs w:val="13"/>
              </w:rPr>
              <w:t>COD</w:t>
            </w:r>
            <w:r>
              <w:rPr>
                <w:spacing w:val="3"/>
              </w:rPr>
              <w:t>：</w:t>
            </w:r>
            <w:r>
              <w:rPr>
                <w:rFonts w:ascii="Times New Roman" w:hAnsi="Times New Roman" w:eastAsia="Times New Roman" w:cs="Times New Roman"/>
                <w:spacing w:val="3"/>
              </w:rPr>
              <w:t>0.10(1/d)</w:t>
            </w:r>
          </w:p>
          <w:p w14:paraId="5CE352C9">
            <w:pPr>
              <w:pStyle w:val="6"/>
              <w:spacing w:before="31" w:line="202" w:lineRule="auto"/>
              <w:ind w:left="936"/>
              <w:rPr>
                <w:rFonts w:ascii="Times New Roman" w:hAnsi="Times New Roman" w:eastAsia="Times New Roman" w:cs="Times New Roman"/>
              </w:rPr>
            </w:pPr>
            <w:r>
              <w:rPr>
                <w:rFonts w:ascii="Times New Roman" w:hAnsi="Times New Roman" w:eastAsia="Times New Roman" w:cs="Times New Roman"/>
              </w:rPr>
              <w:t>K</w:t>
            </w:r>
            <w:r>
              <w:rPr>
                <w:rFonts w:ascii="Times New Roman" w:hAnsi="Times New Roman" w:eastAsia="Times New Roman" w:cs="Times New Roman"/>
                <w:position w:val="-1"/>
                <w:sz w:val="13"/>
                <w:szCs w:val="13"/>
              </w:rPr>
              <w:t>NH</w:t>
            </w:r>
            <w:r>
              <w:rPr>
                <w:rFonts w:ascii="Times New Roman" w:hAnsi="Times New Roman" w:eastAsia="Times New Roman" w:cs="Times New Roman"/>
                <w:spacing w:val="3"/>
                <w:position w:val="-1"/>
                <w:sz w:val="13"/>
                <w:szCs w:val="13"/>
              </w:rPr>
              <w:t>3-N</w:t>
            </w:r>
            <w:r>
              <w:rPr>
                <w:spacing w:val="3"/>
              </w:rPr>
              <w:t>：</w:t>
            </w:r>
            <w:r>
              <w:rPr>
                <w:rFonts w:ascii="Times New Roman" w:hAnsi="Times New Roman" w:eastAsia="Times New Roman" w:cs="Times New Roman"/>
                <w:spacing w:val="3"/>
              </w:rPr>
              <w:t>0.10(1/d)</w:t>
            </w:r>
          </w:p>
        </w:tc>
      </w:tr>
      <w:tr w14:paraId="5B4D4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2752" w:type="dxa"/>
            <w:tcBorders>
              <w:left w:val="single" w:color="000000" w:sz="10" w:space="0"/>
            </w:tcBorders>
            <w:vAlign w:val="top"/>
          </w:tcPr>
          <w:p w14:paraId="2A1F6510">
            <w:pPr>
              <w:pStyle w:val="6"/>
              <w:spacing w:before="169" w:line="228" w:lineRule="auto"/>
              <w:ind w:left="107"/>
            </w:pPr>
            <w:r>
              <w:rPr>
                <w:spacing w:val="9"/>
              </w:rPr>
              <w:t>污染物浓度标准限值（</w:t>
            </w:r>
            <w:r>
              <w:rPr>
                <w:rFonts w:ascii="Times New Roman" w:hAnsi="Times New Roman" w:eastAsia="Times New Roman" w:cs="Times New Roman"/>
              </w:rPr>
              <w:t>Cs</w:t>
            </w:r>
            <w:r>
              <w:rPr>
                <w:spacing w:val="9"/>
              </w:rPr>
              <w:t>）</w:t>
            </w:r>
          </w:p>
        </w:tc>
        <w:tc>
          <w:tcPr>
            <w:tcW w:w="2977" w:type="dxa"/>
            <w:vAlign w:val="top"/>
          </w:tcPr>
          <w:p w14:paraId="758B13E6">
            <w:pPr>
              <w:pStyle w:val="6"/>
              <w:spacing w:before="49" w:line="221" w:lineRule="auto"/>
              <w:ind w:left="538"/>
            </w:pPr>
            <w:r>
              <w:rPr>
                <w:rFonts w:ascii="Times New Roman" w:hAnsi="Times New Roman" w:eastAsia="Times New Roman" w:cs="Times New Roman"/>
              </w:rPr>
              <w:t>COD</w:t>
            </w:r>
            <w:r>
              <w:rPr>
                <w:spacing w:val="6"/>
              </w:rPr>
              <w:t>：</w:t>
            </w:r>
            <w:r>
              <w:rPr>
                <w:rFonts w:ascii="Times New Roman" w:hAnsi="Times New Roman" w:eastAsia="Times New Roman" w:cs="Times New Roman"/>
                <w:spacing w:val="6"/>
              </w:rPr>
              <w:t>15</w:t>
            </w:r>
            <w:r>
              <w:rPr>
                <w:rFonts w:ascii="Times New Roman" w:hAnsi="Times New Roman" w:eastAsia="Times New Roman" w:cs="Times New Roman"/>
              </w:rPr>
              <w:t>mg</w:t>
            </w:r>
            <w:r>
              <w:rPr>
                <w:rFonts w:ascii="Times New Roman" w:hAnsi="Times New Roman" w:eastAsia="Times New Roman" w:cs="Times New Roman"/>
                <w:spacing w:val="6"/>
              </w:rPr>
              <w:t>/L</w:t>
            </w:r>
            <w:r>
              <w:rPr>
                <w:spacing w:val="6"/>
              </w:rPr>
              <w:t>、</w:t>
            </w:r>
            <w:r>
              <w:rPr>
                <w:rFonts w:ascii="Times New Roman" w:hAnsi="Times New Roman" w:eastAsia="Times New Roman" w:cs="Times New Roman"/>
              </w:rPr>
              <w:t>NH</w:t>
            </w:r>
            <w:r>
              <w:rPr>
                <w:rFonts w:ascii="Times New Roman" w:hAnsi="Times New Roman" w:eastAsia="Times New Roman" w:cs="Times New Roman"/>
                <w:spacing w:val="6"/>
                <w:sz w:val="13"/>
                <w:szCs w:val="13"/>
              </w:rPr>
              <w:t>3</w:t>
            </w:r>
            <w:r>
              <w:rPr>
                <w:rFonts w:ascii="Times New Roman" w:hAnsi="Times New Roman" w:eastAsia="Times New Roman" w:cs="Times New Roman"/>
                <w:spacing w:val="6"/>
              </w:rPr>
              <w:t>-N</w:t>
            </w:r>
            <w:r>
              <w:rPr>
                <w:spacing w:val="6"/>
              </w:rPr>
              <w:t>：</w:t>
            </w:r>
          </w:p>
          <w:p w14:paraId="32AE74FA">
            <w:pPr>
              <w:spacing w:before="49" w:line="174" w:lineRule="auto"/>
              <w:ind w:left="113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/L</w:t>
            </w:r>
          </w:p>
        </w:tc>
        <w:tc>
          <w:tcPr>
            <w:tcW w:w="2993" w:type="dxa"/>
            <w:tcBorders>
              <w:right w:val="single" w:color="000000" w:sz="10" w:space="0"/>
            </w:tcBorders>
            <w:vAlign w:val="top"/>
          </w:tcPr>
          <w:p w14:paraId="08E374E4">
            <w:pPr>
              <w:pStyle w:val="6"/>
              <w:spacing w:before="49" w:line="221" w:lineRule="auto"/>
              <w:ind w:left="547"/>
            </w:pPr>
            <w:r>
              <w:rPr>
                <w:rFonts w:ascii="Times New Roman" w:hAnsi="Times New Roman" w:eastAsia="Times New Roman" w:cs="Times New Roman"/>
              </w:rPr>
              <w:t>COD</w:t>
            </w:r>
            <w:r>
              <w:rPr>
                <w:spacing w:val="6"/>
              </w:rPr>
              <w:t>：</w:t>
            </w:r>
            <w:r>
              <w:rPr>
                <w:rFonts w:ascii="Times New Roman" w:hAnsi="Times New Roman" w:eastAsia="Times New Roman" w:cs="Times New Roman"/>
                <w:spacing w:val="6"/>
              </w:rPr>
              <w:t>15</w:t>
            </w:r>
            <w:r>
              <w:rPr>
                <w:rFonts w:ascii="Times New Roman" w:hAnsi="Times New Roman" w:eastAsia="Times New Roman" w:cs="Times New Roman"/>
              </w:rPr>
              <w:t>mg</w:t>
            </w:r>
            <w:r>
              <w:rPr>
                <w:rFonts w:ascii="Times New Roman" w:hAnsi="Times New Roman" w:eastAsia="Times New Roman" w:cs="Times New Roman"/>
                <w:spacing w:val="6"/>
              </w:rPr>
              <w:t>/L</w:t>
            </w:r>
            <w:r>
              <w:rPr>
                <w:spacing w:val="6"/>
              </w:rPr>
              <w:t>、</w:t>
            </w:r>
            <w:r>
              <w:rPr>
                <w:rFonts w:ascii="Times New Roman" w:hAnsi="Times New Roman" w:eastAsia="Times New Roman" w:cs="Times New Roman"/>
              </w:rPr>
              <w:t>NH</w:t>
            </w:r>
            <w:r>
              <w:rPr>
                <w:rFonts w:ascii="Times New Roman" w:hAnsi="Times New Roman" w:eastAsia="Times New Roman" w:cs="Times New Roman"/>
                <w:spacing w:val="6"/>
                <w:sz w:val="13"/>
                <w:szCs w:val="13"/>
              </w:rPr>
              <w:t>3</w:t>
            </w:r>
            <w:r>
              <w:rPr>
                <w:rFonts w:ascii="Times New Roman" w:hAnsi="Times New Roman" w:eastAsia="Times New Roman" w:cs="Times New Roman"/>
                <w:spacing w:val="6"/>
              </w:rPr>
              <w:t>-N</w:t>
            </w:r>
            <w:r>
              <w:rPr>
                <w:spacing w:val="6"/>
              </w:rPr>
              <w:t>：</w:t>
            </w:r>
          </w:p>
          <w:p w14:paraId="4958B877">
            <w:pPr>
              <w:spacing w:before="49" w:line="174" w:lineRule="auto"/>
              <w:ind w:left="114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/L</w:t>
            </w:r>
          </w:p>
        </w:tc>
      </w:tr>
      <w:tr w14:paraId="1FA3B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2752" w:type="dxa"/>
            <w:tcBorders>
              <w:left w:val="single" w:color="000000" w:sz="10" w:space="0"/>
            </w:tcBorders>
            <w:vAlign w:val="top"/>
          </w:tcPr>
          <w:p w14:paraId="5B7A3B4A">
            <w:pPr>
              <w:pStyle w:val="6"/>
              <w:spacing w:before="107" w:line="221" w:lineRule="auto"/>
              <w:ind w:left="208"/>
              <w:rPr>
                <w:rFonts w:ascii="Times New Roman" w:hAnsi="Times New Roman" w:eastAsia="Times New Roman" w:cs="Times New Roman"/>
              </w:rPr>
            </w:pPr>
            <w:r>
              <w:rPr>
                <w:spacing w:val="8"/>
              </w:rPr>
              <w:t>初始断面的入流流量（</w:t>
            </w:r>
            <w:r>
              <w:rPr>
                <w:rFonts w:ascii="Times New Roman" w:hAnsi="Times New Roman" w:eastAsia="Times New Roman" w:cs="Times New Roman"/>
                <w:spacing w:val="8"/>
              </w:rPr>
              <w:t>Q)</w:t>
            </w:r>
          </w:p>
        </w:tc>
        <w:tc>
          <w:tcPr>
            <w:tcW w:w="2977" w:type="dxa"/>
            <w:vAlign w:val="top"/>
          </w:tcPr>
          <w:p w14:paraId="4D3129FD">
            <w:pPr>
              <w:spacing w:before="125" w:line="213" w:lineRule="auto"/>
              <w:ind w:left="14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66m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sz w:val="20"/>
                <w:szCs w:val="20"/>
              </w:rPr>
              <w:t>/s</w:t>
            </w:r>
          </w:p>
        </w:tc>
        <w:tc>
          <w:tcPr>
            <w:tcW w:w="2993" w:type="dxa"/>
            <w:tcBorders>
              <w:right w:val="single" w:color="000000" w:sz="10" w:space="0"/>
            </w:tcBorders>
            <w:vAlign w:val="top"/>
          </w:tcPr>
          <w:p w14:paraId="0A1D4375">
            <w:pPr>
              <w:spacing w:before="125" w:line="213" w:lineRule="auto"/>
              <w:ind w:left="1440"/>
              <w:rPr>
                <w:rFonts w:ascii="Times New Roman" w:hAnsi="Times New Roman" w:eastAsia="Times New Roman" w:cs="Times New Roman"/>
                <w:sz w:val="20"/>
                <w:szCs w:val="20"/>
              </w:rPr>
            </w:pPr>
            <w:r>
              <w:rPr>
                <w:rFonts w:ascii="Times New Roman" w:hAnsi="Times New Roman" w:eastAsia="Times New Roman" w:cs="Times New Roman"/>
                <w:sz w:val="20"/>
                <w:szCs w:val="20"/>
              </w:rPr>
              <w:t>18m</w:t>
            </w:r>
            <w:r>
              <w:rPr>
                <w:rFonts w:ascii="Times New Roman" w:hAnsi="Times New Roman" w:eastAsia="Times New Roman" w:cs="Times New Roman"/>
                <w:position w:val="6"/>
                <w:sz w:val="13"/>
                <w:szCs w:val="13"/>
              </w:rPr>
              <w:t>3</w:t>
            </w:r>
            <w:r>
              <w:rPr>
                <w:rFonts w:ascii="Times New Roman" w:hAnsi="Times New Roman" w:eastAsia="Times New Roman" w:cs="Times New Roman"/>
                <w:sz w:val="20"/>
                <w:szCs w:val="20"/>
              </w:rPr>
              <w:t>/s</w:t>
            </w:r>
          </w:p>
        </w:tc>
      </w:tr>
      <w:tr w14:paraId="7BF3D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2752" w:type="dxa"/>
            <w:tcBorders>
              <w:left w:val="single" w:color="000000" w:sz="10" w:space="0"/>
              <w:bottom w:val="single" w:color="000000" w:sz="10" w:space="0"/>
            </w:tcBorders>
            <w:vAlign w:val="top"/>
          </w:tcPr>
          <w:p w14:paraId="599741CF">
            <w:pPr>
              <w:pStyle w:val="6"/>
              <w:spacing w:before="109" w:line="223" w:lineRule="auto"/>
              <w:ind w:left="542"/>
              <w:rPr>
                <w:rFonts w:ascii="Times New Roman" w:hAnsi="Times New Roman" w:eastAsia="Times New Roman" w:cs="Times New Roman"/>
              </w:rPr>
            </w:pPr>
            <w:r>
              <w:rPr>
                <w:spacing w:val="8"/>
              </w:rPr>
              <w:t>污水排放流量</w:t>
            </w:r>
            <w:r>
              <w:rPr>
                <w:rFonts w:ascii="Times New Roman" w:hAnsi="Times New Roman" w:eastAsia="Times New Roman" w:cs="Times New Roman"/>
                <w:spacing w:val="8"/>
              </w:rPr>
              <w:t>(</w:t>
            </w:r>
            <w:r>
              <w:rPr>
                <w:rFonts w:ascii="Times New Roman" w:hAnsi="Times New Roman" w:eastAsia="Times New Roman" w:cs="Times New Roman"/>
              </w:rPr>
              <w:t>Qp</w:t>
            </w:r>
            <w:r>
              <w:rPr>
                <w:rFonts w:ascii="Times New Roman" w:hAnsi="Times New Roman" w:eastAsia="Times New Roman" w:cs="Times New Roman"/>
                <w:spacing w:val="8"/>
              </w:rPr>
              <w:t>)</w:t>
            </w:r>
          </w:p>
        </w:tc>
        <w:tc>
          <w:tcPr>
            <w:tcW w:w="2977" w:type="dxa"/>
            <w:tcBorders>
              <w:bottom w:val="single" w:color="000000" w:sz="10" w:space="0"/>
            </w:tcBorders>
            <w:vAlign w:val="top"/>
          </w:tcPr>
          <w:p w14:paraId="1D470205">
            <w:pPr>
              <w:spacing w:before="127" w:line="216" w:lineRule="auto"/>
              <w:ind w:left="1282"/>
              <w:rPr>
                <w:rFonts w:ascii="Times New Roman" w:hAnsi="Times New Roman" w:eastAsia="Times New Roman" w:cs="Times New Roman"/>
                <w:sz w:val="20"/>
                <w:szCs w:val="20"/>
              </w:rPr>
            </w:pPr>
            <w:r>
              <w:rPr>
                <w:rFonts w:ascii="Times New Roman" w:hAnsi="Times New Roman" w:eastAsia="Times New Roman" w:cs="Times New Roman"/>
                <w:sz w:val="20"/>
                <w:szCs w:val="20"/>
              </w:rPr>
              <w:t>0.174m</w:t>
            </w:r>
            <w:r>
              <w:rPr>
                <w:rFonts w:ascii="Times New Roman" w:hAnsi="Times New Roman" w:eastAsia="Times New Roman" w:cs="Times New Roman"/>
                <w:position w:val="6"/>
                <w:sz w:val="13"/>
                <w:szCs w:val="13"/>
              </w:rPr>
              <w:t>3</w:t>
            </w:r>
            <w:r>
              <w:rPr>
                <w:rFonts w:ascii="Times New Roman" w:hAnsi="Times New Roman" w:eastAsia="Times New Roman" w:cs="Times New Roman"/>
                <w:sz w:val="20"/>
                <w:szCs w:val="20"/>
              </w:rPr>
              <w:t>/s</w:t>
            </w:r>
          </w:p>
        </w:tc>
        <w:tc>
          <w:tcPr>
            <w:tcW w:w="2993" w:type="dxa"/>
            <w:tcBorders>
              <w:bottom w:val="single" w:color="000000" w:sz="10" w:space="0"/>
              <w:right w:val="single" w:color="000000" w:sz="10" w:space="0"/>
            </w:tcBorders>
            <w:vAlign w:val="top"/>
          </w:tcPr>
          <w:p w14:paraId="13D36C3A">
            <w:pPr>
              <w:spacing w:before="127" w:line="216" w:lineRule="auto"/>
              <w:ind w:left="1291"/>
              <w:rPr>
                <w:rFonts w:ascii="Times New Roman" w:hAnsi="Times New Roman" w:eastAsia="Times New Roman" w:cs="Times New Roman"/>
                <w:sz w:val="20"/>
                <w:szCs w:val="20"/>
              </w:rPr>
            </w:pPr>
            <w:r>
              <w:rPr>
                <w:rFonts w:ascii="Times New Roman" w:hAnsi="Times New Roman" w:eastAsia="Times New Roman" w:cs="Times New Roman"/>
                <w:sz w:val="20"/>
                <w:szCs w:val="20"/>
              </w:rPr>
              <w:t>0.174m</w:t>
            </w:r>
            <w:r>
              <w:rPr>
                <w:rFonts w:ascii="Times New Roman" w:hAnsi="Times New Roman" w:eastAsia="Times New Roman" w:cs="Times New Roman"/>
                <w:position w:val="6"/>
                <w:sz w:val="13"/>
                <w:szCs w:val="13"/>
              </w:rPr>
              <w:t>3</w:t>
            </w:r>
            <w:r>
              <w:rPr>
                <w:rFonts w:ascii="Times New Roman" w:hAnsi="Times New Roman" w:eastAsia="Times New Roman" w:cs="Times New Roman"/>
                <w:sz w:val="20"/>
                <w:szCs w:val="20"/>
              </w:rPr>
              <w:t>/s</w:t>
            </w:r>
          </w:p>
        </w:tc>
      </w:tr>
    </w:tbl>
    <w:p w14:paraId="6FF7BC15">
      <w:pPr>
        <w:spacing w:before="157" w:line="219" w:lineRule="auto"/>
        <w:ind w:left="612"/>
        <w:rPr>
          <w:rFonts w:ascii="宋体" w:hAnsi="宋体" w:eastAsia="宋体" w:cs="宋体"/>
          <w:sz w:val="24"/>
          <w:szCs w:val="24"/>
        </w:rPr>
      </w:pPr>
      <w:r>
        <w:rPr>
          <w:rFonts w:ascii="宋体" w:hAnsi="宋体" w:eastAsia="宋体" w:cs="宋体"/>
          <w:spacing w:val="-1"/>
          <w:sz w:val="24"/>
          <w:szCs w:val="24"/>
        </w:rPr>
        <w:t>计算得出该段赧水纳污能力详见表</w:t>
      </w:r>
      <w:r>
        <w:rPr>
          <w:rFonts w:ascii="Times New Roman" w:hAnsi="Times New Roman" w:eastAsia="Times New Roman" w:cs="Times New Roman"/>
          <w:spacing w:val="-1"/>
          <w:sz w:val="24"/>
          <w:szCs w:val="24"/>
        </w:rPr>
        <w:t>6.2-2</w:t>
      </w:r>
      <w:r>
        <w:rPr>
          <w:rFonts w:ascii="宋体" w:hAnsi="宋体" w:eastAsia="宋体" w:cs="宋体"/>
          <w:spacing w:val="-1"/>
          <w:sz w:val="24"/>
          <w:szCs w:val="24"/>
        </w:rPr>
        <w:t>。</w:t>
      </w:r>
    </w:p>
    <w:p w14:paraId="6A508347">
      <w:pPr>
        <w:spacing w:before="180" w:line="219" w:lineRule="auto"/>
        <w:ind w:left="2236"/>
        <w:rPr>
          <w:rFonts w:ascii="宋体" w:hAnsi="宋体" w:eastAsia="宋体" w:cs="宋体"/>
          <w:sz w:val="24"/>
          <w:szCs w:val="24"/>
        </w:rPr>
      </w:pPr>
      <w:r>
        <w:rPr>
          <w:rFonts w:ascii="宋体" w:hAnsi="宋体" w:eastAsia="宋体" w:cs="宋体"/>
          <w:b/>
          <w:bCs/>
          <w:spacing w:val="-2"/>
          <w:sz w:val="24"/>
          <w:szCs w:val="24"/>
        </w:rPr>
        <w:t>表</w:t>
      </w:r>
      <w:r>
        <w:rPr>
          <w:rFonts w:ascii="Times New Roman" w:hAnsi="Times New Roman" w:eastAsia="Times New Roman" w:cs="Times New Roman"/>
          <w:b/>
          <w:bCs/>
          <w:spacing w:val="-2"/>
          <w:sz w:val="24"/>
          <w:szCs w:val="24"/>
        </w:rPr>
        <w:t>6.2-2</w:t>
      </w:r>
      <w:r>
        <w:rPr>
          <w:rFonts w:ascii="宋体" w:hAnsi="宋体" w:eastAsia="宋体" w:cs="宋体"/>
          <w:b/>
          <w:bCs/>
          <w:spacing w:val="-2"/>
          <w:sz w:val="24"/>
          <w:szCs w:val="24"/>
        </w:rPr>
        <w:t>排污口论证范围内河段纳污能力</w:t>
      </w:r>
    </w:p>
    <w:p w14:paraId="75BEA203">
      <w:pPr>
        <w:spacing w:line="147" w:lineRule="exact"/>
      </w:pPr>
    </w:p>
    <w:tbl>
      <w:tblPr>
        <w:tblStyle w:val="5"/>
        <w:tblW w:w="872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63"/>
        <w:gridCol w:w="1610"/>
        <w:gridCol w:w="1569"/>
        <w:gridCol w:w="1983"/>
        <w:gridCol w:w="1496"/>
      </w:tblGrid>
      <w:tr w14:paraId="74661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2063" w:type="dxa"/>
            <w:tcBorders>
              <w:top w:val="single" w:color="000000" w:sz="10" w:space="0"/>
              <w:left w:val="single" w:color="000000" w:sz="10" w:space="0"/>
            </w:tcBorders>
            <w:vAlign w:val="top"/>
          </w:tcPr>
          <w:p w14:paraId="768813A3">
            <w:pPr>
              <w:pStyle w:val="6"/>
              <w:spacing w:before="53" w:line="228" w:lineRule="auto"/>
              <w:ind w:left="823"/>
            </w:pPr>
            <w:r>
              <w:rPr>
                <w:b/>
                <w:bCs/>
                <w:spacing w:val="-1"/>
              </w:rPr>
              <w:t>时期</w:t>
            </w:r>
          </w:p>
        </w:tc>
        <w:tc>
          <w:tcPr>
            <w:tcW w:w="1610" w:type="dxa"/>
            <w:tcBorders>
              <w:top w:val="single" w:color="000000" w:sz="10" w:space="0"/>
            </w:tcBorders>
            <w:vAlign w:val="top"/>
          </w:tcPr>
          <w:p w14:paraId="3CECED98">
            <w:pPr>
              <w:spacing w:before="89" w:line="197" w:lineRule="auto"/>
              <w:ind w:left="386"/>
              <w:rPr>
                <w:rFonts w:ascii="Times New Roman" w:hAnsi="Times New Roman" w:eastAsia="Times New Roman" w:cs="Times New Roman"/>
                <w:sz w:val="20"/>
                <w:szCs w:val="20"/>
              </w:rPr>
            </w:pPr>
            <w:r>
              <w:rPr>
                <w:rFonts w:ascii="Times New Roman" w:hAnsi="Times New Roman" w:eastAsia="Times New Roman" w:cs="Times New Roman"/>
                <w:b/>
                <w:bCs/>
                <w:sz w:val="20"/>
                <w:szCs w:val="20"/>
              </w:rPr>
              <w:t>COD</w:t>
            </w:r>
            <w:r>
              <w:rPr>
                <w:rFonts w:ascii="Times New Roman" w:hAnsi="Times New Roman" w:eastAsia="Times New Roman" w:cs="Times New Roman"/>
                <w:b/>
                <w:bCs/>
                <w:spacing w:val="6"/>
                <w:sz w:val="20"/>
                <w:szCs w:val="20"/>
              </w:rPr>
              <w:t>(t/a)</w:t>
            </w:r>
          </w:p>
        </w:tc>
        <w:tc>
          <w:tcPr>
            <w:tcW w:w="1569" w:type="dxa"/>
            <w:tcBorders>
              <w:top w:val="single" w:color="000000" w:sz="10" w:space="0"/>
            </w:tcBorders>
            <w:vAlign w:val="top"/>
          </w:tcPr>
          <w:p w14:paraId="0DFCED40">
            <w:pPr>
              <w:spacing w:before="89" w:line="197" w:lineRule="auto"/>
              <w:ind w:left="297"/>
              <w:rPr>
                <w:rFonts w:ascii="Times New Roman" w:hAnsi="Times New Roman" w:eastAsia="Times New Roman" w:cs="Times New Roman"/>
                <w:sz w:val="20"/>
                <w:szCs w:val="20"/>
              </w:rPr>
            </w:pPr>
            <w:r>
              <w:rPr>
                <w:rFonts w:ascii="Times New Roman" w:hAnsi="Times New Roman" w:eastAsia="Times New Roman" w:cs="Times New Roman"/>
                <w:b/>
                <w:bCs/>
                <w:sz w:val="20"/>
                <w:szCs w:val="20"/>
              </w:rPr>
              <w:t>NH</w:t>
            </w:r>
            <w:r>
              <w:rPr>
                <w:rFonts w:ascii="Times New Roman" w:hAnsi="Times New Roman" w:eastAsia="Times New Roman" w:cs="Times New Roman"/>
                <w:b/>
                <w:bCs/>
                <w:spacing w:val="5"/>
                <w:sz w:val="13"/>
                <w:szCs w:val="13"/>
              </w:rPr>
              <w:t>3</w:t>
            </w:r>
            <w:r>
              <w:rPr>
                <w:rFonts w:ascii="Times New Roman" w:hAnsi="Times New Roman" w:eastAsia="Times New Roman" w:cs="Times New Roman"/>
                <w:b/>
                <w:bCs/>
                <w:spacing w:val="5"/>
                <w:sz w:val="20"/>
                <w:szCs w:val="20"/>
              </w:rPr>
              <w:t>-N(t/a)</w:t>
            </w:r>
          </w:p>
        </w:tc>
        <w:tc>
          <w:tcPr>
            <w:tcW w:w="1983" w:type="dxa"/>
            <w:tcBorders>
              <w:top w:val="single" w:color="000000" w:sz="10" w:space="0"/>
            </w:tcBorders>
            <w:vAlign w:val="top"/>
          </w:tcPr>
          <w:p w14:paraId="7CD58DFE">
            <w:pPr>
              <w:pStyle w:val="6"/>
              <w:spacing w:before="53" w:line="228" w:lineRule="auto"/>
              <w:ind w:left="372"/>
            </w:pPr>
            <w:r>
              <w:rPr>
                <w:b/>
                <w:bCs/>
                <w:spacing w:val="6"/>
              </w:rPr>
              <w:t>水质执行标准</w:t>
            </w:r>
          </w:p>
        </w:tc>
        <w:tc>
          <w:tcPr>
            <w:tcW w:w="1496" w:type="dxa"/>
            <w:tcBorders>
              <w:top w:val="single" w:color="000000" w:sz="10" w:space="0"/>
              <w:right w:val="single" w:color="000000" w:sz="10" w:space="0"/>
            </w:tcBorders>
            <w:vAlign w:val="top"/>
          </w:tcPr>
          <w:p w14:paraId="3BB0E515">
            <w:pPr>
              <w:pStyle w:val="6"/>
              <w:spacing w:before="53" w:line="228" w:lineRule="auto"/>
              <w:ind w:left="190"/>
            </w:pPr>
            <w:r>
              <w:rPr>
                <w:b/>
                <w:bCs/>
                <w:spacing w:val="6"/>
              </w:rPr>
              <w:t>长度（</w:t>
            </w:r>
            <w:r>
              <w:rPr>
                <w:rFonts w:ascii="Times New Roman" w:hAnsi="Times New Roman" w:eastAsia="Times New Roman" w:cs="Times New Roman"/>
                <w:b/>
                <w:bCs/>
              </w:rPr>
              <w:t>km</w:t>
            </w:r>
            <w:r>
              <w:rPr>
                <w:b/>
                <w:bCs/>
                <w:spacing w:val="6"/>
              </w:rPr>
              <w:t>）</w:t>
            </w:r>
          </w:p>
        </w:tc>
      </w:tr>
      <w:tr w14:paraId="0D2377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2063" w:type="dxa"/>
            <w:tcBorders>
              <w:left w:val="single" w:color="000000" w:sz="10" w:space="0"/>
            </w:tcBorders>
            <w:vAlign w:val="top"/>
          </w:tcPr>
          <w:p w14:paraId="4737B610">
            <w:pPr>
              <w:pStyle w:val="6"/>
              <w:spacing w:before="65" w:line="228" w:lineRule="auto"/>
              <w:ind w:left="709"/>
            </w:pPr>
            <w:r>
              <w:rPr>
                <w:spacing w:val="6"/>
              </w:rPr>
              <w:t>枯水期</w:t>
            </w:r>
          </w:p>
        </w:tc>
        <w:tc>
          <w:tcPr>
            <w:tcW w:w="1610" w:type="dxa"/>
            <w:vAlign w:val="top"/>
          </w:tcPr>
          <w:p w14:paraId="3DD835D2">
            <w:pPr>
              <w:spacing w:before="104" w:line="195" w:lineRule="auto"/>
              <w:ind w:left="56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14511</w:t>
            </w:r>
          </w:p>
        </w:tc>
        <w:tc>
          <w:tcPr>
            <w:tcW w:w="1569" w:type="dxa"/>
            <w:vAlign w:val="top"/>
          </w:tcPr>
          <w:p w14:paraId="0A6615BD">
            <w:pPr>
              <w:spacing w:before="104" w:line="195" w:lineRule="auto"/>
              <w:ind w:left="63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567</w:t>
            </w:r>
          </w:p>
        </w:tc>
        <w:tc>
          <w:tcPr>
            <w:tcW w:w="1983" w:type="dxa"/>
            <w:vAlign w:val="top"/>
          </w:tcPr>
          <w:p w14:paraId="1301EA2E">
            <w:pPr>
              <w:pStyle w:val="6"/>
              <w:spacing w:before="65" w:line="228" w:lineRule="auto"/>
              <w:ind w:left="828"/>
            </w:pPr>
            <w:r>
              <w:rPr>
                <w:spacing w:val="-14"/>
              </w:rPr>
              <w:t>Ⅱ类</w:t>
            </w:r>
          </w:p>
        </w:tc>
        <w:tc>
          <w:tcPr>
            <w:tcW w:w="1496" w:type="dxa"/>
            <w:tcBorders>
              <w:right w:val="single" w:color="000000" w:sz="10" w:space="0"/>
            </w:tcBorders>
            <w:vAlign w:val="top"/>
          </w:tcPr>
          <w:p w14:paraId="2D22466A">
            <w:pPr>
              <w:spacing w:before="104" w:line="195" w:lineRule="auto"/>
              <w:ind w:left="705"/>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r>
      <w:tr w14:paraId="67D2A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2063" w:type="dxa"/>
            <w:tcBorders>
              <w:left w:val="single" w:color="000000" w:sz="10" w:space="0"/>
              <w:bottom w:val="single" w:color="000000" w:sz="10" w:space="0"/>
            </w:tcBorders>
            <w:vAlign w:val="top"/>
          </w:tcPr>
          <w:p w14:paraId="58F2D940">
            <w:pPr>
              <w:pStyle w:val="6"/>
              <w:spacing w:before="75" w:line="231" w:lineRule="auto"/>
              <w:ind w:left="607"/>
            </w:pPr>
            <w:r>
              <w:rPr>
                <w:spacing w:val="6"/>
              </w:rPr>
              <w:t>生态基流</w:t>
            </w:r>
          </w:p>
        </w:tc>
        <w:tc>
          <w:tcPr>
            <w:tcW w:w="1610" w:type="dxa"/>
            <w:tcBorders>
              <w:bottom w:val="single" w:color="000000" w:sz="10" w:space="0"/>
            </w:tcBorders>
            <w:vAlign w:val="top"/>
          </w:tcPr>
          <w:p w14:paraId="125739FE">
            <w:pPr>
              <w:spacing w:before="113" w:line="195" w:lineRule="auto"/>
              <w:ind w:left="5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4199</w:t>
            </w:r>
          </w:p>
        </w:tc>
        <w:tc>
          <w:tcPr>
            <w:tcW w:w="1569" w:type="dxa"/>
            <w:tcBorders>
              <w:bottom w:val="single" w:color="000000" w:sz="10" w:space="0"/>
            </w:tcBorders>
            <w:vAlign w:val="top"/>
          </w:tcPr>
          <w:p w14:paraId="2F2A1647">
            <w:pPr>
              <w:spacing w:before="113" w:line="195" w:lineRule="auto"/>
              <w:ind w:left="64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159</w:t>
            </w:r>
          </w:p>
        </w:tc>
        <w:tc>
          <w:tcPr>
            <w:tcW w:w="1983" w:type="dxa"/>
            <w:tcBorders>
              <w:bottom w:val="single" w:color="000000" w:sz="10" w:space="0"/>
            </w:tcBorders>
            <w:vAlign w:val="top"/>
          </w:tcPr>
          <w:p w14:paraId="3A84E195">
            <w:pPr>
              <w:pStyle w:val="6"/>
              <w:spacing w:before="74" w:line="228" w:lineRule="auto"/>
              <w:ind w:left="828"/>
            </w:pPr>
            <w:r>
              <w:rPr>
                <w:spacing w:val="-14"/>
              </w:rPr>
              <w:t>Ⅱ类</w:t>
            </w:r>
          </w:p>
        </w:tc>
        <w:tc>
          <w:tcPr>
            <w:tcW w:w="1496" w:type="dxa"/>
            <w:tcBorders>
              <w:bottom w:val="single" w:color="000000" w:sz="10" w:space="0"/>
              <w:right w:val="single" w:color="000000" w:sz="10" w:space="0"/>
            </w:tcBorders>
            <w:vAlign w:val="top"/>
          </w:tcPr>
          <w:p w14:paraId="5EEA8DB7">
            <w:pPr>
              <w:spacing w:before="113" w:line="195" w:lineRule="auto"/>
              <w:ind w:left="705"/>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r>
    </w:tbl>
    <w:p w14:paraId="0B2687F0">
      <w:pPr>
        <w:spacing w:before="33" w:line="351" w:lineRule="auto"/>
        <w:ind w:left="132" w:right="119" w:firstLine="483"/>
        <w:jc w:val="both"/>
        <w:rPr>
          <w:rFonts w:ascii="宋体" w:hAnsi="宋体" w:eastAsia="宋体" w:cs="宋体"/>
          <w:sz w:val="24"/>
          <w:szCs w:val="24"/>
        </w:rPr>
      </w:pPr>
      <w:r>
        <w:rPr>
          <w:rFonts w:ascii="宋体" w:hAnsi="宋体" w:eastAsia="宋体" w:cs="宋体"/>
          <w:spacing w:val="3"/>
          <w:sz w:val="24"/>
          <w:szCs w:val="24"/>
        </w:rPr>
        <w:t>不管是一维模型还是二维模型，计算出的容量值总是</w:t>
      </w:r>
      <w:r>
        <w:rPr>
          <w:rFonts w:ascii="宋体" w:hAnsi="宋体" w:eastAsia="宋体" w:cs="宋体"/>
          <w:spacing w:val="2"/>
          <w:sz w:val="24"/>
          <w:szCs w:val="24"/>
        </w:rPr>
        <w:t>偏大。其原因是：在模</w:t>
      </w:r>
      <w:r>
        <w:rPr>
          <w:rFonts w:ascii="宋体" w:hAnsi="宋体" w:eastAsia="宋体" w:cs="宋体"/>
          <w:spacing w:val="3"/>
          <w:sz w:val="24"/>
          <w:szCs w:val="24"/>
        </w:rPr>
        <w:t>型中是以控制断面规划的水质浓度控制目标计算，也即</w:t>
      </w:r>
      <w:r>
        <w:rPr>
          <w:rFonts w:ascii="宋体" w:hAnsi="宋体" w:eastAsia="宋体" w:cs="宋体"/>
          <w:spacing w:val="2"/>
          <w:sz w:val="24"/>
          <w:szCs w:val="24"/>
        </w:rPr>
        <w:t>当污染物以容量的排放量</w:t>
      </w:r>
      <w:r>
        <w:rPr>
          <w:rFonts w:ascii="宋体" w:hAnsi="宋体" w:eastAsia="宋体" w:cs="宋体"/>
          <w:spacing w:val="3"/>
          <w:sz w:val="24"/>
          <w:szCs w:val="24"/>
        </w:rPr>
        <w:t>排入河流时，控制断面水质浓度正好达标，意味着控制</w:t>
      </w:r>
      <w:r>
        <w:rPr>
          <w:rFonts w:ascii="宋体" w:hAnsi="宋体" w:eastAsia="宋体" w:cs="宋体"/>
          <w:spacing w:val="2"/>
          <w:sz w:val="24"/>
          <w:szCs w:val="24"/>
        </w:rPr>
        <w:t>断面到排污口这一河段的</w:t>
      </w:r>
      <w:r>
        <w:rPr>
          <w:rFonts w:ascii="宋体" w:hAnsi="宋体" w:eastAsia="宋体" w:cs="宋体"/>
          <w:spacing w:val="-1"/>
          <w:sz w:val="24"/>
          <w:szCs w:val="24"/>
        </w:rPr>
        <w:t>水质均超标，与功能区水质管理不符。因此应对模型进行修正。</w:t>
      </w:r>
    </w:p>
    <w:p w14:paraId="6A4472AD">
      <w:pPr>
        <w:spacing w:line="323" w:lineRule="exact"/>
        <w:ind w:left="612"/>
        <w:rPr>
          <w:rFonts w:ascii="宋体" w:hAnsi="宋体" w:eastAsia="宋体" w:cs="宋体"/>
          <w:sz w:val="24"/>
          <w:szCs w:val="24"/>
        </w:rPr>
      </w:pPr>
      <w:r>
        <w:rPr>
          <w:rFonts w:ascii="宋体" w:hAnsi="宋体" w:eastAsia="宋体" w:cs="宋体"/>
          <w:spacing w:val="-6"/>
          <w:position w:val="2"/>
          <w:sz w:val="24"/>
          <w:szCs w:val="24"/>
        </w:rPr>
        <w:t>修正方法：</w:t>
      </w:r>
      <w:r>
        <w:rPr>
          <w:rFonts w:ascii="Times New Roman" w:hAnsi="Times New Roman" w:eastAsia="Times New Roman" w:cs="Times New Roman"/>
          <w:spacing w:val="-6"/>
          <w:position w:val="2"/>
          <w:sz w:val="24"/>
          <w:szCs w:val="24"/>
        </w:rPr>
        <w:t>W</w:t>
      </w:r>
      <w:r>
        <w:rPr>
          <w:rFonts w:ascii="宋体" w:hAnsi="宋体" w:eastAsia="宋体" w:cs="宋体"/>
          <w:spacing w:val="-6"/>
          <w:position w:val="-1"/>
          <w:sz w:val="12"/>
          <w:szCs w:val="12"/>
        </w:rPr>
        <w:t>修正</w:t>
      </w:r>
      <w:r>
        <w:rPr>
          <w:rFonts w:ascii="Times New Roman" w:hAnsi="Times New Roman" w:eastAsia="Times New Roman" w:cs="Times New Roman"/>
          <w:spacing w:val="-6"/>
          <w:position w:val="2"/>
          <w:sz w:val="24"/>
          <w:szCs w:val="24"/>
        </w:rPr>
        <w:t>=</w:t>
      </w:r>
      <w:r>
        <w:rPr>
          <w:rFonts w:ascii="宋体" w:hAnsi="宋体" w:eastAsia="宋体" w:cs="宋体"/>
          <w:spacing w:val="-6"/>
          <w:position w:val="2"/>
          <w:sz w:val="24"/>
          <w:szCs w:val="24"/>
        </w:rPr>
        <w:t>α</w:t>
      </w:r>
      <w:r>
        <w:rPr>
          <w:rFonts w:ascii="宋体" w:hAnsi="宋体" w:eastAsia="宋体" w:cs="宋体"/>
          <w:spacing w:val="-15"/>
          <w:position w:val="2"/>
          <w:sz w:val="24"/>
          <w:szCs w:val="24"/>
        </w:rPr>
        <w:t>×</w:t>
      </w:r>
      <w:r>
        <w:rPr>
          <w:rFonts w:ascii="Times New Roman" w:hAnsi="Times New Roman" w:eastAsia="Times New Roman" w:cs="Times New Roman"/>
          <w:spacing w:val="-15"/>
          <w:position w:val="2"/>
          <w:sz w:val="24"/>
          <w:szCs w:val="24"/>
        </w:rPr>
        <w:t>W</w:t>
      </w:r>
      <w:r>
        <w:rPr>
          <w:rFonts w:ascii="宋体" w:hAnsi="宋体" w:eastAsia="宋体" w:cs="宋体"/>
          <w:spacing w:val="-15"/>
          <w:position w:val="2"/>
          <w:sz w:val="24"/>
          <w:szCs w:val="24"/>
        </w:rPr>
        <w:t>；</w:t>
      </w:r>
    </w:p>
    <w:p w14:paraId="05C13E9A">
      <w:pPr>
        <w:spacing w:before="190" w:line="360" w:lineRule="auto"/>
        <w:ind w:left="132" w:right="46" w:firstLine="484"/>
        <w:jc w:val="both"/>
        <w:rPr>
          <w:rFonts w:ascii="宋体" w:hAnsi="宋体" w:eastAsia="宋体" w:cs="宋体"/>
          <w:sz w:val="24"/>
          <w:szCs w:val="24"/>
        </w:rPr>
      </w:pPr>
      <w:r>
        <w:rPr>
          <w:rFonts w:ascii="宋体" w:hAnsi="宋体" w:eastAsia="宋体" w:cs="宋体"/>
          <w:spacing w:val="-5"/>
          <w:sz w:val="24"/>
          <w:szCs w:val="24"/>
        </w:rPr>
        <w:t>式中：</w:t>
      </w:r>
      <w:r>
        <w:rPr>
          <w:rFonts w:ascii="Times New Roman" w:hAnsi="Times New Roman" w:eastAsia="Times New Roman" w:cs="Times New Roman"/>
          <w:spacing w:val="-5"/>
          <w:sz w:val="24"/>
          <w:szCs w:val="24"/>
        </w:rPr>
        <w:t>α</w:t>
      </w:r>
      <w:r>
        <w:rPr>
          <w:rFonts w:ascii="宋体" w:hAnsi="宋体" w:eastAsia="宋体" w:cs="宋体"/>
          <w:spacing w:val="-5"/>
          <w:sz w:val="24"/>
          <w:szCs w:val="24"/>
        </w:rPr>
        <w:t>为修正系数，取值为</w:t>
      </w:r>
      <w:r>
        <w:rPr>
          <w:rFonts w:ascii="Times New Roman" w:hAnsi="Times New Roman" w:eastAsia="Times New Roman" w:cs="Times New Roman"/>
          <w:spacing w:val="-5"/>
          <w:sz w:val="24"/>
          <w:szCs w:val="24"/>
        </w:rPr>
        <w:t>0~1</w:t>
      </w:r>
      <w:r>
        <w:rPr>
          <w:rFonts w:ascii="宋体" w:hAnsi="宋体" w:eastAsia="宋体" w:cs="宋体"/>
          <w:spacing w:val="-5"/>
          <w:sz w:val="24"/>
          <w:szCs w:val="24"/>
        </w:rPr>
        <w:t>，赧水枯水期计算河段宽度为</w:t>
      </w:r>
      <w:r>
        <w:rPr>
          <w:rFonts w:ascii="Times New Roman" w:hAnsi="Times New Roman" w:eastAsia="Times New Roman" w:cs="Times New Roman"/>
          <w:spacing w:val="-5"/>
          <w:sz w:val="24"/>
          <w:szCs w:val="24"/>
        </w:rPr>
        <w:t>120m</w:t>
      </w:r>
      <w:r>
        <w:rPr>
          <w:rFonts w:ascii="宋体" w:hAnsi="宋体" w:eastAsia="宋体" w:cs="宋体"/>
          <w:spacing w:val="-5"/>
          <w:sz w:val="24"/>
          <w:szCs w:val="24"/>
        </w:rPr>
        <w:t>，生态基</w:t>
      </w:r>
      <w:r>
        <w:rPr>
          <w:rFonts w:ascii="宋体" w:hAnsi="宋体" w:eastAsia="宋体" w:cs="宋体"/>
          <w:spacing w:val="-4"/>
          <w:sz w:val="24"/>
          <w:szCs w:val="24"/>
        </w:rPr>
        <w:t>流计算河段宽度为</w:t>
      </w:r>
      <w:r>
        <w:rPr>
          <w:rFonts w:ascii="Times New Roman" w:hAnsi="Times New Roman" w:eastAsia="Times New Roman" w:cs="Times New Roman"/>
          <w:spacing w:val="-4"/>
          <w:sz w:val="24"/>
          <w:szCs w:val="24"/>
        </w:rPr>
        <w:t>90m</w:t>
      </w:r>
      <w:r>
        <w:rPr>
          <w:rFonts w:ascii="宋体" w:hAnsi="宋体" w:eastAsia="宋体" w:cs="宋体"/>
          <w:spacing w:val="-4"/>
          <w:sz w:val="24"/>
          <w:szCs w:val="24"/>
        </w:rPr>
        <w:t>，因此枯水修正系数</w:t>
      </w:r>
      <w:r>
        <w:rPr>
          <w:rFonts w:ascii="Times New Roman" w:hAnsi="Times New Roman" w:eastAsia="Times New Roman" w:cs="Times New Roman"/>
          <w:spacing w:val="-4"/>
          <w:sz w:val="24"/>
          <w:szCs w:val="24"/>
        </w:rPr>
        <w:t>a</w:t>
      </w:r>
      <w:r>
        <w:rPr>
          <w:rFonts w:ascii="宋体" w:hAnsi="宋体" w:eastAsia="宋体" w:cs="宋体"/>
          <w:spacing w:val="-4"/>
          <w:sz w:val="24"/>
          <w:szCs w:val="24"/>
        </w:rPr>
        <w:t>取</w:t>
      </w:r>
      <w:r>
        <w:rPr>
          <w:rFonts w:ascii="Times New Roman" w:hAnsi="Times New Roman" w:eastAsia="Times New Roman" w:cs="Times New Roman"/>
          <w:spacing w:val="-4"/>
          <w:sz w:val="24"/>
          <w:szCs w:val="24"/>
        </w:rPr>
        <w:t>0.6</w:t>
      </w:r>
      <w:r>
        <w:rPr>
          <w:rFonts w:ascii="宋体" w:hAnsi="宋体" w:eastAsia="宋体" w:cs="宋体"/>
          <w:spacing w:val="-4"/>
          <w:sz w:val="24"/>
          <w:szCs w:val="24"/>
        </w:rPr>
        <w:t>，生态基流修正系数</w:t>
      </w:r>
      <w:r>
        <w:rPr>
          <w:rFonts w:ascii="Times New Roman" w:hAnsi="Times New Roman" w:eastAsia="Times New Roman" w:cs="Times New Roman"/>
          <w:spacing w:val="-4"/>
          <w:sz w:val="24"/>
          <w:szCs w:val="24"/>
        </w:rPr>
        <w:t>a</w:t>
      </w:r>
      <w:r>
        <w:rPr>
          <w:rFonts w:ascii="宋体" w:hAnsi="宋体" w:eastAsia="宋体" w:cs="宋体"/>
          <w:spacing w:val="-4"/>
          <w:sz w:val="24"/>
          <w:szCs w:val="24"/>
        </w:rPr>
        <w:t>取</w:t>
      </w:r>
      <w:r>
        <w:rPr>
          <w:rFonts w:ascii="Times New Roman" w:hAnsi="Times New Roman" w:eastAsia="Times New Roman" w:cs="Times New Roman"/>
          <w:spacing w:val="-4"/>
          <w:sz w:val="24"/>
          <w:szCs w:val="24"/>
        </w:rPr>
        <w:t>0.</w:t>
      </w:r>
      <w:r>
        <w:rPr>
          <w:rFonts w:ascii="Times New Roman" w:hAnsi="Times New Roman" w:eastAsia="Times New Roman" w:cs="Times New Roman"/>
          <w:spacing w:val="-5"/>
          <w:sz w:val="24"/>
          <w:szCs w:val="24"/>
        </w:rPr>
        <w:t>7</w:t>
      </w:r>
      <w:r>
        <w:rPr>
          <w:rFonts w:ascii="宋体" w:hAnsi="宋体" w:eastAsia="宋体" w:cs="宋体"/>
          <w:spacing w:val="-5"/>
          <w:sz w:val="24"/>
          <w:szCs w:val="24"/>
        </w:rPr>
        <w:t>。</w:t>
      </w:r>
      <w:r>
        <w:rPr>
          <w:rFonts w:ascii="宋体" w:hAnsi="宋体" w:eastAsia="宋体" w:cs="宋体"/>
          <w:spacing w:val="-2"/>
          <w:sz w:val="24"/>
          <w:szCs w:val="24"/>
        </w:rPr>
        <w:t>修正系数详见下表。</w:t>
      </w:r>
    </w:p>
    <w:p w14:paraId="659D75D4">
      <w:pPr>
        <w:spacing w:line="360" w:lineRule="auto"/>
        <w:rPr>
          <w:rFonts w:ascii="宋体" w:hAnsi="宋体" w:eastAsia="宋体" w:cs="宋体"/>
          <w:sz w:val="24"/>
          <w:szCs w:val="24"/>
        </w:rPr>
        <w:sectPr>
          <w:headerReference r:id="rId119" w:type="default"/>
          <w:footerReference r:id="rId120" w:type="default"/>
          <w:pgSz w:w="11907" w:h="16840"/>
          <w:pgMar w:top="1132" w:right="1580" w:bottom="1259" w:left="1578" w:header="829" w:footer="1097" w:gutter="0"/>
          <w:cols w:space="720" w:num="1"/>
        </w:sectPr>
      </w:pPr>
    </w:p>
    <w:p w14:paraId="27AA8635">
      <w:pPr>
        <w:pStyle w:val="2"/>
        <w:spacing w:line="241" w:lineRule="auto"/>
      </w:pPr>
    </w:p>
    <w:p w14:paraId="76D6FE0C">
      <w:pPr>
        <w:spacing w:before="78" w:line="219" w:lineRule="auto"/>
        <w:ind w:left="2356"/>
        <w:rPr>
          <w:rFonts w:ascii="宋体" w:hAnsi="宋体" w:eastAsia="宋体" w:cs="宋体"/>
          <w:sz w:val="24"/>
          <w:szCs w:val="24"/>
        </w:rPr>
      </w:pPr>
      <w:r>
        <w:rPr>
          <w:rFonts w:ascii="宋体" w:hAnsi="宋体" w:eastAsia="宋体" w:cs="宋体"/>
          <w:b/>
          <w:bCs/>
          <w:spacing w:val="-2"/>
          <w:sz w:val="24"/>
          <w:szCs w:val="24"/>
        </w:rPr>
        <w:t>表</w:t>
      </w:r>
      <w:r>
        <w:rPr>
          <w:rFonts w:ascii="Times New Roman" w:hAnsi="Times New Roman" w:eastAsia="Times New Roman" w:cs="Times New Roman"/>
          <w:b/>
          <w:bCs/>
          <w:spacing w:val="-2"/>
          <w:sz w:val="24"/>
          <w:szCs w:val="24"/>
        </w:rPr>
        <w:t>6.2-3</w:t>
      </w:r>
      <w:r>
        <w:rPr>
          <w:rFonts w:ascii="宋体" w:hAnsi="宋体" w:eastAsia="宋体" w:cs="宋体"/>
          <w:b/>
          <w:bCs/>
          <w:spacing w:val="-2"/>
          <w:sz w:val="24"/>
          <w:szCs w:val="24"/>
        </w:rPr>
        <w:t>地表水环境容量计算修正系数</w:t>
      </w:r>
    </w:p>
    <w:p w14:paraId="6051E8B7">
      <w:pPr>
        <w:spacing w:line="145" w:lineRule="exact"/>
      </w:pPr>
    </w:p>
    <w:tbl>
      <w:tblPr>
        <w:tblStyle w:val="5"/>
        <w:tblW w:w="872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3"/>
        <w:gridCol w:w="1739"/>
        <w:gridCol w:w="1739"/>
        <w:gridCol w:w="1739"/>
        <w:gridCol w:w="1754"/>
      </w:tblGrid>
      <w:tr w14:paraId="7A41C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753" w:type="dxa"/>
            <w:tcBorders>
              <w:top w:val="single" w:color="000000" w:sz="10" w:space="0"/>
              <w:left w:val="single" w:color="000000" w:sz="10" w:space="0"/>
            </w:tcBorders>
            <w:vAlign w:val="top"/>
          </w:tcPr>
          <w:p w14:paraId="39FFBA8C">
            <w:pPr>
              <w:pStyle w:val="6"/>
              <w:spacing w:before="96" w:line="228" w:lineRule="auto"/>
              <w:ind w:left="148"/>
            </w:pPr>
            <w:r>
              <w:rPr>
                <w:b/>
                <w:bCs/>
              </w:rPr>
              <w:t>河段宽度（</w:t>
            </w:r>
            <w:r>
              <w:rPr>
                <w:rFonts w:ascii="Times New Roman" w:hAnsi="Times New Roman" w:eastAsia="Times New Roman" w:cs="Times New Roman"/>
                <w:b/>
                <w:bCs/>
              </w:rPr>
              <w:t>m</w:t>
            </w:r>
            <w:r>
              <w:rPr>
                <w:b/>
                <w:bCs/>
              </w:rPr>
              <w:t>）</w:t>
            </w:r>
          </w:p>
        </w:tc>
        <w:tc>
          <w:tcPr>
            <w:tcW w:w="1739" w:type="dxa"/>
            <w:tcBorders>
              <w:top w:val="single" w:color="000000" w:sz="10" w:space="0"/>
            </w:tcBorders>
            <w:vAlign w:val="top"/>
          </w:tcPr>
          <w:p w14:paraId="26FA77DE">
            <w:pPr>
              <w:pStyle w:val="6"/>
              <w:spacing w:before="95" w:line="231" w:lineRule="auto"/>
              <w:ind w:left="385"/>
            </w:pPr>
            <w:r>
              <w:rPr>
                <w:rFonts w:ascii="Times New Roman" w:hAnsi="Times New Roman" w:eastAsia="Times New Roman" w:cs="Times New Roman"/>
                <w:b/>
                <w:bCs/>
              </w:rPr>
              <w:t>200m</w:t>
            </w:r>
            <w:r>
              <w:rPr>
                <w:b/>
                <w:bCs/>
              </w:rPr>
              <w:t>以上</w:t>
            </w:r>
          </w:p>
        </w:tc>
        <w:tc>
          <w:tcPr>
            <w:tcW w:w="1739" w:type="dxa"/>
            <w:tcBorders>
              <w:top w:val="single" w:color="000000" w:sz="10" w:space="0"/>
            </w:tcBorders>
            <w:vAlign w:val="top"/>
          </w:tcPr>
          <w:p w14:paraId="3E939193">
            <w:pPr>
              <w:spacing w:before="132" w:line="195" w:lineRule="auto"/>
              <w:ind w:left="424"/>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100~200m</w:t>
            </w:r>
          </w:p>
        </w:tc>
        <w:tc>
          <w:tcPr>
            <w:tcW w:w="1739" w:type="dxa"/>
            <w:tcBorders>
              <w:top w:val="single" w:color="000000" w:sz="10" w:space="0"/>
            </w:tcBorders>
            <w:vAlign w:val="top"/>
          </w:tcPr>
          <w:p w14:paraId="2D73D6EA">
            <w:pPr>
              <w:spacing w:before="132" w:line="195" w:lineRule="auto"/>
              <w:ind w:left="473"/>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50~100m</w:t>
            </w:r>
          </w:p>
        </w:tc>
        <w:tc>
          <w:tcPr>
            <w:tcW w:w="1754" w:type="dxa"/>
            <w:tcBorders>
              <w:top w:val="single" w:color="000000" w:sz="10" w:space="0"/>
              <w:right w:val="single" w:color="000000" w:sz="10" w:space="0"/>
            </w:tcBorders>
            <w:vAlign w:val="top"/>
          </w:tcPr>
          <w:p w14:paraId="0A08FDC5">
            <w:pPr>
              <w:pStyle w:val="6"/>
              <w:spacing w:before="96" w:line="230" w:lineRule="auto"/>
              <w:ind w:left="462"/>
              <w:rPr>
                <w:rFonts w:ascii="Times New Roman" w:hAnsi="Times New Roman" w:eastAsia="Times New Roman" w:cs="Times New Roman"/>
              </w:rPr>
            </w:pPr>
            <w:r>
              <w:rPr>
                <w:b/>
                <w:bCs/>
                <w:spacing w:val="2"/>
              </w:rPr>
              <w:t>小于</w:t>
            </w:r>
            <w:r>
              <w:rPr>
                <w:rFonts w:ascii="Times New Roman" w:hAnsi="Times New Roman" w:eastAsia="Times New Roman" w:cs="Times New Roman"/>
                <w:b/>
                <w:bCs/>
                <w:spacing w:val="2"/>
              </w:rPr>
              <w:t>50m</w:t>
            </w:r>
          </w:p>
        </w:tc>
      </w:tr>
      <w:tr w14:paraId="5B8B33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753" w:type="dxa"/>
            <w:tcBorders>
              <w:left w:val="single" w:color="000000" w:sz="10" w:space="0"/>
              <w:bottom w:val="single" w:color="000000" w:sz="10" w:space="0"/>
            </w:tcBorders>
            <w:vAlign w:val="top"/>
          </w:tcPr>
          <w:p w14:paraId="54BF3274">
            <w:pPr>
              <w:pStyle w:val="6"/>
              <w:spacing w:before="105" w:line="228" w:lineRule="auto"/>
              <w:ind w:left="394"/>
              <w:rPr>
                <w:rFonts w:ascii="Times New Roman" w:hAnsi="Times New Roman" w:eastAsia="Times New Roman" w:cs="Times New Roman"/>
              </w:rPr>
            </w:pPr>
            <w:r>
              <w:rPr>
                <w:spacing w:val="7"/>
              </w:rPr>
              <w:t>修正系数</w:t>
            </w:r>
            <w:r>
              <w:rPr>
                <w:rFonts w:ascii="Times New Roman" w:hAnsi="Times New Roman" w:eastAsia="Times New Roman" w:cs="Times New Roman"/>
                <w:spacing w:val="7"/>
              </w:rPr>
              <w:t>α</w:t>
            </w:r>
          </w:p>
        </w:tc>
        <w:tc>
          <w:tcPr>
            <w:tcW w:w="1739" w:type="dxa"/>
            <w:tcBorders>
              <w:bottom w:val="single" w:color="000000" w:sz="10" w:space="0"/>
            </w:tcBorders>
            <w:vAlign w:val="top"/>
          </w:tcPr>
          <w:p w14:paraId="2261FE4B">
            <w:pPr>
              <w:spacing w:before="141" w:line="195" w:lineRule="auto"/>
              <w:ind w:left="7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739" w:type="dxa"/>
            <w:tcBorders>
              <w:bottom w:val="single" w:color="000000" w:sz="10" w:space="0"/>
            </w:tcBorders>
            <w:vAlign w:val="top"/>
          </w:tcPr>
          <w:p w14:paraId="27368900">
            <w:pPr>
              <w:spacing w:before="141" w:line="195" w:lineRule="auto"/>
              <w:ind w:left="7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1739" w:type="dxa"/>
            <w:tcBorders>
              <w:bottom w:val="single" w:color="000000" w:sz="10" w:space="0"/>
            </w:tcBorders>
            <w:vAlign w:val="top"/>
          </w:tcPr>
          <w:p w14:paraId="180F1C7B">
            <w:pPr>
              <w:spacing w:before="141" w:line="195" w:lineRule="auto"/>
              <w:ind w:left="7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0.7</w:t>
            </w:r>
          </w:p>
        </w:tc>
        <w:tc>
          <w:tcPr>
            <w:tcW w:w="1754" w:type="dxa"/>
            <w:tcBorders>
              <w:bottom w:val="single" w:color="000000" w:sz="10" w:space="0"/>
              <w:right w:val="single" w:color="000000" w:sz="10" w:space="0"/>
            </w:tcBorders>
            <w:vAlign w:val="top"/>
          </w:tcPr>
          <w:p w14:paraId="656071B6">
            <w:pPr>
              <w:spacing w:before="141" w:line="195" w:lineRule="auto"/>
              <w:ind w:left="7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0.8</w:t>
            </w:r>
          </w:p>
        </w:tc>
      </w:tr>
    </w:tbl>
    <w:p w14:paraId="3BA8DC21">
      <w:pPr>
        <w:spacing w:before="36" w:line="219" w:lineRule="auto"/>
        <w:ind w:left="611"/>
        <w:rPr>
          <w:rFonts w:ascii="宋体" w:hAnsi="宋体" w:eastAsia="宋体" w:cs="宋体"/>
          <w:sz w:val="24"/>
          <w:szCs w:val="24"/>
        </w:rPr>
      </w:pPr>
      <w:r>
        <w:rPr>
          <w:rFonts w:ascii="宋体" w:hAnsi="宋体" w:eastAsia="宋体" w:cs="宋体"/>
          <w:spacing w:val="-1"/>
          <w:sz w:val="24"/>
          <w:szCs w:val="24"/>
        </w:rPr>
        <w:t>模型修正结果如下表所示：</w:t>
      </w:r>
    </w:p>
    <w:p w14:paraId="0E3B5356">
      <w:pPr>
        <w:spacing w:before="183" w:line="219" w:lineRule="auto"/>
        <w:ind w:left="1753"/>
        <w:rPr>
          <w:rFonts w:ascii="宋体" w:hAnsi="宋体" w:eastAsia="宋体" w:cs="宋体"/>
          <w:sz w:val="24"/>
          <w:szCs w:val="24"/>
        </w:rPr>
      </w:pPr>
      <w:r>
        <w:rPr>
          <w:rFonts w:ascii="宋体" w:hAnsi="宋体" w:eastAsia="宋体" w:cs="宋体"/>
          <w:b/>
          <w:bCs/>
          <w:spacing w:val="-2"/>
          <w:sz w:val="24"/>
          <w:szCs w:val="24"/>
        </w:rPr>
        <w:t>表</w:t>
      </w:r>
      <w:r>
        <w:rPr>
          <w:rFonts w:ascii="Times New Roman" w:hAnsi="Times New Roman" w:eastAsia="Times New Roman" w:cs="Times New Roman"/>
          <w:b/>
          <w:bCs/>
          <w:spacing w:val="-2"/>
          <w:sz w:val="24"/>
          <w:szCs w:val="24"/>
        </w:rPr>
        <w:t>6.2-4</w:t>
      </w:r>
      <w:r>
        <w:rPr>
          <w:rFonts w:ascii="宋体" w:hAnsi="宋体" w:eastAsia="宋体" w:cs="宋体"/>
          <w:b/>
          <w:bCs/>
          <w:spacing w:val="-2"/>
          <w:sz w:val="24"/>
          <w:szCs w:val="24"/>
        </w:rPr>
        <w:t>排污口论证范围内河段纳污能力修正结果</w:t>
      </w:r>
    </w:p>
    <w:p w14:paraId="236EBB86">
      <w:pPr>
        <w:spacing w:line="146" w:lineRule="exact"/>
      </w:pPr>
    </w:p>
    <w:tbl>
      <w:tblPr>
        <w:tblStyle w:val="5"/>
        <w:tblW w:w="872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73"/>
        <w:gridCol w:w="1619"/>
        <w:gridCol w:w="1538"/>
        <w:gridCol w:w="1741"/>
        <w:gridCol w:w="1753"/>
      </w:tblGrid>
      <w:tr w14:paraId="17334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2073" w:type="dxa"/>
            <w:tcBorders>
              <w:top w:val="single" w:color="000000" w:sz="10" w:space="0"/>
              <w:left w:val="single" w:color="000000" w:sz="10" w:space="0"/>
            </w:tcBorders>
            <w:vAlign w:val="top"/>
          </w:tcPr>
          <w:p w14:paraId="2B03E6A3">
            <w:pPr>
              <w:pStyle w:val="6"/>
              <w:spacing w:before="53" w:line="228" w:lineRule="auto"/>
              <w:ind w:left="828"/>
            </w:pPr>
            <w:r>
              <w:rPr>
                <w:b/>
                <w:bCs/>
                <w:spacing w:val="-1"/>
              </w:rPr>
              <w:t>时期</w:t>
            </w:r>
          </w:p>
        </w:tc>
        <w:tc>
          <w:tcPr>
            <w:tcW w:w="1619" w:type="dxa"/>
            <w:tcBorders>
              <w:top w:val="single" w:color="000000" w:sz="10" w:space="0"/>
            </w:tcBorders>
            <w:vAlign w:val="top"/>
          </w:tcPr>
          <w:p w14:paraId="54CC8B95">
            <w:pPr>
              <w:spacing w:before="90" w:line="197" w:lineRule="auto"/>
              <w:ind w:left="390"/>
              <w:rPr>
                <w:rFonts w:ascii="Times New Roman" w:hAnsi="Times New Roman" w:eastAsia="Times New Roman" w:cs="Times New Roman"/>
                <w:sz w:val="20"/>
                <w:szCs w:val="20"/>
              </w:rPr>
            </w:pPr>
            <w:r>
              <w:rPr>
                <w:rFonts w:ascii="Times New Roman" w:hAnsi="Times New Roman" w:eastAsia="Times New Roman" w:cs="Times New Roman"/>
                <w:b/>
                <w:bCs/>
                <w:sz w:val="20"/>
                <w:szCs w:val="20"/>
              </w:rPr>
              <w:t>COD</w:t>
            </w:r>
            <w:r>
              <w:rPr>
                <w:rFonts w:ascii="Times New Roman" w:hAnsi="Times New Roman" w:eastAsia="Times New Roman" w:cs="Times New Roman"/>
                <w:b/>
                <w:bCs/>
                <w:spacing w:val="6"/>
                <w:sz w:val="20"/>
                <w:szCs w:val="20"/>
              </w:rPr>
              <w:t>(t/a)</w:t>
            </w:r>
          </w:p>
        </w:tc>
        <w:tc>
          <w:tcPr>
            <w:tcW w:w="1538" w:type="dxa"/>
            <w:tcBorders>
              <w:top w:val="single" w:color="000000" w:sz="10" w:space="0"/>
            </w:tcBorders>
            <w:vAlign w:val="top"/>
          </w:tcPr>
          <w:p w14:paraId="680A6F3C">
            <w:pPr>
              <w:spacing w:before="90" w:line="197" w:lineRule="auto"/>
              <w:ind w:left="280"/>
              <w:rPr>
                <w:rFonts w:ascii="Times New Roman" w:hAnsi="Times New Roman" w:eastAsia="Times New Roman" w:cs="Times New Roman"/>
                <w:sz w:val="20"/>
                <w:szCs w:val="20"/>
              </w:rPr>
            </w:pPr>
            <w:r>
              <w:rPr>
                <w:rFonts w:ascii="Times New Roman" w:hAnsi="Times New Roman" w:eastAsia="Times New Roman" w:cs="Times New Roman"/>
                <w:b/>
                <w:bCs/>
                <w:sz w:val="20"/>
                <w:szCs w:val="20"/>
              </w:rPr>
              <w:t>NH</w:t>
            </w:r>
            <w:r>
              <w:rPr>
                <w:rFonts w:ascii="Times New Roman" w:hAnsi="Times New Roman" w:eastAsia="Times New Roman" w:cs="Times New Roman"/>
                <w:b/>
                <w:bCs/>
                <w:spacing w:val="5"/>
                <w:sz w:val="13"/>
                <w:szCs w:val="13"/>
              </w:rPr>
              <w:t>3</w:t>
            </w:r>
            <w:r>
              <w:rPr>
                <w:rFonts w:ascii="Times New Roman" w:hAnsi="Times New Roman" w:eastAsia="Times New Roman" w:cs="Times New Roman"/>
                <w:b/>
                <w:bCs/>
                <w:spacing w:val="5"/>
                <w:sz w:val="20"/>
                <w:szCs w:val="20"/>
              </w:rPr>
              <w:t>-N(t/a)</w:t>
            </w:r>
          </w:p>
        </w:tc>
        <w:tc>
          <w:tcPr>
            <w:tcW w:w="1741" w:type="dxa"/>
            <w:tcBorders>
              <w:top w:val="single" w:color="000000" w:sz="10" w:space="0"/>
            </w:tcBorders>
            <w:vAlign w:val="top"/>
          </w:tcPr>
          <w:p w14:paraId="7354AE25">
            <w:pPr>
              <w:pStyle w:val="6"/>
              <w:spacing w:before="52" w:line="228" w:lineRule="auto"/>
              <w:ind w:left="250"/>
            </w:pPr>
            <w:r>
              <w:rPr>
                <w:b/>
                <w:bCs/>
                <w:spacing w:val="6"/>
              </w:rPr>
              <w:t>水质执行标准</w:t>
            </w:r>
          </w:p>
        </w:tc>
        <w:tc>
          <w:tcPr>
            <w:tcW w:w="1753" w:type="dxa"/>
            <w:tcBorders>
              <w:top w:val="single" w:color="000000" w:sz="10" w:space="0"/>
              <w:right w:val="single" w:color="000000" w:sz="10" w:space="0"/>
            </w:tcBorders>
            <w:vAlign w:val="top"/>
          </w:tcPr>
          <w:p w14:paraId="6B704680">
            <w:pPr>
              <w:pStyle w:val="6"/>
              <w:spacing w:before="53" w:line="228" w:lineRule="auto"/>
              <w:ind w:left="317"/>
            </w:pPr>
            <w:r>
              <w:rPr>
                <w:b/>
                <w:bCs/>
                <w:spacing w:val="6"/>
              </w:rPr>
              <w:t>长度（</w:t>
            </w:r>
            <w:r>
              <w:rPr>
                <w:rFonts w:ascii="Times New Roman" w:hAnsi="Times New Roman" w:eastAsia="Times New Roman" w:cs="Times New Roman"/>
                <w:b/>
                <w:bCs/>
              </w:rPr>
              <w:t>km</w:t>
            </w:r>
            <w:r>
              <w:rPr>
                <w:b/>
                <w:bCs/>
                <w:spacing w:val="6"/>
              </w:rPr>
              <w:t>）</w:t>
            </w:r>
          </w:p>
        </w:tc>
      </w:tr>
      <w:tr w14:paraId="64F10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2073" w:type="dxa"/>
            <w:tcBorders>
              <w:left w:val="single" w:color="000000" w:sz="10" w:space="0"/>
            </w:tcBorders>
            <w:vAlign w:val="top"/>
          </w:tcPr>
          <w:p w14:paraId="5483D89D">
            <w:pPr>
              <w:pStyle w:val="6"/>
              <w:spacing w:before="67" w:line="228" w:lineRule="auto"/>
              <w:ind w:left="714"/>
            </w:pPr>
            <w:r>
              <w:rPr>
                <w:spacing w:val="6"/>
              </w:rPr>
              <w:t>枯水期</w:t>
            </w:r>
          </w:p>
        </w:tc>
        <w:tc>
          <w:tcPr>
            <w:tcW w:w="1619" w:type="dxa"/>
            <w:vAlign w:val="top"/>
          </w:tcPr>
          <w:p w14:paraId="280A4FFC">
            <w:pPr>
              <w:spacing w:before="103" w:line="195" w:lineRule="auto"/>
              <w:ind w:left="6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8707</w:t>
            </w:r>
          </w:p>
        </w:tc>
        <w:tc>
          <w:tcPr>
            <w:tcW w:w="1538" w:type="dxa"/>
            <w:vAlign w:val="top"/>
          </w:tcPr>
          <w:p w14:paraId="7C462BC3">
            <w:pPr>
              <w:spacing w:before="103" w:line="195" w:lineRule="auto"/>
              <w:ind w:left="6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340</w:t>
            </w:r>
          </w:p>
        </w:tc>
        <w:tc>
          <w:tcPr>
            <w:tcW w:w="1741" w:type="dxa"/>
            <w:vAlign w:val="top"/>
          </w:tcPr>
          <w:p w14:paraId="39DA6BD2">
            <w:pPr>
              <w:pStyle w:val="6"/>
              <w:spacing w:before="53" w:line="203" w:lineRule="auto"/>
              <w:ind w:left="683"/>
              <w:rPr>
                <w:sz w:val="24"/>
                <w:szCs w:val="24"/>
              </w:rPr>
            </w:pPr>
            <w:r>
              <w:rPr>
                <w:spacing w:val="-26"/>
                <w:sz w:val="24"/>
                <w:szCs w:val="24"/>
              </w:rPr>
              <w:t>Ⅱ类</w:t>
            </w:r>
          </w:p>
        </w:tc>
        <w:tc>
          <w:tcPr>
            <w:tcW w:w="1753" w:type="dxa"/>
            <w:tcBorders>
              <w:right w:val="single" w:color="000000" w:sz="10" w:space="0"/>
            </w:tcBorders>
            <w:vAlign w:val="top"/>
          </w:tcPr>
          <w:p w14:paraId="0D993B01">
            <w:pPr>
              <w:spacing w:before="103" w:line="195" w:lineRule="auto"/>
              <w:ind w:left="832"/>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r>
      <w:tr w14:paraId="5F811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2073" w:type="dxa"/>
            <w:tcBorders>
              <w:left w:val="single" w:color="000000" w:sz="10" w:space="0"/>
              <w:bottom w:val="single" w:color="000000" w:sz="10" w:space="0"/>
            </w:tcBorders>
            <w:vAlign w:val="top"/>
          </w:tcPr>
          <w:p w14:paraId="28434923">
            <w:pPr>
              <w:pStyle w:val="6"/>
              <w:spacing w:before="74" w:line="231" w:lineRule="auto"/>
              <w:ind w:left="611"/>
            </w:pPr>
            <w:r>
              <w:rPr>
                <w:spacing w:val="6"/>
              </w:rPr>
              <w:t>生态基流</w:t>
            </w:r>
          </w:p>
        </w:tc>
        <w:tc>
          <w:tcPr>
            <w:tcW w:w="1619" w:type="dxa"/>
            <w:tcBorders>
              <w:bottom w:val="single" w:color="000000" w:sz="10" w:space="0"/>
            </w:tcBorders>
            <w:vAlign w:val="top"/>
          </w:tcPr>
          <w:p w14:paraId="24C16802">
            <w:pPr>
              <w:spacing w:before="112" w:line="195" w:lineRule="auto"/>
              <w:ind w:left="5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2939</w:t>
            </w:r>
          </w:p>
        </w:tc>
        <w:tc>
          <w:tcPr>
            <w:tcW w:w="1538" w:type="dxa"/>
            <w:tcBorders>
              <w:bottom w:val="single" w:color="000000" w:sz="10" w:space="0"/>
            </w:tcBorders>
            <w:vAlign w:val="top"/>
          </w:tcPr>
          <w:p w14:paraId="773DA1DE">
            <w:pPr>
              <w:spacing w:before="112" w:line="195" w:lineRule="auto"/>
              <w:ind w:left="642"/>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111</w:t>
            </w:r>
          </w:p>
        </w:tc>
        <w:tc>
          <w:tcPr>
            <w:tcW w:w="1741" w:type="dxa"/>
            <w:tcBorders>
              <w:bottom w:val="single" w:color="000000" w:sz="10" w:space="0"/>
            </w:tcBorders>
            <w:vAlign w:val="top"/>
          </w:tcPr>
          <w:p w14:paraId="111D6837">
            <w:pPr>
              <w:pStyle w:val="6"/>
              <w:spacing w:before="59" w:line="216" w:lineRule="auto"/>
              <w:ind w:left="683"/>
              <w:rPr>
                <w:sz w:val="24"/>
                <w:szCs w:val="24"/>
              </w:rPr>
            </w:pPr>
            <w:r>
              <w:rPr>
                <w:spacing w:val="-26"/>
                <w:sz w:val="24"/>
                <w:szCs w:val="24"/>
              </w:rPr>
              <w:t>Ⅱ类</w:t>
            </w:r>
          </w:p>
        </w:tc>
        <w:tc>
          <w:tcPr>
            <w:tcW w:w="1753" w:type="dxa"/>
            <w:tcBorders>
              <w:bottom w:val="single" w:color="000000" w:sz="10" w:space="0"/>
              <w:right w:val="single" w:color="000000" w:sz="10" w:space="0"/>
            </w:tcBorders>
            <w:vAlign w:val="top"/>
          </w:tcPr>
          <w:p w14:paraId="4A1C40FF">
            <w:pPr>
              <w:spacing w:before="112" w:line="195" w:lineRule="auto"/>
              <w:ind w:left="832"/>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r>
    </w:tbl>
    <w:p w14:paraId="64CD6824">
      <w:pPr>
        <w:spacing w:before="37" w:line="219" w:lineRule="auto"/>
        <w:ind w:left="131"/>
        <w:outlineLvl w:val="2"/>
        <w:rPr>
          <w:rFonts w:ascii="宋体" w:hAnsi="宋体" w:eastAsia="宋体" w:cs="宋体"/>
          <w:sz w:val="24"/>
          <w:szCs w:val="24"/>
        </w:rPr>
      </w:pPr>
      <w:r>
        <w:rPr>
          <w:rFonts w:ascii="Times New Roman" w:hAnsi="Times New Roman" w:eastAsia="Times New Roman" w:cs="Times New Roman"/>
          <w:b/>
          <w:bCs/>
          <w:spacing w:val="-4"/>
          <w:sz w:val="24"/>
          <w:szCs w:val="24"/>
        </w:rPr>
        <w:t>6.2.2</w:t>
      </w:r>
      <w:r>
        <w:rPr>
          <w:rFonts w:ascii="宋体" w:hAnsi="宋体" w:eastAsia="宋体" w:cs="宋体"/>
          <w:b/>
          <w:bCs/>
          <w:spacing w:val="-4"/>
          <w:sz w:val="24"/>
          <w:szCs w:val="24"/>
        </w:rPr>
        <w:t>限制排放总量计算</w:t>
      </w:r>
    </w:p>
    <w:p w14:paraId="7A156B07">
      <w:pPr>
        <w:spacing w:before="178" w:line="360" w:lineRule="auto"/>
        <w:ind w:left="133" w:right="63" w:firstLine="480"/>
        <w:jc w:val="both"/>
        <w:rPr>
          <w:rFonts w:ascii="宋体" w:hAnsi="宋体" w:eastAsia="宋体" w:cs="宋体"/>
          <w:sz w:val="24"/>
          <w:szCs w:val="24"/>
        </w:rPr>
      </w:pPr>
      <w:r>
        <w:rPr>
          <w:rFonts w:ascii="宋体" w:hAnsi="宋体" w:eastAsia="宋体" w:cs="宋体"/>
          <w:spacing w:val="-3"/>
          <w:sz w:val="24"/>
          <w:szCs w:val="24"/>
        </w:rPr>
        <w:t>按照《全国水资源综合规划技术细则》中关于拟定水功能区水质目标的方法：</w:t>
      </w:r>
      <w:r>
        <w:rPr>
          <w:rFonts w:ascii="宋体" w:hAnsi="宋体" w:eastAsia="宋体" w:cs="宋体"/>
          <w:spacing w:val="3"/>
          <w:sz w:val="24"/>
          <w:szCs w:val="24"/>
        </w:rPr>
        <w:t>当现状水质未满足水功能区水质类别时，在综合考虑上</w:t>
      </w:r>
      <w:r>
        <w:rPr>
          <w:rFonts w:ascii="宋体" w:hAnsi="宋体" w:eastAsia="宋体" w:cs="宋体"/>
          <w:spacing w:val="2"/>
          <w:sz w:val="24"/>
          <w:szCs w:val="24"/>
        </w:rPr>
        <w:t>述因素后，应拟定水质保</w:t>
      </w:r>
      <w:r>
        <w:rPr>
          <w:rFonts w:ascii="宋体" w:hAnsi="宋体" w:eastAsia="宋体" w:cs="宋体"/>
          <w:spacing w:val="3"/>
          <w:sz w:val="24"/>
          <w:szCs w:val="24"/>
        </w:rPr>
        <w:t>护目标，水质目标可分阶段达标；当现状水质已满足水</w:t>
      </w:r>
      <w:r>
        <w:rPr>
          <w:rFonts w:ascii="宋体" w:hAnsi="宋体" w:eastAsia="宋体" w:cs="宋体"/>
          <w:spacing w:val="2"/>
          <w:sz w:val="24"/>
          <w:szCs w:val="24"/>
        </w:rPr>
        <w:t>功能区水质类别时，应按</w:t>
      </w:r>
      <w:r>
        <w:rPr>
          <w:rFonts w:ascii="宋体" w:hAnsi="宋体" w:eastAsia="宋体" w:cs="宋体"/>
          <w:spacing w:val="3"/>
          <w:sz w:val="24"/>
          <w:szCs w:val="24"/>
        </w:rPr>
        <w:t>照水体污染负荷控制不增加的原则，拟定水质保护目标</w:t>
      </w:r>
      <w:r>
        <w:rPr>
          <w:rFonts w:ascii="宋体" w:hAnsi="宋体" w:eastAsia="宋体" w:cs="宋体"/>
          <w:spacing w:val="2"/>
          <w:sz w:val="24"/>
          <w:szCs w:val="24"/>
        </w:rPr>
        <w:t>。本报告根据水域纳污能</w:t>
      </w:r>
      <w:r>
        <w:rPr>
          <w:rFonts w:ascii="宋体" w:hAnsi="宋体" w:eastAsia="宋体" w:cs="宋体"/>
          <w:spacing w:val="3"/>
          <w:sz w:val="24"/>
          <w:szCs w:val="24"/>
        </w:rPr>
        <w:t>力和现状污染物入河量调查成果，依据限制排污总量控</w:t>
      </w:r>
      <w:r>
        <w:rPr>
          <w:rFonts w:ascii="宋体" w:hAnsi="宋体" w:eastAsia="宋体" w:cs="宋体"/>
          <w:spacing w:val="2"/>
          <w:sz w:val="24"/>
          <w:szCs w:val="24"/>
        </w:rPr>
        <w:t>制方法，水功能区限制纳</w:t>
      </w:r>
      <w:r>
        <w:rPr>
          <w:rFonts w:ascii="宋体" w:hAnsi="宋体" w:eastAsia="宋体" w:cs="宋体"/>
          <w:spacing w:val="-1"/>
          <w:sz w:val="24"/>
          <w:szCs w:val="24"/>
        </w:rPr>
        <w:t>污量不允许超过纳污能力。</w:t>
      </w:r>
    </w:p>
    <w:p w14:paraId="424717DC">
      <w:pPr>
        <w:spacing w:before="2" w:line="220" w:lineRule="auto"/>
        <w:ind w:left="133"/>
        <w:outlineLvl w:val="1"/>
        <w:rPr>
          <w:rFonts w:ascii="宋体" w:hAnsi="宋体" w:eastAsia="宋体" w:cs="宋体"/>
          <w:sz w:val="28"/>
          <w:szCs w:val="28"/>
        </w:rPr>
      </w:pPr>
      <w:bookmarkStart w:id="34" w:name="bookmark31"/>
      <w:bookmarkEnd w:id="34"/>
      <w:r>
        <w:rPr>
          <w:rFonts w:ascii="Times New Roman" w:hAnsi="Times New Roman" w:eastAsia="Times New Roman" w:cs="Times New Roman"/>
          <w:b/>
          <w:bCs/>
          <w:spacing w:val="-3"/>
          <w:sz w:val="28"/>
          <w:szCs w:val="28"/>
        </w:rPr>
        <w:t>6.3</w:t>
      </w:r>
      <w:r>
        <w:rPr>
          <w:rFonts w:ascii="宋体" w:hAnsi="宋体" w:eastAsia="宋体" w:cs="宋体"/>
          <w:b/>
          <w:bCs/>
          <w:spacing w:val="-3"/>
          <w:sz w:val="28"/>
          <w:szCs w:val="28"/>
        </w:rPr>
        <w:t>入河排污口影响范围</w:t>
      </w:r>
    </w:p>
    <w:p w14:paraId="4C18AC03">
      <w:pPr>
        <w:spacing w:before="206" w:line="359" w:lineRule="auto"/>
        <w:ind w:left="131" w:right="62" w:firstLine="480"/>
        <w:jc w:val="both"/>
        <w:rPr>
          <w:rFonts w:ascii="宋体" w:hAnsi="宋体" w:eastAsia="宋体" w:cs="宋体"/>
          <w:sz w:val="24"/>
          <w:szCs w:val="24"/>
        </w:rPr>
      </w:pPr>
      <w:r>
        <w:rPr>
          <w:rFonts w:ascii="宋体" w:hAnsi="宋体" w:eastAsia="宋体" w:cs="宋体"/>
          <w:spacing w:val="3"/>
          <w:sz w:val="24"/>
          <w:szCs w:val="24"/>
        </w:rPr>
        <w:t>根据现场调查情况，隆回县工业污水处理厂位于赧水左岸，</w:t>
      </w:r>
      <w:r>
        <w:rPr>
          <w:rFonts w:ascii="宋体" w:hAnsi="宋体" w:eastAsia="宋体" w:cs="宋体"/>
          <w:spacing w:val="2"/>
          <w:sz w:val="24"/>
          <w:szCs w:val="24"/>
        </w:rPr>
        <w:t>县生活污水处理</w:t>
      </w:r>
      <w:r>
        <w:rPr>
          <w:rFonts w:ascii="宋体" w:hAnsi="宋体" w:eastAsia="宋体" w:cs="宋体"/>
          <w:spacing w:val="3"/>
          <w:sz w:val="24"/>
          <w:szCs w:val="24"/>
        </w:rPr>
        <w:t>厂南面。工业污水处理厂出水口由管道接入至生活污</w:t>
      </w:r>
      <w:r>
        <w:rPr>
          <w:rFonts w:ascii="宋体" w:hAnsi="宋体" w:eastAsia="宋体" w:cs="宋体"/>
          <w:spacing w:val="2"/>
          <w:sz w:val="24"/>
          <w:szCs w:val="24"/>
        </w:rPr>
        <w:t>水处理厂尾水管，与生活污</w:t>
      </w:r>
      <w:r>
        <w:rPr>
          <w:rFonts w:ascii="宋体" w:hAnsi="宋体" w:eastAsia="宋体" w:cs="宋体"/>
          <w:sz w:val="24"/>
          <w:szCs w:val="24"/>
        </w:rPr>
        <w:t>水厂尾水一同引至南约</w:t>
      </w:r>
      <w:r>
        <w:rPr>
          <w:rFonts w:ascii="Times New Roman" w:hAnsi="Times New Roman" w:eastAsia="Times New Roman" w:cs="Times New Roman"/>
          <w:sz w:val="24"/>
          <w:szCs w:val="24"/>
        </w:rPr>
        <w:t>1km</w:t>
      </w:r>
      <w:r>
        <w:rPr>
          <w:rFonts w:ascii="宋体" w:hAnsi="宋体" w:eastAsia="宋体" w:cs="宋体"/>
          <w:sz w:val="24"/>
          <w:szCs w:val="24"/>
        </w:rPr>
        <w:t>（元木山水电站下游约</w:t>
      </w:r>
      <w:r>
        <w:rPr>
          <w:rFonts w:ascii="Times New Roman" w:hAnsi="Times New Roman" w:eastAsia="Times New Roman" w:cs="Times New Roman"/>
          <w:sz w:val="24"/>
          <w:szCs w:val="24"/>
        </w:rPr>
        <w:t>2.</w:t>
      </w:r>
      <w:r>
        <w:rPr>
          <w:rFonts w:ascii="Times New Roman" w:hAnsi="Times New Roman" w:eastAsia="Times New Roman" w:cs="Times New Roman"/>
          <w:spacing w:val="-1"/>
          <w:sz w:val="24"/>
          <w:szCs w:val="24"/>
        </w:rPr>
        <w:t>8m</w:t>
      </w:r>
      <w:r>
        <w:rPr>
          <w:rFonts w:ascii="宋体" w:hAnsi="宋体" w:eastAsia="宋体" w:cs="宋体"/>
          <w:spacing w:val="-1"/>
          <w:sz w:val="24"/>
          <w:szCs w:val="24"/>
        </w:rPr>
        <w:t>）处，排入赧水。入河排水口地理坐标位置：</w:t>
      </w:r>
      <w:r>
        <w:rPr>
          <w:rFonts w:ascii="Times New Roman" w:hAnsi="Times New Roman" w:eastAsia="Times New Roman" w:cs="Times New Roman"/>
          <w:spacing w:val="-1"/>
          <w:sz w:val="24"/>
          <w:szCs w:val="24"/>
        </w:rPr>
        <w:t>111°3′22.36752″</w:t>
      </w:r>
      <w:r>
        <w:rPr>
          <w:rFonts w:ascii="宋体" w:hAnsi="宋体" w:eastAsia="宋体" w:cs="宋体"/>
          <w:spacing w:val="-1"/>
          <w:sz w:val="24"/>
          <w:szCs w:val="24"/>
        </w:rPr>
        <w:t>，</w:t>
      </w:r>
      <w:r>
        <w:rPr>
          <w:rFonts w:ascii="Times New Roman" w:hAnsi="Times New Roman" w:eastAsia="Times New Roman" w:cs="Times New Roman"/>
          <w:spacing w:val="-1"/>
          <w:sz w:val="24"/>
          <w:szCs w:val="24"/>
        </w:rPr>
        <w:t>N27°4′</w:t>
      </w:r>
      <w:r>
        <w:rPr>
          <w:rFonts w:ascii="Times New Roman" w:hAnsi="Times New Roman" w:eastAsia="Times New Roman" w:cs="Times New Roman"/>
          <w:spacing w:val="-2"/>
          <w:sz w:val="24"/>
          <w:szCs w:val="24"/>
        </w:rPr>
        <w:t>46.315056″</w:t>
      </w:r>
      <w:r>
        <w:rPr>
          <w:rFonts w:ascii="宋体" w:hAnsi="宋体" w:eastAsia="宋体" w:cs="宋体"/>
          <w:spacing w:val="-2"/>
          <w:sz w:val="24"/>
          <w:szCs w:val="24"/>
        </w:rPr>
        <w:t>。根据《邵阳市水功能区</w:t>
      </w:r>
      <w:r>
        <w:rPr>
          <w:rFonts w:ascii="宋体" w:hAnsi="宋体" w:eastAsia="宋体" w:cs="宋体"/>
          <w:sz w:val="24"/>
          <w:szCs w:val="24"/>
        </w:rPr>
        <w:t>划》（</w:t>
      </w:r>
      <w:r>
        <w:rPr>
          <w:rFonts w:ascii="Times New Roman" w:hAnsi="Times New Roman" w:eastAsia="Times New Roman" w:cs="Times New Roman"/>
          <w:sz w:val="24"/>
          <w:szCs w:val="24"/>
        </w:rPr>
        <w:t>2016</w:t>
      </w:r>
      <w:r>
        <w:rPr>
          <w:rFonts w:ascii="宋体" w:hAnsi="宋体" w:eastAsia="宋体" w:cs="宋体"/>
          <w:sz w:val="24"/>
          <w:szCs w:val="24"/>
        </w:rPr>
        <w:t>年修编</w:t>
      </w:r>
      <w:r>
        <w:rPr>
          <w:rFonts w:ascii="宋体" w:hAnsi="宋体" w:eastAsia="宋体" w:cs="宋体"/>
          <w:spacing w:val="7"/>
          <w:sz w:val="24"/>
          <w:szCs w:val="24"/>
        </w:rPr>
        <w:t>），</w:t>
      </w:r>
      <w:r>
        <w:rPr>
          <w:rFonts w:ascii="宋体" w:hAnsi="宋体" w:eastAsia="宋体" w:cs="宋体"/>
          <w:sz w:val="24"/>
          <w:szCs w:val="24"/>
        </w:rPr>
        <w:t>入河排污口所在水域属于资水（赧水）隆回</w:t>
      </w:r>
      <w:r>
        <w:rPr>
          <w:rFonts w:ascii="Times New Roman" w:hAnsi="Times New Roman" w:eastAsia="Times New Roman" w:cs="Times New Roman"/>
          <w:sz w:val="24"/>
          <w:szCs w:val="24"/>
        </w:rPr>
        <w:t>-</w:t>
      </w:r>
      <w:r>
        <w:rPr>
          <w:rFonts w:ascii="宋体" w:hAnsi="宋体" w:eastAsia="宋体" w:cs="宋体"/>
          <w:sz w:val="24"/>
          <w:szCs w:val="24"/>
        </w:rPr>
        <w:t>邵阳保留区，</w:t>
      </w:r>
      <w:r>
        <w:rPr>
          <w:rFonts w:ascii="宋体" w:hAnsi="宋体" w:eastAsia="宋体" w:cs="宋体"/>
          <w:spacing w:val="-5"/>
          <w:sz w:val="24"/>
          <w:szCs w:val="24"/>
        </w:rPr>
        <w:t>起始断面为隆回县元木山电站，终止断面为邵阳市北塔区何家垸子，全长</w:t>
      </w:r>
      <w:r>
        <w:rPr>
          <w:rFonts w:ascii="Times New Roman" w:hAnsi="Times New Roman" w:eastAsia="Times New Roman" w:cs="Times New Roman"/>
          <w:spacing w:val="-5"/>
          <w:sz w:val="24"/>
          <w:szCs w:val="24"/>
        </w:rPr>
        <w:t>80.1km</w:t>
      </w:r>
      <w:r>
        <w:rPr>
          <w:rFonts w:ascii="宋体" w:hAnsi="宋体" w:eastAsia="宋体" w:cs="宋体"/>
          <w:spacing w:val="-5"/>
          <w:sz w:val="24"/>
          <w:szCs w:val="24"/>
        </w:rPr>
        <w:t>，</w:t>
      </w:r>
      <w:r>
        <w:rPr>
          <w:rFonts w:ascii="宋体" w:hAnsi="宋体" w:eastAsia="宋体" w:cs="宋体"/>
          <w:spacing w:val="-2"/>
          <w:sz w:val="24"/>
          <w:szCs w:val="24"/>
        </w:rPr>
        <w:t>水质目标为《地表水环境质量标准》（</w:t>
      </w:r>
      <w:r>
        <w:rPr>
          <w:rFonts w:ascii="Times New Roman" w:hAnsi="Times New Roman" w:eastAsia="Times New Roman" w:cs="Times New Roman"/>
          <w:spacing w:val="-2"/>
          <w:sz w:val="24"/>
          <w:szCs w:val="24"/>
        </w:rPr>
        <w:t>GB3838-2002</w:t>
      </w:r>
      <w:r>
        <w:rPr>
          <w:rFonts w:ascii="宋体" w:hAnsi="宋体" w:eastAsia="宋体" w:cs="宋体"/>
          <w:spacing w:val="-2"/>
          <w:sz w:val="24"/>
          <w:szCs w:val="24"/>
        </w:rPr>
        <w:t>）中Ⅲ类标准，同时该段范围</w:t>
      </w:r>
      <w:r>
        <w:rPr>
          <w:rFonts w:ascii="宋体" w:hAnsi="宋体" w:eastAsia="宋体" w:cs="宋体"/>
          <w:spacing w:val="2"/>
          <w:sz w:val="24"/>
          <w:szCs w:val="24"/>
        </w:rPr>
        <w:t>内有赧水河隆回县元木山断面、赧水河邵阳县渡头村断面</w:t>
      </w:r>
      <w:r>
        <w:rPr>
          <w:rFonts w:ascii="Times New Roman" w:hAnsi="Times New Roman" w:eastAsia="Times New Roman" w:cs="Times New Roman"/>
          <w:spacing w:val="2"/>
          <w:sz w:val="24"/>
          <w:szCs w:val="24"/>
        </w:rPr>
        <w:t>2</w:t>
      </w:r>
      <w:r>
        <w:rPr>
          <w:rFonts w:ascii="宋体" w:hAnsi="宋体" w:eastAsia="宋体" w:cs="宋体"/>
          <w:spacing w:val="2"/>
          <w:sz w:val="24"/>
          <w:szCs w:val="24"/>
        </w:rPr>
        <w:t>个常规监测断面，考</w:t>
      </w:r>
      <w:r>
        <w:rPr>
          <w:rFonts w:ascii="宋体" w:hAnsi="宋体" w:eastAsia="宋体" w:cs="宋体"/>
          <w:sz w:val="24"/>
          <w:szCs w:val="24"/>
        </w:rPr>
        <w:t>核目标为年度平均达到《地表水环境质量标准》</w:t>
      </w:r>
      <w:r>
        <w:rPr>
          <w:rFonts w:ascii="Times New Roman" w:hAnsi="Times New Roman" w:eastAsia="Times New Roman" w:cs="Times New Roman"/>
          <w:sz w:val="24"/>
          <w:szCs w:val="24"/>
        </w:rPr>
        <w:t>(GB3838-2</w:t>
      </w:r>
      <w:r>
        <w:rPr>
          <w:rFonts w:ascii="Times New Roman" w:hAnsi="Times New Roman" w:eastAsia="Times New Roman" w:cs="Times New Roman"/>
          <w:spacing w:val="-1"/>
          <w:sz w:val="24"/>
          <w:szCs w:val="24"/>
        </w:rPr>
        <w:t>002)</w:t>
      </w:r>
      <w:r>
        <w:rPr>
          <w:rFonts w:ascii="宋体" w:hAnsi="宋体" w:eastAsia="宋体" w:cs="宋体"/>
          <w:spacing w:val="-1"/>
          <w:sz w:val="24"/>
          <w:szCs w:val="24"/>
        </w:rPr>
        <w:t>中Ⅱ类水质标准。</w:t>
      </w:r>
    </w:p>
    <w:p w14:paraId="67E66E76">
      <w:pPr>
        <w:spacing w:line="359" w:lineRule="auto"/>
        <w:ind w:left="133" w:right="17" w:firstLine="479"/>
        <w:jc w:val="both"/>
        <w:rPr>
          <w:rFonts w:ascii="宋体" w:hAnsi="宋体" w:eastAsia="宋体" w:cs="宋体"/>
          <w:sz w:val="24"/>
          <w:szCs w:val="24"/>
        </w:rPr>
      </w:pPr>
      <w:r>
        <w:rPr>
          <w:rFonts w:ascii="宋体" w:hAnsi="宋体" w:eastAsia="宋体" w:cs="宋体"/>
          <w:spacing w:val="-1"/>
          <w:sz w:val="24"/>
          <w:szCs w:val="24"/>
        </w:rPr>
        <w:t>根据本项目入河排污口现场实际情况，同时依据《入河排污</w:t>
      </w:r>
      <w:r>
        <w:rPr>
          <w:rFonts w:ascii="宋体" w:hAnsi="宋体" w:eastAsia="宋体" w:cs="宋体"/>
          <w:spacing w:val="-2"/>
          <w:sz w:val="24"/>
          <w:szCs w:val="24"/>
        </w:rPr>
        <w:t>口管理技术导则》</w:t>
      </w:r>
      <w:r>
        <w:rPr>
          <w:rFonts w:ascii="宋体" w:hAnsi="宋体" w:eastAsia="宋体" w:cs="宋体"/>
          <w:spacing w:val="-1"/>
          <w:sz w:val="24"/>
          <w:szCs w:val="24"/>
        </w:rPr>
        <w:t>（</w:t>
      </w:r>
      <w:r>
        <w:rPr>
          <w:rFonts w:ascii="Times New Roman" w:hAnsi="Times New Roman" w:eastAsia="Times New Roman" w:cs="Times New Roman"/>
          <w:spacing w:val="-1"/>
          <w:sz w:val="24"/>
          <w:szCs w:val="24"/>
        </w:rPr>
        <w:t>SL532-2011</w:t>
      </w:r>
      <w:r>
        <w:rPr>
          <w:rFonts w:ascii="宋体" w:hAnsi="宋体" w:eastAsia="宋体" w:cs="宋体"/>
          <w:spacing w:val="-6"/>
          <w:sz w:val="24"/>
          <w:szCs w:val="24"/>
        </w:rPr>
        <w:t>），</w:t>
      </w:r>
      <w:r>
        <w:rPr>
          <w:rFonts w:ascii="宋体" w:hAnsi="宋体" w:eastAsia="宋体" w:cs="宋体"/>
          <w:spacing w:val="-1"/>
          <w:sz w:val="24"/>
          <w:szCs w:val="24"/>
        </w:rPr>
        <w:t>参照《环境影响评价技术导则地</w:t>
      </w:r>
      <w:r>
        <w:rPr>
          <w:rFonts w:ascii="宋体" w:hAnsi="宋体" w:eastAsia="宋体" w:cs="宋体"/>
          <w:spacing w:val="-2"/>
          <w:sz w:val="24"/>
          <w:szCs w:val="24"/>
        </w:rPr>
        <w:t>表水环境》（</w:t>
      </w:r>
      <w:r>
        <w:rPr>
          <w:rFonts w:ascii="Times New Roman" w:hAnsi="Times New Roman" w:eastAsia="Times New Roman" w:cs="Times New Roman"/>
          <w:spacing w:val="-2"/>
          <w:sz w:val="24"/>
          <w:szCs w:val="24"/>
        </w:rPr>
        <w:t>HJ2.3-2018</w:t>
      </w:r>
      <w:r>
        <w:rPr>
          <w:rFonts w:ascii="宋体" w:hAnsi="宋体" w:eastAsia="宋体" w:cs="宋体"/>
          <w:spacing w:val="-2"/>
          <w:sz w:val="24"/>
          <w:szCs w:val="24"/>
        </w:rPr>
        <w:t>）中评</w:t>
      </w:r>
      <w:r>
        <w:rPr>
          <w:rFonts w:ascii="宋体" w:hAnsi="宋体" w:eastAsia="宋体" w:cs="宋体"/>
          <w:sz w:val="24"/>
          <w:szCs w:val="24"/>
        </w:rPr>
        <w:t>价范围的确定，综合确定其入河排污口论证范围为：</w:t>
      </w:r>
      <w:r>
        <w:rPr>
          <w:rFonts w:ascii="宋体" w:hAnsi="宋体" w:eastAsia="宋体" w:cs="宋体"/>
          <w:spacing w:val="-1"/>
          <w:sz w:val="24"/>
          <w:szCs w:val="24"/>
        </w:rPr>
        <w:t>赧水河隆回县元木山水电站</w:t>
      </w:r>
      <w:r>
        <w:rPr>
          <w:rFonts w:ascii="宋体" w:hAnsi="宋体" w:eastAsia="宋体" w:cs="宋体"/>
          <w:spacing w:val="-3"/>
          <w:sz w:val="24"/>
          <w:szCs w:val="24"/>
        </w:rPr>
        <w:t>至邵阳县渡头村断面（出境断面</w:t>
      </w:r>
      <w:r>
        <w:rPr>
          <w:rFonts w:ascii="宋体" w:hAnsi="宋体" w:eastAsia="宋体" w:cs="宋体"/>
          <w:spacing w:val="9"/>
          <w:sz w:val="24"/>
          <w:szCs w:val="24"/>
        </w:rPr>
        <w:t>），</w:t>
      </w:r>
      <w:r>
        <w:rPr>
          <w:rFonts w:ascii="宋体" w:hAnsi="宋体" w:eastAsia="宋体" w:cs="宋体"/>
          <w:spacing w:val="-3"/>
          <w:sz w:val="24"/>
          <w:szCs w:val="24"/>
        </w:rPr>
        <w:t>全长约</w:t>
      </w:r>
      <w:r>
        <w:rPr>
          <w:rFonts w:ascii="Times New Roman" w:hAnsi="Times New Roman" w:eastAsia="Times New Roman" w:cs="Times New Roman"/>
          <w:spacing w:val="-3"/>
          <w:sz w:val="24"/>
          <w:szCs w:val="24"/>
        </w:rPr>
        <w:t>9km</w:t>
      </w:r>
      <w:r>
        <w:rPr>
          <w:rFonts w:ascii="宋体" w:hAnsi="宋体" w:eastAsia="宋体" w:cs="宋体"/>
          <w:spacing w:val="-3"/>
          <w:sz w:val="24"/>
          <w:szCs w:val="24"/>
        </w:rPr>
        <w:t>。范围示意图见图</w:t>
      </w:r>
      <w:r>
        <w:rPr>
          <w:rFonts w:ascii="Times New Roman" w:hAnsi="Times New Roman" w:eastAsia="Times New Roman" w:cs="Times New Roman"/>
          <w:spacing w:val="-3"/>
          <w:sz w:val="24"/>
          <w:szCs w:val="24"/>
        </w:rPr>
        <w:t>1.4-1</w:t>
      </w:r>
      <w:r>
        <w:rPr>
          <w:rFonts w:ascii="宋体" w:hAnsi="宋体" w:eastAsia="宋体" w:cs="宋体"/>
          <w:spacing w:val="-3"/>
          <w:sz w:val="24"/>
          <w:szCs w:val="24"/>
        </w:rPr>
        <w:t>。</w:t>
      </w:r>
    </w:p>
    <w:p w14:paraId="59A283C3">
      <w:pPr>
        <w:spacing w:before="1" w:line="219" w:lineRule="auto"/>
        <w:ind w:left="131"/>
        <w:outlineLvl w:val="2"/>
        <w:rPr>
          <w:rFonts w:ascii="宋体" w:hAnsi="宋体" w:eastAsia="宋体" w:cs="宋体"/>
          <w:sz w:val="24"/>
          <w:szCs w:val="24"/>
        </w:rPr>
      </w:pPr>
      <w:r>
        <w:rPr>
          <w:rFonts w:ascii="Times New Roman" w:hAnsi="Times New Roman" w:eastAsia="Times New Roman" w:cs="Times New Roman"/>
          <w:b/>
          <w:bCs/>
          <w:spacing w:val="-2"/>
          <w:sz w:val="24"/>
          <w:szCs w:val="24"/>
        </w:rPr>
        <w:t>6.3.1</w:t>
      </w:r>
      <w:r>
        <w:rPr>
          <w:rFonts w:ascii="宋体" w:hAnsi="宋体" w:eastAsia="宋体" w:cs="宋体"/>
          <w:b/>
          <w:bCs/>
          <w:spacing w:val="-2"/>
          <w:sz w:val="24"/>
          <w:szCs w:val="24"/>
        </w:rPr>
        <w:t>预测内容</w:t>
      </w:r>
    </w:p>
    <w:p w14:paraId="74D300F5">
      <w:pPr>
        <w:spacing w:before="183" w:line="219" w:lineRule="auto"/>
        <w:ind w:left="623"/>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）分别预测污水正常排放和事故排放污染物对纳污河段枯水期（</w:t>
      </w:r>
      <w:r>
        <w:rPr>
          <w:rFonts w:ascii="Times New Roman" w:hAnsi="Times New Roman" w:eastAsia="Times New Roman" w:cs="Times New Roman"/>
          <w:spacing w:val="-1"/>
          <w:sz w:val="24"/>
          <w:szCs w:val="24"/>
        </w:rPr>
        <w:t>66m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4"/>
          <w:szCs w:val="24"/>
        </w:rPr>
        <w:t>/s</w:t>
      </w:r>
      <w:r>
        <w:rPr>
          <w:rFonts w:ascii="宋体" w:hAnsi="宋体" w:eastAsia="宋体" w:cs="宋体"/>
          <w:spacing w:val="-1"/>
          <w:sz w:val="24"/>
          <w:szCs w:val="24"/>
        </w:rPr>
        <w:t>）</w:t>
      </w:r>
    </w:p>
    <w:p w14:paraId="07E13E7F">
      <w:pPr>
        <w:spacing w:line="219" w:lineRule="auto"/>
        <w:rPr>
          <w:rFonts w:ascii="宋体" w:hAnsi="宋体" w:eastAsia="宋体" w:cs="宋体"/>
          <w:sz w:val="24"/>
          <w:szCs w:val="24"/>
        </w:rPr>
        <w:sectPr>
          <w:headerReference r:id="rId121" w:type="default"/>
          <w:footerReference r:id="rId122" w:type="default"/>
          <w:pgSz w:w="11907" w:h="16840"/>
          <w:pgMar w:top="1132" w:right="1578" w:bottom="1259" w:left="1578" w:header="829" w:footer="1097" w:gutter="0"/>
          <w:cols w:space="720" w:num="1"/>
        </w:sectPr>
      </w:pPr>
    </w:p>
    <w:p w14:paraId="62A0F0E9">
      <w:pPr>
        <w:pStyle w:val="2"/>
        <w:spacing w:line="241" w:lineRule="auto"/>
      </w:pPr>
    </w:p>
    <w:p w14:paraId="17D66222">
      <w:pPr>
        <w:spacing w:before="78" w:line="219" w:lineRule="auto"/>
        <w:ind w:left="12"/>
        <w:rPr>
          <w:rFonts w:ascii="宋体" w:hAnsi="宋体" w:eastAsia="宋体" w:cs="宋体"/>
          <w:sz w:val="24"/>
          <w:szCs w:val="24"/>
        </w:rPr>
      </w:pPr>
      <w:r>
        <w:rPr>
          <w:rFonts w:ascii="宋体" w:hAnsi="宋体" w:eastAsia="宋体" w:cs="宋体"/>
          <w:spacing w:val="-3"/>
          <w:sz w:val="24"/>
          <w:szCs w:val="24"/>
        </w:rPr>
        <w:t>水质的影响；</w:t>
      </w:r>
    </w:p>
    <w:p w14:paraId="3C3C7E21">
      <w:pPr>
        <w:spacing w:before="180" w:line="359" w:lineRule="auto"/>
        <w:ind w:left="10" w:right="2" w:firstLine="49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）分别预测污水正常排放和事故排放污染物在极端情况下（即</w:t>
      </w:r>
      <w:r>
        <w:rPr>
          <w:rFonts w:ascii="宋体" w:hAnsi="宋体" w:eastAsia="宋体" w:cs="宋体"/>
          <w:spacing w:val="-2"/>
          <w:sz w:val="24"/>
          <w:szCs w:val="24"/>
        </w:rPr>
        <w:t>仅元木山电</w:t>
      </w:r>
      <w:r>
        <w:rPr>
          <w:rFonts w:ascii="宋体" w:hAnsi="宋体" w:eastAsia="宋体" w:cs="宋体"/>
          <w:spacing w:val="-3"/>
          <w:sz w:val="24"/>
          <w:szCs w:val="24"/>
        </w:rPr>
        <w:t>站下泄生态基流量</w:t>
      </w:r>
      <w:r>
        <w:rPr>
          <w:rFonts w:ascii="Times New Roman" w:hAnsi="Times New Roman" w:eastAsia="Times New Roman" w:cs="Times New Roman"/>
          <w:spacing w:val="-3"/>
          <w:sz w:val="24"/>
          <w:szCs w:val="24"/>
        </w:rPr>
        <w:t>18m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sz w:val="24"/>
          <w:szCs w:val="24"/>
        </w:rPr>
        <w:t>/s</w:t>
      </w:r>
      <w:r>
        <w:rPr>
          <w:rFonts w:ascii="宋体" w:hAnsi="宋体" w:eastAsia="宋体" w:cs="宋体"/>
          <w:spacing w:val="-3"/>
          <w:sz w:val="24"/>
          <w:szCs w:val="24"/>
        </w:rPr>
        <w:t>时）对纳污河段的影响。</w:t>
      </w:r>
    </w:p>
    <w:p w14:paraId="0990906C">
      <w:pPr>
        <w:spacing w:line="220" w:lineRule="auto"/>
        <w:ind w:left="9"/>
        <w:outlineLvl w:val="2"/>
        <w:rPr>
          <w:rFonts w:ascii="宋体" w:hAnsi="宋体" w:eastAsia="宋体" w:cs="宋体"/>
          <w:sz w:val="24"/>
          <w:szCs w:val="24"/>
        </w:rPr>
      </w:pPr>
      <w:r>
        <w:rPr>
          <w:rFonts w:ascii="Times New Roman" w:hAnsi="Times New Roman" w:eastAsia="Times New Roman" w:cs="Times New Roman"/>
          <w:b/>
          <w:bCs/>
          <w:spacing w:val="-2"/>
          <w:sz w:val="24"/>
          <w:szCs w:val="24"/>
        </w:rPr>
        <w:t>6.3.2</w:t>
      </w:r>
      <w:r>
        <w:rPr>
          <w:rFonts w:ascii="宋体" w:hAnsi="宋体" w:eastAsia="宋体" w:cs="宋体"/>
          <w:b/>
          <w:bCs/>
          <w:spacing w:val="-2"/>
          <w:sz w:val="24"/>
          <w:szCs w:val="24"/>
        </w:rPr>
        <w:t>预测因子</w:t>
      </w:r>
    </w:p>
    <w:p w14:paraId="2ADEAFB1">
      <w:pPr>
        <w:spacing w:before="181" w:line="218" w:lineRule="auto"/>
        <w:ind w:left="489"/>
        <w:rPr>
          <w:rFonts w:ascii="宋体" w:hAnsi="宋体" w:eastAsia="宋体" w:cs="宋体"/>
          <w:sz w:val="24"/>
          <w:szCs w:val="24"/>
        </w:rPr>
      </w:pPr>
      <w:r>
        <w:rPr>
          <w:rFonts w:ascii="宋体" w:hAnsi="宋体" w:eastAsia="宋体" w:cs="宋体"/>
          <w:spacing w:val="-2"/>
          <w:sz w:val="24"/>
          <w:szCs w:val="24"/>
        </w:rPr>
        <w:t>根据项目排污特征，本次评价选取污染因子</w:t>
      </w:r>
      <w:r>
        <w:rPr>
          <w:rFonts w:ascii="Times New Roman" w:hAnsi="Times New Roman" w:eastAsia="Times New Roman" w:cs="Times New Roman"/>
          <w:spacing w:val="-2"/>
          <w:sz w:val="24"/>
          <w:szCs w:val="24"/>
        </w:rPr>
        <w:t>COD</w:t>
      </w:r>
      <w:r>
        <w:rPr>
          <w:rFonts w:ascii="宋体" w:hAnsi="宋体" w:eastAsia="宋体" w:cs="宋体"/>
          <w:spacing w:val="-2"/>
          <w:sz w:val="24"/>
          <w:szCs w:val="24"/>
        </w:rPr>
        <w:t>、氨氮作为预测因子。</w:t>
      </w:r>
    </w:p>
    <w:p w14:paraId="01E01898">
      <w:pPr>
        <w:spacing w:before="182" w:line="219" w:lineRule="auto"/>
        <w:ind w:left="9"/>
        <w:outlineLvl w:val="2"/>
        <w:rPr>
          <w:rFonts w:ascii="宋体" w:hAnsi="宋体" w:eastAsia="宋体" w:cs="宋体"/>
          <w:sz w:val="24"/>
          <w:szCs w:val="24"/>
        </w:rPr>
      </w:pPr>
      <w:r>
        <w:rPr>
          <w:rFonts w:ascii="Times New Roman" w:hAnsi="Times New Roman" w:eastAsia="Times New Roman" w:cs="Times New Roman"/>
          <w:b/>
          <w:bCs/>
          <w:spacing w:val="-2"/>
          <w:sz w:val="24"/>
          <w:szCs w:val="24"/>
        </w:rPr>
        <w:t>6.3.3</w:t>
      </w:r>
      <w:r>
        <w:rPr>
          <w:rFonts w:ascii="宋体" w:hAnsi="宋体" w:eastAsia="宋体" w:cs="宋体"/>
          <w:b/>
          <w:bCs/>
          <w:spacing w:val="-2"/>
          <w:sz w:val="24"/>
          <w:szCs w:val="24"/>
        </w:rPr>
        <w:t>预测模型</w:t>
      </w:r>
    </w:p>
    <w:p w14:paraId="3BC2BAAC">
      <w:pPr>
        <w:spacing w:before="184" w:line="355" w:lineRule="auto"/>
        <w:ind w:left="10" w:firstLine="480"/>
        <w:jc w:val="both"/>
        <w:rPr>
          <w:rFonts w:ascii="宋体" w:hAnsi="宋体" w:eastAsia="宋体" w:cs="宋体"/>
          <w:sz w:val="24"/>
          <w:szCs w:val="24"/>
        </w:rPr>
      </w:pPr>
      <w:r>
        <w:rPr>
          <w:rFonts w:ascii="宋体" w:hAnsi="宋体" w:eastAsia="宋体" w:cs="宋体"/>
          <w:spacing w:val="-2"/>
          <w:sz w:val="24"/>
          <w:szCs w:val="24"/>
        </w:rPr>
        <w:t>本项目入河排污口赧水河多年平均流量约</w:t>
      </w:r>
      <w:r>
        <w:rPr>
          <w:rFonts w:ascii="Times New Roman" w:hAnsi="Times New Roman" w:eastAsia="Times New Roman" w:cs="Times New Roman"/>
          <w:spacing w:val="-2"/>
          <w:sz w:val="24"/>
          <w:szCs w:val="24"/>
        </w:rPr>
        <w:t>175m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4"/>
          <w:szCs w:val="24"/>
        </w:rPr>
        <w:t>/s</w:t>
      </w:r>
      <w:r>
        <w:rPr>
          <w:rFonts w:ascii="宋体" w:hAnsi="宋体" w:eastAsia="宋体" w:cs="宋体"/>
          <w:spacing w:val="-2"/>
          <w:sz w:val="24"/>
          <w:szCs w:val="24"/>
        </w:rPr>
        <w:t>，</w:t>
      </w:r>
      <w:r>
        <w:rPr>
          <w:rFonts w:ascii="宋体" w:hAnsi="宋体" w:eastAsia="宋体" w:cs="宋体"/>
          <w:spacing w:val="-3"/>
          <w:sz w:val="24"/>
          <w:szCs w:val="24"/>
        </w:rPr>
        <w:t>根据《水域纳污能力计算</w:t>
      </w:r>
      <w:r>
        <w:rPr>
          <w:rFonts w:ascii="宋体" w:hAnsi="宋体" w:eastAsia="宋体" w:cs="宋体"/>
          <w:spacing w:val="6"/>
          <w:sz w:val="24"/>
          <w:szCs w:val="24"/>
        </w:rPr>
        <w:t>规程》（</w:t>
      </w:r>
      <w:r>
        <w:rPr>
          <w:rFonts w:ascii="Times New Roman" w:hAnsi="Times New Roman" w:eastAsia="Times New Roman" w:cs="Times New Roman"/>
          <w:sz w:val="24"/>
          <w:szCs w:val="24"/>
        </w:rPr>
        <w:t>GB</w:t>
      </w:r>
      <w:r>
        <w:rPr>
          <w:rFonts w:ascii="Times New Roman" w:hAnsi="Times New Roman" w:eastAsia="Times New Roman" w:cs="Times New Roman"/>
          <w:spacing w:val="6"/>
          <w:sz w:val="24"/>
          <w:szCs w:val="24"/>
        </w:rPr>
        <w:t>/T25173-2010</w:t>
      </w:r>
      <w:r>
        <w:rPr>
          <w:rFonts w:ascii="宋体" w:hAnsi="宋体" w:eastAsia="宋体" w:cs="宋体"/>
          <w:spacing w:val="6"/>
          <w:sz w:val="24"/>
          <w:szCs w:val="24"/>
        </w:rPr>
        <w:t>）中关于水域规模的划分，该河</w:t>
      </w:r>
      <w:r>
        <w:rPr>
          <w:rFonts w:ascii="宋体" w:hAnsi="宋体" w:eastAsia="宋体" w:cs="宋体"/>
          <w:spacing w:val="5"/>
          <w:sz w:val="24"/>
          <w:szCs w:val="24"/>
        </w:rPr>
        <w:t>段多年平均流量大于</w:t>
      </w:r>
      <w:r>
        <w:rPr>
          <w:rFonts w:ascii="Times New Roman" w:hAnsi="Times New Roman" w:eastAsia="Times New Roman" w:cs="Times New Roman"/>
          <w:sz w:val="24"/>
          <w:szCs w:val="24"/>
        </w:rPr>
        <w:t>150m</w:t>
      </w:r>
      <w:r>
        <w:rPr>
          <w:rFonts w:ascii="Times New Roman" w:hAnsi="Times New Roman" w:eastAsia="Times New Roman" w:cs="Times New Roman"/>
          <w:position w:val="8"/>
          <w:sz w:val="15"/>
          <w:szCs w:val="15"/>
        </w:rPr>
        <w:t>3</w:t>
      </w:r>
      <w:r>
        <w:rPr>
          <w:rFonts w:ascii="Times New Roman" w:hAnsi="Times New Roman" w:eastAsia="Times New Roman" w:cs="Times New Roman"/>
          <w:sz w:val="24"/>
          <w:szCs w:val="24"/>
        </w:rPr>
        <w:t>/s</w:t>
      </w:r>
      <w:r>
        <w:rPr>
          <w:rFonts w:ascii="宋体" w:hAnsi="宋体" w:eastAsia="宋体" w:cs="宋体"/>
          <w:sz w:val="24"/>
          <w:szCs w:val="24"/>
        </w:rPr>
        <w:t>，为大河。采用非持久性污染物岸边排放的二维稳态混合衰减模式进行预</w:t>
      </w:r>
      <w:r>
        <w:rPr>
          <w:rFonts w:ascii="宋体" w:hAnsi="宋体" w:eastAsia="宋体" w:cs="宋体"/>
          <w:spacing w:val="-2"/>
          <w:sz w:val="24"/>
          <w:szCs w:val="24"/>
        </w:rPr>
        <w:t>测，其扩散模式为：</w:t>
      </w:r>
    </w:p>
    <w:p w14:paraId="26F0EBF4">
      <w:pPr>
        <w:spacing w:line="1020" w:lineRule="exact"/>
        <w:ind w:left="765"/>
      </w:pPr>
      <w:r>
        <w:rPr>
          <w:position w:val="-20"/>
        </w:rPr>
        <w:drawing>
          <wp:inline distT="0" distB="0" distL="0" distR="0">
            <wp:extent cx="4446905" cy="64770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211"/>
                    <a:stretch>
                      <a:fillRect/>
                    </a:stretch>
                  </pic:blipFill>
                  <pic:spPr>
                    <a:xfrm>
                      <a:off x="0" y="0"/>
                      <a:ext cx="4446918" cy="648024"/>
                    </a:xfrm>
                    <a:prstGeom prst="rect">
                      <a:avLst/>
                    </a:prstGeom>
                  </pic:spPr>
                </pic:pic>
              </a:graphicData>
            </a:graphic>
          </wp:inline>
        </w:drawing>
      </w:r>
    </w:p>
    <w:p w14:paraId="15637FD1">
      <w:pPr>
        <w:spacing w:before="203" w:line="210" w:lineRule="auto"/>
        <w:ind w:left="10"/>
        <w:rPr>
          <w:rFonts w:ascii="宋体" w:hAnsi="宋体" w:eastAsia="宋体" w:cs="宋体"/>
          <w:sz w:val="24"/>
          <w:szCs w:val="24"/>
        </w:rPr>
      </w:pPr>
      <w:r>
        <w:rPr>
          <w:rFonts w:ascii="宋体" w:hAnsi="宋体" w:eastAsia="宋体" w:cs="宋体"/>
          <w:spacing w:val="2"/>
          <w:sz w:val="24"/>
          <w:szCs w:val="24"/>
        </w:rPr>
        <w:t>其中：</w:t>
      </w:r>
      <w:r>
        <w:rPr>
          <w:rFonts w:ascii="Times New Roman" w:hAnsi="Times New Roman" w:eastAsia="Times New Roman" w:cs="Times New Roman"/>
          <w:spacing w:val="2"/>
          <w:sz w:val="24"/>
          <w:szCs w:val="24"/>
        </w:rPr>
        <w:t>C(x,y)——</w:t>
      </w:r>
      <w:r>
        <w:rPr>
          <w:rFonts w:ascii="宋体" w:hAnsi="宋体" w:eastAsia="宋体" w:cs="宋体"/>
          <w:spacing w:val="2"/>
          <w:sz w:val="24"/>
          <w:szCs w:val="24"/>
        </w:rPr>
        <w:t>断面污染物预测浓度</w:t>
      </w:r>
      <w:r>
        <w:rPr>
          <w:rFonts w:ascii="Times New Roman" w:hAnsi="Times New Roman" w:eastAsia="Times New Roman" w:cs="Times New Roman"/>
          <w:sz w:val="24"/>
          <w:szCs w:val="24"/>
        </w:rPr>
        <w:t>mg</w:t>
      </w:r>
      <w:r>
        <w:rPr>
          <w:rFonts w:ascii="Times New Roman" w:hAnsi="Times New Roman" w:eastAsia="Times New Roman" w:cs="Times New Roman"/>
          <w:spacing w:val="2"/>
          <w:sz w:val="24"/>
          <w:szCs w:val="24"/>
        </w:rPr>
        <w:t>/L</w:t>
      </w:r>
      <w:r>
        <w:rPr>
          <w:rFonts w:ascii="宋体" w:hAnsi="宋体" w:eastAsia="宋体" w:cs="宋体"/>
          <w:spacing w:val="2"/>
          <w:sz w:val="24"/>
          <w:szCs w:val="24"/>
        </w:rPr>
        <w:t>；</w:t>
      </w:r>
    </w:p>
    <w:p w14:paraId="00670B11">
      <w:pPr>
        <w:spacing w:before="192" w:line="219" w:lineRule="auto"/>
        <w:ind w:left="484"/>
        <w:rPr>
          <w:rFonts w:ascii="宋体" w:hAnsi="宋体" w:eastAsia="宋体" w:cs="宋体"/>
          <w:sz w:val="24"/>
          <w:szCs w:val="24"/>
        </w:rPr>
      </w:pPr>
      <w:r>
        <w:rPr>
          <w:rFonts w:ascii="Times New Roman" w:hAnsi="Times New Roman" w:eastAsia="Times New Roman" w:cs="Times New Roman"/>
          <w:spacing w:val="-3"/>
          <w:sz w:val="24"/>
          <w:szCs w:val="24"/>
        </w:rPr>
        <w:t>K1——</w:t>
      </w:r>
      <w:r>
        <w:rPr>
          <w:rFonts w:ascii="宋体" w:hAnsi="宋体" w:eastAsia="宋体" w:cs="宋体"/>
          <w:spacing w:val="-3"/>
          <w:sz w:val="24"/>
          <w:szCs w:val="24"/>
        </w:rPr>
        <w:t>耗氧系数</w:t>
      </w:r>
      <w:r>
        <w:rPr>
          <w:rFonts w:ascii="Times New Roman" w:hAnsi="Times New Roman" w:eastAsia="Times New Roman" w:cs="Times New Roman"/>
          <w:spacing w:val="-3"/>
          <w:sz w:val="24"/>
          <w:szCs w:val="24"/>
        </w:rPr>
        <w:t>1/d</w:t>
      </w:r>
      <w:r>
        <w:rPr>
          <w:rFonts w:ascii="宋体" w:hAnsi="宋体" w:eastAsia="宋体" w:cs="宋体"/>
          <w:spacing w:val="-3"/>
          <w:sz w:val="24"/>
          <w:szCs w:val="24"/>
        </w:rPr>
        <w:t>；</w:t>
      </w:r>
    </w:p>
    <w:p w14:paraId="1527280E">
      <w:pPr>
        <w:spacing w:before="184" w:line="210" w:lineRule="auto"/>
        <w:ind w:left="484"/>
        <w:rPr>
          <w:rFonts w:ascii="宋体" w:hAnsi="宋体" w:eastAsia="宋体" w:cs="宋体"/>
          <w:sz w:val="24"/>
          <w:szCs w:val="24"/>
        </w:rPr>
      </w:pPr>
      <w:r>
        <w:rPr>
          <w:rFonts w:ascii="Times New Roman" w:hAnsi="Times New Roman" w:eastAsia="Times New Roman" w:cs="Times New Roman"/>
          <w:spacing w:val="-1"/>
          <w:sz w:val="24"/>
          <w:szCs w:val="24"/>
        </w:rPr>
        <w:t>My——</w:t>
      </w:r>
      <w:r>
        <w:rPr>
          <w:rFonts w:ascii="宋体" w:hAnsi="宋体" w:eastAsia="宋体" w:cs="宋体"/>
          <w:spacing w:val="-1"/>
          <w:sz w:val="24"/>
          <w:szCs w:val="24"/>
        </w:rPr>
        <w:t>横向混合系数</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7"/>
          <w:sz w:val="15"/>
          <w:szCs w:val="15"/>
        </w:rPr>
        <w:t>2</w:t>
      </w:r>
      <w:r>
        <w:rPr>
          <w:rFonts w:ascii="Times New Roman" w:hAnsi="Times New Roman" w:eastAsia="Times New Roman" w:cs="Times New Roman"/>
          <w:spacing w:val="-1"/>
          <w:sz w:val="24"/>
          <w:szCs w:val="24"/>
        </w:rPr>
        <w:t>/s</w:t>
      </w:r>
      <w:r>
        <w:rPr>
          <w:rFonts w:ascii="宋体" w:hAnsi="宋体" w:eastAsia="宋体" w:cs="宋体"/>
          <w:spacing w:val="-1"/>
          <w:sz w:val="24"/>
          <w:szCs w:val="24"/>
        </w:rPr>
        <w:t>；</w:t>
      </w:r>
    </w:p>
    <w:p w14:paraId="32494D11">
      <w:pPr>
        <w:spacing w:before="192" w:line="220" w:lineRule="auto"/>
        <w:ind w:left="480"/>
        <w:rPr>
          <w:rFonts w:ascii="宋体" w:hAnsi="宋体" w:eastAsia="宋体" w:cs="宋体"/>
          <w:sz w:val="24"/>
          <w:szCs w:val="24"/>
        </w:rPr>
      </w:pPr>
      <w:r>
        <w:rPr>
          <w:rFonts w:ascii="Times New Roman" w:hAnsi="Times New Roman" w:eastAsia="Times New Roman" w:cs="Times New Roman"/>
          <w:spacing w:val="4"/>
          <w:sz w:val="24"/>
          <w:szCs w:val="24"/>
        </w:rPr>
        <w:t>u——</w:t>
      </w:r>
      <w:r>
        <w:rPr>
          <w:rFonts w:ascii="宋体" w:hAnsi="宋体" w:eastAsia="宋体" w:cs="宋体"/>
          <w:spacing w:val="4"/>
          <w:sz w:val="24"/>
          <w:szCs w:val="24"/>
        </w:rPr>
        <w:t>河流平均流速</w:t>
      </w:r>
      <w:r>
        <w:rPr>
          <w:rFonts w:ascii="Times New Roman" w:hAnsi="Times New Roman" w:eastAsia="Times New Roman" w:cs="Times New Roman"/>
          <w:spacing w:val="4"/>
          <w:sz w:val="24"/>
          <w:szCs w:val="24"/>
        </w:rPr>
        <w:t>m/s</w:t>
      </w:r>
      <w:r>
        <w:rPr>
          <w:rFonts w:ascii="宋体" w:hAnsi="宋体" w:eastAsia="宋体" w:cs="宋体"/>
          <w:spacing w:val="4"/>
          <w:sz w:val="24"/>
          <w:szCs w:val="24"/>
        </w:rPr>
        <w:t>；</w:t>
      </w:r>
    </w:p>
    <w:p w14:paraId="66141FB1">
      <w:pPr>
        <w:spacing w:before="183" w:line="219" w:lineRule="auto"/>
        <w:ind w:left="484"/>
        <w:rPr>
          <w:rFonts w:ascii="宋体" w:hAnsi="宋体" w:eastAsia="宋体" w:cs="宋体"/>
          <w:sz w:val="24"/>
          <w:szCs w:val="24"/>
        </w:rPr>
      </w:pPr>
      <w:r>
        <w:rPr>
          <w:rFonts w:ascii="Times New Roman" w:hAnsi="Times New Roman" w:eastAsia="Times New Roman" w:cs="Times New Roman"/>
          <w:spacing w:val="-1"/>
          <w:sz w:val="24"/>
          <w:szCs w:val="24"/>
        </w:rPr>
        <w:t>H——</w:t>
      </w:r>
      <w:r>
        <w:rPr>
          <w:rFonts w:ascii="宋体" w:hAnsi="宋体" w:eastAsia="宋体" w:cs="宋体"/>
          <w:spacing w:val="-1"/>
          <w:sz w:val="24"/>
          <w:szCs w:val="24"/>
        </w:rPr>
        <w:t>河流平均水深</w:t>
      </w:r>
      <w:r>
        <w:rPr>
          <w:rFonts w:ascii="Times New Roman" w:hAnsi="Times New Roman" w:eastAsia="Times New Roman" w:cs="Times New Roman"/>
          <w:spacing w:val="-1"/>
          <w:sz w:val="24"/>
          <w:szCs w:val="24"/>
        </w:rPr>
        <w:t>m</w:t>
      </w:r>
      <w:r>
        <w:rPr>
          <w:rFonts w:ascii="宋体" w:hAnsi="宋体" w:eastAsia="宋体" w:cs="宋体"/>
          <w:spacing w:val="-1"/>
          <w:sz w:val="24"/>
          <w:szCs w:val="24"/>
        </w:rPr>
        <w:t>；</w:t>
      </w:r>
    </w:p>
    <w:p w14:paraId="042E7A94">
      <w:pPr>
        <w:spacing w:before="183" w:line="210" w:lineRule="auto"/>
        <w:ind w:left="489"/>
        <w:rPr>
          <w:rFonts w:ascii="宋体" w:hAnsi="宋体" w:eastAsia="宋体" w:cs="宋体"/>
          <w:sz w:val="24"/>
          <w:szCs w:val="24"/>
        </w:rPr>
      </w:pPr>
      <w:r>
        <w:rPr>
          <w:rFonts w:ascii="Times New Roman" w:hAnsi="Times New Roman" w:eastAsia="Times New Roman" w:cs="Times New Roman"/>
          <w:sz w:val="24"/>
          <w:szCs w:val="24"/>
        </w:rPr>
        <w:t>Ch</w:t>
      </w:r>
      <w:r>
        <w:rPr>
          <w:rFonts w:ascii="Times New Roman" w:hAnsi="Times New Roman" w:eastAsia="Times New Roman" w:cs="Times New Roman"/>
          <w:spacing w:val="3"/>
          <w:sz w:val="24"/>
          <w:szCs w:val="24"/>
        </w:rPr>
        <w:t>——</w:t>
      </w:r>
      <w:r>
        <w:rPr>
          <w:rFonts w:ascii="宋体" w:hAnsi="宋体" w:eastAsia="宋体" w:cs="宋体"/>
          <w:spacing w:val="3"/>
          <w:sz w:val="24"/>
          <w:szCs w:val="24"/>
        </w:rPr>
        <w:t>排污口上游污染物的浓度</w:t>
      </w:r>
      <w:r>
        <w:rPr>
          <w:rFonts w:ascii="Times New Roman" w:hAnsi="Times New Roman" w:eastAsia="Times New Roman" w:cs="Times New Roman"/>
          <w:sz w:val="24"/>
          <w:szCs w:val="24"/>
        </w:rPr>
        <w:t>mg</w:t>
      </w:r>
      <w:r>
        <w:rPr>
          <w:rFonts w:ascii="Times New Roman" w:hAnsi="Times New Roman" w:eastAsia="Times New Roman" w:cs="Times New Roman"/>
          <w:spacing w:val="3"/>
          <w:sz w:val="24"/>
          <w:szCs w:val="24"/>
        </w:rPr>
        <w:t>/L</w:t>
      </w:r>
      <w:r>
        <w:rPr>
          <w:rFonts w:ascii="宋体" w:hAnsi="宋体" w:eastAsia="宋体" w:cs="宋体"/>
          <w:spacing w:val="3"/>
          <w:sz w:val="24"/>
          <w:szCs w:val="24"/>
        </w:rPr>
        <w:t>；</w:t>
      </w:r>
    </w:p>
    <w:p w14:paraId="3DE80574">
      <w:pPr>
        <w:spacing w:before="192" w:line="210" w:lineRule="auto"/>
        <w:ind w:left="488"/>
        <w:rPr>
          <w:rFonts w:ascii="宋体" w:hAnsi="宋体" w:eastAsia="宋体" w:cs="宋体"/>
          <w:sz w:val="24"/>
          <w:szCs w:val="24"/>
        </w:rPr>
      </w:pPr>
      <w:r>
        <w:rPr>
          <w:rFonts w:ascii="Times New Roman" w:hAnsi="Times New Roman" w:eastAsia="Times New Roman" w:cs="Times New Roman"/>
          <w:spacing w:val="-1"/>
          <w:sz w:val="24"/>
          <w:szCs w:val="24"/>
        </w:rPr>
        <w:t>Qh——</w:t>
      </w:r>
      <w:r>
        <w:rPr>
          <w:rFonts w:ascii="宋体" w:hAnsi="宋体" w:eastAsia="宋体" w:cs="宋体"/>
          <w:spacing w:val="-1"/>
          <w:sz w:val="24"/>
          <w:szCs w:val="24"/>
        </w:rPr>
        <w:t>河流流量</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/s</w:t>
      </w:r>
      <w:r>
        <w:rPr>
          <w:rFonts w:ascii="宋体" w:hAnsi="宋体" w:eastAsia="宋体" w:cs="宋体"/>
          <w:spacing w:val="-1"/>
          <w:sz w:val="24"/>
          <w:szCs w:val="24"/>
        </w:rPr>
        <w:t>；</w:t>
      </w:r>
    </w:p>
    <w:p w14:paraId="1462513F">
      <w:pPr>
        <w:spacing w:before="193" w:line="212" w:lineRule="auto"/>
        <w:ind w:left="489"/>
        <w:rPr>
          <w:rFonts w:ascii="宋体" w:hAnsi="宋体" w:eastAsia="宋体" w:cs="宋体"/>
          <w:sz w:val="24"/>
          <w:szCs w:val="24"/>
        </w:rPr>
      </w:pPr>
      <w:r>
        <w:rPr>
          <w:rFonts w:ascii="Times New Roman" w:hAnsi="Times New Roman" w:eastAsia="Times New Roman" w:cs="Times New Roman"/>
          <w:sz w:val="24"/>
          <w:szCs w:val="24"/>
        </w:rPr>
        <w:t>Cp</w:t>
      </w:r>
      <w:r>
        <w:rPr>
          <w:rFonts w:ascii="Times New Roman" w:hAnsi="Times New Roman" w:eastAsia="Times New Roman" w:cs="Times New Roman"/>
          <w:spacing w:val="3"/>
          <w:sz w:val="24"/>
          <w:szCs w:val="24"/>
        </w:rPr>
        <w:t>——</w:t>
      </w:r>
      <w:r>
        <w:rPr>
          <w:rFonts w:ascii="宋体" w:hAnsi="宋体" w:eastAsia="宋体" w:cs="宋体"/>
          <w:spacing w:val="3"/>
          <w:sz w:val="24"/>
          <w:szCs w:val="24"/>
        </w:rPr>
        <w:t>废水中污染物浓度</w:t>
      </w:r>
      <w:r>
        <w:rPr>
          <w:rFonts w:ascii="Times New Roman" w:hAnsi="Times New Roman" w:eastAsia="Times New Roman" w:cs="Times New Roman"/>
          <w:sz w:val="24"/>
          <w:szCs w:val="24"/>
        </w:rPr>
        <w:t>mg</w:t>
      </w:r>
      <w:r>
        <w:rPr>
          <w:rFonts w:ascii="Times New Roman" w:hAnsi="Times New Roman" w:eastAsia="Times New Roman" w:cs="Times New Roman"/>
          <w:spacing w:val="3"/>
          <w:sz w:val="24"/>
          <w:szCs w:val="24"/>
        </w:rPr>
        <w:t>/L</w:t>
      </w:r>
      <w:r>
        <w:rPr>
          <w:rFonts w:ascii="宋体" w:hAnsi="宋体" w:eastAsia="宋体" w:cs="宋体"/>
          <w:spacing w:val="3"/>
          <w:sz w:val="24"/>
          <w:szCs w:val="24"/>
        </w:rPr>
        <w:t>；</w:t>
      </w:r>
    </w:p>
    <w:p w14:paraId="36998EC3">
      <w:pPr>
        <w:spacing w:before="192" w:line="210" w:lineRule="auto"/>
        <w:ind w:left="488"/>
        <w:rPr>
          <w:rFonts w:ascii="宋体" w:hAnsi="宋体" w:eastAsia="宋体" w:cs="宋体"/>
          <w:sz w:val="24"/>
          <w:szCs w:val="24"/>
        </w:rPr>
      </w:pPr>
      <w:r>
        <w:rPr>
          <w:rFonts w:ascii="Times New Roman" w:hAnsi="Times New Roman" w:eastAsia="Times New Roman" w:cs="Times New Roman"/>
          <w:spacing w:val="-1"/>
          <w:sz w:val="24"/>
          <w:szCs w:val="24"/>
        </w:rPr>
        <w:t>Qp——</w:t>
      </w:r>
      <w:r>
        <w:rPr>
          <w:rFonts w:ascii="宋体" w:hAnsi="宋体" w:eastAsia="宋体" w:cs="宋体"/>
          <w:spacing w:val="-1"/>
          <w:sz w:val="24"/>
          <w:szCs w:val="24"/>
        </w:rPr>
        <w:t>废水排放量</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/s</w:t>
      </w:r>
      <w:r>
        <w:rPr>
          <w:rFonts w:ascii="宋体" w:hAnsi="宋体" w:eastAsia="宋体" w:cs="宋体"/>
          <w:spacing w:val="-1"/>
          <w:sz w:val="24"/>
          <w:szCs w:val="24"/>
        </w:rPr>
        <w:t>。</w:t>
      </w:r>
    </w:p>
    <w:p w14:paraId="0DC82CDA">
      <w:pPr>
        <w:spacing w:before="274" w:line="338" w:lineRule="auto"/>
        <w:ind w:left="32" w:right="174" w:firstLine="460"/>
        <w:rPr>
          <w:rFonts w:ascii="宋体" w:hAnsi="宋体" w:eastAsia="宋体" w:cs="宋体"/>
          <w:sz w:val="24"/>
          <w:szCs w:val="24"/>
        </w:rPr>
      </w:pPr>
      <w:r>
        <w:rPr>
          <w:rFonts w:ascii="宋体" w:hAnsi="宋体" w:eastAsia="宋体" w:cs="宋体"/>
          <w:sz w:val="24"/>
          <w:szCs w:val="24"/>
        </w:rPr>
        <w:t>混合过程段采用《环境影响评价技术导则地表水环境》（</w:t>
      </w:r>
      <w:r>
        <w:rPr>
          <w:rFonts w:ascii="Times New Roman" w:hAnsi="Times New Roman" w:eastAsia="Times New Roman" w:cs="Times New Roman"/>
          <w:sz w:val="24"/>
          <w:szCs w:val="24"/>
        </w:rPr>
        <w:t>HJ/T2.3-2018</w:t>
      </w:r>
      <w:r>
        <w:rPr>
          <w:rFonts w:ascii="宋体" w:hAnsi="宋体" w:eastAsia="宋体" w:cs="宋体"/>
          <w:sz w:val="24"/>
          <w:szCs w:val="24"/>
        </w:rPr>
        <w:t>）</w:t>
      </w:r>
      <w:r>
        <w:rPr>
          <w:rFonts w:ascii="宋体" w:hAnsi="宋体" w:eastAsia="宋体" w:cs="宋体"/>
          <w:spacing w:val="-3"/>
          <w:sz w:val="24"/>
          <w:szCs w:val="24"/>
        </w:rPr>
        <w:t>中公式计算，公式如下：</w:t>
      </w:r>
    </w:p>
    <w:p w14:paraId="64F946C6">
      <w:pPr>
        <w:spacing w:line="338" w:lineRule="auto"/>
        <w:rPr>
          <w:rFonts w:ascii="宋体" w:hAnsi="宋体" w:eastAsia="宋体" w:cs="宋体"/>
          <w:sz w:val="24"/>
          <w:szCs w:val="24"/>
        </w:rPr>
        <w:sectPr>
          <w:headerReference r:id="rId123" w:type="default"/>
          <w:footerReference r:id="rId124" w:type="default"/>
          <w:pgSz w:w="11907" w:h="16840"/>
          <w:pgMar w:top="1132" w:right="1699" w:bottom="1259" w:left="1701" w:header="829" w:footer="1097" w:gutter="0"/>
          <w:cols w:space="720" w:num="1"/>
        </w:sectPr>
      </w:pPr>
    </w:p>
    <w:p w14:paraId="20B33C15">
      <w:pPr>
        <w:pStyle w:val="2"/>
        <w:spacing w:line="281" w:lineRule="auto"/>
      </w:pPr>
    </w:p>
    <w:p w14:paraId="688C3AC2">
      <w:pPr>
        <w:spacing w:line="2990" w:lineRule="exact"/>
        <w:ind w:firstLine="372"/>
      </w:pPr>
      <w:r>
        <w:rPr>
          <w:position w:val="-59"/>
        </w:rPr>
        <w:drawing>
          <wp:inline distT="0" distB="0" distL="0" distR="0">
            <wp:extent cx="4987925" cy="189865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212"/>
                    <a:stretch>
                      <a:fillRect/>
                    </a:stretch>
                  </pic:blipFill>
                  <pic:spPr>
                    <a:xfrm>
                      <a:off x="0" y="0"/>
                      <a:ext cx="4988052" cy="1898904"/>
                    </a:xfrm>
                    <a:prstGeom prst="rect">
                      <a:avLst/>
                    </a:prstGeom>
                  </pic:spPr>
                </pic:pic>
              </a:graphicData>
            </a:graphic>
          </wp:inline>
        </w:drawing>
      </w:r>
    </w:p>
    <w:p w14:paraId="68A14EB3">
      <w:pPr>
        <w:spacing w:before="167" w:line="219" w:lineRule="auto"/>
        <w:ind w:left="131"/>
        <w:outlineLvl w:val="2"/>
        <w:rPr>
          <w:rFonts w:ascii="宋体" w:hAnsi="宋体" w:eastAsia="宋体" w:cs="宋体"/>
          <w:sz w:val="24"/>
          <w:szCs w:val="24"/>
        </w:rPr>
      </w:pPr>
      <w:r>
        <w:rPr>
          <w:rFonts w:ascii="Times New Roman" w:hAnsi="Times New Roman" w:eastAsia="Times New Roman" w:cs="Times New Roman"/>
          <w:b/>
          <w:bCs/>
          <w:spacing w:val="-2"/>
          <w:sz w:val="24"/>
          <w:szCs w:val="24"/>
        </w:rPr>
        <w:t>6.3.4</w:t>
      </w:r>
      <w:r>
        <w:rPr>
          <w:rFonts w:ascii="宋体" w:hAnsi="宋体" w:eastAsia="宋体" w:cs="宋体"/>
          <w:b/>
          <w:bCs/>
          <w:spacing w:val="-2"/>
          <w:sz w:val="24"/>
          <w:szCs w:val="24"/>
        </w:rPr>
        <w:t>预测参数</w:t>
      </w:r>
    </w:p>
    <w:p w14:paraId="5F23AB32">
      <w:pPr>
        <w:spacing w:before="183" w:line="331" w:lineRule="auto"/>
        <w:ind w:left="132" w:right="121"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）水文参数：根据《元木山电站竣工环保验</w:t>
      </w:r>
      <w:r>
        <w:rPr>
          <w:rFonts w:ascii="宋体" w:hAnsi="宋体" w:eastAsia="宋体" w:cs="宋体"/>
          <w:spacing w:val="-2"/>
          <w:sz w:val="24"/>
          <w:szCs w:val="24"/>
        </w:rPr>
        <w:t>收报告》及近</w:t>
      </w:r>
      <w:r>
        <w:rPr>
          <w:rFonts w:ascii="Times New Roman" w:hAnsi="Times New Roman" w:eastAsia="Times New Roman" w:cs="Times New Roman"/>
          <w:spacing w:val="-2"/>
          <w:sz w:val="24"/>
          <w:szCs w:val="24"/>
        </w:rPr>
        <w:t>3</w:t>
      </w:r>
      <w:r>
        <w:rPr>
          <w:rFonts w:ascii="宋体" w:hAnsi="宋体" w:eastAsia="宋体" w:cs="宋体"/>
          <w:spacing w:val="-2"/>
          <w:sz w:val="24"/>
          <w:szCs w:val="24"/>
        </w:rPr>
        <w:t>年调水记录可</w:t>
      </w:r>
      <w:r>
        <w:rPr>
          <w:rFonts w:ascii="宋体" w:hAnsi="宋体" w:eastAsia="宋体" w:cs="宋体"/>
          <w:spacing w:val="10"/>
          <w:sz w:val="24"/>
          <w:szCs w:val="24"/>
        </w:rPr>
        <w:t>知，元木山电站坝址处多年平均流量为</w:t>
      </w:r>
      <w:r>
        <w:rPr>
          <w:rFonts w:ascii="Times New Roman" w:hAnsi="Times New Roman" w:eastAsia="Times New Roman" w:cs="Times New Roman"/>
          <w:spacing w:val="10"/>
          <w:sz w:val="24"/>
          <w:szCs w:val="24"/>
        </w:rPr>
        <w:t>172.8m</w:t>
      </w:r>
      <w:r>
        <w:rPr>
          <w:rFonts w:ascii="Times New Roman" w:hAnsi="Times New Roman" w:eastAsia="Times New Roman" w:cs="Times New Roman"/>
          <w:spacing w:val="10"/>
          <w:position w:val="8"/>
          <w:sz w:val="15"/>
          <w:szCs w:val="15"/>
        </w:rPr>
        <w:t>3</w:t>
      </w:r>
      <w:r>
        <w:rPr>
          <w:rFonts w:ascii="Times New Roman" w:hAnsi="Times New Roman" w:eastAsia="Times New Roman" w:cs="Times New Roman"/>
          <w:spacing w:val="10"/>
          <w:sz w:val="24"/>
          <w:szCs w:val="24"/>
        </w:rPr>
        <w:t>/s</w:t>
      </w:r>
      <w:r>
        <w:rPr>
          <w:rFonts w:ascii="宋体" w:hAnsi="宋体" w:eastAsia="宋体" w:cs="宋体"/>
          <w:spacing w:val="10"/>
          <w:sz w:val="24"/>
          <w:szCs w:val="24"/>
        </w:rPr>
        <w:t>，历史枯水期月平均流量为</w:t>
      </w:r>
      <w:r>
        <w:rPr>
          <w:rFonts w:ascii="Times New Roman" w:hAnsi="Times New Roman" w:eastAsia="Times New Roman" w:cs="Times New Roman"/>
          <w:spacing w:val="-2"/>
          <w:sz w:val="24"/>
          <w:szCs w:val="24"/>
        </w:rPr>
        <w:t>66m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sz w:val="24"/>
          <w:szCs w:val="24"/>
        </w:rPr>
        <w:t>/s</w:t>
      </w:r>
      <w:r>
        <w:rPr>
          <w:rFonts w:ascii="宋体" w:hAnsi="宋体" w:eastAsia="宋体" w:cs="宋体"/>
          <w:spacing w:val="-2"/>
          <w:sz w:val="24"/>
          <w:szCs w:val="24"/>
        </w:rPr>
        <w:t>。近</w:t>
      </w:r>
      <w:r>
        <w:rPr>
          <w:rFonts w:ascii="Times New Roman" w:hAnsi="Times New Roman" w:eastAsia="Times New Roman" w:cs="Times New Roman"/>
          <w:spacing w:val="-2"/>
          <w:sz w:val="24"/>
          <w:szCs w:val="24"/>
        </w:rPr>
        <w:t>3</w:t>
      </w:r>
      <w:r>
        <w:rPr>
          <w:rFonts w:ascii="宋体" w:hAnsi="宋体" w:eastAsia="宋体" w:cs="宋体"/>
          <w:spacing w:val="-2"/>
          <w:sz w:val="24"/>
          <w:szCs w:val="24"/>
        </w:rPr>
        <w:t>年来电站调水泄水最小量为</w:t>
      </w:r>
      <w:r>
        <w:rPr>
          <w:rFonts w:ascii="Times New Roman" w:hAnsi="Times New Roman" w:eastAsia="Times New Roman" w:cs="Times New Roman"/>
          <w:spacing w:val="-2"/>
          <w:sz w:val="24"/>
          <w:szCs w:val="24"/>
        </w:rPr>
        <w:t>100m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sz w:val="24"/>
          <w:szCs w:val="24"/>
        </w:rPr>
        <w:t>/s</w:t>
      </w:r>
      <w:r>
        <w:rPr>
          <w:rFonts w:ascii="宋体" w:hAnsi="宋体" w:eastAsia="宋体" w:cs="宋体"/>
          <w:spacing w:val="-3"/>
          <w:sz w:val="24"/>
          <w:szCs w:val="24"/>
        </w:rPr>
        <w:t>，最大泄水量为</w:t>
      </w:r>
      <w:r>
        <w:rPr>
          <w:rFonts w:ascii="Times New Roman" w:hAnsi="Times New Roman" w:eastAsia="Times New Roman" w:cs="Times New Roman"/>
          <w:spacing w:val="-3"/>
          <w:sz w:val="24"/>
          <w:szCs w:val="24"/>
        </w:rPr>
        <w:t>2500m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sz w:val="24"/>
          <w:szCs w:val="24"/>
        </w:rPr>
        <w:t>/s</w:t>
      </w:r>
      <w:r>
        <w:rPr>
          <w:rFonts w:ascii="宋体" w:hAnsi="宋体" w:eastAsia="宋体" w:cs="宋体"/>
          <w:spacing w:val="-3"/>
          <w:sz w:val="24"/>
          <w:szCs w:val="24"/>
        </w:rPr>
        <w:t>，生态</w:t>
      </w:r>
      <w:r>
        <w:rPr>
          <w:rFonts w:ascii="宋体" w:hAnsi="宋体" w:eastAsia="宋体" w:cs="宋体"/>
          <w:spacing w:val="1"/>
          <w:sz w:val="24"/>
          <w:szCs w:val="24"/>
        </w:rPr>
        <w:t>基流量为</w:t>
      </w:r>
      <w:r>
        <w:rPr>
          <w:rFonts w:ascii="Times New Roman" w:hAnsi="Times New Roman" w:eastAsia="Times New Roman" w:cs="Times New Roman"/>
          <w:spacing w:val="1"/>
          <w:sz w:val="24"/>
          <w:szCs w:val="24"/>
        </w:rPr>
        <w:t>18m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4"/>
          <w:szCs w:val="24"/>
        </w:rPr>
        <w:t>/s</w:t>
      </w:r>
      <w:r>
        <w:rPr>
          <w:rFonts w:ascii="宋体" w:hAnsi="宋体" w:eastAsia="宋体" w:cs="宋体"/>
          <w:spacing w:val="1"/>
          <w:sz w:val="24"/>
          <w:szCs w:val="24"/>
        </w:rPr>
        <w:t>。本次预测取枯水期流量及生态基流量</w:t>
      </w:r>
      <w:r>
        <w:rPr>
          <w:rFonts w:ascii="宋体" w:hAnsi="宋体" w:eastAsia="宋体" w:cs="宋体"/>
          <w:sz w:val="24"/>
          <w:szCs w:val="24"/>
        </w:rPr>
        <w:t>为预测参数。具体水文参</w:t>
      </w:r>
      <w:r>
        <w:rPr>
          <w:rFonts w:ascii="宋体" w:hAnsi="宋体" w:eastAsia="宋体" w:cs="宋体"/>
          <w:spacing w:val="-2"/>
          <w:sz w:val="24"/>
          <w:szCs w:val="24"/>
        </w:rPr>
        <w:t>数选取见表</w:t>
      </w:r>
      <w:r>
        <w:rPr>
          <w:rFonts w:ascii="Times New Roman" w:hAnsi="Times New Roman" w:eastAsia="Times New Roman" w:cs="Times New Roman"/>
          <w:spacing w:val="-2"/>
          <w:sz w:val="24"/>
          <w:szCs w:val="24"/>
        </w:rPr>
        <w:t>6.3-1</w:t>
      </w:r>
      <w:r>
        <w:rPr>
          <w:rFonts w:ascii="宋体" w:hAnsi="宋体" w:eastAsia="宋体" w:cs="宋体"/>
          <w:spacing w:val="-2"/>
          <w:sz w:val="24"/>
          <w:szCs w:val="24"/>
        </w:rPr>
        <w:t>。</w:t>
      </w:r>
    </w:p>
    <w:p w14:paraId="4268B64B">
      <w:pPr>
        <w:spacing w:before="178" w:line="330" w:lineRule="auto"/>
        <w:ind w:left="120" w:right="24" w:firstLine="503"/>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w:t>
      </w:r>
      <w:r>
        <w:rPr>
          <w:rFonts w:ascii="Times New Roman" w:hAnsi="Times New Roman" w:eastAsia="Times New Roman" w:cs="Times New Roman"/>
          <w:spacing w:val="-6"/>
          <w:sz w:val="24"/>
          <w:szCs w:val="24"/>
        </w:rPr>
        <w:t>COD</w:t>
      </w:r>
      <w:r>
        <w:rPr>
          <w:rFonts w:ascii="宋体" w:hAnsi="宋体" w:eastAsia="宋体" w:cs="宋体"/>
          <w:spacing w:val="-6"/>
          <w:sz w:val="24"/>
          <w:szCs w:val="24"/>
        </w:rPr>
        <w:t>、氨氮排放源强：本项目新增污水排放量为</w:t>
      </w:r>
      <w:r>
        <w:rPr>
          <w:rFonts w:ascii="Times New Roman" w:hAnsi="Times New Roman" w:eastAsia="Times New Roman" w:cs="Times New Roman"/>
          <w:spacing w:val="-6"/>
          <w:sz w:val="24"/>
          <w:szCs w:val="24"/>
        </w:rPr>
        <w:t>15000m</w:t>
      </w:r>
      <w:r>
        <w:rPr>
          <w:rFonts w:ascii="Times New Roman" w:hAnsi="Times New Roman" w:eastAsia="Times New Roman" w:cs="Times New Roman"/>
          <w:spacing w:val="-6"/>
          <w:position w:val="7"/>
          <w:sz w:val="15"/>
          <w:szCs w:val="15"/>
        </w:rPr>
        <w:t>3</w:t>
      </w:r>
      <w:r>
        <w:rPr>
          <w:rFonts w:ascii="Times New Roman" w:hAnsi="Times New Roman" w:eastAsia="Times New Roman" w:cs="Times New Roman"/>
          <w:spacing w:val="-6"/>
          <w:sz w:val="24"/>
          <w:szCs w:val="24"/>
        </w:rPr>
        <w:t>/d</w:t>
      </w:r>
      <w:r>
        <w:rPr>
          <w:rFonts w:ascii="宋体" w:hAnsi="宋体" w:eastAsia="宋体" w:cs="宋体"/>
          <w:spacing w:val="-6"/>
          <w:sz w:val="24"/>
          <w:szCs w:val="24"/>
        </w:rPr>
        <w:t>（</w:t>
      </w:r>
      <w:r>
        <w:rPr>
          <w:rFonts w:ascii="Times New Roman" w:hAnsi="Times New Roman" w:eastAsia="Times New Roman" w:cs="Times New Roman"/>
          <w:spacing w:val="-6"/>
          <w:sz w:val="24"/>
          <w:szCs w:val="24"/>
        </w:rPr>
        <w:t>0</w:t>
      </w:r>
      <w:r>
        <w:rPr>
          <w:rFonts w:ascii="Times New Roman" w:hAnsi="Times New Roman" w:eastAsia="Times New Roman" w:cs="Times New Roman"/>
          <w:spacing w:val="-7"/>
          <w:sz w:val="24"/>
          <w:szCs w:val="24"/>
        </w:rPr>
        <w:t>.174m</w:t>
      </w:r>
      <w:r>
        <w:rPr>
          <w:rFonts w:ascii="Times New Roman" w:hAnsi="Times New Roman" w:eastAsia="Times New Roman" w:cs="Times New Roman"/>
          <w:spacing w:val="-7"/>
          <w:position w:val="7"/>
          <w:sz w:val="15"/>
          <w:szCs w:val="15"/>
        </w:rPr>
        <w:t>3</w:t>
      </w:r>
      <w:r>
        <w:rPr>
          <w:rFonts w:ascii="Times New Roman" w:hAnsi="Times New Roman" w:eastAsia="Times New Roman" w:cs="Times New Roman"/>
          <w:spacing w:val="-7"/>
          <w:sz w:val="24"/>
          <w:szCs w:val="24"/>
        </w:rPr>
        <w:t>/s</w:t>
      </w:r>
      <w:r>
        <w:rPr>
          <w:rFonts w:ascii="宋体" w:hAnsi="宋体" w:eastAsia="宋体" w:cs="宋体"/>
          <w:spacing w:val="-60"/>
          <w:w w:val="95"/>
          <w:sz w:val="24"/>
          <w:szCs w:val="24"/>
        </w:rPr>
        <w:t>），</w:t>
      </w:r>
      <w:r>
        <w:rPr>
          <w:rFonts w:ascii="Times New Roman" w:hAnsi="Times New Roman" w:eastAsia="Times New Roman" w:cs="Times New Roman"/>
          <w:spacing w:val="-3"/>
          <w:sz w:val="24"/>
          <w:szCs w:val="24"/>
        </w:rPr>
        <w:t>COD</w:t>
      </w:r>
      <w:r>
        <w:rPr>
          <w:rFonts w:ascii="宋体" w:hAnsi="宋体" w:eastAsia="宋体" w:cs="宋体"/>
          <w:spacing w:val="-3"/>
          <w:sz w:val="24"/>
          <w:szCs w:val="24"/>
        </w:rPr>
        <w:t>、</w:t>
      </w:r>
      <w:r>
        <w:rPr>
          <w:rFonts w:ascii="Times New Roman" w:hAnsi="Times New Roman" w:eastAsia="Times New Roman" w:cs="Times New Roman"/>
          <w:spacing w:val="-3"/>
          <w:sz w:val="24"/>
          <w:szCs w:val="24"/>
        </w:rPr>
        <w:t>NH</w:t>
      </w:r>
      <w:r>
        <w:rPr>
          <w:rFonts w:ascii="Times New Roman" w:hAnsi="Times New Roman" w:eastAsia="Times New Roman" w:cs="Times New Roman"/>
          <w:spacing w:val="-3"/>
          <w:sz w:val="15"/>
          <w:szCs w:val="15"/>
        </w:rPr>
        <w:t>3</w:t>
      </w:r>
      <w:r>
        <w:rPr>
          <w:rFonts w:ascii="Times New Roman" w:hAnsi="Times New Roman" w:eastAsia="Times New Roman" w:cs="Times New Roman"/>
          <w:spacing w:val="-3"/>
          <w:sz w:val="24"/>
          <w:szCs w:val="24"/>
        </w:rPr>
        <w:t>-N</w:t>
      </w:r>
      <w:r>
        <w:rPr>
          <w:rFonts w:ascii="宋体" w:hAnsi="宋体" w:eastAsia="宋体" w:cs="宋体"/>
          <w:spacing w:val="-3"/>
          <w:sz w:val="24"/>
          <w:szCs w:val="24"/>
        </w:rPr>
        <w:t>排放标准执行《城镇污水处理厂污染物排放标准》（</w:t>
      </w:r>
      <w:r>
        <w:rPr>
          <w:rFonts w:ascii="Times New Roman" w:hAnsi="Times New Roman" w:eastAsia="Times New Roman" w:cs="Times New Roman"/>
          <w:spacing w:val="-3"/>
          <w:sz w:val="24"/>
          <w:szCs w:val="24"/>
        </w:rPr>
        <w:t>GB18918-2002</w:t>
      </w:r>
      <w:r>
        <w:rPr>
          <w:rFonts w:ascii="宋体" w:hAnsi="宋体" w:eastAsia="宋体" w:cs="宋体"/>
          <w:spacing w:val="-3"/>
          <w:sz w:val="24"/>
          <w:szCs w:val="24"/>
        </w:rPr>
        <w:t>）</w:t>
      </w:r>
      <w:r>
        <w:rPr>
          <w:rFonts w:ascii="宋体" w:hAnsi="宋体" w:eastAsia="宋体" w:cs="宋体"/>
          <w:spacing w:val="-6"/>
          <w:sz w:val="24"/>
          <w:szCs w:val="24"/>
        </w:rPr>
        <w:t>一级</w:t>
      </w:r>
      <w:r>
        <w:rPr>
          <w:rFonts w:ascii="Times New Roman" w:hAnsi="Times New Roman" w:eastAsia="Times New Roman" w:cs="Times New Roman"/>
          <w:spacing w:val="-6"/>
          <w:sz w:val="24"/>
          <w:szCs w:val="24"/>
        </w:rPr>
        <w:t>A</w:t>
      </w:r>
      <w:r>
        <w:rPr>
          <w:rFonts w:ascii="宋体" w:hAnsi="宋体" w:eastAsia="宋体" w:cs="宋体"/>
          <w:spacing w:val="-6"/>
          <w:sz w:val="24"/>
          <w:szCs w:val="24"/>
        </w:rPr>
        <w:t>标准，本次预测浓度取标准限值，即</w:t>
      </w:r>
      <w:r>
        <w:rPr>
          <w:rFonts w:ascii="Times New Roman" w:hAnsi="Times New Roman" w:eastAsia="Times New Roman" w:cs="Times New Roman"/>
          <w:spacing w:val="-6"/>
          <w:sz w:val="24"/>
          <w:szCs w:val="24"/>
        </w:rPr>
        <w:t>COD50mg/L</w:t>
      </w:r>
      <w:r>
        <w:rPr>
          <w:rFonts w:ascii="宋体" w:hAnsi="宋体" w:eastAsia="宋体" w:cs="宋体"/>
          <w:spacing w:val="-6"/>
          <w:sz w:val="24"/>
          <w:szCs w:val="24"/>
        </w:rPr>
        <w:t>（</w:t>
      </w:r>
      <w:r>
        <w:rPr>
          <w:rFonts w:ascii="Times New Roman" w:hAnsi="Times New Roman" w:eastAsia="Times New Roman" w:cs="Times New Roman"/>
          <w:spacing w:val="-6"/>
          <w:sz w:val="24"/>
          <w:szCs w:val="24"/>
        </w:rPr>
        <w:t>14</w:t>
      </w:r>
      <w:r>
        <w:rPr>
          <w:rFonts w:ascii="Times New Roman" w:hAnsi="Times New Roman" w:eastAsia="Times New Roman" w:cs="Times New Roman"/>
          <w:spacing w:val="-7"/>
          <w:sz w:val="24"/>
          <w:szCs w:val="24"/>
        </w:rPr>
        <w:t>.5g/s</w:t>
      </w:r>
      <w:r>
        <w:rPr>
          <w:rFonts w:ascii="宋体" w:hAnsi="宋体" w:eastAsia="宋体" w:cs="宋体"/>
          <w:spacing w:val="-7"/>
          <w:sz w:val="24"/>
          <w:szCs w:val="24"/>
        </w:rPr>
        <w:t>）、</w:t>
      </w:r>
      <w:r>
        <w:rPr>
          <w:rFonts w:ascii="Times New Roman" w:hAnsi="Times New Roman" w:eastAsia="Times New Roman" w:cs="Times New Roman"/>
          <w:spacing w:val="-7"/>
          <w:sz w:val="24"/>
          <w:szCs w:val="24"/>
        </w:rPr>
        <w:t>NH</w:t>
      </w:r>
      <w:r>
        <w:rPr>
          <w:rFonts w:ascii="Times New Roman" w:hAnsi="Times New Roman" w:eastAsia="Times New Roman" w:cs="Times New Roman"/>
          <w:spacing w:val="-7"/>
          <w:sz w:val="15"/>
          <w:szCs w:val="15"/>
        </w:rPr>
        <w:t>3</w:t>
      </w:r>
      <w:r>
        <w:rPr>
          <w:rFonts w:ascii="Times New Roman" w:hAnsi="Times New Roman" w:eastAsia="Times New Roman" w:cs="Times New Roman"/>
          <w:spacing w:val="-7"/>
          <w:sz w:val="24"/>
          <w:szCs w:val="24"/>
        </w:rPr>
        <w:t>-N5mg/L</w:t>
      </w:r>
      <w:r>
        <w:rPr>
          <w:rFonts w:ascii="宋体" w:hAnsi="宋体" w:eastAsia="宋体" w:cs="宋体"/>
          <w:spacing w:val="2"/>
          <w:sz w:val="24"/>
          <w:szCs w:val="24"/>
        </w:rPr>
        <w:t>（</w:t>
      </w:r>
      <w:r>
        <w:rPr>
          <w:rFonts w:ascii="Times New Roman" w:hAnsi="Times New Roman" w:eastAsia="Times New Roman" w:cs="Times New Roman"/>
          <w:spacing w:val="2"/>
          <w:sz w:val="24"/>
          <w:szCs w:val="24"/>
        </w:rPr>
        <w:t>0.87g/s</w:t>
      </w:r>
      <w:r>
        <w:rPr>
          <w:rFonts w:ascii="宋体" w:hAnsi="宋体" w:eastAsia="宋体" w:cs="宋体"/>
          <w:spacing w:val="19"/>
          <w:sz w:val="24"/>
          <w:szCs w:val="24"/>
        </w:rPr>
        <w:t>）；</w:t>
      </w:r>
      <w:r>
        <w:rPr>
          <w:rFonts w:ascii="宋体" w:hAnsi="宋体" w:eastAsia="宋体" w:cs="宋体"/>
          <w:spacing w:val="2"/>
          <w:sz w:val="24"/>
          <w:szCs w:val="24"/>
        </w:rPr>
        <w:t>事故情况下按污水厂设计进水浓度，即</w:t>
      </w:r>
      <w:r>
        <w:rPr>
          <w:rFonts w:ascii="Times New Roman" w:hAnsi="Times New Roman" w:eastAsia="Times New Roman" w:cs="Times New Roman"/>
          <w:sz w:val="24"/>
          <w:szCs w:val="24"/>
        </w:rPr>
        <w:t>COD</w:t>
      </w:r>
      <w:r>
        <w:rPr>
          <w:rFonts w:ascii="Times New Roman" w:hAnsi="Times New Roman" w:eastAsia="Times New Roman" w:cs="Times New Roman"/>
          <w:spacing w:val="2"/>
          <w:sz w:val="24"/>
          <w:szCs w:val="24"/>
        </w:rPr>
        <w:t>450</w:t>
      </w:r>
      <w:r>
        <w:rPr>
          <w:rFonts w:ascii="Times New Roman" w:hAnsi="Times New Roman" w:eastAsia="Times New Roman" w:cs="Times New Roman"/>
          <w:sz w:val="24"/>
          <w:szCs w:val="24"/>
        </w:rPr>
        <w:t>mg</w:t>
      </w:r>
      <w:r>
        <w:rPr>
          <w:rFonts w:ascii="Times New Roman" w:hAnsi="Times New Roman" w:eastAsia="Times New Roman" w:cs="Times New Roman"/>
          <w:spacing w:val="2"/>
          <w:sz w:val="24"/>
          <w:szCs w:val="24"/>
        </w:rPr>
        <w:t>/L</w:t>
      </w:r>
      <w:r>
        <w:rPr>
          <w:rFonts w:ascii="宋体" w:hAnsi="宋体" w:eastAsia="宋体" w:cs="宋体"/>
          <w:spacing w:val="2"/>
          <w:sz w:val="24"/>
          <w:szCs w:val="24"/>
        </w:rPr>
        <w:t>（</w:t>
      </w:r>
      <w:r>
        <w:rPr>
          <w:rFonts w:ascii="Times New Roman" w:hAnsi="Times New Roman" w:eastAsia="Times New Roman" w:cs="Times New Roman"/>
          <w:spacing w:val="2"/>
          <w:sz w:val="24"/>
          <w:szCs w:val="24"/>
        </w:rPr>
        <w:t>78.3g/s</w:t>
      </w:r>
      <w:r>
        <w:rPr>
          <w:rFonts w:ascii="宋体" w:hAnsi="宋体" w:eastAsia="宋体" w:cs="宋体"/>
          <w:spacing w:val="19"/>
          <w:sz w:val="24"/>
          <w:szCs w:val="24"/>
        </w:rPr>
        <w:t>），</w:t>
      </w:r>
      <w:r>
        <w:rPr>
          <w:rFonts w:ascii="Times New Roman" w:hAnsi="Times New Roman" w:eastAsia="Times New Roman" w:cs="Times New Roman"/>
          <w:sz w:val="24"/>
          <w:szCs w:val="24"/>
        </w:rPr>
        <w:t>NH</w:t>
      </w:r>
      <w:r>
        <w:rPr>
          <w:rFonts w:ascii="Times New Roman" w:hAnsi="Times New Roman" w:eastAsia="Times New Roman" w:cs="Times New Roman"/>
          <w:sz w:val="15"/>
          <w:szCs w:val="15"/>
        </w:rPr>
        <w:t>3</w:t>
      </w:r>
      <w:r>
        <w:rPr>
          <w:rFonts w:ascii="Times New Roman" w:hAnsi="Times New Roman" w:eastAsia="Times New Roman" w:cs="Times New Roman"/>
          <w:sz w:val="24"/>
          <w:szCs w:val="24"/>
        </w:rPr>
        <w:t>-N45mg/L</w:t>
      </w:r>
      <w:r>
        <w:rPr>
          <w:rFonts w:ascii="宋体" w:hAnsi="宋体" w:eastAsia="宋体" w:cs="宋体"/>
          <w:sz w:val="24"/>
          <w:szCs w:val="24"/>
        </w:rPr>
        <w:t>（</w:t>
      </w:r>
      <w:r>
        <w:rPr>
          <w:rFonts w:ascii="Times New Roman" w:hAnsi="Times New Roman" w:eastAsia="Times New Roman" w:cs="Times New Roman"/>
          <w:sz w:val="24"/>
          <w:szCs w:val="24"/>
        </w:rPr>
        <w:t>7.83g/s</w:t>
      </w:r>
      <w:r>
        <w:rPr>
          <w:rFonts w:ascii="宋体" w:hAnsi="宋体" w:eastAsia="宋体" w:cs="宋体"/>
          <w:sz w:val="24"/>
          <w:szCs w:val="24"/>
        </w:rPr>
        <w:t>）。</w:t>
      </w:r>
    </w:p>
    <w:p w14:paraId="0E344A32">
      <w:pPr>
        <w:spacing w:before="192" w:line="219" w:lineRule="auto"/>
        <w:ind w:left="62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）横向混合系数</w:t>
      </w:r>
      <w:r>
        <w:rPr>
          <w:rFonts w:ascii="Times New Roman" w:hAnsi="Times New Roman" w:eastAsia="Times New Roman" w:cs="Times New Roman"/>
          <w:spacing w:val="-2"/>
          <w:sz w:val="24"/>
          <w:szCs w:val="24"/>
        </w:rPr>
        <w:t>M</w:t>
      </w:r>
      <w:r>
        <w:rPr>
          <w:rFonts w:ascii="宋体" w:hAnsi="宋体" w:eastAsia="宋体" w:cs="宋体"/>
          <w:spacing w:val="-2"/>
          <w:sz w:val="24"/>
          <w:szCs w:val="24"/>
        </w:rPr>
        <w:t>和耗氧系数的确定：</w:t>
      </w:r>
    </w:p>
    <w:p w14:paraId="5875F17E">
      <w:pPr>
        <w:spacing w:before="181" w:line="212" w:lineRule="auto"/>
        <w:ind w:left="611"/>
        <w:rPr>
          <w:rFonts w:ascii="宋体" w:hAnsi="宋体" w:eastAsia="宋体" w:cs="宋体"/>
          <w:sz w:val="24"/>
          <w:szCs w:val="24"/>
        </w:rPr>
      </w:pPr>
      <w:r>
        <w:rPr>
          <w:rFonts w:ascii="宋体" w:hAnsi="宋体" w:eastAsia="宋体" w:cs="宋体"/>
          <w:spacing w:val="-1"/>
          <w:sz w:val="24"/>
          <w:szCs w:val="24"/>
        </w:rPr>
        <w:t>横向扩散系数</w:t>
      </w:r>
      <w:r>
        <w:rPr>
          <w:rFonts w:ascii="Times New Roman" w:hAnsi="Times New Roman" w:eastAsia="Times New Roman" w:cs="Times New Roman"/>
          <w:spacing w:val="-1"/>
          <w:sz w:val="24"/>
          <w:szCs w:val="24"/>
        </w:rPr>
        <w:t>My</w:t>
      </w:r>
      <w:r>
        <w:rPr>
          <w:rFonts w:ascii="宋体" w:hAnsi="宋体" w:eastAsia="宋体" w:cs="宋体"/>
          <w:spacing w:val="-1"/>
          <w:sz w:val="24"/>
          <w:szCs w:val="24"/>
        </w:rPr>
        <w:t>采用泰勒法估算，其经验公式如下：</w:t>
      </w:r>
    </w:p>
    <w:p w14:paraId="02915B50">
      <w:pPr>
        <w:spacing w:before="149" w:line="323" w:lineRule="exact"/>
        <w:ind w:left="607"/>
        <w:rPr>
          <w:rFonts w:ascii="Times New Roman" w:hAnsi="Times New Roman" w:eastAsia="Times New Roman" w:cs="Times New Roman"/>
          <w:sz w:val="15"/>
          <w:szCs w:val="15"/>
        </w:rPr>
      </w:pPr>
      <w:r>
        <w:rPr>
          <w:rFonts w:ascii="Times New Roman" w:hAnsi="Times New Roman" w:eastAsia="Times New Roman" w:cs="Times New Roman"/>
          <w:position w:val="3"/>
          <w:sz w:val="24"/>
          <w:szCs w:val="24"/>
        </w:rPr>
        <w:t>M</w:t>
      </w:r>
      <w:r>
        <w:rPr>
          <w:rFonts w:ascii="Times New Roman" w:hAnsi="Times New Roman" w:eastAsia="Times New Roman" w:cs="Times New Roman"/>
          <w:position w:val="1"/>
          <w:sz w:val="15"/>
          <w:szCs w:val="15"/>
        </w:rPr>
        <w:t>y</w:t>
      </w:r>
      <w:r>
        <w:rPr>
          <w:rFonts w:ascii="Times New Roman" w:hAnsi="Times New Roman" w:eastAsia="Times New Roman" w:cs="Times New Roman"/>
          <w:spacing w:val="1"/>
          <w:position w:val="3"/>
          <w:sz w:val="24"/>
          <w:szCs w:val="24"/>
        </w:rPr>
        <w:t>=</w:t>
      </w:r>
      <w:r>
        <w:rPr>
          <w:rFonts w:ascii="宋体" w:hAnsi="宋体" w:eastAsia="宋体" w:cs="宋体"/>
          <w:spacing w:val="1"/>
          <w:position w:val="3"/>
          <w:sz w:val="24"/>
          <w:szCs w:val="24"/>
        </w:rPr>
        <w:t>（</w:t>
      </w:r>
      <w:r>
        <w:rPr>
          <w:rFonts w:ascii="Times New Roman" w:hAnsi="Times New Roman" w:eastAsia="Times New Roman" w:cs="Times New Roman"/>
          <w:spacing w:val="1"/>
          <w:position w:val="3"/>
          <w:sz w:val="24"/>
          <w:szCs w:val="24"/>
        </w:rPr>
        <w:t>0.058H+0.0065B</w:t>
      </w:r>
      <w:r>
        <w:rPr>
          <w:rFonts w:ascii="宋体" w:hAnsi="宋体" w:eastAsia="宋体" w:cs="宋体"/>
          <w:spacing w:val="-8"/>
          <w:position w:val="3"/>
          <w:sz w:val="24"/>
          <w:szCs w:val="24"/>
        </w:rPr>
        <w:t>）（</w:t>
      </w:r>
      <w:r>
        <w:rPr>
          <w:rFonts w:ascii="Times New Roman" w:hAnsi="Times New Roman" w:eastAsia="Times New Roman" w:cs="Times New Roman"/>
          <w:position w:val="3"/>
          <w:sz w:val="24"/>
          <w:szCs w:val="24"/>
        </w:rPr>
        <w:t>gHI</w:t>
      </w:r>
      <w:r>
        <w:rPr>
          <w:rFonts w:ascii="宋体" w:hAnsi="宋体" w:eastAsia="宋体" w:cs="宋体"/>
          <w:spacing w:val="1"/>
          <w:position w:val="3"/>
          <w:sz w:val="24"/>
          <w:szCs w:val="24"/>
        </w:rPr>
        <w:t>）</w:t>
      </w:r>
      <w:r>
        <w:rPr>
          <w:rFonts w:ascii="Times New Roman" w:hAnsi="Times New Roman" w:eastAsia="Times New Roman" w:cs="Times New Roman"/>
          <w:spacing w:val="1"/>
          <w:position w:val="10"/>
          <w:sz w:val="15"/>
          <w:szCs w:val="15"/>
        </w:rPr>
        <w:t>1/2</w:t>
      </w:r>
    </w:p>
    <w:p w14:paraId="59716956">
      <w:pPr>
        <w:spacing w:before="189" w:line="219" w:lineRule="auto"/>
        <w:ind w:left="617"/>
        <w:rPr>
          <w:rFonts w:ascii="宋体" w:hAnsi="宋体" w:eastAsia="宋体" w:cs="宋体"/>
          <w:sz w:val="24"/>
          <w:szCs w:val="24"/>
        </w:rPr>
      </w:pPr>
      <w:r>
        <w:rPr>
          <w:rFonts w:ascii="宋体" w:hAnsi="宋体" w:eastAsia="宋体" w:cs="宋体"/>
          <w:spacing w:val="-3"/>
          <w:sz w:val="24"/>
          <w:szCs w:val="24"/>
        </w:rPr>
        <w:t>式中</w:t>
      </w:r>
      <w:r>
        <w:rPr>
          <w:rFonts w:ascii="Times New Roman" w:hAnsi="Times New Roman" w:eastAsia="Times New Roman" w:cs="Times New Roman"/>
          <w:spacing w:val="-3"/>
          <w:sz w:val="24"/>
          <w:szCs w:val="24"/>
        </w:rPr>
        <w:t>H</w:t>
      </w:r>
      <w:r>
        <w:rPr>
          <w:rFonts w:ascii="宋体" w:hAnsi="宋体" w:eastAsia="宋体" w:cs="宋体"/>
          <w:spacing w:val="-3"/>
          <w:sz w:val="24"/>
          <w:szCs w:val="24"/>
        </w:rPr>
        <w:t>、</w:t>
      </w:r>
      <w:r>
        <w:rPr>
          <w:rFonts w:ascii="Times New Roman" w:hAnsi="Times New Roman" w:eastAsia="Times New Roman" w:cs="Times New Roman"/>
          <w:spacing w:val="-3"/>
          <w:sz w:val="24"/>
          <w:szCs w:val="24"/>
        </w:rPr>
        <w:t>B</w:t>
      </w:r>
      <w:r>
        <w:rPr>
          <w:rFonts w:ascii="宋体" w:hAnsi="宋体" w:eastAsia="宋体" w:cs="宋体"/>
          <w:spacing w:val="-3"/>
          <w:sz w:val="24"/>
          <w:szCs w:val="24"/>
        </w:rPr>
        <w:t>、</w:t>
      </w:r>
      <w:r>
        <w:rPr>
          <w:rFonts w:ascii="Times New Roman" w:hAnsi="Times New Roman" w:eastAsia="Times New Roman" w:cs="Times New Roman"/>
          <w:spacing w:val="-3"/>
          <w:sz w:val="24"/>
          <w:szCs w:val="24"/>
        </w:rPr>
        <w:t>I</w:t>
      </w:r>
      <w:r>
        <w:rPr>
          <w:rFonts w:ascii="宋体" w:hAnsi="宋体" w:eastAsia="宋体" w:cs="宋体"/>
          <w:spacing w:val="-3"/>
          <w:sz w:val="24"/>
          <w:szCs w:val="24"/>
        </w:rPr>
        <w:t>分别表示平均水深、水面宽度、水面比降。</w:t>
      </w:r>
    </w:p>
    <w:p w14:paraId="042F483A">
      <w:pPr>
        <w:spacing w:before="181" w:line="360" w:lineRule="auto"/>
        <w:ind w:left="133" w:right="84" w:firstLine="490"/>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4</w:t>
      </w:r>
      <w:r>
        <w:rPr>
          <w:rFonts w:ascii="宋体" w:hAnsi="宋体" w:eastAsia="宋体" w:cs="宋体"/>
          <w:spacing w:val="-5"/>
          <w:sz w:val="24"/>
          <w:szCs w:val="24"/>
        </w:rPr>
        <w:t>）背景水质状况：根据省控赧水河隆回县元木山断面</w:t>
      </w:r>
      <w:r>
        <w:rPr>
          <w:rFonts w:ascii="Times New Roman" w:hAnsi="Times New Roman" w:eastAsia="Times New Roman" w:cs="Times New Roman"/>
          <w:spacing w:val="-5"/>
          <w:sz w:val="24"/>
          <w:szCs w:val="24"/>
        </w:rPr>
        <w:t>202</w:t>
      </w:r>
      <w:r>
        <w:rPr>
          <w:rFonts w:ascii="Times New Roman" w:hAnsi="Times New Roman" w:eastAsia="Times New Roman" w:cs="Times New Roman"/>
          <w:spacing w:val="-6"/>
          <w:sz w:val="24"/>
          <w:szCs w:val="24"/>
        </w:rPr>
        <w:t>4</w:t>
      </w:r>
      <w:r>
        <w:rPr>
          <w:rFonts w:ascii="宋体" w:hAnsi="宋体" w:eastAsia="宋体" w:cs="宋体"/>
          <w:spacing w:val="-6"/>
          <w:sz w:val="24"/>
          <w:szCs w:val="24"/>
        </w:rPr>
        <w:t>年</w:t>
      </w:r>
      <w:r>
        <w:rPr>
          <w:rFonts w:ascii="Times New Roman" w:hAnsi="Times New Roman" w:eastAsia="Times New Roman" w:cs="Times New Roman"/>
          <w:spacing w:val="-6"/>
          <w:sz w:val="24"/>
          <w:szCs w:val="24"/>
        </w:rPr>
        <w:t>1</w:t>
      </w:r>
      <w:r>
        <w:rPr>
          <w:rFonts w:ascii="宋体" w:hAnsi="宋体" w:eastAsia="宋体" w:cs="宋体"/>
          <w:spacing w:val="-6"/>
          <w:sz w:val="24"/>
          <w:szCs w:val="24"/>
        </w:rPr>
        <w:t>月</w:t>
      </w:r>
      <w:r>
        <w:rPr>
          <w:rFonts w:ascii="Times New Roman" w:hAnsi="Times New Roman" w:eastAsia="Times New Roman" w:cs="Times New Roman"/>
          <w:spacing w:val="-6"/>
          <w:sz w:val="24"/>
          <w:szCs w:val="24"/>
        </w:rPr>
        <w:t>~12</w:t>
      </w:r>
      <w:r>
        <w:rPr>
          <w:rFonts w:ascii="宋体" w:hAnsi="宋体" w:eastAsia="宋体" w:cs="宋体"/>
          <w:spacing w:val="-6"/>
          <w:sz w:val="24"/>
          <w:szCs w:val="24"/>
        </w:rPr>
        <w:t>月常</w:t>
      </w:r>
      <w:r>
        <w:rPr>
          <w:rFonts w:ascii="宋体" w:hAnsi="宋体" w:eastAsia="宋体" w:cs="宋体"/>
          <w:spacing w:val="-2"/>
          <w:sz w:val="24"/>
          <w:szCs w:val="24"/>
        </w:rPr>
        <w:t>规监测数据的平均值，</w:t>
      </w:r>
      <w:r>
        <w:rPr>
          <w:rFonts w:ascii="Times New Roman" w:hAnsi="Times New Roman" w:eastAsia="Times New Roman" w:cs="Times New Roman"/>
          <w:spacing w:val="-2"/>
          <w:sz w:val="24"/>
          <w:szCs w:val="24"/>
        </w:rPr>
        <w:t>COD</w:t>
      </w:r>
      <w:r>
        <w:rPr>
          <w:rFonts w:ascii="宋体" w:hAnsi="宋体" w:eastAsia="宋体" w:cs="宋体"/>
          <w:spacing w:val="-2"/>
          <w:sz w:val="24"/>
          <w:szCs w:val="24"/>
        </w:rPr>
        <w:t>平均浓度为</w:t>
      </w:r>
      <w:r>
        <w:rPr>
          <w:rFonts w:ascii="Times New Roman" w:hAnsi="Times New Roman" w:eastAsia="Times New Roman" w:cs="Times New Roman"/>
          <w:spacing w:val="-2"/>
          <w:sz w:val="24"/>
          <w:szCs w:val="24"/>
        </w:rPr>
        <w:t>8.92mg/L</w:t>
      </w:r>
      <w:r>
        <w:rPr>
          <w:rFonts w:ascii="宋体" w:hAnsi="宋体" w:eastAsia="宋体" w:cs="宋体"/>
          <w:spacing w:val="-2"/>
          <w:sz w:val="24"/>
          <w:szCs w:val="24"/>
        </w:rPr>
        <w:t>，</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sz w:val="15"/>
          <w:szCs w:val="15"/>
        </w:rPr>
        <w:t>3</w:t>
      </w:r>
      <w:r>
        <w:rPr>
          <w:rFonts w:ascii="Times New Roman" w:hAnsi="Times New Roman" w:eastAsia="Times New Roman" w:cs="Times New Roman"/>
          <w:spacing w:val="-2"/>
          <w:sz w:val="24"/>
          <w:szCs w:val="24"/>
        </w:rPr>
        <w:t>-N</w:t>
      </w:r>
      <w:r>
        <w:rPr>
          <w:rFonts w:ascii="宋体" w:hAnsi="宋体" w:eastAsia="宋体" w:cs="宋体"/>
          <w:spacing w:val="-2"/>
          <w:sz w:val="24"/>
          <w:szCs w:val="24"/>
        </w:rPr>
        <w:t>平均浓度为</w:t>
      </w:r>
      <w:r>
        <w:rPr>
          <w:rFonts w:ascii="Times New Roman" w:hAnsi="Times New Roman" w:eastAsia="Times New Roman" w:cs="Times New Roman"/>
          <w:spacing w:val="-2"/>
          <w:sz w:val="24"/>
          <w:szCs w:val="24"/>
        </w:rPr>
        <w:t>0.</w:t>
      </w:r>
      <w:r>
        <w:rPr>
          <w:rFonts w:ascii="Times New Roman" w:hAnsi="Times New Roman" w:eastAsia="Times New Roman" w:cs="Times New Roman"/>
          <w:spacing w:val="-3"/>
          <w:sz w:val="24"/>
          <w:szCs w:val="24"/>
        </w:rPr>
        <w:t>25mg/L</w:t>
      </w:r>
      <w:r>
        <w:rPr>
          <w:rFonts w:ascii="宋体" w:hAnsi="宋体" w:eastAsia="宋体" w:cs="宋体"/>
          <w:spacing w:val="-3"/>
          <w:sz w:val="24"/>
          <w:szCs w:val="24"/>
        </w:rPr>
        <w:t>。</w:t>
      </w:r>
    </w:p>
    <w:p w14:paraId="1C6ADD43">
      <w:pPr>
        <w:spacing w:before="112" w:line="223" w:lineRule="auto"/>
        <w:ind w:left="3267"/>
        <w:rPr>
          <w:rFonts w:ascii="宋体" w:hAnsi="宋体" w:eastAsia="宋体" w:cs="宋体"/>
          <w:sz w:val="20"/>
          <w:szCs w:val="20"/>
        </w:rPr>
      </w:pPr>
      <w:r>
        <w:rPr>
          <w:rFonts w:ascii="宋体" w:hAnsi="宋体" w:eastAsia="宋体" w:cs="宋体"/>
          <w:b/>
          <w:bCs/>
          <w:spacing w:val="5"/>
          <w:sz w:val="20"/>
          <w:szCs w:val="20"/>
        </w:rPr>
        <w:t>表</w:t>
      </w:r>
      <w:r>
        <w:rPr>
          <w:rFonts w:ascii="Times New Roman" w:hAnsi="Times New Roman" w:eastAsia="Times New Roman" w:cs="Times New Roman"/>
          <w:b/>
          <w:bCs/>
          <w:spacing w:val="5"/>
          <w:sz w:val="20"/>
          <w:szCs w:val="20"/>
        </w:rPr>
        <w:t>6.3-1</w:t>
      </w:r>
      <w:r>
        <w:rPr>
          <w:rFonts w:ascii="宋体" w:hAnsi="宋体" w:eastAsia="宋体" w:cs="宋体"/>
          <w:b/>
          <w:bCs/>
          <w:spacing w:val="5"/>
          <w:sz w:val="20"/>
          <w:szCs w:val="20"/>
        </w:rPr>
        <w:t>预测水体的水文参数</w:t>
      </w:r>
    </w:p>
    <w:tbl>
      <w:tblPr>
        <w:tblStyle w:val="5"/>
        <w:tblW w:w="872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6"/>
        <w:gridCol w:w="1033"/>
        <w:gridCol w:w="1033"/>
        <w:gridCol w:w="1035"/>
        <w:gridCol w:w="1035"/>
        <w:gridCol w:w="1033"/>
        <w:gridCol w:w="658"/>
        <w:gridCol w:w="807"/>
        <w:gridCol w:w="1044"/>
      </w:tblGrid>
      <w:tr w14:paraId="43022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046" w:type="dxa"/>
            <w:vMerge w:val="restart"/>
            <w:tcBorders>
              <w:top w:val="single" w:color="000000" w:sz="10" w:space="0"/>
              <w:left w:val="single" w:color="000000" w:sz="10" w:space="0"/>
              <w:bottom w:val="nil"/>
            </w:tcBorders>
            <w:vAlign w:val="top"/>
          </w:tcPr>
          <w:p w14:paraId="718856F7">
            <w:pPr>
              <w:pStyle w:val="6"/>
              <w:spacing w:before="185" w:line="228" w:lineRule="auto"/>
              <w:ind w:left="306"/>
            </w:pPr>
            <w:r>
              <w:rPr>
                <w:b/>
                <w:bCs/>
                <w:spacing w:val="2"/>
              </w:rPr>
              <w:t>项目</w:t>
            </w:r>
          </w:p>
        </w:tc>
        <w:tc>
          <w:tcPr>
            <w:tcW w:w="1033" w:type="dxa"/>
            <w:vMerge w:val="restart"/>
            <w:tcBorders>
              <w:top w:val="single" w:color="000000" w:sz="10" w:space="0"/>
              <w:bottom w:val="nil"/>
            </w:tcBorders>
            <w:vAlign w:val="top"/>
          </w:tcPr>
          <w:p w14:paraId="3A2BAD8D">
            <w:pPr>
              <w:pStyle w:val="6"/>
              <w:spacing w:before="49" w:line="238" w:lineRule="auto"/>
              <w:ind w:left="102" w:right="25" w:firstLine="92"/>
            </w:pPr>
            <w:r>
              <w:rPr>
                <w:b/>
                <w:bCs/>
                <w:spacing w:val="5"/>
              </w:rPr>
              <w:t>平均流</w:t>
            </w:r>
            <w:r>
              <w:rPr>
                <w:b/>
                <w:bCs/>
                <w:spacing w:val="-25"/>
              </w:rPr>
              <w:t>量（</w:t>
            </w:r>
            <w:r>
              <w:rPr>
                <w:rFonts w:ascii="Times New Roman" w:hAnsi="Times New Roman" w:eastAsia="Times New Roman" w:cs="Times New Roman"/>
                <w:b/>
                <w:bCs/>
                <w:spacing w:val="-25"/>
              </w:rPr>
              <w:t>m</w:t>
            </w:r>
            <w:r>
              <w:rPr>
                <w:rFonts w:ascii="Times New Roman" w:hAnsi="Times New Roman" w:eastAsia="Times New Roman" w:cs="Times New Roman"/>
                <w:b/>
                <w:bCs/>
                <w:spacing w:val="-1"/>
                <w:position w:val="6"/>
                <w:sz w:val="13"/>
                <w:szCs w:val="13"/>
              </w:rPr>
              <w:t>3</w:t>
            </w:r>
            <w:r>
              <w:rPr>
                <w:rFonts w:ascii="Times New Roman" w:hAnsi="Times New Roman" w:eastAsia="Times New Roman" w:cs="Times New Roman"/>
                <w:b/>
                <w:bCs/>
                <w:spacing w:val="-1"/>
              </w:rPr>
              <w:t>/s</w:t>
            </w:r>
            <w:r>
              <w:rPr>
                <w:b/>
                <w:bCs/>
                <w:spacing w:val="-1"/>
              </w:rPr>
              <w:t>）</w:t>
            </w:r>
          </w:p>
        </w:tc>
        <w:tc>
          <w:tcPr>
            <w:tcW w:w="1033" w:type="dxa"/>
            <w:vMerge w:val="restart"/>
            <w:tcBorders>
              <w:top w:val="single" w:color="000000" w:sz="10" w:space="0"/>
              <w:bottom w:val="nil"/>
            </w:tcBorders>
            <w:vAlign w:val="top"/>
          </w:tcPr>
          <w:p w14:paraId="2A461793">
            <w:pPr>
              <w:pStyle w:val="6"/>
              <w:spacing w:before="49" w:line="238" w:lineRule="auto"/>
              <w:ind w:left="105" w:right="21" w:firstLine="93"/>
            </w:pPr>
            <w:r>
              <w:rPr>
                <w:b/>
                <w:bCs/>
                <w:spacing w:val="5"/>
              </w:rPr>
              <w:t>平均流</w:t>
            </w:r>
            <w:r>
              <w:rPr>
                <w:b/>
                <w:bCs/>
                <w:spacing w:val="-2"/>
              </w:rPr>
              <w:t>速（</w:t>
            </w:r>
            <w:r>
              <w:rPr>
                <w:rFonts w:ascii="Times New Roman" w:hAnsi="Times New Roman" w:eastAsia="Times New Roman" w:cs="Times New Roman"/>
                <w:b/>
                <w:bCs/>
                <w:spacing w:val="-2"/>
              </w:rPr>
              <w:t>m/s</w:t>
            </w:r>
            <w:r>
              <w:rPr>
                <w:b/>
                <w:bCs/>
                <w:spacing w:val="-2"/>
              </w:rPr>
              <w:t>）</w:t>
            </w:r>
          </w:p>
        </w:tc>
        <w:tc>
          <w:tcPr>
            <w:tcW w:w="1035" w:type="dxa"/>
            <w:vMerge w:val="restart"/>
            <w:tcBorders>
              <w:top w:val="single" w:color="000000" w:sz="10" w:space="0"/>
              <w:bottom w:val="nil"/>
            </w:tcBorders>
            <w:vAlign w:val="top"/>
          </w:tcPr>
          <w:p w14:paraId="4086A6D6">
            <w:pPr>
              <w:pStyle w:val="6"/>
              <w:spacing w:before="49" w:line="238" w:lineRule="auto"/>
              <w:ind w:left="114" w:right="130" w:firstLine="87"/>
            </w:pPr>
            <w:r>
              <w:rPr>
                <w:b/>
                <w:bCs/>
                <w:spacing w:val="5"/>
              </w:rPr>
              <w:t>平均水</w:t>
            </w:r>
            <w:r>
              <w:rPr>
                <w:b/>
                <w:bCs/>
                <w:spacing w:val="-9"/>
              </w:rPr>
              <w:t>深（</w:t>
            </w:r>
            <w:r>
              <w:rPr>
                <w:rFonts w:ascii="Times New Roman" w:hAnsi="Times New Roman" w:eastAsia="Times New Roman" w:cs="Times New Roman"/>
                <w:b/>
                <w:bCs/>
                <w:spacing w:val="-9"/>
              </w:rPr>
              <w:t>m</w:t>
            </w:r>
            <w:r>
              <w:rPr>
                <w:b/>
                <w:bCs/>
                <w:spacing w:val="-9"/>
              </w:rPr>
              <w:t>）</w:t>
            </w:r>
          </w:p>
        </w:tc>
        <w:tc>
          <w:tcPr>
            <w:tcW w:w="1035" w:type="dxa"/>
            <w:vMerge w:val="restart"/>
            <w:tcBorders>
              <w:top w:val="single" w:color="000000" w:sz="10" w:space="0"/>
              <w:bottom w:val="nil"/>
            </w:tcBorders>
            <w:vAlign w:val="top"/>
          </w:tcPr>
          <w:p w14:paraId="72AA6B9B">
            <w:pPr>
              <w:pStyle w:val="6"/>
              <w:spacing w:before="49" w:line="238" w:lineRule="auto"/>
              <w:ind w:left="129" w:right="128" w:firstLine="74"/>
            </w:pPr>
            <w:r>
              <w:rPr>
                <w:b/>
                <w:bCs/>
                <w:spacing w:val="5"/>
              </w:rPr>
              <w:t>平均河</w:t>
            </w:r>
            <w:r>
              <w:rPr>
                <w:b/>
                <w:bCs/>
                <w:spacing w:val="-2"/>
              </w:rPr>
              <w:t>宽（</w:t>
            </w:r>
            <w:r>
              <w:rPr>
                <w:rFonts w:ascii="Times New Roman" w:hAnsi="Times New Roman" w:eastAsia="Times New Roman" w:cs="Times New Roman"/>
                <w:b/>
                <w:bCs/>
                <w:spacing w:val="-2"/>
              </w:rPr>
              <w:t>m</w:t>
            </w:r>
            <w:r>
              <w:rPr>
                <w:b/>
                <w:bCs/>
                <w:spacing w:val="-2"/>
              </w:rPr>
              <w:t>）</w:t>
            </w:r>
          </w:p>
        </w:tc>
        <w:tc>
          <w:tcPr>
            <w:tcW w:w="1033" w:type="dxa"/>
            <w:vMerge w:val="restart"/>
            <w:tcBorders>
              <w:top w:val="single" w:color="000000" w:sz="10" w:space="0"/>
              <w:bottom w:val="nil"/>
            </w:tcBorders>
            <w:vAlign w:val="top"/>
          </w:tcPr>
          <w:p w14:paraId="36818731">
            <w:pPr>
              <w:pStyle w:val="6"/>
              <w:spacing w:before="184" w:line="228" w:lineRule="auto"/>
              <w:ind w:left="312"/>
            </w:pPr>
            <w:r>
              <w:rPr>
                <w:b/>
                <w:bCs/>
                <w:spacing w:val="3"/>
              </w:rPr>
              <w:t>坡降</w:t>
            </w:r>
          </w:p>
        </w:tc>
        <w:tc>
          <w:tcPr>
            <w:tcW w:w="1465" w:type="dxa"/>
            <w:gridSpan w:val="2"/>
            <w:tcBorders>
              <w:top w:val="single" w:color="000000" w:sz="10" w:space="0"/>
            </w:tcBorders>
            <w:vAlign w:val="top"/>
          </w:tcPr>
          <w:p w14:paraId="38FDFA83">
            <w:pPr>
              <w:spacing w:before="93" w:line="195" w:lineRule="auto"/>
              <w:ind w:left="6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K1</w:t>
            </w:r>
          </w:p>
        </w:tc>
        <w:tc>
          <w:tcPr>
            <w:tcW w:w="1044" w:type="dxa"/>
            <w:vMerge w:val="restart"/>
            <w:tcBorders>
              <w:top w:val="single" w:color="000000" w:sz="10" w:space="0"/>
              <w:bottom w:val="nil"/>
              <w:right w:val="single" w:color="000000" w:sz="10" w:space="0"/>
            </w:tcBorders>
            <w:vAlign w:val="top"/>
          </w:tcPr>
          <w:p w14:paraId="3A36E643">
            <w:pPr>
              <w:spacing w:before="224" w:line="200" w:lineRule="auto"/>
              <w:ind w:left="397"/>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1"/>
                <w:sz w:val="13"/>
                <w:szCs w:val="13"/>
              </w:rPr>
              <w:t>y</w:t>
            </w:r>
          </w:p>
        </w:tc>
      </w:tr>
      <w:tr w14:paraId="53E99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3" w:hRule="atLeast"/>
        </w:trPr>
        <w:tc>
          <w:tcPr>
            <w:tcW w:w="1046" w:type="dxa"/>
            <w:vMerge w:val="continue"/>
            <w:tcBorders>
              <w:top w:val="nil"/>
              <w:left w:val="single" w:color="000000" w:sz="10" w:space="0"/>
            </w:tcBorders>
            <w:vAlign w:val="top"/>
          </w:tcPr>
          <w:p w14:paraId="143F8D86">
            <w:pPr>
              <w:rPr>
                <w:rFonts w:ascii="Arial"/>
                <w:sz w:val="21"/>
              </w:rPr>
            </w:pPr>
          </w:p>
        </w:tc>
        <w:tc>
          <w:tcPr>
            <w:tcW w:w="1033" w:type="dxa"/>
            <w:vMerge w:val="continue"/>
            <w:tcBorders>
              <w:top w:val="nil"/>
            </w:tcBorders>
            <w:vAlign w:val="top"/>
          </w:tcPr>
          <w:p w14:paraId="0263A3A9">
            <w:pPr>
              <w:rPr>
                <w:rFonts w:ascii="Arial"/>
                <w:sz w:val="21"/>
              </w:rPr>
            </w:pPr>
          </w:p>
        </w:tc>
        <w:tc>
          <w:tcPr>
            <w:tcW w:w="1033" w:type="dxa"/>
            <w:vMerge w:val="continue"/>
            <w:tcBorders>
              <w:top w:val="nil"/>
            </w:tcBorders>
            <w:vAlign w:val="top"/>
          </w:tcPr>
          <w:p w14:paraId="6E54CEAB">
            <w:pPr>
              <w:rPr>
                <w:rFonts w:ascii="Arial"/>
                <w:sz w:val="21"/>
              </w:rPr>
            </w:pPr>
          </w:p>
        </w:tc>
        <w:tc>
          <w:tcPr>
            <w:tcW w:w="1035" w:type="dxa"/>
            <w:vMerge w:val="continue"/>
            <w:tcBorders>
              <w:top w:val="nil"/>
            </w:tcBorders>
            <w:vAlign w:val="top"/>
          </w:tcPr>
          <w:p w14:paraId="4F564AF2">
            <w:pPr>
              <w:rPr>
                <w:rFonts w:ascii="Arial"/>
                <w:sz w:val="21"/>
              </w:rPr>
            </w:pPr>
          </w:p>
        </w:tc>
        <w:tc>
          <w:tcPr>
            <w:tcW w:w="1035" w:type="dxa"/>
            <w:vMerge w:val="continue"/>
            <w:tcBorders>
              <w:top w:val="nil"/>
            </w:tcBorders>
            <w:vAlign w:val="top"/>
          </w:tcPr>
          <w:p w14:paraId="4FF3BCB2">
            <w:pPr>
              <w:rPr>
                <w:rFonts w:ascii="Arial"/>
                <w:sz w:val="21"/>
              </w:rPr>
            </w:pPr>
          </w:p>
        </w:tc>
        <w:tc>
          <w:tcPr>
            <w:tcW w:w="1033" w:type="dxa"/>
            <w:vMerge w:val="continue"/>
            <w:tcBorders>
              <w:top w:val="nil"/>
            </w:tcBorders>
            <w:vAlign w:val="top"/>
          </w:tcPr>
          <w:p w14:paraId="5879C1D4">
            <w:pPr>
              <w:rPr>
                <w:rFonts w:ascii="Arial"/>
                <w:sz w:val="21"/>
              </w:rPr>
            </w:pPr>
          </w:p>
        </w:tc>
        <w:tc>
          <w:tcPr>
            <w:tcW w:w="658" w:type="dxa"/>
            <w:vAlign w:val="top"/>
          </w:tcPr>
          <w:p w14:paraId="71EF1FA9">
            <w:pPr>
              <w:spacing w:before="53" w:line="187" w:lineRule="auto"/>
              <w:ind w:left="1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807" w:type="dxa"/>
            <w:vAlign w:val="top"/>
          </w:tcPr>
          <w:p w14:paraId="5714ADB7">
            <w:pPr>
              <w:spacing w:before="57" w:line="183" w:lineRule="auto"/>
              <w:ind w:left="108"/>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9"/>
                <w:position w:val="-1"/>
                <w:sz w:val="13"/>
                <w:szCs w:val="13"/>
              </w:rPr>
              <w:t>3</w:t>
            </w:r>
            <w:r>
              <w:rPr>
                <w:rFonts w:ascii="Times New Roman" w:hAnsi="Times New Roman" w:eastAsia="Times New Roman" w:cs="Times New Roman"/>
                <w:spacing w:val="9"/>
                <w:sz w:val="20"/>
                <w:szCs w:val="20"/>
              </w:rPr>
              <w:t>-N</w:t>
            </w:r>
          </w:p>
        </w:tc>
        <w:tc>
          <w:tcPr>
            <w:tcW w:w="1044" w:type="dxa"/>
            <w:vMerge w:val="continue"/>
            <w:tcBorders>
              <w:top w:val="nil"/>
              <w:right w:val="single" w:color="000000" w:sz="10" w:space="0"/>
            </w:tcBorders>
            <w:vAlign w:val="top"/>
          </w:tcPr>
          <w:p w14:paraId="2ACB2818">
            <w:pPr>
              <w:rPr>
                <w:rFonts w:ascii="Arial"/>
                <w:sz w:val="21"/>
              </w:rPr>
            </w:pPr>
          </w:p>
        </w:tc>
      </w:tr>
      <w:tr w14:paraId="1A19A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1046" w:type="dxa"/>
            <w:tcBorders>
              <w:left w:val="single" w:color="000000" w:sz="10" w:space="0"/>
            </w:tcBorders>
            <w:vAlign w:val="top"/>
          </w:tcPr>
          <w:p w14:paraId="763E8F25">
            <w:pPr>
              <w:pStyle w:val="6"/>
              <w:spacing w:before="103" w:line="228" w:lineRule="auto"/>
              <w:ind w:left="200"/>
            </w:pPr>
            <w:r>
              <w:rPr>
                <w:spacing w:val="6"/>
              </w:rPr>
              <w:t>枯水期</w:t>
            </w:r>
          </w:p>
        </w:tc>
        <w:tc>
          <w:tcPr>
            <w:tcW w:w="1033" w:type="dxa"/>
            <w:vAlign w:val="top"/>
          </w:tcPr>
          <w:p w14:paraId="34A2B068">
            <w:pPr>
              <w:spacing w:before="139" w:line="195" w:lineRule="auto"/>
              <w:ind w:left="407"/>
              <w:rPr>
                <w:rFonts w:ascii="Times New Roman" w:hAnsi="Times New Roman" w:eastAsia="Times New Roman" w:cs="Times New Roman"/>
                <w:sz w:val="20"/>
                <w:szCs w:val="20"/>
              </w:rPr>
            </w:pPr>
            <w:r>
              <w:rPr>
                <w:rFonts w:ascii="Times New Roman" w:hAnsi="Times New Roman" w:eastAsia="Times New Roman" w:cs="Times New Roman"/>
                <w:sz w:val="20"/>
                <w:szCs w:val="20"/>
              </w:rPr>
              <w:t>66</w:t>
            </w:r>
          </w:p>
        </w:tc>
        <w:tc>
          <w:tcPr>
            <w:tcW w:w="1033" w:type="dxa"/>
            <w:vAlign w:val="top"/>
          </w:tcPr>
          <w:p w14:paraId="3F6A4AA3">
            <w:pPr>
              <w:spacing w:before="139" w:line="195" w:lineRule="auto"/>
              <w:ind w:left="3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0.35</w:t>
            </w:r>
          </w:p>
        </w:tc>
        <w:tc>
          <w:tcPr>
            <w:tcW w:w="1035" w:type="dxa"/>
            <w:vAlign w:val="top"/>
          </w:tcPr>
          <w:p w14:paraId="2E29EABA">
            <w:pPr>
              <w:spacing w:before="139" w:line="195" w:lineRule="auto"/>
              <w:ind w:left="4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1035" w:type="dxa"/>
            <w:vAlign w:val="top"/>
          </w:tcPr>
          <w:p w14:paraId="381A9BF6">
            <w:pPr>
              <w:spacing w:before="139"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c>
          <w:tcPr>
            <w:tcW w:w="1033" w:type="dxa"/>
            <w:vAlign w:val="top"/>
          </w:tcPr>
          <w:p w14:paraId="356F588C">
            <w:pPr>
              <w:pStyle w:val="6"/>
              <w:spacing w:before="103" w:line="242" w:lineRule="auto"/>
              <w:ind w:left="235"/>
            </w:pPr>
            <w:r>
              <w:rPr>
                <w:rFonts w:ascii="Times New Roman" w:hAnsi="Times New Roman" w:eastAsia="Times New Roman" w:cs="Times New Roman"/>
                <w:spacing w:val="3"/>
              </w:rPr>
              <w:t>0.53</w:t>
            </w:r>
            <w:r>
              <w:rPr>
                <w:spacing w:val="3"/>
              </w:rPr>
              <w:t>‰</w:t>
            </w:r>
          </w:p>
        </w:tc>
        <w:tc>
          <w:tcPr>
            <w:tcW w:w="658" w:type="dxa"/>
            <w:vAlign w:val="top"/>
          </w:tcPr>
          <w:p w14:paraId="24228A47">
            <w:pPr>
              <w:spacing w:before="139" w:line="195" w:lineRule="auto"/>
              <w:ind w:left="1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w:t>
            </w:r>
          </w:p>
        </w:tc>
        <w:tc>
          <w:tcPr>
            <w:tcW w:w="807" w:type="dxa"/>
            <w:vAlign w:val="top"/>
          </w:tcPr>
          <w:p w14:paraId="43842A51">
            <w:pPr>
              <w:spacing w:before="139"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w:t>
            </w:r>
          </w:p>
        </w:tc>
        <w:tc>
          <w:tcPr>
            <w:tcW w:w="1044" w:type="dxa"/>
            <w:tcBorders>
              <w:right w:val="single" w:color="000000" w:sz="10" w:space="0"/>
            </w:tcBorders>
            <w:vAlign w:val="top"/>
          </w:tcPr>
          <w:p w14:paraId="6146A036">
            <w:pPr>
              <w:spacing w:before="139" w:line="195" w:lineRule="auto"/>
              <w:ind w:left="3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r>
      <w:tr w14:paraId="4B29A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1046" w:type="dxa"/>
            <w:tcBorders>
              <w:left w:val="single" w:color="000000" w:sz="10" w:space="0"/>
              <w:bottom w:val="single" w:color="000000" w:sz="10" w:space="0"/>
            </w:tcBorders>
            <w:vAlign w:val="top"/>
          </w:tcPr>
          <w:p w14:paraId="6BD03317">
            <w:pPr>
              <w:pStyle w:val="6"/>
              <w:spacing w:before="44" w:line="234" w:lineRule="auto"/>
              <w:ind w:left="408" w:right="207" w:hanging="207"/>
            </w:pPr>
            <w:r>
              <w:rPr>
                <w:spacing w:val="6"/>
              </w:rPr>
              <w:t>生态基</w:t>
            </w:r>
            <w:r>
              <w:t>流</w:t>
            </w:r>
          </w:p>
        </w:tc>
        <w:tc>
          <w:tcPr>
            <w:tcW w:w="1033" w:type="dxa"/>
            <w:tcBorders>
              <w:bottom w:val="single" w:color="000000" w:sz="10" w:space="0"/>
            </w:tcBorders>
            <w:vAlign w:val="top"/>
          </w:tcPr>
          <w:p w14:paraId="40AA384B">
            <w:pPr>
              <w:spacing w:before="215" w:line="195" w:lineRule="auto"/>
              <w:ind w:left="42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1033" w:type="dxa"/>
            <w:tcBorders>
              <w:bottom w:val="single" w:color="000000" w:sz="10" w:space="0"/>
            </w:tcBorders>
            <w:vAlign w:val="top"/>
          </w:tcPr>
          <w:p w14:paraId="19D88ABA">
            <w:pPr>
              <w:spacing w:before="215" w:line="195" w:lineRule="auto"/>
              <w:ind w:left="38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1035" w:type="dxa"/>
            <w:tcBorders>
              <w:bottom w:val="single" w:color="000000" w:sz="10" w:space="0"/>
            </w:tcBorders>
            <w:vAlign w:val="top"/>
          </w:tcPr>
          <w:p w14:paraId="1F66876B">
            <w:pPr>
              <w:spacing w:before="215" w:line="195" w:lineRule="auto"/>
              <w:ind w:left="4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035" w:type="dxa"/>
            <w:tcBorders>
              <w:bottom w:val="single" w:color="000000" w:sz="10" w:space="0"/>
            </w:tcBorders>
            <w:vAlign w:val="top"/>
          </w:tcPr>
          <w:p w14:paraId="6EE38272">
            <w:pPr>
              <w:spacing w:before="215" w:line="195" w:lineRule="auto"/>
              <w:ind w:left="416"/>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1033" w:type="dxa"/>
            <w:tcBorders>
              <w:bottom w:val="single" w:color="000000" w:sz="10" w:space="0"/>
            </w:tcBorders>
            <w:vAlign w:val="top"/>
          </w:tcPr>
          <w:p w14:paraId="7B5EB8FE">
            <w:pPr>
              <w:pStyle w:val="6"/>
              <w:spacing w:before="179" w:line="242" w:lineRule="auto"/>
              <w:ind w:left="235"/>
            </w:pPr>
            <w:r>
              <w:rPr>
                <w:rFonts w:ascii="Times New Roman" w:hAnsi="Times New Roman" w:eastAsia="Times New Roman" w:cs="Times New Roman"/>
                <w:spacing w:val="3"/>
              </w:rPr>
              <w:t>0.53</w:t>
            </w:r>
            <w:r>
              <w:rPr>
                <w:spacing w:val="3"/>
              </w:rPr>
              <w:t>‰</w:t>
            </w:r>
          </w:p>
        </w:tc>
        <w:tc>
          <w:tcPr>
            <w:tcW w:w="658" w:type="dxa"/>
            <w:tcBorders>
              <w:bottom w:val="single" w:color="000000" w:sz="10" w:space="0"/>
            </w:tcBorders>
            <w:vAlign w:val="top"/>
          </w:tcPr>
          <w:p w14:paraId="1929B80C">
            <w:pPr>
              <w:spacing w:before="215" w:line="195" w:lineRule="auto"/>
              <w:ind w:left="1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w:t>
            </w:r>
          </w:p>
        </w:tc>
        <w:tc>
          <w:tcPr>
            <w:tcW w:w="807" w:type="dxa"/>
            <w:tcBorders>
              <w:bottom w:val="single" w:color="000000" w:sz="10" w:space="0"/>
            </w:tcBorders>
            <w:vAlign w:val="top"/>
          </w:tcPr>
          <w:p w14:paraId="0C820686">
            <w:pPr>
              <w:spacing w:before="215"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tc>
        <w:tc>
          <w:tcPr>
            <w:tcW w:w="1044" w:type="dxa"/>
            <w:tcBorders>
              <w:bottom w:val="single" w:color="000000" w:sz="10" w:space="0"/>
              <w:right w:val="single" w:color="000000" w:sz="10" w:space="0"/>
            </w:tcBorders>
            <w:vAlign w:val="top"/>
          </w:tcPr>
          <w:p w14:paraId="45F38D68">
            <w:pPr>
              <w:spacing w:before="215" w:line="195" w:lineRule="auto"/>
              <w:ind w:left="3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r>
    </w:tbl>
    <w:p w14:paraId="7FBD3536">
      <w:pPr>
        <w:spacing w:before="35" w:line="220" w:lineRule="auto"/>
        <w:ind w:left="131"/>
        <w:outlineLvl w:val="2"/>
        <w:rPr>
          <w:rFonts w:ascii="宋体" w:hAnsi="宋体" w:eastAsia="宋体" w:cs="宋体"/>
          <w:sz w:val="24"/>
          <w:szCs w:val="24"/>
        </w:rPr>
      </w:pPr>
      <w:r>
        <w:rPr>
          <w:rFonts w:ascii="Times New Roman" w:hAnsi="Times New Roman" w:eastAsia="Times New Roman" w:cs="Times New Roman"/>
          <w:b/>
          <w:bCs/>
          <w:spacing w:val="-2"/>
          <w:sz w:val="24"/>
          <w:szCs w:val="24"/>
        </w:rPr>
        <w:t>6.3.5</w:t>
      </w:r>
      <w:r>
        <w:rPr>
          <w:rFonts w:ascii="宋体" w:hAnsi="宋体" w:eastAsia="宋体" w:cs="宋体"/>
          <w:b/>
          <w:bCs/>
          <w:spacing w:val="-2"/>
          <w:sz w:val="24"/>
          <w:szCs w:val="24"/>
        </w:rPr>
        <w:t>预测结果及影响分析</w:t>
      </w:r>
    </w:p>
    <w:p w14:paraId="61C57059">
      <w:pPr>
        <w:spacing w:before="183" w:line="219" w:lineRule="auto"/>
        <w:ind w:left="612"/>
        <w:rPr>
          <w:rFonts w:ascii="宋体" w:hAnsi="宋体" w:eastAsia="宋体" w:cs="宋体"/>
          <w:sz w:val="24"/>
          <w:szCs w:val="24"/>
        </w:rPr>
      </w:pPr>
      <w:r>
        <w:rPr>
          <w:rFonts w:ascii="宋体" w:hAnsi="宋体" w:eastAsia="宋体" w:cs="宋体"/>
          <w:spacing w:val="-1"/>
          <w:sz w:val="24"/>
          <w:szCs w:val="24"/>
        </w:rPr>
        <w:t>根据数学模型预测结果见下表。</w:t>
      </w:r>
    </w:p>
    <w:p w14:paraId="304BA0B2">
      <w:pPr>
        <w:spacing w:line="219" w:lineRule="auto"/>
        <w:rPr>
          <w:rFonts w:ascii="宋体" w:hAnsi="宋体" w:eastAsia="宋体" w:cs="宋体"/>
          <w:sz w:val="24"/>
          <w:szCs w:val="24"/>
        </w:rPr>
        <w:sectPr>
          <w:headerReference r:id="rId125" w:type="default"/>
          <w:footerReference r:id="rId126" w:type="default"/>
          <w:pgSz w:w="11907" w:h="16840"/>
          <w:pgMar w:top="1132" w:right="1578" w:bottom="1259" w:left="1578" w:header="829" w:footer="1097" w:gutter="0"/>
          <w:cols w:space="720" w:num="1"/>
        </w:sectPr>
      </w:pPr>
    </w:p>
    <w:p w14:paraId="72F23046">
      <w:pPr>
        <w:pStyle w:val="2"/>
        <w:spacing w:line="265" w:lineRule="auto"/>
      </w:pPr>
    </w:p>
    <w:p w14:paraId="0A9557D5">
      <w:pPr>
        <w:pStyle w:val="2"/>
        <w:spacing w:line="265" w:lineRule="auto"/>
      </w:pPr>
    </w:p>
    <w:p w14:paraId="7E36CB6C">
      <w:pPr>
        <w:spacing w:before="65" w:line="223" w:lineRule="auto"/>
        <w:ind w:left="5125"/>
        <w:rPr>
          <w:rFonts w:ascii="宋体" w:hAnsi="宋体" w:eastAsia="宋体" w:cs="宋体"/>
          <w:sz w:val="20"/>
          <w:szCs w:val="20"/>
        </w:rPr>
      </w:pPr>
      <w:r>
        <w:rPr>
          <w:rFonts w:ascii="宋体" w:hAnsi="宋体" w:eastAsia="宋体" w:cs="宋体"/>
          <w:b/>
          <w:bCs/>
          <w:spacing w:val="6"/>
          <w:sz w:val="20"/>
          <w:szCs w:val="20"/>
        </w:rPr>
        <w:t>表</w:t>
      </w:r>
      <w:r>
        <w:rPr>
          <w:rFonts w:ascii="Times New Roman" w:hAnsi="Times New Roman" w:eastAsia="Times New Roman" w:cs="Times New Roman"/>
          <w:b/>
          <w:bCs/>
          <w:spacing w:val="6"/>
          <w:sz w:val="20"/>
          <w:szCs w:val="20"/>
        </w:rPr>
        <w:t>6.3-2</w:t>
      </w:r>
      <w:r>
        <w:rPr>
          <w:rFonts w:ascii="宋体" w:hAnsi="宋体" w:eastAsia="宋体" w:cs="宋体"/>
          <w:b/>
          <w:bCs/>
          <w:spacing w:val="6"/>
          <w:sz w:val="20"/>
          <w:szCs w:val="20"/>
        </w:rPr>
        <w:t>枯水期</w:t>
      </w:r>
      <w:r>
        <w:rPr>
          <w:rFonts w:ascii="Times New Roman" w:hAnsi="Times New Roman" w:eastAsia="Times New Roman" w:cs="Times New Roman"/>
          <w:b/>
          <w:bCs/>
          <w:sz w:val="20"/>
          <w:szCs w:val="20"/>
        </w:rPr>
        <w:t>COD</w:t>
      </w:r>
      <w:r>
        <w:rPr>
          <w:rFonts w:ascii="宋体" w:hAnsi="宋体" w:eastAsia="宋体" w:cs="宋体"/>
          <w:b/>
          <w:bCs/>
          <w:spacing w:val="6"/>
          <w:sz w:val="20"/>
          <w:szCs w:val="20"/>
        </w:rPr>
        <w:t>浓度预测值</w:t>
      </w:r>
      <w:r>
        <w:rPr>
          <w:rFonts w:ascii="宋体" w:hAnsi="宋体" w:eastAsia="宋体" w:cs="宋体"/>
          <w:b/>
          <w:bCs/>
          <w:spacing w:val="5"/>
          <w:sz w:val="20"/>
          <w:szCs w:val="20"/>
        </w:rPr>
        <w:t>（正常排放）</w:t>
      </w:r>
    </w:p>
    <w:tbl>
      <w:tblPr>
        <w:tblStyle w:val="5"/>
        <w:tblW w:w="14225"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0"/>
        <w:gridCol w:w="1559"/>
        <w:gridCol w:w="1559"/>
        <w:gridCol w:w="1417"/>
        <w:gridCol w:w="1417"/>
        <w:gridCol w:w="1417"/>
        <w:gridCol w:w="1418"/>
        <w:gridCol w:w="1418"/>
        <w:gridCol w:w="1418"/>
        <w:gridCol w:w="1432"/>
      </w:tblGrid>
      <w:tr w14:paraId="75A91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1170" w:type="dxa"/>
            <w:tcBorders>
              <w:top w:val="single" w:color="000000" w:sz="10" w:space="0"/>
              <w:left w:val="single" w:color="000000" w:sz="10" w:space="0"/>
            </w:tcBorders>
            <w:vAlign w:val="top"/>
          </w:tcPr>
          <w:p w14:paraId="408A6DFA">
            <w:pPr>
              <w:spacing w:before="101" w:line="201" w:lineRule="auto"/>
              <w:ind w:left="3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C(x,y)</w:t>
            </w:r>
          </w:p>
        </w:tc>
        <w:tc>
          <w:tcPr>
            <w:tcW w:w="1559" w:type="dxa"/>
            <w:tcBorders>
              <w:top w:val="single" w:color="000000" w:sz="10" w:space="0"/>
            </w:tcBorders>
            <w:vAlign w:val="top"/>
          </w:tcPr>
          <w:p w14:paraId="6549A092">
            <w:pPr>
              <w:spacing w:before="105" w:line="195" w:lineRule="auto"/>
              <w:ind w:left="71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59" w:type="dxa"/>
            <w:tcBorders>
              <w:top w:val="single" w:color="000000" w:sz="10" w:space="0"/>
            </w:tcBorders>
            <w:vAlign w:val="top"/>
          </w:tcPr>
          <w:p w14:paraId="796AF020">
            <w:pPr>
              <w:spacing w:before="105" w:line="195" w:lineRule="auto"/>
              <w:ind w:left="72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417" w:type="dxa"/>
            <w:tcBorders>
              <w:top w:val="single" w:color="000000" w:sz="10" w:space="0"/>
            </w:tcBorders>
            <w:vAlign w:val="top"/>
          </w:tcPr>
          <w:p w14:paraId="0E9900EB">
            <w:pPr>
              <w:spacing w:before="108" w:line="192" w:lineRule="auto"/>
              <w:ind w:left="65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417" w:type="dxa"/>
            <w:tcBorders>
              <w:top w:val="single" w:color="000000" w:sz="10" w:space="0"/>
            </w:tcBorders>
            <w:vAlign w:val="top"/>
          </w:tcPr>
          <w:p w14:paraId="5A260D32">
            <w:pPr>
              <w:spacing w:before="105" w:line="195" w:lineRule="auto"/>
              <w:ind w:left="62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417" w:type="dxa"/>
            <w:tcBorders>
              <w:top w:val="single" w:color="000000" w:sz="10" w:space="0"/>
            </w:tcBorders>
            <w:vAlign w:val="top"/>
          </w:tcPr>
          <w:p w14:paraId="3ACBC726">
            <w:pPr>
              <w:spacing w:before="105" w:line="195" w:lineRule="auto"/>
              <w:ind w:left="6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418" w:type="dxa"/>
            <w:tcBorders>
              <w:top w:val="single" w:color="000000" w:sz="10" w:space="0"/>
            </w:tcBorders>
            <w:vAlign w:val="top"/>
          </w:tcPr>
          <w:p w14:paraId="7B4A1D47">
            <w:pPr>
              <w:spacing w:before="105" w:line="195" w:lineRule="auto"/>
              <w:ind w:left="614"/>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418" w:type="dxa"/>
            <w:tcBorders>
              <w:top w:val="single" w:color="000000" w:sz="10" w:space="0"/>
            </w:tcBorders>
            <w:vAlign w:val="top"/>
          </w:tcPr>
          <w:p w14:paraId="04273620">
            <w:pPr>
              <w:spacing w:before="105" w:line="195" w:lineRule="auto"/>
              <w:ind w:left="616"/>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418" w:type="dxa"/>
            <w:tcBorders>
              <w:top w:val="single" w:color="000000" w:sz="10" w:space="0"/>
            </w:tcBorders>
            <w:vAlign w:val="top"/>
          </w:tcPr>
          <w:p w14:paraId="73FE185D">
            <w:pPr>
              <w:spacing w:before="105" w:line="195" w:lineRule="auto"/>
              <w:ind w:left="6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1432" w:type="dxa"/>
            <w:tcBorders>
              <w:top w:val="single" w:color="000000" w:sz="10" w:space="0"/>
              <w:right w:val="single" w:color="000000" w:sz="10" w:space="0"/>
            </w:tcBorders>
            <w:vAlign w:val="top"/>
          </w:tcPr>
          <w:p w14:paraId="379A2533">
            <w:pPr>
              <w:spacing w:before="105" w:line="195" w:lineRule="auto"/>
              <w:ind w:left="58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r>
      <w:tr w14:paraId="6955B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170" w:type="dxa"/>
            <w:tcBorders>
              <w:left w:val="single" w:color="000000" w:sz="10" w:space="0"/>
            </w:tcBorders>
            <w:vAlign w:val="top"/>
          </w:tcPr>
          <w:p w14:paraId="12A9DC65">
            <w:pPr>
              <w:spacing w:before="99" w:line="195" w:lineRule="auto"/>
              <w:ind w:left="48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559" w:type="dxa"/>
            <w:vAlign w:val="top"/>
          </w:tcPr>
          <w:p w14:paraId="77EE9684">
            <w:pPr>
              <w:spacing w:before="99" w:line="195" w:lineRule="auto"/>
              <w:ind w:left="501"/>
              <w:rPr>
                <w:rFonts w:ascii="Times New Roman" w:hAnsi="Times New Roman" w:eastAsia="Times New Roman" w:cs="Times New Roman"/>
                <w:sz w:val="20"/>
                <w:szCs w:val="20"/>
              </w:rPr>
            </w:pPr>
            <w:r>
              <w:rPr>
                <w:rFonts w:ascii="Times New Roman" w:hAnsi="Times New Roman" w:eastAsia="Times New Roman" w:cs="Times New Roman"/>
                <w:sz w:val="20"/>
                <w:szCs w:val="20"/>
              </w:rPr>
              <w:t>19.457</w:t>
            </w:r>
          </w:p>
        </w:tc>
        <w:tc>
          <w:tcPr>
            <w:tcW w:w="1559" w:type="dxa"/>
            <w:vAlign w:val="top"/>
          </w:tcPr>
          <w:p w14:paraId="56086DDE">
            <w:pPr>
              <w:spacing w:before="99" w:line="195" w:lineRule="auto"/>
              <w:ind w:left="504"/>
              <w:rPr>
                <w:rFonts w:ascii="Times New Roman" w:hAnsi="Times New Roman" w:eastAsia="Times New Roman" w:cs="Times New Roman"/>
                <w:sz w:val="20"/>
                <w:szCs w:val="20"/>
              </w:rPr>
            </w:pPr>
            <w:r>
              <w:rPr>
                <w:rFonts w:ascii="Times New Roman" w:hAnsi="Times New Roman" w:eastAsia="Times New Roman" w:cs="Times New Roman"/>
                <w:sz w:val="20"/>
                <w:szCs w:val="20"/>
              </w:rPr>
              <w:t>12.687</w:t>
            </w:r>
          </w:p>
        </w:tc>
        <w:tc>
          <w:tcPr>
            <w:tcW w:w="1417" w:type="dxa"/>
            <w:vAlign w:val="top"/>
          </w:tcPr>
          <w:p w14:paraId="35496439">
            <w:pPr>
              <w:spacing w:before="99"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9.525</w:t>
            </w:r>
          </w:p>
        </w:tc>
        <w:tc>
          <w:tcPr>
            <w:tcW w:w="1417" w:type="dxa"/>
            <w:vAlign w:val="top"/>
          </w:tcPr>
          <w:p w14:paraId="04D9DBF7">
            <w:pPr>
              <w:spacing w:before="99"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8.9201147</w:t>
            </w:r>
          </w:p>
        </w:tc>
        <w:tc>
          <w:tcPr>
            <w:tcW w:w="1417" w:type="dxa"/>
            <w:vAlign w:val="top"/>
          </w:tcPr>
          <w:p w14:paraId="17EE7328">
            <w:pPr>
              <w:spacing w:before="99"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18" w:type="dxa"/>
            <w:vAlign w:val="top"/>
          </w:tcPr>
          <w:p w14:paraId="0B91BD27">
            <w:pPr>
              <w:spacing w:before="99"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18" w:type="dxa"/>
            <w:vAlign w:val="top"/>
          </w:tcPr>
          <w:p w14:paraId="48B4DA8E">
            <w:pPr>
              <w:spacing w:before="99"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18" w:type="dxa"/>
            <w:vAlign w:val="top"/>
          </w:tcPr>
          <w:p w14:paraId="1CD89941">
            <w:pPr>
              <w:spacing w:before="99"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32" w:type="dxa"/>
            <w:tcBorders>
              <w:right w:val="single" w:color="000000" w:sz="10" w:space="0"/>
            </w:tcBorders>
            <w:vAlign w:val="top"/>
          </w:tcPr>
          <w:p w14:paraId="11F1AB66">
            <w:pPr>
              <w:spacing w:before="99"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3BEF6D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170" w:type="dxa"/>
            <w:tcBorders>
              <w:left w:val="single" w:color="000000" w:sz="10" w:space="0"/>
            </w:tcBorders>
            <w:vAlign w:val="top"/>
          </w:tcPr>
          <w:p w14:paraId="73136C75">
            <w:pPr>
              <w:spacing w:before="102"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559" w:type="dxa"/>
            <w:vAlign w:val="top"/>
          </w:tcPr>
          <w:p w14:paraId="7831D9F4">
            <w:pPr>
              <w:spacing w:before="102" w:line="195" w:lineRule="auto"/>
              <w:ind w:left="501"/>
              <w:rPr>
                <w:rFonts w:ascii="Times New Roman" w:hAnsi="Times New Roman" w:eastAsia="Times New Roman" w:cs="Times New Roman"/>
                <w:sz w:val="20"/>
                <w:szCs w:val="20"/>
              </w:rPr>
            </w:pPr>
            <w:r>
              <w:rPr>
                <w:rFonts w:ascii="Times New Roman" w:hAnsi="Times New Roman" w:eastAsia="Times New Roman" w:cs="Times New Roman"/>
                <w:sz w:val="20"/>
                <w:szCs w:val="20"/>
              </w:rPr>
              <w:t>16.371</w:t>
            </w:r>
          </w:p>
        </w:tc>
        <w:tc>
          <w:tcPr>
            <w:tcW w:w="1559" w:type="dxa"/>
            <w:vAlign w:val="top"/>
          </w:tcPr>
          <w:p w14:paraId="482EE180">
            <w:pPr>
              <w:spacing w:before="102" w:line="195" w:lineRule="auto"/>
              <w:ind w:left="504"/>
              <w:rPr>
                <w:rFonts w:ascii="Times New Roman" w:hAnsi="Times New Roman" w:eastAsia="Times New Roman" w:cs="Times New Roman"/>
                <w:sz w:val="20"/>
                <w:szCs w:val="20"/>
              </w:rPr>
            </w:pPr>
            <w:r>
              <w:rPr>
                <w:rFonts w:ascii="Times New Roman" w:hAnsi="Times New Roman" w:eastAsia="Times New Roman" w:cs="Times New Roman"/>
                <w:sz w:val="20"/>
                <w:szCs w:val="20"/>
              </w:rPr>
              <w:t>13.375</w:t>
            </w:r>
          </w:p>
        </w:tc>
        <w:tc>
          <w:tcPr>
            <w:tcW w:w="1417" w:type="dxa"/>
            <w:vAlign w:val="top"/>
          </w:tcPr>
          <w:p w14:paraId="000B05ED">
            <w:pPr>
              <w:spacing w:before="102" w:line="195" w:lineRule="auto"/>
              <w:ind w:left="436"/>
              <w:rPr>
                <w:rFonts w:ascii="Times New Roman" w:hAnsi="Times New Roman" w:eastAsia="Times New Roman" w:cs="Times New Roman"/>
                <w:sz w:val="20"/>
                <w:szCs w:val="20"/>
              </w:rPr>
            </w:pPr>
            <w:r>
              <w:rPr>
                <w:rFonts w:ascii="Times New Roman" w:hAnsi="Times New Roman" w:eastAsia="Times New Roman" w:cs="Times New Roman"/>
                <w:sz w:val="20"/>
                <w:szCs w:val="20"/>
              </w:rPr>
              <w:t>10.706</w:t>
            </w:r>
          </w:p>
        </w:tc>
        <w:tc>
          <w:tcPr>
            <w:tcW w:w="1417" w:type="dxa"/>
            <w:vAlign w:val="top"/>
          </w:tcPr>
          <w:p w14:paraId="556ED28F">
            <w:pPr>
              <w:spacing w:before="102"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8.9445824</w:t>
            </w:r>
          </w:p>
        </w:tc>
        <w:tc>
          <w:tcPr>
            <w:tcW w:w="1417" w:type="dxa"/>
            <w:vAlign w:val="top"/>
          </w:tcPr>
          <w:p w14:paraId="7456A2B4">
            <w:pPr>
              <w:spacing w:before="102"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18" w:type="dxa"/>
            <w:vAlign w:val="top"/>
          </w:tcPr>
          <w:p w14:paraId="091C3C24">
            <w:pPr>
              <w:spacing w:before="102"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18" w:type="dxa"/>
            <w:vAlign w:val="top"/>
          </w:tcPr>
          <w:p w14:paraId="57E9C39B">
            <w:pPr>
              <w:spacing w:before="102"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18" w:type="dxa"/>
            <w:vAlign w:val="top"/>
          </w:tcPr>
          <w:p w14:paraId="025BE59D">
            <w:pPr>
              <w:spacing w:before="102"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32" w:type="dxa"/>
            <w:tcBorders>
              <w:right w:val="single" w:color="000000" w:sz="10" w:space="0"/>
            </w:tcBorders>
            <w:vAlign w:val="top"/>
          </w:tcPr>
          <w:p w14:paraId="5A016E62">
            <w:pPr>
              <w:spacing w:before="102"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33111E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170" w:type="dxa"/>
            <w:tcBorders>
              <w:left w:val="single" w:color="000000" w:sz="10" w:space="0"/>
            </w:tcBorders>
            <w:vAlign w:val="top"/>
          </w:tcPr>
          <w:p w14:paraId="281898F2">
            <w:pPr>
              <w:spacing w:before="104" w:line="195" w:lineRule="auto"/>
              <w:ind w:left="472"/>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559" w:type="dxa"/>
            <w:vAlign w:val="top"/>
          </w:tcPr>
          <w:p w14:paraId="7ECE7095">
            <w:pPr>
              <w:spacing w:before="104" w:line="195" w:lineRule="auto"/>
              <w:ind w:left="501"/>
              <w:rPr>
                <w:rFonts w:ascii="Times New Roman" w:hAnsi="Times New Roman" w:eastAsia="Times New Roman" w:cs="Times New Roman"/>
                <w:sz w:val="20"/>
                <w:szCs w:val="20"/>
              </w:rPr>
            </w:pPr>
            <w:r>
              <w:rPr>
                <w:rFonts w:ascii="Times New Roman" w:hAnsi="Times New Roman" w:eastAsia="Times New Roman" w:cs="Times New Roman"/>
                <w:sz w:val="20"/>
                <w:szCs w:val="20"/>
              </w:rPr>
              <w:t>15.003</w:t>
            </w:r>
          </w:p>
        </w:tc>
        <w:tc>
          <w:tcPr>
            <w:tcW w:w="1559" w:type="dxa"/>
            <w:vAlign w:val="top"/>
          </w:tcPr>
          <w:p w14:paraId="51C0FFB2">
            <w:pPr>
              <w:spacing w:before="104" w:line="195" w:lineRule="auto"/>
              <w:ind w:left="504"/>
              <w:rPr>
                <w:rFonts w:ascii="Times New Roman" w:hAnsi="Times New Roman" w:eastAsia="Times New Roman" w:cs="Times New Roman"/>
                <w:sz w:val="20"/>
                <w:szCs w:val="20"/>
              </w:rPr>
            </w:pPr>
            <w:r>
              <w:rPr>
                <w:rFonts w:ascii="Times New Roman" w:hAnsi="Times New Roman" w:eastAsia="Times New Roman" w:cs="Times New Roman"/>
                <w:sz w:val="20"/>
                <w:szCs w:val="20"/>
              </w:rPr>
              <w:t>13.237</w:t>
            </w:r>
          </w:p>
        </w:tc>
        <w:tc>
          <w:tcPr>
            <w:tcW w:w="1417" w:type="dxa"/>
            <w:vAlign w:val="top"/>
          </w:tcPr>
          <w:p w14:paraId="1D72B77C">
            <w:pPr>
              <w:spacing w:before="104" w:line="195" w:lineRule="auto"/>
              <w:ind w:left="436"/>
              <w:rPr>
                <w:rFonts w:ascii="Times New Roman" w:hAnsi="Times New Roman" w:eastAsia="Times New Roman" w:cs="Times New Roman"/>
                <w:sz w:val="20"/>
                <w:szCs w:val="20"/>
              </w:rPr>
            </w:pPr>
            <w:r>
              <w:rPr>
                <w:rFonts w:ascii="Times New Roman" w:hAnsi="Times New Roman" w:eastAsia="Times New Roman" w:cs="Times New Roman"/>
                <w:sz w:val="20"/>
                <w:szCs w:val="20"/>
              </w:rPr>
              <w:t>11.267</w:t>
            </w:r>
          </w:p>
        </w:tc>
        <w:tc>
          <w:tcPr>
            <w:tcW w:w="1417" w:type="dxa"/>
            <w:vAlign w:val="top"/>
          </w:tcPr>
          <w:p w14:paraId="556892B9">
            <w:pPr>
              <w:spacing w:before="104"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9.0548148</w:t>
            </w:r>
          </w:p>
        </w:tc>
        <w:tc>
          <w:tcPr>
            <w:tcW w:w="1417" w:type="dxa"/>
            <w:vAlign w:val="top"/>
          </w:tcPr>
          <w:p w14:paraId="1FE6790F">
            <w:pPr>
              <w:spacing w:before="104"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8.9200015</w:t>
            </w:r>
          </w:p>
        </w:tc>
        <w:tc>
          <w:tcPr>
            <w:tcW w:w="1418" w:type="dxa"/>
            <w:vAlign w:val="top"/>
          </w:tcPr>
          <w:p w14:paraId="1A6F7957">
            <w:pPr>
              <w:spacing w:before="104"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18" w:type="dxa"/>
            <w:vAlign w:val="top"/>
          </w:tcPr>
          <w:p w14:paraId="2E44BB3F">
            <w:pPr>
              <w:spacing w:before="104"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18" w:type="dxa"/>
            <w:vAlign w:val="top"/>
          </w:tcPr>
          <w:p w14:paraId="1E0FC689">
            <w:pPr>
              <w:spacing w:before="104"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32" w:type="dxa"/>
            <w:tcBorders>
              <w:right w:val="single" w:color="000000" w:sz="10" w:space="0"/>
            </w:tcBorders>
            <w:vAlign w:val="top"/>
          </w:tcPr>
          <w:p w14:paraId="1FADA6AA">
            <w:pPr>
              <w:spacing w:before="104"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19B7A0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170" w:type="dxa"/>
            <w:tcBorders>
              <w:left w:val="single" w:color="000000" w:sz="10" w:space="0"/>
            </w:tcBorders>
            <w:vAlign w:val="top"/>
          </w:tcPr>
          <w:p w14:paraId="68643B6A">
            <w:pPr>
              <w:spacing w:before="106"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559" w:type="dxa"/>
            <w:vAlign w:val="top"/>
          </w:tcPr>
          <w:p w14:paraId="42779747">
            <w:pPr>
              <w:spacing w:before="106" w:line="195" w:lineRule="auto"/>
              <w:ind w:left="501"/>
              <w:rPr>
                <w:rFonts w:ascii="Times New Roman" w:hAnsi="Times New Roman" w:eastAsia="Times New Roman" w:cs="Times New Roman"/>
                <w:sz w:val="20"/>
                <w:szCs w:val="20"/>
              </w:rPr>
            </w:pPr>
            <w:r>
              <w:rPr>
                <w:rFonts w:ascii="Times New Roman" w:hAnsi="Times New Roman" w:eastAsia="Times New Roman" w:cs="Times New Roman"/>
                <w:sz w:val="20"/>
                <w:szCs w:val="20"/>
              </w:rPr>
              <w:t>14.188</w:t>
            </w:r>
          </w:p>
        </w:tc>
        <w:tc>
          <w:tcPr>
            <w:tcW w:w="1559" w:type="dxa"/>
            <w:vAlign w:val="top"/>
          </w:tcPr>
          <w:p w14:paraId="62352561">
            <w:pPr>
              <w:spacing w:before="106" w:line="195" w:lineRule="auto"/>
              <w:ind w:left="504"/>
              <w:rPr>
                <w:rFonts w:ascii="Times New Roman" w:hAnsi="Times New Roman" w:eastAsia="Times New Roman" w:cs="Times New Roman"/>
                <w:sz w:val="20"/>
                <w:szCs w:val="20"/>
              </w:rPr>
            </w:pPr>
            <w:r>
              <w:rPr>
                <w:rFonts w:ascii="Times New Roman" w:hAnsi="Times New Roman" w:eastAsia="Times New Roman" w:cs="Times New Roman"/>
                <w:sz w:val="20"/>
                <w:szCs w:val="20"/>
              </w:rPr>
              <w:t>12.993</w:t>
            </w:r>
          </w:p>
        </w:tc>
        <w:tc>
          <w:tcPr>
            <w:tcW w:w="1417" w:type="dxa"/>
            <w:vAlign w:val="top"/>
          </w:tcPr>
          <w:p w14:paraId="0F46983B">
            <w:pPr>
              <w:spacing w:before="106" w:line="195" w:lineRule="auto"/>
              <w:ind w:left="436"/>
              <w:rPr>
                <w:rFonts w:ascii="Times New Roman" w:hAnsi="Times New Roman" w:eastAsia="Times New Roman" w:cs="Times New Roman"/>
                <w:sz w:val="20"/>
                <w:szCs w:val="20"/>
              </w:rPr>
            </w:pPr>
            <w:r>
              <w:rPr>
                <w:rFonts w:ascii="Times New Roman" w:hAnsi="Times New Roman" w:eastAsia="Times New Roman" w:cs="Times New Roman"/>
                <w:sz w:val="20"/>
                <w:szCs w:val="20"/>
              </w:rPr>
              <w:t>11.499</w:t>
            </w:r>
          </w:p>
        </w:tc>
        <w:tc>
          <w:tcPr>
            <w:tcW w:w="1417" w:type="dxa"/>
            <w:vAlign w:val="top"/>
          </w:tcPr>
          <w:p w14:paraId="06D22AF2">
            <w:pPr>
              <w:spacing w:before="106"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9.2225751</w:t>
            </w:r>
          </w:p>
        </w:tc>
        <w:tc>
          <w:tcPr>
            <w:tcW w:w="1417" w:type="dxa"/>
            <w:vAlign w:val="top"/>
          </w:tcPr>
          <w:p w14:paraId="1BDCCB6C">
            <w:pPr>
              <w:spacing w:before="106"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8.9200573</w:t>
            </w:r>
          </w:p>
        </w:tc>
        <w:tc>
          <w:tcPr>
            <w:tcW w:w="1418" w:type="dxa"/>
            <w:vAlign w:val="top"/>
          </w:tcPr>
          <w:p w14:paraId="67BA0CAB">
            <w:pPr>
              <w:spacing w:before="106"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18" w:type="dxa"/>
            <w:vAlign w:val="top"/>
          </w:tcPr>
          <w:p w14:paraId="1E597B4A">
            <w:pPr>
              <w:spacing w:before="106"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18" w:type="dxa"/>
            <w:vAlign w:val="top"/>
          </w:tcPr>
          <w:p w14:paraId="363F4440">
            <w:pPr>
              <w:spacing w:before="106"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32" w:type="dxa"/>
            <w:tcBorders>
              <w:right w:val="single" w:color="000000" w:sz="10" w:space="0"/>
            </w:tcBorders>
            <w:vAlign w:val="top"/>
          </w:tcPr>
          <w:p w14:paraId="1524DA7F">
            <w:pPr>
              <w:spacing w:before="106"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498452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70" w:type="dxa"/>
            <w:tcBorders>
              <w:left w:val="single" w:color="000000" w:sz="10" w:space="0"/>
            </w:tcBorders>
            <w:vAlign w:val="top"/>
          </w:tcPr>
          <w:p w14:paraId="777E86B7">
            <w:pPr>
              <w:spacing w:before="108" w:line="195" w:lineRule="auto"/>
              <w:ind w:left="473"/>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559" w:type="dxa"/>
            <w:vAlign w:val="top"/>
          </w:tcPr>
          <w:p w14:paraId="7F60EAF2">
            <w:pPr>
              <w:spacing w:before="108" w:line="195" w:lineRule="auto"/>
              <w:ind w:left="501"/>
              <w:rPr>
                <w:rFonts w:ascii="Times New Roman" w:hAnsi="Times New Roman" w:eastAsia="Times New Roman" w:cs="Times New Roman"/>
                <w:sz w:val="20"/>
                <w:szCs w:val="20"/>
              </w:rPr>
            </w:pPr>
            <w:r>
              <w:rPr>
                <w:rFonts w:ascii="Times New Roman" w:hAnsi="Times New Roman" w:eastAsia="Times New Roman" w:cs="Times New Roman"/>
                <w:sz w:val="20"/>
                <w:szCs w:val="20"/>
              </w:rPr>
              <w:t>13.631</w:t>
            </w:r>
          </w:p>
        </w:tc>
        <w:tc>
          <w:tcPr>
            <w:tcW w:w="1559" w:type="dxa"/>
            <w:vAlign w:val="top"/>
          </w:tcPr>
          <w:p w14:paraId="60844487">
            <w:pPr>
              <w:spacing w:before="108" w:line="195" w:lineRule="auto"/>
              <w:ind w:left="504"/>
              <w:rPr>
                <w:rFonts w:ascii="Times New Roman" w:hAnsi="Times New Roman" w:eastAsia="Times New Roman" w:cs="Times New Roman"/>
                <w:sz w:val="20"/>
                <w:szCs w:val="20"/>
              </w:rPr>
            </w:pPr>
            <w:r>
              <w:rPr>
                <w:rFonts w:ascii="Times New Roman" w:hAnsi="Times New Roman" w:eastAsia="Times New Roman" w:cs="Times New Roman"/>
                <w:sz w:val="20"/>
                <w:szCs w:val="20"/>
              </w:rPr>
              <w:t>12.755</w:t>
            </w:r>
          </w:p>
        </w:tc>
        <w:tc>
          <w:tcPr>
            <w:tcW w:w="1417" w:type="dxa"/>
            <w:vAlign w:val="top"/>
          </w:tcPr>
          <w:p w14:paraId="3C4283CB">
            <w:pPr>
              <w:spacing w:before="108" w:line="195" w:lineRule="auto"/>
              <w:ind w:left="436"/>
              <w:rPr>
                <w:rFonts w:ascii="Times New Roman" w:hAnsi="Times New Roman" w:eastAsia="Times New Roman" w:cs="Times New Roman"/>
                <w:sz w:val="20"/>
                <w:szCs w:val="20"/>
              </w:rPr>
            </w:pPr>
            <w:r>
              <w:rPr>
                <w:rFonts w:ascii="Times New Roman" w:hAnsi="Times New Roman" w:eastAsia="Times New Roman" w:cs="Times New Roman"/>
                <w:sz w:val="20"/>
                <w:szCs w:val="20"/>
              </w:rPr>
              <w:t>11.581</w:t>
            </w:r>
          </w:p>
        </w:tc>
        <w:tc>
          <w:tcPr>
            <w:tcW w:w="1417" w:type="dxa"/>
            <w:vAlign w:val="top"/>
          </w:tcPr>
          <w:p w14:paraId="4D48097F">
            <w:pPr>
              <w:spacing w:before="10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9.3991878</w:t>
            </w:r>
          </w:p>
        </w:tc>
        <w:tc>
          <w:tcPr>
            <w:tcW w:w="1417" w:type="dxa"/>
            <w:vAlign w:val="top"/>
          </w:tcPr>
          <w:p w14:paraId="14783E01">
            <w:pPr>
              <w:spacing w:before="108"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8.9205042</w:t>
            </w:r>
          </w:p>
        </w:tc>
        <w:tc>
          <w:tcPr>
            <w:tcW w:w="1418" w:type="dxa"/>
            <w:vAlign w:val="top"/>
          </w:tcPr>
          <w:p w14:paraId="5C6051A5">
            <w:pPr>
              <w:spacing w:before="108"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18" w:type="dxa"/>
            <w:vAlign w:val="top"/>
          </w:tcPr>
          <w:p w14:paraId="4A3AAA0F">
            <w:pPr>
              <w:spacing w:before="108"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18" w:type="dxa"/>
            <w:vAlign w:val="top"/>
          </w:tcPr>
          <w:p w14:paraId="4A90AF30">
            <w:pPr>
              <w:spacing w:before="108"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32" w:type="dxa"/>
            <w:tcBorders>
              <w:right w:val="single" w:color="000000" w:sz="10" w:space="0"/>
            </w:tcBorders>
            <w:vAlign w:val="top"/>
          </w:tcPr>
          <w:p w14:paraId="7F7F415C">
            <w:pPr>
              <w:spacing w:before="108"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38B61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70" w:type="dxa"/>
            <w:tcBorders>
              <w:left w:val="single" w:color="000000" w:sz="10" w:space="0"/>
            </w:tcBorders>
            <w:vAlign w:val="top"/>
          </w:tcPr>
          <w:p w14:paraId="21D1A039">
            <w:pPr>
              <w:spacing w:before="109" w:line="195" w:lineRule="auto"/>
              <w:ind w:left="4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559" w:type="dxa"/>
            <w:vAlign w:val="top"/>
          </w:tcPr>
          <w:p w14:paraId="1A43023F">
            <w:pPr>
              <w:spacing w:before="109" w:line="195" w:lineRule="auto"/>
              <w:ind w:left="501"/>
              <w:rPr>
                <w:rFonts w:ascii="Times New Roman" w:hAnsi="Times New Roman" w:eastAsia="Times New Roman" w:cs="Times New Roman"/>
                <w:sz w:val="20"/>
                <w:szCs w:val="20"/>
              </w:rPr>
            </w:pPr>
            <w:r>
              <w:rPr>
                <w:rFonts w:ascii="Times New Roman" w:hAnsi="Times New Roman" w:eastAsia="Times New Roman" w:cs="Times New Roman"/>
                <w:sz w:val="20"/>
                <w:szCs w:val="20"/>
              </w:rPr>
              <w:t>12.250</w:t>
            </w:r>
          </w:p>
        </w:tc>
        <w:tc>
          <w:tcPr>
            <w:tcW w:w="1559" w:type="dxa"/>
            <w:vAlign w:val="top"/>
          </w:tcPr>
          <w:p w14:paraId="3637B7E8">
            <w:pPr>
              <w:spacing w:before="109" w:line="195" w:lineRule="auto"/>
              <w:ind w:left="504"/>
              <w:rPr>
                <w:rFonts w:ascii="Times New Roman" w:hAnsi="Times New Roman" w:eastAsia="Times New Roman" w:cs="Times New Roman"/>
                <w:sz w:val="20"/>
                <w:szCs w:val="20"/>
              </w:rPr>
            </w:pPr>
            <w:r>
              <w:rPr>
                <w:rFonts w:ascii="Times New Roman" w:hAnsi="Times New Roman" w:eastAsia="Times New Roman" w:cs="Times New Roman"/>
                <w:sz w:val="20"/>
                <w:szCs w:val="20"/>
              </w:rPr>
              <w:t>11.925</w:t>
            </w:r>
          </w:p>
        </w:tc>
        <w:tc>
          <w:tcPr>
            <w:tcW w:w="1417" w:type="dxa"/>
            <w:vAlign w:val="top"/>
          </w:tcPr>
          <w:p w14:paraId="339FD542">
            <w:pPr>
              <w:spacing w:before="109" w:line="195" w:lineRule="auto"/>
              <w:ind w:left="436"/>
              <w:rPr>
                <w:rFonts w:ascii="Times New Roman" w:hAnsi="Times New Roman" w:eastAsia="Times New Roman" w:cs="Times New Roman"/>
                <w:sz w:val="20"/>
                <w:szCs w:val="20"/>
              </w:rPr>
            </w:pPr>
            <w:r>
              <w:rPr>
                <w:rFonts w:ascii="Times New Roman" w:hAnsi="Times New Roman" w:eastAsia="Times New Roman" w:cs="Times New Roman"/>
                <w:sz w:val="20"/>
                <w:szCs w:val="20"/>
              </w:rPr>
              <w:t>11.423</w:t>
            </w:r>
          </w:p>
        </w:tc>
        <w:tc>
          <w:tcPr>
            <w:tcW w:w="1417" w:type="dxa"/>
            <w:vAlign w:val="top"/>
          </w:tcPr>
          <w:p w14:paraId="5C120A6B">
            <w:pPr>
              <w:spacing w:before="109"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9.9820858</w:t>
            </w:r>
          </w:p>
        </w:tc>
        <w:tc>
          <w:tcPr>
            <w:tcW w:w="1417" w:type="dxa"/>
            <w:vAlign w:val="top"/>
          </w:tcPr>
          <w:p w14:paraId="6D4B3FDF">
            <w:pPr>
              <w:spacing w:before="109"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8.9544526</w:t>
            </w:r>
          </w:p>
        </w:tc>
        <w:tc>
          <w:tcPr>
            <w:tcW w:w="1418" w:type="dxa"/>
            <w:vAlign w:val="top"/>
          </w:tcPr>
          <w:p w14:paraId="0123E016">
            <w:pPr>
              <w:spacing w:before="109"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8.9201137</w:t>
            </w:r>
          </w:p>
        </w:tc>
        <w:tc>
          <w:tcPr>
            <w:tcW w:w="1418" w:type="dxa"/>
            <w:vAlign w:val="top"/>
          </w:tcPr>
          <w:p w14:paraId="10A91E48">
            <w:pPr>
              <w:spacing w:before="109"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18" w:type="dxa"/>
            <w:vAlign w:val="top"/>
          </w:tcPr>
          <w:p w14:paraId="1AE31386">
            <w:pPr>
              <w:spacing w:before="109"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32" w:type="dxa"/>
            <w:tcBorders>
              <w:right w:val="single" w:color="000000" w:sz="10" w:space="0"/>
            </w:tcBorders>
            <w:vAlign w:val="top"/>
          </w:tcPr>
          <w:p w14:paraId="58F800BA">
            <w:pPr>
              <w:spacing w:before="109"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32994E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70" w:type="dxa"/>
            <w:tcBorders>
              <w:left w:val="single" w:color="000000" w:sz="10" w:space="0"/>
            </w:tcBorders>
            <w:vAlign w:val="top"/>
          </w:tcPr>
          <w:p w14:paraId="54E2B772">
            <w:pPr>
              <w:spacing w:before="111" w:line="195" w:lineRule="auto"/>
              <w:ind w:left="4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559" w:type="dxa"/>
            <w:vAlign w:val="top"/>
          </w:tcPr>
          <w:p w14:paraId="5A7CC006">
            <w:pPr>
              <w:spacing w:before="111" w:line="195" w:lineRule="auto"/>
              <w:ind w:left="501"/>
              <w:rPr>
                <w:rFonts w:ascii="Times New Roman" w:hAnsi="Times New Roman" w:eastAsia="Times New Roman" w:cs="Times New Roman"/>
                <w:sz w:val="20"/>
                <w:szCs w:val="20"/>
              </w:rPr>
            </w:pPr>
            <w:r>
              <w:rPr>
                <w:rFonts w:ascii="Times New Roman" w:hAnsi="Times New Roman" w:eastAsia="Times New Roman" w:cs="Times New Roman"/>
                <w:sz w:val="20"/>
                <w:szCs w:val="20"/>
              </w:rPr>
              <w:t>11.273</w:t>
            </w:r>
          </w:p>
        </w:tc>
        <w:tc>
          <w:tcPr>
            <w:tcW w:w="1559" w:type="dxa"/>
            <w:vAlign w:val="top"/>
          </w:tcPr>
          <w:p w14:paraId="028303FE">
            <w:pPr>
              <w:spacing w:before="111" w:line="195" w:lineRule="auto"/>
              <w:ind w:left="504"/>
              <w:rPr>
                <w:rFonts w:ascii="Times New Roman" w:hAnsi="Times New Roman" w:eastAsia="Times New Roman" w:cs="Times New Roman"/>
                <w:sz w:val="20"/>
                <w:szCs w:val="20"/>
              </w:rPr>
            </w:pPr>
            <w:r>
              <w:rPr>
                <w:rFonts w:ascii="Times New Roman" w:hAnsi="Times New Roman" w:eastAsia="Times New Roman" w:cs="Times New Roman"/>
                <w:sz w:val="20"/>
                <w:szCs w:val="20"/>
              </w:rPr>
              <w:t>11.155</w:t>
            </w:r>
          </w:p>
        </w:tc>
        <w:tc>
          <w:tcPr>
            <w:tcW w:w="1417" w:type="dxa"/>
            <w:vAlign w:val="top"/>
          </w:tcPr>
          <w:p w14:paraId="0F02D394">
            <w:pPr>
              <w:spacing w:before="111" w:line="195" w:lineRule="auto"/>
              <w:ind w:left="436"/>
              <w:rPr>
                <w:rFonts w:ascii="Times New Roman" w:hAnsi="Times New Roman" w:eastAsia="Times New Roman" w:cs="Times New Roman"/>
                <w:sz w:val="20"/>
                <w:szCs w:val="20"/>
              </w:rPr>
            </w:pPr>
            <w:r>
              <w:rPr>
                <w:rFonts w:ascii="Times New Roman" w:hAnsi="Times New Roman" w:eastAsia="Times New Roman" w:cs="Times New Roman"/>
                <w:sz w:val="20"/>
                <w:szCs w:val="20"/>
              </w:rPr>
              <w:t>10.960</w:t>
            </w:r>
          </w:p>
        </w:tc>
        <w:tc>
          <w:tcPr>
            <w:tcW w:w="1417" w:type="dxa"/>
            <w:vAlign w:val="top"/>
          </w:tcPr>
          <w:p w14:paraId="4CB6B5F9">
            <w:pPr>
              <w:spacing w:before="111"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10.2489652</w:t>
            </w:r>
          </w:p>
        </w:tc>
        <w:tc>
          <w:tcPr>
            <w:tcW w:w="1417" w:type="dxa"/>
            <w:vAlign w:val="top"/>
          </w:tcPr>
          <w:p w14:paraId="765C3B8E">
            <w:pPr>
              <w:spacing w:before="111" w:line="195"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9.1593563</w:t>
            </w:r>
          </w:p>
        </w:tc>
        <w:tc>
          <w:tcPr>
            <w:tcW w:w="1418" w:type="dxa"/>
            <w:vAlign w:val="top"/>
          </w:tcPr>
          <w:p w14:paraId="3B29ECA5">
            <w:pPr>
              <w:spacing w:before="111"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8.9337488</w:t>
            </w:r>
          </w:p>
        </w:tc>
        <w:tc>
          <w:tcPr>
            <w:tcW w:w="1418" w:type="dxa"/>
            <w:vAlign w:val="top"/>
          </w:tcPr>
          <w:p w14:paraId="7549D5E3">
            <w:pPr>
              <w:spacing w:before="111"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8.9200015</w:t>
            </w:r>
          </w:p>
        </w:tc>
        <w:tc>
          <w:tcPr>
            <w:tcW w:w="1418" w:type="dxa"/>
            <w:vAlign w:val="top"/>
          </w:tcPr>
          <w:p w14:paraId="434829B7">
            <w:pPr>
              <w:spacing w:before="111"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32" w:type="dxa"/>
            <w:tcBorders>
              <w:right w:val="single" w:color="000000" w:sz="10" w:space="0"/>
            </w:tcBorders>
            <w:vAlign w:val="top"/>
          </w:tcPr>
          <w:p w14:paraId="1014B938">
            <w:pPr>
              <w:spacing w:before="111"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079C8D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70" w:type="dxa"/>
            <w:tcBorders>
              <w:left w:val="single" w:color="000000" w:sz="10" w:space="0"/>
            </w:tcBorders>
            <w:vAlign w:val="top"/>
          </w:tcPr>
          <w:p w14:paraId="25DAB5FA">
            <w:pPr>
              <w:spacing w:before="112"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559" w:type="dxa"/>
            <w:vAlign w:val="top"/>
          </w:tcPr>
          <w:p w14:paraId="741CAF86">
            <w:pPr>
              <w:spacing w:before="112" w:line="195" w:lineRule="auto"/>
              <w:ind w:left="501"/>
              <w:rPr>
                <w:rFonts w:ascii="Times New Roman" w:hAnsi="Times New Roman" w:eastAsia="Times New Roman" w:cs="Times New Roman"/>
                <w:sz w:val="20"/>
                <w:szCs w:val="20"/>
              </w:rPr>
            </w:pPr>
            <w:r>
              <w:rPr>
                <w:rFonts w:ascii="Times New Roman" w:hAnsi="Times New Roman" w:eastAsia="Times New Roman" w:cs="Times New Roman"/>
                <w:sz w:val="20"/>
                <w:szCs w:val="20"/>
              </w:rPr>
              <w:t>10.840</w:t>
            </w:r>
          </w:p>
        </w:tc>
        <w:tc>
          <w:tcPr>
            <w:tcW w:w="1559" w:type="dxa"/>
            <w:vAlign w:val="top"/>
          </w:tcPr>
          <w:p w14:paraId="73DB9386">
            <w:pPr>
              <w:spacing w:before="112" w:line="195" w:lineRule="auto"/>
              <w:ind w:left="504"/>
              <w:rPr>
                <w:rFonts w:ascii="Times New Roman" w:hAnsi="Times New Roman" w:eastAsia="Times New Roman" w:cs="Times New Roman"/>
                <w:sz w:val="20"/>
                <w:szCs w:val="20"/>
              </w:rPr>
            </w:pPr>
            <w:r>
              <w:rPr>
                <w:rFonts w:ascii="Times New Roman" w:hAnsi="Times New Roman" w:eastAsia="Times New Roman" w:cs="Times New Roman"/>
                <w:sz w:val="20"/>
                <w:szCs w:val="20"/>
              </w:rPr>
              <w:t>10.775</w:t>
            </w:r>
          </w:p>
        </w:tc>
        <w:tc>
          <w:tcPr>
            <w:tcW w:w="1417" w:type="dxa"/>
            <w:vAlign w:val="top"/>
          </w:tcPr>
          <w:p w14:paraId="53AFDC9A">
            <w:pPr>
              <w:spacing w:before="112" w:line="195" w:lineRule="auto"/>
              <w:ind w:left="436"/>
              <w:rPr>
                <w:rFonts w:ascii="Times New Roman" w:hAnsi="Times New Roman" w:eastAsia="Times New Roman" w:cs="Times New Roman"/>
                <w:sz w:val="20"/>
                <w:szCs w:val="20"/>
              </w:rPr>
            </w:pPr>
            <w:r>
              <w:rPr>
                <w:rFonts w:ascii="Times New Roman" w:hAnsi="Times New Roman" w:eastAsia="Times New Roman" w:cs="Times New Roman"/>
                <w:sz w:val="20"/>
                <w:szCs w:val="20"/>
              </w:rPr>
              <w:t>10.666</w:t>
            </w:r>
          </w:p>
        </w:tc>
        <w:tc>
          <w:tcPr>
            <w:tcW w:w="1417" w:type="dxa"/>
            <w:vAlign w:val="top"/>
          </w:tcPr>
          <w:p w14:paraId="5CD7B64D">
            <w:pPr>
              <w:spacing w:before="112"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10.2318963</w:t>
            </w:r>
          </w:p>
        </w:tc>
        <w:tc>
          <w:tcPr>
            <w:tcW w:w="1417" w:type="dxa"/>
            <w:vAlign w:val="top"/>
          </w:tcPr>
          <w:p w14:paraId="48B4C977">
            <w:pPr>
              <w:spacing w:before="112" w:line="195"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9.3383955</w:t>
            </w:r>
          </w:p>
        </w:tc>
        <w:tc>
          <w:tcPr>
            <w:tcW w:w="1418" w:type="dxa"/>
            <w:vAlign w:val="top"/>
          </w:tcPr>
          <w:p w14:paraId="28A83C46">
            <w:pPr>
              <w:spacing w:before="112" w:line="195" w:lineRule="auto"/>
              <w:ind w:left="2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8.9822873</w:t>
            </w:r>
          </w:p>
        </w:tc>
        <w:tc>
          <w:tcPr>
            <w:tcW w:w="1418" w:type="dxa"/>
            <w:vAlign w:val="top"/>
          </w:tcPr>
          <w:p w14:paraId="54D9BCF9">
            <w:pPr>
              <w:spacing w:before="112"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8.9201404</w:t>
            </w:r>
          </w:p>
        </w:tc>
        <w:tc>
          <w:tcPr>
            <w:tcW w:w="1418" w:type="dxa"/>
            <w:vAlign w:val="top"/>
          </w:tcPr>
          <w:p w14:paraId="673FB693">
            <w:pPr>
              <w:spacing w:before="112"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32" w:type="dxa"/>
            <w:tcBorders>
              <w:right w:val="single" w:color="000000" w:sz="10" w:space="0"/>
            </w:tcBorders>
            <w:vAlign w:val="top"/>
          </w:tcPr>
          <w:p w14:paraId="46525C16">
            <w:pPr>
              <w:spacing w:before="112"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4E783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70" w:type="dxa"/>
            <w:tcBorders>
              <w:left w:val="single" w:color="000000" w:sz="10" w:space="0"/>
            </w:tcBorders>
            <w:vAlign w:val="top"/>
          </w:tcPr>
          <w:p w14:paraId="6FBA43D7">
            <w:pPr>
              <w:spacing w:before="111" w:line="195" w:lineRule="auto"/>
              <w:ind w:left="4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1559" w:type="dxa"/>
            <w:vAlign w:val="top"/>
          </w:tcPr>
          <w:p w14:paraId="4EB1E9B7">
            <w:pPr>
              <w:spacing w:before="111" w:line="195" w:lineRule="auto"/>
              <w:ind w:left="501"/>
              <w:rPr>
                <w:rFonts w:ascii="Times New Roman" w:hAnsi="Times New Roman" w:eastAsia="Times New Roman" w:cs="Times New Roman"/>
                <w:sz w:val="20"/>
                <w:szCs w:val="20"/>
              </w:rPr>
            </w:pPr>
            <w:r>
              <w:rPr>
                <w:rFonts w:ascii="Times New Roman" w:hAnsi="Times New Roman" w:eastAsia="Times New Roman" w:cs="Times New Roman"/>
                <w:sz w:val="20"/>
                <w:szCs w:val="20"/>
              </w:rPr>
              <w:t>10.582</w:t>
            </w:r>
          </w:p>
        </w:tc>
        <w:tc>
          <w:tcPr>
            <w:tcW w:w="1559" w:type="dxa"/>
            <w:vAlign w:val="top"/>
          </w:tcPr>
          <w:p w14:paraId="7F8468B5">
            <w:pPr>
              <w:spacing w:before="111" w:line="195" w:lineRule="auto"/>
              <w:ind w:left="504"/>
              <w:rPr>
                <w:rFonts w:ascii="Times New Roman" w:hAnsi="Times New Roman" w:eastAsia="Times New Roman" w:cs="Times New Roman"/>
                <w:sz w:val="20"/>
                <w:szCs w:val="20"/>
              </w:rPr>
            </w:pPr>
            <w:r>
              <w:rPr>
                <w:rFonts w:ascii="Times New Roman" w:hAnsi="Times New Roman" w:eastAsia="Times New Roman" w:cs="Times New Roman"/>
                <w:sz w:val="20"/>
                <w:szCs w:val="20"/>
              </w:rPr>
              <w:t>10.540</w:t>
            </w:r>
          </w:p>
        </w:tc>
        <w:tc>
          <w:tcPr>
            <w:tcW w:w="1417" w:type="dxa"/>
            <w:vAlign w:val="top"/>
          </w:tcPr>
          <w:p w14:paraId="504A34AA">
            <w:pPr>
              <w:spacing w:before="111" w:line="195" w:lineRule="auto"/>
              <w:ind w:left="436"/>
              <w:rPr>
                <w:rFonts w:ascii="Times New Roman" w:hAnsi="Times New Roman" w:eastAsia="Times New Roman" w:cs="Times New Roman"/>
                <w:sz w:val="20"/>
                <w:szCs w:val="20"/>
              </w:rPr>
            </w:pPr>
            <w:r>
              <w:rPr>
                <w:rFonts w:ascii="Times New Roman" w:hAnsi="Times New Roman" w:eastAsia="Times New Roman" w:cs="Times New Roman"/>
                <w:sz w:val="20"/>
                <w:szCs w:val="20"/>
              </w:rPr>
              <w:t>10.467</w:t>
            </w:r>
          </w:p>
        </w:tc>
        <w:tc>
          <w:tcPr>
            <w:tcW w:w="1417" w:type="dxa"/>
            <w:vAlign w:val="top"/>
          </w:tcPr>
          <w:p w14:paraId="52B6D716">
            <w:pPr>
              <w:spacing w:before="111"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10.1688270</w:t>
            </w:r>
          </w:p>
        </w:tc>
        <w:tc>
          <w:tcPr>
            <w:tcW w:w="1417" w:type="dxa"/>
            <w:vAlign w:val="top"/>
          </w:tcPr>
          <w:p w14:paraId="21CDC3FE">
            <w:pPr>
              <w:spacing w:before="111" w:line="195"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9.4499903</w:t>
            </w:r>
          </w:p>
        </w:tc>
        <w:tc>
          <w:tcPr>
            <w:tcW w:w="1418" w:type="dxa"/>
            <w:vAlign w:val="top"/>
          </w:tcPr>
          <w:p w14:paraId="7F0795B9">
            <w:pPr>
              <w:spacing w:before="111"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9.0470215</w:t>
            </w:r>
          </w:p>
        </w:tc>
        <w:tc>
          <w:tcPr>
            <w:tcW w:w="1418" w:type="dxa"/>
            <w:vAlign w:val="top"/>
          </w:tcPr>
          <w:p w14:paraId="67E5F18A">
            <w:pPr>
              <w:spacing w:before="111"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8.9213141</w:t>
            </w:r>
          </w:p>
        </w:tc>
        <w:tc>
          <w:tcPr>
            <w:tcW w:w="1418" w:type="dxa"/>
            <w:vAlign w:val="top"/>
          </w:tcPr>
          <w:p w14:paraId="57EF9FC4">
            <w:pPr>
              <w:spacing w:before="111"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32" w:type="dxa"/>
            <w:tcBorders>
              <w:right w:val="single" w:color="000000" w:sz="10" w:space="0"/>
            </w:tcBorders>
            <w:vAlign w:val="top"/>
          </w:tcPr>
          <w:p w14:paraId="14A9F269">
            <w:pPr>
              <w:spacing w:before="111"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44E50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70" w:type="dxa"/>
            <w:tcBorders>
              <w:left w:val="single" w:color="000000" w:sz="10" w:space="0"/>
            </w:tcBorders>
            <w:vAlign w:val="top"/>
          </w:tcPr>
          <w:p w14:paraId="374DFA16">
            <w:pPr>
              <w:spacing w:before="112"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559" w:type="dxa"/>
            <w:vAlign w:val="top"/>
          </w:tcPr>
          <w:p w14:paraId="7783A576">
            <w:pPr>
              <w:spacing w:before="112" w:line="195" w:lineRule="auto"/>
              <w:ind w:left="501"/>
              <w:rPr>
                <w:rFonts w:ascii="Times New Roman" w:hAnsi="Times New Roman" w:eastAsia="Times New Roman" w:cs="Times New Roman"/>
                <w:sz w:val="20"/>
                <w:szCs w:val="20"/>
              </w:rPr>
            </w:pPr>
            <w:r>
              <w:rPr>
                <w:rFonts w:ascii="Times New Roman" w:hAnsi="Times New Roman" w:eastAsia="Times New Roman" w:cs="Times New Roman"/>
                <w:sz w:val="20"/>
                <w:szCs w:val="20"/>
              </w:rPr>
              <w:t>10.405</w:t>
            </w:r>
          </w:p>
        </w:tc>
        <w:tc>
          <w:tcPr>
            <w:tcW w:w="1559" w:type="dxa"/>
            <w:vAlign w:val="top"/>
          </w:tcPr>
          <w:p w14:paraId="75835294">
            <w:pPr>
              <w:spacing w:before="112" w:line="195" w:lineRule="auto"/>
              <w:ind w:left="504"/>
              <w:rPr>
                <w:rFonts w:ascii="Times New Roman" w:hAnsi="Times New Roman" w:eastAsia="Times New Roman" w:cs="Times New Roman"/>
                <w:sz w:val="20"/>
                <w:szCs w:val="20"/>
              </w:rPr>
            </w:pPr>
            <w:r>
              <w:rPr>
                <w:rFonts w:ascii="Times New Roman" w:hAnsi="Times New Roman" w:eastAsia="Times New Roman" w:cs="Times New Roman"/>
                <w:sz w:val="20"/>
                <w:szCs w:val="20"/>
              </w:rPr>
              <w:t>10.375</w:t>
            </w:r>
          </w:p>
        </w:tc>
        <w:tc>
          <w:tcPr>
            <w:tcW w:w="1417" w:type="dxa"/>
            <w:vAlign w:val="top"/>
          </w:tcPr>
          <w:p w14:paraId="4B20BC2C">
            <w:pPr>
              <w:spacing w:before="112" w:line="195" w:lineRule="auto"/>
              <w:ind w:left="436"/>
              <w:rPr>
                <w:rFonts w:ascii="Times New Roman" w:hAnsi="Times New Roman" w:eastAsia="Times New Roman" w:cs="Times New Roman"/>
                <w:sz w:val="20"/>
                <w:szCs w:val="20"/>
              </w:rPr>
            </w:pPr>
            <w:r>
              <w:rPr>
                <w:rFonts w:ascii="Times New Roman" w:hAnsi="Times New Roman" w:eastAsia="Times New Roman" w:cs="Times New Roman"/>
                <w:sz w:val="20"/>
                <w:szCs w:val="20"/>
              </w:rPr>
              <w:t>10.323</w:t>
            </w:r>
          </w:p>
        </w:tc>
        <w:tc>
          <w:tcPr>
            <w:tcW w:w="1417" w:type="dxa"/>
            <w:vAlign w:val="top"/>
          </w:tcPr>
          <w:p w14:paraId="1DB28CFC">
            <w:pPr>
              <w:spacing w:before="112"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10.1018862</w:t>
            </w:r>
          </w:p>
        </w:tc>
        <w:tc>
          <w:tcPr>
            <w:tcW w:w="1417" w:type="dxa"/>
            <w:vAlign w:val="top"/>
          </w:tcPr>
          <w:p w14:paraId="415B3446">
            <w:pPr>
              <w:spacing w:before="112" w:line="195"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9.5153717</w:t>
            </w:r>
          </w:p>
        </w:tc>
        <w:tc>
          <w:tcPr>
            <w:tcW w:w="1418" w:type="dxa"/>
            <w:vAlign w:val="top"/>
          </w:tcPr>
          <w:p w14:paraId="7B083E66">
            <w:pPr>
              <w:spacing w:before="112"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9.1098785</w:t>
            </w:r>
          </w:p>
        </w:tc>
        <w:tc>
          <w:tcPr>
            <w:tcW w:w="1418" w:type="dxa"/>
            <w:vAlign w:val="top"/>
          </w:tcPr>
          <w:p w14:paraId="32A8114B">
            <w:pPr>
              <w:spacing w:before="112"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8.9249009</w:t>
            </w:r>
          </w:p>
        </w:tc>
        <w:tc>
          <w:tcPr>
            <w:tcW w:w="1418" w:type="dxa"/>
            <w:vAlign w:val="top"/>
          </w:tcPr>
          <w:p w14:paraId="73F354CC">
            <w:pPr>
              <w:spacing w:before="112"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8.9200007</w:t>
            </w:r>
          </w:p>
        </w:tc>
        <w:tc>
          <w:tcPr>
            <w:tcW w:w="1432" w:type="dxa"/>
            <w:tcBorders>
              <w:right w:val="single" w:color="000000" w:sz="10" w:space="0"/>
            </w:tcBorders>
            <w:vAlign w:val="top"/>
          </w:tcPr>
          <w:p w14:paraId="64D2E211">
            <w:pPr>
              <w:spacing w:before="112"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7102DC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70" w:type="dxa"/>
            <w:tcBorders>
              <w:left w:val="single" w:color="000000" w:sz="10" w:space="0"/>
            </w:tcBorders>
            <w:vAlign w:val="top"/>
          </w:tcPr>
          <w:p w14:paraId="3E270FD0">
            <w:pPr>
              <w:spacing w:before="113"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1559" w:type="dxa"/>
            <w:vAlign w:val="top"/>
          </w:tcPr>
          <w:p w14:paraId="2F6A9DD3">
            <w:pPr>
              <w:spacing w:before="113" w:line="195" w:lineRule="auto"/>
              <w:ind w:left="501"/>
              <w:rPr>
                <w:rFonts w:ascii="Times New Roman" w:hAnsi="Times New Roman" w:eastAsia="Times New Roman" w:cs="Times New Roman"/>
                <w:sz w:val="20"/>
                <w:szCs w:val="20"/>
              </w:rPr>
            </w:pPr>
            <w:r>
              <w:rPr>
                <w:rFonts w:ascii="Times New Roman" w:hAnsi="Times New Roman" w:eastAsia="Times New Roman" w:cs="Times New Roman"/>
                <w:sz w:val="20"/>
                <w:szCs w:val="20"/>
              </w:rPr>
              <w:t>10.275</w:t>
            </w:r>
          </w:p>
        </w:tc>
        <w:tc>
          <w:tcPr>
            <w:tcW w:w="1559" w:type="dxa"/>
            <w:vAlign w:val="top"/>
          </w:tcPr>
          <w:p w14:paraId="68E7A042">
            <w:pPr>
              <w:spacing w:before="113" w:line="195" w:lineRule="auto"/>
              <w:ind w:left="504"/>
              <w:rPr>
                <w:rFonts w:ascii="Times New Roman" w:hAnsi="Times New Roman" w:eastAsia="Times New Roman" w:cs="Times New Roman"/>
                <w:sz w:val="20"/>
                <w:szCs w:val="20"/>
              </w:rPr>
            </w:pPr>
            <w:r>
              <w:rPr>
                <w:rFonts w:ascii="Times New Roman" w:hAnsi="Times New Roman" w:eastAsia="Times New Roman" w:cs="Times New Roman"/>
                <w:sz w:val="20"/>
                <w:szCs w:val="20"/>
              </w:rPr>
              <w:t>10.252</w:t>
            </w:r>
          </w:p>
        </w:tc>
        <w:tc>
          <w:tcPr>
            <w:tcW w:w="1417" w:type="dxa"/>
            <w:vAlign w:val="top"/>
          </w:tcPr>
          <w:p w14:paraId="4937F05D">
            <w:pPr>
              <w:spacing w:before="113" w:line="195" w:lineRule="auto"/>
              <w:ind w:left="436"/>
              <w:rPr>
                <w:rFonts w:ascii="Times New Roman" w:hAnsi="Times New Roman" w:eastAsia="Times New Roman" w:cs="Times New Roman"/>
                <w:sz w:val="20"/>
                <w:szCs w:val="20"/>
              </w:rPr>
            </w:pPr>
            <w:r>
              <w:rPr>
                <w:rFonts w:ascii="Times New Roman" w:hAnsi="Times New Roman" w:eastAsia="Times New Roman" w:cs="Times New Roman"/>
                <w:sz w:val="20"/>
                <w:szCs w:val="20"/>
              </w:rPr>
              <w:t>10.212</w:t>
            </w:r>
          </w:p>
        </w:tc>
        <w:tc>
          <w:tcPr>
            <w:tcW w:w="1417" w:type="dxa"/>
            <w:vAlign w:val="top"/>
          </w:tcPr>
          <w:p w14:paraId="59A0B088">
            <w:pPr>
              <w:spacing w:before="113"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10.0400607</w:t>
            </w:r>
          </w:p>
        </w:tc>
        <w:tc>
          <w:tcPr>
            <w:tcW w:w="1417" w:type="dxa"/>
            <w:vAlign w:val="top"/>
          </w:tcPr>
          <w:p w14:paraId="6C4E901A">
            <w:pPr>
              <w:spacing w:before="113" w:line="195"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9.5525361</w:t>
            </w:r>
          </w:p>
        </w:tc>
        <w:tc>
          <w:tcPr>
            <w:tcW w:w="1418" w:type="dxa"/>
            <w:vAlign w:val="top"/>
          </w:tcPr>
          <w:p w14:paraId="78FEDF01">
            <w:pPr>
              <w:spacing w:before="113"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9.1640572</w:t>
            </w:r>
          </w:p>
        </w:tc>
        <w:tc>
          <w:tcPr>
            <w:tcW w:w="1418" w:type="dxa"/>
            <w:vAlign w:val="top"/>
          </w:tcPr>
          <w:p w14:paraId="2CF32034">
            <w:pPr>
              <w:spacing w:before="113"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8.9315875</w:t>
            </w:r>
          </w:p>
        </w:tc>
        <w:tc>
          <w:tcPr>
            <w:tcW w:w="1418" w:type="dxa"/>
            <w:vAlign w:val="top"/>
          </w:tcPr>
          <w:p w14:paraId="12430A31">
            <w:pPr>
              <w:spacing w:before="113"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8.9200069</w:t>
            </w:r>
          </w:p>
        </w:tc>
        <w:tc>
          <w:tcPr>
            <w:tcW w:w="1432" w:type="dxa"/>
            <w:tcBorders>
              <w:right w:val="single" w:color="000000" w:sz="10" w:space="0"/>
            </w:tcBorders>
            <w:vAlign w:val="top"/>
          </w:tcPr>
          <w:p w14:paraId="7B8096C9">
            <w:pPr>
              <w:spacing w:before="113"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5D090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70" w:type="dxa"/>
            <w:tcBorders>
              <w:left w:val="single" w:color="000000" w:sz="10" w:space="0"/>
            </w:tcBorders>
            <w:vAlign w:val="top"/>
          </w:tcPr>
          <w:p w14:paraId="3F764A70">
            <w:pPr>
              <w:spacing w:before="114"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700</w:t>
            </w:r>
          </w:p>
        </w:tc>
        <w:tc>
          <w:tcPr>
            <w:tcW w:w="1559" w:type="dxa"/>
            <w:vAlign w:val="top"/>
          </w:tcPr>
          <w:p w14:paraId="76809F59">
            <w:pPr>
              <w:spacing w:before="114" w:line="195" w:lineRule="auto"/>
              <w:ind w:left="501"/>
              <w:rPr>
                <w:rFonts w:ascii="Times New Roman" w:hAnsi="Times New Roman" w:eastAsia="Times New Roman" w:cs="Times New Roman"/>
                <w:sz w:val="20"/>
                <w:szCs w:val="20"/>
              </w:rPr>
            </w:pPr>
            <w:r>
              <w:rPr>
                <w:rFonts w:ascii="Times New Roman" w:hAnsi="Times New Roman" w:eastAsia="Times New Roman" w:cs="Times New Roman"/>
                <w:sz w:val="20"/>
                <w:szCs w:val="20"/>
              </w:rPr>
              <w:t>10.174</w:t>
            </w:r>
          </w:p>
        </w:tc>
        <w:tc>
          <w:tcPr>
            <w:tcW w:w="1559" w:type="dxa"/>
            <w:vAlign w:val="top"/>
          </w:tcPr>
          <w:p w14:paraId="029518B3">
            <w:pPr>
              <w:spacing w:before="114" w:line="195" w:lineRule="auto"/>
              <w:ind w:left="504"/>
              <w:rPr>
                <w:rFonts w:ascii="Times New Roman" w:hAnsi="Times New Roman" w:eastAsia="Times New Roman" w:cs="Times New Roman"/>
                <w:sz w:val="20"/>
                <w:szCs w:val="20"/>
              </w:rPr>
            </w:pPr>
            <w:r>
              <w:rPr>
                <w:rFonts w:ascii="Times New Roman" w:hAnsi="Times New Roman" w:eastAsia="Times New Roman" w:cs="Times New Roman"/>
                <w:sz w:val="20"/>
                <w:szCs w:val="20"/>
              </w:rPr>
              <w:t>10.155</w:t>
            </w:r>
          </w:p>
        </w:tc>
        <w:tc>
          <w:tcPr>
            <w:tcW w:w="1417" w:type="dxa"/>
            <w:vAlign w:val="top"/>
          </w:tcPr>
          <w:p w14:paraId="2DB3D6C5">
            <w:pPr>
              <w:spacing w:before="114" w:line="195" w:lineRule="auto"/>
              <w:ind w:left="4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10.124</w:t>
            </w:r>
          </w:p>
        </w:tc>
        <w:tc>
          <w:tcPr>
            <w:tcW w:w="1417" w:type="dxa"/>
            <w:vAlign w:val="top"/>
          </w:tcPr>
          <w:p w14:paraId="7883FCCE">
            <w:pPr>
              <w:spacing w:before="114"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9.9848732</w:t>
            </w:r>
          </w:p>
        </w:tc>
        <w:tc>
          <w:tcPr>
            <w:tcW w:w="1417" w:type="dxa"/>
            <w:vAlign w:val="top"/>
          </w:tcPr>
          <w:p w14:paraId="526D1145">
            <w:pPr>
              <w:spacing w:before="114" w:line="195"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9.5725181</w:t>
            </w:r>
          </w:p>
        </w:tc>
        <w:tc>
          <w:tcPr>
            <w:tcW w:w="1418" w:type="dxa"/>
            <w:vAlign w:val="top"/>
          </w:tcPr>
          <w:p w14:paraId="0485E993">
            <w:pPr>
              <w:spacing w:before="114"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9.2084587</w:t>
            </w:r>
          </w:p>
        </w:tc>
        <w:tc>
          <w:tcPr>
            <w:tcW w:w="1418" w:type="dxa"/>
            <w:vAlign w:val="top"/>
          </w:tcPr>
          <w:p w14:paraId="78B7DFF9">
            <w:pPr>
              <w:spacing w:before="114"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8.9411668</w:t>
            </w:r>
          </w:p>
        </w:tc>
        <w:tc>
          <w:tcPr>
            <w:tcW w:w="1418" w:type="dxa"/>
            <w:vAlign w:val="top"/>
          </w:tcPr>
          <w:p w14:paraId="58C1B740">
            <w:pPr>
              <w:spacing w:before="114"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8.9200363</w:t>
            </w:r>
          </w:p>
        </w:tc>
        <w:tc>
          <w:tcPr>
            <w:tcW w:w="1432" w:type="dxa"/>
            <w:tcBorders>
              <w:right w:val="single" w:color="000000" w:sz="10" w:space="0"/>
            </w:tcBorders>
            <w:vAlign w:val="top"/>
          </w:tcPr>
          <w:p w14:paraId="03A2CF3E">
            <w:pPr>
              <w:spacing w:before="114"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286CA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70" w:type="dxa"/>
            <w:tcBorders>
              <w:left w:val="single" w:color="000000" w:sz="10" w:space="0"/>
            </w:tcBorders>
            <w:vAlign w:val="top"/>
          </w:tcPr>
          <w:p w14:paraId="43522747">
            <w:pPr>
              <w:spacing w:before="115" w:line="195" w:lineRule="auto"/>
              <w:ind w:left="423"/>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c>
          <w:tcPr>
            <w:tcW w:w="1559" w:type="dxa"/>
            <w:vAlign w:val="top"/>
          </w:tcPr>
          <w:p w14:paraId="6CF05436">
            <w:pPr>
              <w:spacing w:before="115" w:line="195" w:lineRule="auto"/>
              <w:ind w:left="501"/>
              <w:rPr>
                <w:rFonts w:ascii="Times New Roman" w:hAnsi="Times New Roman" w:eastAsia="Times New Roman" w:cs="Times New Roman"/>
                <w:sz w:val="20"/>
                <w:szCs w:val="20"/>
              </w:rPr>
            </w:pPr>
            <w:r>
              <w:rPr>
                <w:rFonts w:ascii="Times New Roman" w:hAnsi="Times New Roman" w:eastAsia="Times New Roman" w:cs="Times New Roman"/>
                <w:sz w:val="20"/>
                <w:szCs w:val="20"/>
              </w:rPr>
              <w:t>10.092</w:t>
            </w:r>
          </w:p>
        </w:tc>
        <w:tc>
          <w:tcPr>
            <w:tcW w:w="1559" w:type="dxa"/>
            <w:vAlign w:val="top"/>
          </w:tcPr>
          <w:p w14:paraId="2F90B926">
            <w:pPr>
              <w:spacing w:before="115" w:line="195" w:lineRule="auto"/>
              <w:ind w:left="504"/>
              <w:rPr>
                <w:rFonts w:ascii="Times New Roman" w:hAnsi="Times New Roman" w:eastAsia="Times New Roman" w:cs="Times New Roman"/>
                <w:sz w:val="20"/>
                <w:szCs w:val="20"/>
              </w:rPr>
            </w:pPr>
            <w:r>
              <w:rPr>
                <w:rFonts w:ascii="Times New Roman" w:hAnsi="Times New Roman" w:eastAsia="Times New Roman" w:cs="Times New Roman"/>
                <w:sz w:val="20"/>
                <w:szCs w:val="20"/>
              </w:rPr>
              <w:t>10.077</w:t>
            </w:r>
          </w:p>
        </w:tc>
        <w:tc>
          <w:tcPr>
            <w:tcW w:w="1417" w:type="dxa"/>
            <w:vAlign w:val="top"/>
          </w:tcPr>
          <w:p w14:paraId="49A3A41E">
            <w:pPr>
              <w:spacing w:before="115" w:line="195" w:lineRule="auto"/>
              <w:ind w:left="436"/>
              <w:rPr>
                <w:rFonts w:ascii="Times New Roman" w:hAnsi="Times New Roman" w:eastAsia="Times New Roman" w:cs="Times New Roman"/>
                <w:sz w:val="20"/>
                <w:szCs w:val="20"/>
              </w:rPr>
            </w:pPr>
            <w:r>
              <w:rPr>
                <w:rFonts w:ascii="Times New Roman" w:hAnsi="Times New Roman" w:eastAsia="Times New Roman" w:cs="Times New Roman"/>
                <w:sz w:val="20"/>
                <w:szCs w:val="20"/>
              </w:rPr>
              <w:t>10.051</w:t>
            </w:r>
          </w:p>
        </w:tc>
        <w:tc>
          <w:tcPr>
            <w:tcW w:w="1417" w:type="dxa"/>
            <w:vAlign w:val="top"/>
          </w:tcPr>
          <w:p w14:paraId="46402430">
            <w:pPr>
              <w:spacing w:before="115"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9.9359619</w:t>
            </w:r>
          </w:p>
        </w:tc>
        <w:tc>
          <w:tcPr>
            <w:tcW w:w="1417" w:type="dxa"/>
            <w:vAlign w:val="top"/>
          </w:tcPr>
          <w:p w14:paraId="11838D6B">
            <w:pPr>
              <w:spacing w:before="115" w:line="195"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9.5818510</w:t>
            </w:r>
          </w:p>
        </w:tc>
        <w:tc>
          <w:tcPr>
            <w:tcW w:w="1418" w:type="dxa"/>
            <w:vAlign w:val="top"/>
          </w:tcPr>
          <w:p w14:paraId="573268A9">
            <w:pPr>
              <w:spacing w:before="115"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9.2440149</w:t>
            </w:r>
          </w:p>
        </w:tc>
        <w:tc>
          <w:tcPr>
            <w:tcW w:w="1418" w:type="dxa"/>
            <w:vAlign w:val="top"/>
          </w:tcPr>
          <w:p w14:paraId="72076BC1">
            <w:pPr>
              <w:spacing w:before="115"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8.9529564</w:t>
            </w:r>
          </w:p>
        </w:tc>
        <w:tc>
          <w:tcPr>
            <w:tcW w:w="1418" w:type="dxa"/>
            <w:vAlign w:val="top"/>
          </w:tcPr>
          <w:p w14:paraId="4CDDA8A4">
            <w:pPr>
              <w:spacing w:before="115"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8.9201254</w:t>
            </w:r>
          </w:p>
        </w:tc>
        <w:tc>
          <w:tcPr>
            <w:tcW w:w="1432" w:type="dxa"/>
            <w:tcBorders>
              <w:right w:val="single" w:color="000000" w:sz="10" w:space="0"/>
            </w:tcBorders>
            <w:vAlign w:val="top"/>
          </w:tcPr>
          <w:p w14:paraId="4DBF1880">
            <w:pPr>
              <w:spacing w:before="115"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147BCE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70" w:type="dxa"/>
            <w:tcBorders>
              <w:left w:val="single" w:color="000000" w:sz="10" w:space="0"/>
            </w:tcBorders>
            <w:vAlign w:val="top"/>
          </w:tcPr>
          <w:p w14:paraId="401E49BD">
            <w:pPr>
              <w:spacing w:before="117" w:line="195" w:lineRule="auto"/>
              <w:ind w:left="4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900</w:t>
            </w:r>
          </w:p>
        </w:tc>
        <w:tc>
          <w:tcPr>
            <w:tcW w:w="1559" w:type="dxa"/>
            <w:vAlign w:val="top"/>
          </w:tcPr>
          <w:p w14:paraId="052C50A6">
            <w:pPr>
              <w:spacing w:before="117" w:line="195" w:lineRule="auto"/>
              <w:ind w:left="501"/>
              <w:rPr>
                <w:rFonts w:ascii="Times New Roman" w:hAnsi="Times New Roman" w:eastAsia="Times New Roman" w:cs="Times New Roman"/>
                <w:sz w:val="20"/>
                <w:szCs w:val="20"/>
              </w:rPr>
            </w:pPr>
            <w:r>
              <w:rPr>
                <w:rFonts w:ascii="Times New Roman" w:hAnsi="Times New Roman" w:eastAsia="Times New Roman" w:cs="Times New Roman"/>
                <w:sz w:val="20"/>
                <w:szCs w:val="20"/>
              </w:rPr>
              <w:t>10.024</w:t>
            </w:r>
          </w:p>
        </w:tc>
        <w:tc>
          <w:tcPr>
            <w:tcW w:w="1559" w:type="dxa"/>
            <w:vAlign w:val="top"/>
          </w:tcPr>
          <w:p w14:paraId="2B31215B">
            <w:pPr>
              <w:spacing w:before="117" w:line="195" w:lineRule="auto"/>
              <w:ind w:left="504"/>
              <w:rPr>
                <w:rFonts w:ascii="Times New Roman" w:hAnsi="Times New Roman" w:eastAsia="Times New Roman" w:cs="Times New Roman"/>
                <w:sz w:val="20"/>
                <w:szCs w:val="20"/>
              </w:rPr>
            </w:pPr>
            <w:r>
              <w:rPr>
                <w:rFonts w:ascii="Times New Roman" w:hAnsi="Times New Roman" w:eastAsia="Times New Roman" w:cs="Times New Roman"/>
                <w:sz w:val="20"/>
                <w:szCs w:val="20"/>
              </w:rPr>
              <w:t>10.012</w:t>
            </w:r>
          </w:p>
        </w:tc>
        <w:tc>
          <w:tcPr>
            <w:tcW w:w="1417" w:type="dxa"/>
            <w:vAlign w:val="top"/>
          </w:tcPr>
          <w:p w14:paraId="6A03D5FB">
            <w:pPr>
              <w:spacing w:before="117"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9.990</w:t>
            </w:r>
          </w:p>
        </w:tc>
        <w:tc>
          <w:tcPr>
            <w:tcW w:w="1417" w:type="dxa"/>
            <w:vAlign w:val="top"/>
          </w:tcPr>
          <w:p w14:paraId="7BF49DF6">
            <w:pPr>
              <w:spacing w:before="117"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9.8925393</w:t>
            </w:r>
          </w:p>
        </w:tc>
        <w:tc>
          <w:tcPr>
            <w:tcW w:w="1417" w:type="dxa"/>
            <w:vAlign w:val="top"/>
          </w:tcPr>
          <w:p w14:paraId="6365CC9F">
            <w:pPr>
              <w:spacing w:before="117" w:line="195"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9.5844612</w:t>
            </w:r>
          </w:p>
        </w:tc>
        <w:tc>
          <w:tcPr>
            <w:tcW w:w="1418" w:type="dxa"/>
            <w:vAlign w:val="top"/>
          </w:tcPr>
          <w:p w14:paraId="4DC28160">
            <w:pPr>
              <w:spacing w:before="117"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9.2721604</w:t>
            </w:r>
          </w:p>
        </w:tc>
        <w:tc>
          <w:tcPr>
            <w:tcW w:w="1418" w:type="dxa"/>
            <w:vAlign w:val="top"/>
          </w:tcPr>
          <w:p w14:paraId="1A86B1B5">
            <w:pPr>
              <w:spacing w:before="117"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8.9661750</w:t>
            </w:r>
          </w:p>
        </w:tc>
        <w:tc>
          <w:tcPr>
            <w:tcW w:w="1418" w:type="dxa"/>
            <w:vAlign w:val="top"/>
          </w:tcPr>
          <w:p w14:paraId="73D6C75C">
            <w:pPr>
              <w:spacing w:before="117"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8.9203264</w:t>
            </w:r>
          </w:p>
        </w:tc>
        <w:tc>
          <w:tcPr>
            <w:tcW w:w="1432" w:type="dxa"/>
            <w:tcBorders>
              <w:right w:val="single" w:color="000000" w:sz="10" w:space="0"/>
            </w:tcBorders>
            <w:vAlign w:val="top"/>
          </w:tcPr>
          <w:p w14:paraId="24980D72">
            <w:pPr>
              <w:spacing w:before="117"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3D916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70" w:type="dxa"/>
            <w:tcBorders>
              <w:left w:val="single" w:color="000000" w:sz="10" w:space="0"/>
            </w:tcBorders>
            <w:vAlign w:val="top"/>
          </w:tcPr>
          <w:p w14:paraId="1C47F57B">
            <w:pPr>
              <w:spacing w:before="118" w:line="195" w:lineRule="auto"/>
              <w:ind w:left="38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1000</w:t>
            </w:r>
          </w:p>
        </w:tc>
        <w:tc>
          <w:tcPr>
            <w:tcW w:w="1559" w:type="dxa"/>
            <w:vAlign w:val="top"/>
          </w:tcPr>
          <w:p w14:paraId="277F8FED">
            <w:pPr>
              <w:spacing w:before="118" w:line="195" w:lineRule="auto"/>
              <w:ind w:left="5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9.967</w:t>
            </w:r>
          </w:p>
        </w:tc>
        <w:tc>
          <w:tcPr>
            <w:tcW w:w="1559" w:type="dxa"/>
            <w:vAlign w:val="top"/>
          </w:tcPr>
          <w:p w14:paraId="06C0A175">
            <w:pPr>
              <w:spacing w:before="118" w:line="195" w:lineRule="auto"/>
              <w:ind w:left="5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9.956</w:t>
            </w:r>
          </w:p>
        </w:tc>
        <w:tc>
          <w:tcPr>
            <w:tcW w:w="1417" w:type="dxa"/>
            <w:vAlign w:val="top"/>
          </w:tcPr>
          <w:p w14:paraId="670D9B1D">
            <w:pPr>
              <w:spacing w:before="118"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9.937</w:t>
            </w:r>
          </w:p>
        </w:tc>
        <w:tc>
          <w:tcPr>
            <w:tcW w:w="1417" w:type="dxa"/>
            <w:vAlign w:val="top"/>
          </w:tcPr>
          <w:p w14:paraId="50B6E314">
            <w:pPr>
              <w:spacing w:before="11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9.8538040</w:t>
            </w:r>
          </w:p>
        </w:tc>
        <w:tc>
          <w:tcPr>
            <w:tcW w:w="1417" w:type="dxa"/>
            <w:vAlign w:val="top"/>
          </w:tcPr>
          <w:p w14:paraId="15D32CFF">
            <w:pPr>
              <w:spacing w:before="118" w:line="195"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9.5827687</w:t>
            </w:r>
          </w:p>
        </w:tc>
        <w:tc>
          <w:tcPr>
            <w:tcW w:w="1418" w:type="dxa"/>
            <w:vAlign w:val="top"/>
          </w:tcPr>
          <w:p w14:paraId="696FDE6D">
            <w:pPr>
              <w:spacing w:before="118"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9.2942879</w:t>
            </w:r>
          </w:p>
        </w:tc>
        <w:tc>
          <w:tcPr>
            <w:tcW w:w="1418" w:type="dxa"/>
            <w:vAlign w:val="top"/>
          </w:tcPr>
          <w:p w14:paraId="62B52C0A">
            <w:pPr>
              <w:spacing w:before="118"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8.9801320</w:t>
            </w:r>
          </w:p>
        </w:tc>
        <w:tc>
          <w:tcPr>
            <w:tcW w:w="1418" w:type="dxa"/>
            <w:vAlign w:val="top"/>
          </w:tcPr>
          <w:p w14:paraId="28822C97">
            <w:pPr>
              <w:spacing w:before="118"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8.9206974</w:t>
            </w:r>
          </w:p>
        </w:tc>
        <w:tc>
          <w:tcPr>
            <w:tcW w:w="1432" w:type="dxa"/>
            <w:tcBorders>
              <w:right w:val="single" w:color="000000" w:sz="10" w:space="0"/>
            </w:tcBorders>
            <w:vAlign w:val="top"/>
          </w:tcPr>
          <w:p w14:paraId="5D7A483C">
            <w:pPr>
              <w:spacing w:before="118"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8.9200001</w:t>
            </w:r>
          </w:p>
        </w:tc>
      </w:tr>
      <w:tr w14:paraId="4E0154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70" w:type="dxa"/>
            <w:tcBorders>
              <w:left w:val="single" w:color="000000" w:sz="10" w:space="0"/>
            </w:tcBorders>
            <w:vAlign w:val="top"/>
          </w:tcPr>
          <w:p w14:paraId="544CC860">
            <w:pPr>
              <w:spacing w:before="119" w:line="195" w:lineRule="auto"/>
              <w:ind w:left="38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1500</w:t>
            </w:r>
          </w:p>
        </w:tc>
        <w:tc>
          <w:tcPr>
            <w:tcW w:w="1559" w:type="dxa"/>
            <w:vAlign w:val="top"/>
          </w:tcPr>
          <w:p w14:paraId="67C1CAC7">
            <w:pPr>
              <w:spacing w:before="119" w:line="195" w:lineRule="auto"/>
              <w:ind w:left="5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9.772</w:t>
            </w:r>
          </w:p>
        </w:tc>
        <w:tc>
          <w:tcPr>
            <w:tcW w:w="1559" w:type="dxa"/>
            <w:vAlign w:val="top"/>
          </w:tcPr>
          <w:p w14:paraId="215CB187">
            <w:pPr>
              <w:spacing w:before="119" w:line="195" w:lineRule="auto"/>
              <w:ind w:left="5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9.766</w:t>
            </w:r>
          </w:p>
        </w:tc>
        <w:tc>
          <w:tcPr>
            <w:tcW w:w="1417" w:type="dxa"/>
            <w:vAlign w:val="top"/>
          </w:tcPr>
          <w:p w14:paraId="12CDAA21">
            <w:pPr>
              <w:spacing w:before="119"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9.756</w:t>
            </w:r>
          </w:p>
        </w:tc>
        <w:tc>
          <w:tcPr>
            <w:tcW w:w="1417" w:type="dxa"/>
            <w:vAlign w:val="top"/>
          </w:tcPr>
          <w:p w14:paraId="19F6DB9B">
            <w:pPr>
              <w:spacing w:before="119"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9.7094374</w:t>
            </w:r>
          </w:p>
        </w:tc>
        <w:tc>
          <w:tcPr>
            <w:tcW w:w="1417" w:type="dxa"/>
            <w:vAlign w:val="top"/>
          </w:tcPr>
          <w:p w14:paraId="7490BAEA">
            <w:pPr>
              <w:spacing w:before="119" w:line="195"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9.5481382</w:t>
            </w:r>
          </w:p>
        </w:tc>
        <w:tc>
          <w:tcPr>
            <w:tcW w:w="1418" w:type="dxa"/>
            <w:vAlign w:val="top"/>
          </w:tcPr>
          <w:p w14:paraId="1D9292A2">
            <w:pPr>
              <w:spacing w:before="119"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9.3491585</w:t>
            </w:r>
          </w:p>
        </w:tc>
        <w:tc>
          <w:tcPr>
            <w:tcW w:w="1418" w:type="dxa"/>
            <w:vAlign w:val="top"/>
          </w:tcPr>
          <w:p w14:paraId="1338C2B9">
            <w:pPr>
              <w:spacing w:before="119"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9.0468288</w:t>
            </w:r>
          </w:p>
        </w:tc>
        <w:tc>
          <w:tcPr>
            <w:tcW w:w="1418" w:type="dxa"/>
            <w:vAlign w:val="top"/>
          </w:tcPr>
          <w:p w14:paraId="303CC228">
            <w:pPr>
              <w:spacing w:before="119"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8.9264984</w:t>
            </w:r>
          </w:p>
        </w:tc>
        <w:tc>
          <w:tcPr>
            <w:tcW w:w="1432" w:type="dxa"/>
            <w:tcBorders>
              <w:right w:val="single" w:color="000000" w:sz="10" w:space="0"/>
            </w:tcBorders>
            <w:vAlign w:val="top"/>
          </w:tcPr>
          <w:p w14:paraId="54FB6EDD">
            <w:pPr>
              <w:spacing w:before="119"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8.9200146</w:t>
            </w:r>
          </w:p>
        </w:tc>
      </w:tr>
      <w:tr w14:paraId="7641BF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70" w:type="dxa"/>
            <w:tcBorders>
              <w:left w:val="single" w:color="000000" w:sz="10" w:space="0"/>
            </w:tcBorders>
            <w:vAlign w:val="top"/>
          </w:tcPr>
          <w:p w14:paraId="743C951A">
            <w:pPr>
              <w:spacing w:before="120"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w:t>
            </w:r>
          </w:p>
        </w:tc>
        <w:tc>
          <w:tcPr>
            <w:tcW w:w="1559" w:type="dxa"/>
            <w:vAlign w:val="top"/>
          </w:tcPr>
          <w:p w14:paraId="0A2A9FBC">
            <w:pPr>
              <w:spacing w:before="120" w:line="195" w:lineRule="auto"/>
              <w:ind w:left="5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9.655</w:t>
            </w:r>
          </w:p>
        </w:tc>
        <w:tc>
          <w:tcPr>
            <w:tcW w:w="1559" w:type="dxa"/>
            <w:vAlign w:val="top"/>
          </w:tcPr>
          <w:p w14:paraId="50276264">
            <w:pPr>
              <w:spacing w:before="120" w:line="195" w:lineRule="auto"/>
              <w:ind w:left="5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9.652</w:t>
            </w:r>
          </w:p>
        </w:tc>
        <w:tc>
          <w:tcPr>
            <w:tcW w:w="1417" w:type="dxa"/>
            <w:vAlign w:val="top"/>
          </w:tcPr>
          <w:p w14:paraId="6A0E8B08">
            <w:pPr>
              <w:spacing w:before="120"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9.645</w:t>
            </w:r>
          </w:p>
        </w:tc>
        <w:tc>
          <w:tcPr>
            <w:tcW w:w="1417" w:type="dxa"/>
            <w:vAlign w:val="top"/>
          </w:tcPr>
          <w:p w14:paraId="4D3E2BF3">
            <w:pPr>
              <w:spacing w:before="120"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9.6145189</w:t>
            </w:r>
          </w:p>
        </w:tc>
        <w:tc>
          <w:tcPr>
            <w:tcW w:w="1417" w:type="dxa"/>
            <w:vAlign w:val="top"/>
          </w:tcPr>
          <w:p w14:paraId="009F96D3">
            <w:pPr>
              <w:spacing w:before="120" w:line="195"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9.5051095</w:t>
            </w:r>
          </w:p>
        </w:tc>
        <w:tc>
          <w:tcPr>
            <w:tcW w:w="1418" w:type="dxa"/>
            <w:vAlign w:val="top"/>
          </w:tcPr>
          <w:p w14:paraId="2B736129">
            <w:pPr>
              <w:spacing w:before="120"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9.3597026</w:t>
            </w:r>
          </w:p>
        </w:tc>
        <w:tc>
          <w:tcPr>
            <w:tcW w:w="1418" w:type="dxa"/>
            <w:vAlign w:val="top"/>
          </w:tcPr>
          <w:p w14:paraId="1E2579B0">
            <w:pPr>
              <w:spacing w:before="120"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9.0962419</w:t>
            </w:r>
          </w:p>
        </w:tc>
        <w:tc>
          <w:tcPr>
            <w:tcW w:w="1418" w:type="dxa"/>
            <w:vAlign w:val="top"/>
          </w:tcPr>
          <w:p w14:paraId="4D1D7F04">
            <w:pPr>
              <w:spacing w:before="120"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8.9389802</w:t>
            </w:r>
          </w:p>
        </w:tc>
        <w:tc>
          <w:tcPr>
            <w:tcW w:w="1432" w:type="dxa"/>
            <w:tcBorders>
              <w:right w:val="single" w:color="000000" w:sz="10" w:space="0"/>
            </w:tcBorders>
            <w:vAlign w:val="top"/>
          </w:tcPr>
          <w:p w14:paraId="1651382C">
            <w:pPr>
              <w:spacing w:before="120"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8.9201964</w:t>
            </w:r>
          </w:p>
        </w:tc>
      </w:tr>
      <w:tr w14:paraId="51682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70" w:type="dxa"/>
            <w:tcBorders>
              <w:left w:val="single" w:color="000000" w:sz="10" w:space="0"/>
            </w:tcBorders>
            <w:vAlign w:val="top"/>
          </w:tcPr>
          <w:p w14:paraId="3617A237">
            <w:pPr>
              <w:spacing w:before="121"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3000</w:t>
            </w:r>
          </w:p>
        </w:tc>
        <w:tc>
          <w:tcPr>
            <w:tcW w:w="1559" w:type="dxa"/>
            <w:vAlign w:val="top"/>
          </w:tcPr>
          <w:p w14:paraId="120DEA32">
            <w:pPr>
              <w:spacing w:before="121" w:line="195" w:lineRule="auto"/>
              <w:ind w:left="5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9.516</w:t>
            </w:r>
          </w:p>
        </w:tc>
        <w:tc>
          <w:tcPr>
            <w:tcW w:w="1559" w:type="dxa"/>
            <w:vAlign w:val="top"/>
          </w:tcPr>
          <w:p w14:paraId="16A6DAF8">
            <w:pPr>
              <w:spacing w:before="121" w:line="195" w:lineRule="auto"/>
              <w:ind w:left="5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9.514</w:t>
            </w:r>
          </w:p>
        </w:tc>
        <w:tc>
          <w:tcPr>
            <w:tcW w:w="1417" w:type="dxa"/>
            <w:vAlign w:val="top"/>
          </w:tcPr>
          <w:p w14:paraId="76D4AE18">
            <w:pPr>
              <w:spacing w:before="121"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9.511</w:t>
            </w:r>
          </w:p>
        </w:tc>
        <w:tc>
          <w:tcPr>
            <w:tcW w:w="1417" w:type="dxa"/>
            <w:vAlign w:val="top"/>
          </w:tcPr>
          <w:p w14:paraId="5D91BDBE">
            <w:pPr>
              <w:spacing w:before="121"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9.4941667</w:t>
            </w:r>
          </w:p>
        </w:tc>
        <w:tc>
          <w:tcPr>
            <w:tcW w:w="1417" w:type="dxa"/>
            <w:vAlign w:val="top"/>
          </w:tcPr>
          <w:p w14:paraId="712FE919">
            <w:pPr>
              <w:spacing w:before="121" w:line="195"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9.4321613</w:t>
            </w:r>
          </w:p>
        </w:tc>
        <w:tc>
          <w:tcPr>
            <w:tcW w:w="1418" w:type="dxa"/>
            <w:vAlign w:val="top"/>
          </w:tcPr>
          <w:p w14:paraId="6B96F742">
            <w:pPr>
              <w:spacing w:before="121"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9.3433387</w:t>
            </w:r>
          </w:p>
        </w:tc>
        <w:tc>
          <w:tcPr>
            <w:tcW w:w="1418" w:type="dxa"/>
            <w:vAlign w:val="top"/>
          </w:tcPr>
          <w:p w14:paraId="119F4DE6">
            <w:pPr>
              <w:spacing w:before="121"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9.1501378</w:t>
            </w:r>
          </w:p>
        </w:tc>
        <w:tc>
          <w:tcPr>
            <w:tcW w:w="1418" w:type="dxa"/>
            <w:vAlign w:val="top"/>
          </w:tcPr>
          <w:p w14:paraId="4F014E13">
            <w:pPr>
              <w:spacing w:before="121" w:line="195" w:lineRule="auto"/>
              <w:ind w:left="2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8.9720933</w:t>
            </w:r>
          </w:p>
        </w:tc>
        <w:tc>
          <w:tcPr>
            <w:tcW w:w="1432" w:type="dxa"/>
            <w:tcBorders>
              <w:right w:val="single" w:color="000000" w:sz="10" w:space="0"/>
            </w:tcBorders>
            <w:vAlign w:val="top"/>
          </w:tcPr>
          <w:p w14:paraId="125CAED1">
            <w:pPr>
              <w:spacing w:before="121"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8.9224733</w:t>
            </w:r>
          </w:p>
        </w:tc>
      </w:tr>
      <w:tr w14:paraId="69932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70" w:type="dxa"/>
            <w:tcBorders>
              <w:left w:val="single" w:color="000000" w:sz="10" w:space="0"/>
            </w:tcBorders>
            <w:vAlign w:val="top"/>
          </w:tcPr>
          <w:p w14:paraId="72A40681">
            <w:pPr>
              <w:spacing w:before="123"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4000</w:t>
            </w:r>
          </w:p>
        </w:tc>
        <w:tc>
          <w:tcPr>
            <w:tcW w:w="1559" w:type="dxa"/>
            <w:vAlign w:val="top"/>
          </w:tcPr>
          <w:p w14:paraId="1020B1A3">
            <w:pPr>
              <w:spacing w:before="123" w:line="195" w:lineRule="auto"/>
              <w:ind w:left="5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9.433</w:t>
            </w:r>
          </w:p>
        </w:tc>
        <w:tc>
          <w:tcPr>
            <w:tcW w:w="1559" w:type="dxa"/>
            <w:vAlign w:val="top"/>
          </w:tcPr>
          <w:p w14:paraId="25D2E28D">
            <w:pPr>
              <w:spacing w:before="123" w:line="195" w:lineRule="auto"/>
              <w:ind w:left="5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9.432</w:t>
            </w:r>
          </w:p>
        </w:tc>
        <w:tc>
          <w:tcPr>
            <w:tcW w:w="1417" w:type="dxa"/>
            <w:vAlign w:val="top"/>
          </w:tcPr>
          <w:p w14:paraId="330FB3E9">
            <w:pPr>
              <w:spacing w:before="123"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9.429</w:t>
            </w:r>
          </w:p>
        </w:tc>
        <w:tc>
          <w:tcPr>
            <w:tcW w:w="1417" w:type="dxa"/>
            <w:vAlign w:val="top"/>
          </w:tcPr>
          <w:p w14:paraId="7AD9B161">
            <w:pPr>
              <w:spacing w:before="123"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9.4186918</w:t>
            </w:r>
          </w:p>
        </w:tc>
        <w:tc>
          <w:tcPr>
            <w:tcW w:w="1417" w:type="dxa"/>
            <w:vAlign w:val="top"/>
          </w:tcPr>
          <w:p w14:paraId="1049F931">
            <w:pPr>
              <w:spacing w:before="123" w:line="195"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9.3777294</w:t>
            </w:r>
          </w:p>
        </w:tc>
        <w:tc>
          <w:tcPr>
            <w:tcW w:w="1418" w:type="dxa"/>
            <w:vAlign w:val="top"/>
          </w:tcPr>
          <w:p w14:paraId="32F2413D">
            <w:pPr>
              <w:spacing w:before="123"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9.3167982</w:t>
            </w:r>
          </w:p>
        </w:tc>
        <w:tc>
          <w:tcPr>
            <w:tcW w:w="1418" w:type="dxa"/>
            <w:vAlign w:val="top"/>
          </w:tcPr>
          <w:p w14:paraId="1199DD1A">
            <w:pPr>
              <w:spacing w:before="123"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9.1712145</w:t>
            </w:r>
          </w:p>
        </w:tc>
        <w:tc>
          <w:tcPr>
            <w:tcW w:w="1418" w:type="dxa"/>
            <w:vAlign w:val="top"/>
          </w:tcPr>
          <w:p w14:paraId="59284268">
            <w:pPr>
              <w:spacing w:before="123"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9.0024404</w:t>
            </w:r>
          </w:p>
        </w:tc>
        <w:tc>
          <w:tcPr>
            <w:tcW w:w="1432" w:type="dxa"/>
            <w:tcBorders>
              <w:right w:val="single" w:color="000000" w:sz="10" w:space="0"/>
            </w:tcBorders>
            <w:vAlign w:val="top"/>
          </w:tcPr>
          <w:p w14:paraId="269D26AC">
            <w:pPr>
              <w:spacing w:before="123"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8.9283852</w:t>
            </w:r>
          </w:p>
        </w:tc>
      </w:tr>
      <w:tr w14:paraId="3E6A67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170" w:type="dxa"/>
            <w:tcBorders>
              <w:left w:val="single" w:color="000000" w:sz="10" w:space="0"/>
              <w:bottom w:val="single" w:color="000000" w:sz="10" w:space="0"/>
            </w:tcBorders>
            <w:vAlign w:val="top"/>
          </w:tcPr>
          <w:p w14:paraId="0A3FFC88">
            <w:pPr>
              <w:spacing w:before="124"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w:t>
            </w:r>
          </w:p>
        </w:tc>
        <w:tc>
          <w:tcPr>
            <w:tcW w:w="1559" w:type="dxa"/>
            <w:tcBorders>
              <w:bottom w:val="single" w:color="000000" w:sz="10" w:space="0"/>
            </w:tcBorders>
            <w:vAlign w:val="top"/>
          </w:tcPr>
          <w:p w14:paraId="5F9A246C">
            <w:pPr>
              <w:spacing w:before="124" w:line="195" w:lineRule="auto"/>
              <w:ind w:left="5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9.251</w:t>
            </w:r>
          </w:p>
        </w:tc>
        <w:tc>
          <w:tcPr>
            <w:tcW w:w="1559" w:type="dxa"/>
            <w:tcBorders>
              <w:bottom w:val="single" w:color="000000" w:sz="10" w:space="0"/>
            </w:tcBorders>
            <w:vAlign w:val="top"/>
          </w:tcPr>
          <w:p w14:paraId="6EB1D6F5">
            <w:pPr>
              <w:spacing w:before="124" w:line="195" w:lineRule="auto"/>
              <w:ind w:left="5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9.251</w:t>
            </w:r>
          </w:p>
        </w:tc>
        <w:tc>
          <w:tcPr>
            <w:tcW w:w="1417" w:type="dxa"/>
            <w:tcBorders>
              <w:bottom w:val="single" w:color="000000" w:sz="10" w:space="0"/>
            </w:tcBorders>
            <w:vAlign w:val="top"/>
          </w:tcPr>
          <w:p w14:paraId="741BA844">
            <w:pPr>
              <w:spacing w:before="124" w:line="195" w:lineRule="auto"/>
              <w:ind w:left="4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9.250</w:t>
            </w:r>
          </w:p>
        </w:tc>
        <w:tc>
          <w:tcPr>
            <w:tcW w:w="1417" w:type="dxa"/>
            <w:tcBorders>
              <w:bottom w:val="single" w:color="000000" w:sz="10" w:space="0"/>
            </w:tcBorders>
            <w:vAlign w:val="top"/>
          </w:tcPr>
          <w:p w14:paraId="5D2C9AF0">
            <w:pPr>
              <w:spacing w:before="124"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9.2467929</w:t>
            </w:r>
          </w:p>
        </w:tc>
        <w:tc>
          <w:tcPr>
            <w:tcW w:w="1417" w:type="dxa"/>
            <w:tcBorders>
              <w:bottom w:val="single" w:color="000000" w:sz="10" w:space="0"/>
            </w:tcBorders>
            <w:vAlign w:val="top"/>
          </w:tcPr>
          <w:p w14:paraId="3203A35E">
            <w:pPr>
              <w:spacing w:before="124" w:line="195"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9.2345784</w:t>
            </w:r>
          </w:p>
        </w:tc>
        <w:tc>
          <w:tcPr>
            <w:tcW w:w="1418" w:type="dxa"/>
            <w:tcBorders>
              <w:bottom w:val="single" w:color="000000" w:sz="10" w:space="0"/>
            </w:tcBorders>
            <w:vAlign w:val="top"/>
          </w:tcPr>
          <w:p w14:paraId="5D493D51">
            <w:pPr>
              <w:spacing w:before="124"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9.2152269</w:t>
            </w:r>
          </w:p>
        </w:tc>
        <w:tc>
          <w:tcPr>
            <w:tcW w:w="1418" w:type="dxa"/>
            <w:tcBorders>
              <w:bottom w:val="single" w:color="000000" w:sz="10" w:space="0"/>
            </w:tcBorders>
            <w:vAlign w:val="top"/>
          </w:tcPr>
          <w:p w14:paraId="3BE947A7">
            <w:pPr>
              <w:spacing w:before="124"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9.1609476</w:t>
            </w:r>
          </w:p>
        </w:tc>
        <w:tc>
          <w:tcPr>
            <w:tcW w:w="1418" w:type="dxa"/>
            <w:tcBorders>
              <w:bottom w:val="single" w:color="000000" w:sz="10" w:space="0"/>
            </w:tcBorders>
            <w:vAlign w:val="top"/>
          </w:tcPr>
          <w:p w14:paraId="35749B94">
            <w:pPr>
              <w:spacing w:before="124"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9.0668432</w:t>
            </w:r>
          </w:p>
        </w:tc>
        <w:tc>
          <w:tcPr>
            <w:tcW w:w="1432" w:type="dxa"/>
            <w:tcBorders>
              <w:bottom w:val="single" w:color="000000" w:sz="10" w:space="0"/>
              <w:right w:val="single" w:color="000000" w:sz="10" w:space="0"/>
            </w:tcBorders>
            <w:vAlign w:val="top"/>
          </w:tcPr>
          <w:p w14:paraId="02DF238A">
            <w:pPr>
              <w:spacing w:before="124"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8.9731725</w:t>
            </w:r>
          </w:p>
        </w:tc>
      </w:tr>
    </w:tbl>
    <w:p w14:paraId="05DD90A4">
      <w:pPr>
        <w:pStyle w:val="2"/>
      </w:pPr>
    </w:p>
    <w:p w14:paraId="65680391">
      <w:pPr>
        <w:sectPr>
          <w:headerReference r:id="rId127" w:type="default"/>
          <w:footerReference r:id="rId128" w:type="default"/>
          <w:pgSz w:w="16840" w:h="11907"/>
          <w:pgMar w:top="1132" w:right="1294" w:bottom="1255" w:left="1294" w:header="829" w:footer="1096" w:gutter="0"/>
          <w:cols w:space="720" w:num="1"/>
        </w:sectPr>
      </w:pPr>
    </w:p>
    <w:p w14:paraId="4DF39288">
      <w:pPr>
        <w:pStyle w:val="2"/>
        <w:spacing w:line="265" w:lineRule="auto"/>
      </w:pPr>
    </w:p>
    <w:p w14:paraId="3AA2F551">
      <w:pPr>
        <w:pStyle w:val="2"/>
        <w:spacing w:line="265" w:lineRule="auto"/>
      </w:pPr>
    </w:p>
    <w:p w14:paraId="4BD007F0">
      <w:pPr>
        <w:spacing w:before="65" w:line="223" w:lineRule="auto"/>
        <w:ind w:left="5055"/>
        <w:rPr>
          <w:rFonts w:ascii="宋体" w:hAnsi="宋体" w:eastAsia="宋体" w:cs="宋体"/>
          <w:sz w:val="20"/>
          <w:szCs w:val="20"/>
        </w:rPr>
      </w:pPr>
      <w:r>
        <w:rPr>
          <w:rFonts w:ascii="宋体" w:hAnsi="宋体" w:eastAsia="宋体" w:cs="宋体"/>
          <w:b/>
          <w:bCs/>
          <w:spacing w:val="5"/>
          <w:sz w:val="20"/>
          <w:szCs w:val="20"/>
        </w:rPr>
        <w:t>表</w:t>
      </w:r>
      <w:r>
        <w:rPr>
          <w:rFonts w:ascii="Times New Roman" w:hAnsi="Times New Roman" w:eastAsia="Times New Roman" w:cs="Times New Roman"/>
          <w:b/>
          <w:bCs/>
          <w:spacing w:val="5"/>
          <w:sz w:val="20"/>
          <w:szCs w:val="20"/>
        </w:rPr>
        <w:t>6.3-3</w:t>
      </w:r>
      <w:r>
        <w:rPr>
          <w:rFonts w:ascii="宋体" w:hAnsi="宋体" w:eastAsia="宋体" w:cs="宋体"/>
          <w:b/>
          <w:bCs/>
          <w:spacing w:val="5"/>
          <w:sz w:val="20"/>
          <w:szCs w:val="20"/>
        </w:rPr>
        <w:t>枯水期</w:t>
      </w:r>
      <w:r>
        <w:rPr>
          <w:rFonts w:ascii="Times New Roman" w:hAnsi="Times New Roman" w:eastAsia="Times New Roman" w:cs="Times New Roman"/>
          <w:b/>
          <w:bCs/>
          <w:sz w:val="20"/>
          <w:szCs w:val="20"/>
        </w:rPr>
        <w:t>NH</w:t>
      </w:r>
      <w:r>
        <w:rPr>
          <w:rFonts w:ascii="Times New Roman" w:hAnsi="Times New Roman" w:eastAsia="Times New Roman" w:cs="Times New Roman"/>
          <w:b/>
          <w:bCs/>
          <w:spacing w:val="5"/>
          <w:sz w:val="13"/>
          <w:szCs w:val="13"/>
        </w:rPr>
        <w:t>3</w:t>
      </w:r>
      <w:r>
        <w:rPr>
          <w:rFonts w:ascii="Times New Roman" w:hAnsi="Times New Roman" w:eastAsia="Times New Roman" w:cs="Times New Roman"/>
          <w:b/>
          <w:bCs/>
          <w:spacing w:val="5"/>
          <w:sz w:val="20"/>
          <w:szCs w:val="20"/>
        </w:rPr>
        <w:t>-N</w:t>
      </w:r>
      <w:r>
        <w:rPr>
          <w:rFonts w:ascii="宋体" w:hAnsi="宋体" w:eastAsia="宋体" w:cs="宋体"/>
          <w:b/>
          <w:bCs/>
          <w:spacing w:val="5"/>
          <w:sz w:val="20"/>
          <w:szCs w:val="20"/>
        </w:rPr>
        <w:t>浓度预测值（正常排放）</w:t>
      </w:r>
    </w:p>
    <w:tbl>
      <w:tblPr>
        <w:tblStyle w:val="5"/>
        <w:tblW w:w="14225"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5"/>
        <w:gridCol w:w="1027"/>
        <w:gridCol w:w="1028"/>
        <w:gridCol w:w="1028"/>
        <w:gridCol w:w="1681"/>
        <w:gridCol w:w="1681"/>
        <w:gridCol w:w="1681"/>
        <w:gridCol w:w="1681"/>
        <w:gridCol w:w="1681"/>
        <w:gridCol w:w="1692"/>
      </w:tblGrid>
      <w:tr w14:paraId="377CA3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1045" w:type="dxa"/>
            <w:tcBorders>
              <w:top w:val="single" w:color="000000" w:sz="10" w:space="0"/>
              <w:left w:val="single" w:color="000000" w:sz="10" w:space="0"/>
            </w:tcBorders>
            <w:vAlign w:val="top"/>
          </w:tcPr>
          <w:p w14:paraId="5A0C3079">
            <w:pPr>
              <w:spacing w:before="101" w:line="201" w:lineRule="auto"/>
              <w:ind w:left="2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C(x,y)</w:t>
            </w:r>
          </w:p>
        </w:tc>
        <w:tc>
          <w:tcPr>
            <w:tcW w:w="1027" w:type="dxa"/>
            <w:tcBorders>
              <w:top w:val="single" w:color="000000" w:sz="10" w:space="0"/>
            </w:tcBorders>
            <w:vAlign w:val="top"/>
          </w:tcPr>
          <w:p w14:paraId="57035884">
            <w:pPr>
              <w:spacing w:before="105" w:line="195" w:lineRule="auto"/>
              <w:ind w:left="45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28" w:type="dxa"/>
            <w:tcBorders>
              <w:top w:val="single" w:color="000000" w:sz="10" w:space="0"/>
            </w:tcBorders>
            <w:vAlign w:val="top"/>
          </w:tcPr>
          <w:p w14:paraId="03E26417">
            <w:pPr>
              <w:spacing w:before="105" w:line="195" w:lineRule="auto"/>
              <w:ind w:left="45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028" w:type="dxa"/>
            <w:tcBorders>
              <w:top w:val="single" w:color="000000" w:sz="10" w:space="0"/>
            </w:tcBorders>
            <w:vAlign w:val="top"/>
          </w:tcPr>
          <w:p w14:paraId="5DCB324A">
            <w:pPr>
              <w:spacing w:before="108" w:line="192" w:lineRule="auto"/>
              <w:ind w:left="46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681" w:type="dxa"/>
            <w:tcBorders>
              <w:top w:val="single" w:color="000000" w:sz="10" w:space="0"/>
            </w:tcBorders>
            <w:vAlign w:val="top"/>
          </w:tcPr>
          <w:p w14:paraId="4C0AD178">
            <w:pPr>
              <w:spacing w:before="105" w:line="195" w:lineRule="auto"/>
              <w:ind w:left="75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681" w:type="dxa"/>
            <w:tcBorders>
              <w:top w:val="single" w:color="000000" w:sz="10" w:space="0"/>
            </w:tcBorders>
            <w:vAlign w:val="top"/>
          </w:tcPr>
          <w:p w14:paraId="4FAF21B8">
            <w:pPr>
              <w:spacing w:before="105" w:line="195" w:lineRule="auto"/>
              <w:ind w:left="7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681" w:type="dxa"/>
            <w:tcBorders>
              <w:top w:val="single" w:color="000000" w:sz="10" w:space="0"/>
            </w:tcBorders>
            <w:vAlign w:val="top"/>
          </w:tcPr>
          <w:p w14:paraId="45425304">
            <w:pPr>
              <w:spacing w:before="105" w:line="195" w:lineRule="auto"/>
              <w:ind w:left="741"/>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681" w:type="dxa"/>
            <w:tcBorders>
              <w:top w:val="single" w:color="000000" w:sz="10" w:space="0"/>
            </w:tcBorders>
            <w:vAlign w:val="top"/>
          </w:tcPr>
          <w:p w14:paraId="1FC2BFD6">
            <w:pPr>
              <w:spacing w:before="105" w:line="195" w:lineRule="auto"/>
              <w:ind w:left="746"/>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681" w:type="dxa"/>
            <w:tcBorders>
              <w:top w:val="single" w:color="000000" w:sz="10" w:space="0"/>
            </w:tcBorders>
            <w:vAlign w:val="top"/>
          </w:tcPr>
          <w:p w14:paraId="724FAFC9">
            <w:pPr>
              <w:spacing w:before="105" w:line="195" w:lineRule="auto"/>
              <w:ind w:left="7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1692" w:type="dxa"/>
            <w:tcBorders>
              <w:top w:val="single" w:color="000000" w:sz="10" w:space="0"/>
              <w:right w:val="single" w:color="000000" w:sz="10" w:space="0"/>
            </w:tcBorders>
            <w:vAlign w:val="top"/>
          </w:tcPr>
          <w:p w14:paraId="51CF2B8F">
            <w:pPr>
              <w:spacing w:before="105" w:line="195" w:lineRule="auto"/>
              <w:ind w:left="7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r>
      <w:tr w14:paraId="381EC8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045" w:type="dxa"/>
            <w:tcBorders>
              <w:left w:val="single" w:color="000000" w:sz="10" w:space="0"/>
            </w:tcBorders>
            <w:vAlign w:val="top"/>
          </w:tcPr>
          <w:p w14:paraId="6DE7342F">
            <w:pPr>
              <w:spacing w:before="99" w:line="195"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027" w:type="dxa"/>
            <w:vAlign w:val="top"/>
          </w:tcPr>
          <w:p w14:paraId="7BAB3EDB">
            <w:pPr>
              <w:spacing w:before="99"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0.882</w:t>
            </w:r>
          </w:p>
        </w:tc>
        <w:tc>
          <w:tcPr>
            <w:tcW w:w="1028" w:type="dxa"/>
            <w:vAlign w:val="top"/>
          </w:tcPr>
          <w:p w14:paraId="42213279">
            <w:pPr>
              <w:spacing w:before="99"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0.476</w:t>
            </w:r>
          </w:p>
        </w:tc>
        <w:tc>
          <w:tcPr>
            <w:tcW w:w="1028" w:type="dxa"/>
            <w:vAlign w:val="top"/>
          </w:tcPr>
          <w:p w14:paraId="2176243A">
            <w:pPr>
              <w:spacing w:before="99"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0.286</w:t>
            </w:r>
          </w:p>
        </w:tc>
        <w:tc>
          <w:tcPr>
            <w:tcW w:w="1681" w:type="dxa"/>
            <w:vAlign w:val="top"/>
          </w:tcPr>
          <w:p w14:paraId="393B0530">
            <w:pPr>
              <w:spacing w:before="99"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0.2500069</w:t>
            </w:r>
          </w:p>
        </w:tc>
        <w:tc>
          <w:tcPr>
            <w:tcW w:w="1681" w:type="dxa"/>
            <w:vAlign w:val="top"/>
          </w:tcPr>
          <w:p w14:paraId="5359084D">
            <w:pPr>
              <w:spacing w:before="99"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0.2500000</w:t>
            </w:r>
          </w:p>
        </w:tc>
        <w:tc>
          <w:tcPr>
            <w:tcW w:w="1681" w:type="dxa"/>
            <w:vAlign w:val="top"/>
          </w:tcPr>
          <w:p w14:paraId="42F99892">
            <w:pPr>
              <w:spacing w:before="99"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681" w:type="dxa"/>
            <w:vAlign w:val="top"/>
          </w:tcPr>
          <w:p w14:paraId="091DABD4">
            <w:pPr>
              <w:spacing w:before="99"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681" w:type="dxa"/>
            <w:vAlign w:val="top"/>
          </w:tcPr>
          <w:p w14:paraId="3744C58B">
            <w:pPr>
              <w:spacing w:before="99"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0.2500000</w:t>
            </w:r>
          </w:p>
        </w:tc>
        <w:tc>
          <w:tcPr>
            <w:tcW w:w="1692" w:type="dxa"/>
            <w:tcBorders>
              <w:right w:val="single" w:color="000000" w:sz="10" w:space="0"/>
            </w:tcBorders>
            <w:vAlign w:val="top"/>
          </w:tcPr>
          <w:p w14:paraId="6AE30B26">
            <w:pPr>
              <w:spacing w:before="99"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37C32A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045" w:type="dxa"/>
            <w:tcBorders>
              <w:left w:val="single" w:color="000000" w:sz="10" w:space="0"/>
            </w:tcBorders>
            <w:vAlign w:val="top"/>
          </w:tcPr>
          <w:p w14:paraId="1617C5A1">
            <w:pPr>
              <w:spacing w:before="102"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27" w:type="dxa"/>
            <w:vAlign w:val="top"/>
          </w:tcPr>
          <w:p w14:paraId="2AC378D4">
            <w:pPr>
              <w:spacing w:before="102"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0.697</w:t>
            </w:r>
          </w:p>
        </w:tc>
        <w:tc>
          <w:tcPr>
            <w:tcW w:w="1028" w:type="dxa"/>
            <w:vAlign w:val="top"/>
          </w:tcPr>
          <w:p w14:paraId="3E684E19">
            <w:pPr>
              <w:spacing w:before="102"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0.517</w:t>
            </w:r>
          </w:p>
        </w:tc>
        <w:tc>
          <w:tcPr>
            <w:tcW w:w="1028" w:type="dxa"/>
            <w:vAlign w:val="top"/>
          </w:tcPr>
          <w:p w14:paraId="5A7AD0BA">
            <w:pPr>
              <w:spacing w:before="102"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0.357</w:t>
            </w:r>
          </w:p>
        </w:tc>
        <w:tc>
          <w:tcPr>
            <w:tcW w:w="1681" w:type="dxa"/>
            <w:vAlign w:val="top"/>
          </w:tcPr>
          <w:p w14:paraId="2E2A1BE9">
            <w:pPr>
              <w:spacing w:before="102"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0.2514750</w:t>
            </w:r>
          </w:p>
        </w:tc>
        <w:tc>
          <w:tcPr>
            <w:tcW w:w="1681" w:type="dxa"/>
            <w:vAlign w:val="top"/>
          </w:tcPr>
          <w:p w14:paraId="4197783C">
            <w:pPr>
              <w:spacing w:before="102"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0.2500000</w:t>
            </w:r>
          </w:p>
        </w:tc>
        <w:tc>
          <w:tcPr>
            <w:tcW w:w="1681" w:type="dxa"/>
            <w:vAlign w:val="top"/>
          </w:tcPr>
          <w:p w14:paraId="31F27944">
            <w:pPr>
              <w:spacing w:before="102"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681" w:type="dxa"/>
            <w:vAlign w:val="top"/>
          </w:tcPr>
          <w:p w14:paraId="1B2ABA96">
            <w:pPr>
              <w:spacing w:before="102"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681" w:type="dxa"/>
            <w:vAlign w:val="top"/>
          </w:tcPr>
          <w:p w14:paraId="508EDCD9">
            <w:pPr>
              <w:spacing w:before="102"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0.2500000</w:t>
            </w:r>
          </w:p>
        </w:tc>
        <w:tc>
          <w:tcPr>
            <w:tcW w:w="1692" w:type="dxa"/>
            <w:tcBorders>
              <w:right w:val="single" w:color="000000" w:sz="10" w:space="0"/>
            </w:tcBorders>
            <w:vAlign w:val="top"/>
          </w:tcPr>
          <w:p w14:paraId="656064DA">
            <w:pPr>
              <w:spacing w:before="102"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10969A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045" w:type="dxa"/>
            <w:tcBorders>
              <w:left w:val="single" w:color="000000" w:sz="10" w:space="0"/>
            </w:tcBorders>
            <w:vAlign w:val="top"/>
          </w:tcPr>
          <w:p w14:paraId="3DD3BAFD">
            <w:pPr>
              <w:spacing w:before="104" w:line="195" w:lineRule="auto"/>
              <w:ind w:left="409"/>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027" w:type="dxa"/>
            <w:vAlign w:val="top"/>
          </w:tcPr>
          <w:p w14:paraId="45D3463D">
            <w:pPr>
              <w:spacing w:before="104"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0.615</w:t>
            </w:r>
          </w:p>
        </w:tc>
        <w:tc>
          <w:tcPr>
            <w:tcW w:w="1028" w:type="dxa"/>
            <w:vAlign w:val="top"/>
          </w:tcPr>
          <w:p w14:paraId="660A2DB7">
            <w:pPr>
              <w:spacing w:before="104"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0.509</w:t>
            </w:r>
          </w:p>
        </w:tc>
        <w:tc>
          <w:tcPr>
            <w:tcW w:w="1028" w:type="dxa"/>
            <w:vAlign w:val="top"/>
          </w:tcPr>
          <w:p w14:paraId="2239E4D6">
            <w:pPr>
              <w:spacing w:before="104"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0.391</w:t>
            </w:r>
          </w:p>
        </w:tc>
        <w:tc>
          <w:tcPr>
            <w:tcW w:w="1681" w:type="dxa"/>
            <w:vAlign w:val="top"/>
          </w:tcPr>
          <w:p w14:paraId="75E65341">
            <w:pPr>
              <w:spacing w:before="104"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0.2580893</w:t>
            </w:r>
          </w:p>
        </w:tc>
        <w:tc>
          <w:tcPr>
            <w:tcW w:w="1681" w:type="dxa"/>
            <w:vAlign w:val="top"/>
          </w:tcPr>
          <w:p w14:paraId="1C895F5D">
            <w:pPr>
              <w:spacing w:before="104"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0.2500001</w:t>
            </w:r>
          </w:p>
        </w:tc>
        <w:tc>
          <w:tcPr>
            <w:tcW w:w="1681" w:type="dxa"/>
            <w:vAlign w:val="top"/>
          </w:tcPr>
          <w:p w14:paraId="6D74D586">
            <w:pPr>
              <w:spacing w:before="104"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681" w:type="dxa"/>
            <w:vAlign w:val="top"/>
          </w:tcPr>
          <w:p w14:paraId="6EE330BF">
            <w:pPr>
              <w:spacing w:before="104"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681" w:type="dxa"/>
            <w:vAlign w:val="top"/>
          </w:tcPr>
          <w:p w14:paraId="17096A53">
            <w:pPr>
              <w:spacing w:before="104"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0.2500000</w:t>
            </w:r>
          </w:p>
        </w:tc>
        <w:tc>
          <w:tcPr>
            <w:tcW w:w="1692" w:type="dxa"/>
            <w:tcBorders>
              <w:right w:val="single" w:color="000000" w:sz="10" w:space="0"/>
            </w:tcBorders>
            <w:vAlign w:val="top"/>
          </w:tcPr>
          <w:p w14:paraId="48D5CA44">
            <w:pPr>
              <w:spacing w:before="104"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1FC317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045" w:type="dxa"/>
            <w:tcBorders>
              <w:left w:val="single" w:color="000000" w:sz="10" w:space="0"/>
            </w:tcBorders>
            <w:vAlign w:val="top"/>
          </w:tcPr>
          <w:p w14:paraId="0F165B7E">
            <w:pPr>
              <w:spacing w:before="106" w:line="195" w:lineRule="auto"/>
              <w:ind w:left="4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027" w:type="dxa"/>
            <w:vAlign w:val="top"/>
          </w:tcPr>
          <w:p w14:paraId="34F6683B">
            <w:pPr>
              <w:spacing w:before="106"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0.566</w:t>
            </w:r>
          </w:p>
        </w:tc>
        <w:tc>
          <w:tcPr>
            <w:tcW w:w="1028" w:type="dxa"/>
            <w:vAlign w:val="top"/>
          </w:tcPr>
          <w:p w14:paraId="243EA3ED">
            <w:pPr>
              <w:spacing w:before="106"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0.494</w:t>
            </w:r>
          </w:p>
        </w:tc>
        <w:tc>
          <w:tcPr>
            <w:tcW w:w="1028" w:type="dxa"/>
            <w:vAlign w:val="top"/>
          </w:tcPr>
          <w:p w14:paraId="01B53D70">
            <w:pPr>
              <w:spacing w:before="106"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0.405</w:t>
            </w:r>
          </w:p>
        </w:tc>
        <w:tc>
          <w:tcPr>
            <w:tcW w:w="1681" w:type="dxa"/>
            <w:vAlign w:val="top"/>
          </w:tcPr>
          <w:p w14:paraId="38B96262">
            <w:pPr>
              <w:spacing w:before="106"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0.2681557</w:t>
            </w:r>
          </w:p>
        </w:tc>
        <w:tc>
          <w:tcPr>
            <w:tcW w:w="1681" w:type="dxa"/>
            <w:vAlign w:val="top"/>
          </w:tcPr>
          <w:p w14:paraId="183048F0">
            <w:pPr>
              <w:spacing w:before="106"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0.2500034</w:t>
            </w:r>
          </w:p>
        </w:tc>
        <w:tc>
          <w:tcPr>
            <w:tcW w:w="1681" w:type="dxa"/>
            <w:vAlign w:val="top"/>
          </w:tcPr>
          <w:p w14:paraId="72370574">
            <w:pPr>
              <w:spacing w:before="106"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681" w:type="dxa"/>
            <w:vAlign w:val="top"/>
          </w:tcPr>
          <w:p w14:paraId="2E0A9704">
            <w:pPr>
              <w:spacing w:before="106"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681" w:type="dxa"/>
            <w:vAlign w:val="top"/>
          </w:tcPr>
          <w:p w14:paraId="05F883AE">
            <w:pPr>
              <w:spacing w:before="106"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0.2500000</w:t>
            </w:r>
          </w:p>
        </w:tc>
        <w:tc>
          <w:tcPr>
            <w:tcW w:w="1692" w:type="dxa"/>
            <w:tcBorders>
              <w:right w:val="single" w:color="000000" w:sz="10" w:space="0"/>
            </w:tcBorders>
            <w:vAlign w:val="top"/>
          </w:tcPr>
          <w:p w14:paraId="3F82819C">
            <w:pPr>
              <w:spacing w:before="106"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726201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045" w:type="dxa"/>
            <w:tcBorders>
              <w:left w:val="single" w:color="000000" w:sz="10" w:space="0"/>
            </w:tcBorders>
            <w:vAlign w:val="top"/>
          </w:tcPr>
          <w:p w14:paraId="4438DB54">
            <w:pPr>
              <w:spacing w:before="108" w:line="195" w:lineRule="auto"/>
              <w:ind w:left="411"/>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027" w:type="dxa"/>
            <w:vAlign w:val="top"/>
          </w:tcPr>
          <w:p w14:paraId="0DF19662">
            <w:pPr>
              <w:spacing w:before="108"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0.533</w:t>
            </w:r>
          </w:p>
        </w:tc>
        <w:tc>
          <w:tcPr>
            <w:tcW w:w="1028" w:type="dxa"/>
            <w:vAlign w:val="top"/>
          </w:tcPr>
          <w:p w14:paraId="16DDEB52">
            <w:pPr>
              <w:spacing w:before="108"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0.480</w:t>
            </w:r>
          </w:p>
        </w:tc>
        <w:tc>
          <w:tcPr>
            <w:tcW w:w="1028" w:type="dxa"/>
            <w:vAlign w:val="top"/>
          </w:tcPr>
          <w:p w14:paraId="377B9784">
            <w:pPr>
              <w:spacing w:before="108"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0.410</w:t>
            </w:r>
          </w:p>
        </w:tc>
        <w:tc>
          <w:tcPr>
            <w:tcW w:w="1681" w:type="dxa"/>
            <w:vAlign w:val="top"/>
          </w:tcPr>
          <w:p w14:paraId="5AFAC098">
            <w:pPr>
              <w:spacing w:before="108"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0.2787536</w:t>
            </w:r>
          </w:p>
        </w:tc>
        <w:tc>
          <w:tcPr>
            <w:tcW w:w="1681" w:type="dxa"/>
            <w:vAlign w:val="top"/>
          </w:tcPr>
          <w:p w14:paraId="2B8B5EED">
            <w:pPr>
              <w:spacing w:before="108"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0.2500303</w:t>
            </w:r>
          </w:p>
        </w:tc>
        <w:tc>
          <w:tcPr>
            <w:tcW w:w="1681" w:type="dxa"/>
            <w:vAlign w:val="top"/>
          </w:tcPr>
          <w:p w14:paraId="521FDB5D">
            <w:pPr>
              <w:spacing w:before="108"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681" w:type="dxa"/>
            <w:vAlign w:val="top"/>
          </w:tcPr>
          <w:p w14:paraId="0ACD6471">
            <w:pPr>
              <w:spacing w:before="108"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681" w:type="dxa"/>
            <w:vAlign w:val="top"/>
          </w:tcPr>
          <w:p w14:paraId="1296F3FC">
            <w:pPr>
              <w:spacing w:before="108"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0.2500000</w:t>
            </w:r>
          </w:p>
        </w:tc>
        <w:tc>
          <w:tcPr>
            <w:tcW w:w="1692" w:type="dxa"/>
            <w:tcBorders>
              <w:right w:val="single" w:color="000000" w:sz="10" w:space="0"/>
            </w:tcBorders>
            <w:vAlign w:val="top"/>
          </w:tcPr>
          <w:p w14:paraId="26FC4BF6">
            <w:pPr>
              <w:spacing w:before="108"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759207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045" w:type="dxa"/>
            <w:tcBorders>
              <w:left w:val="single" w:color="000000" w:sz="10" w:space="0"/>
            </w:tcBorders>
            <w:vAlign w:val="top"/>
          </w:tcPr>
          <w:p w14:paraId="65F8908D">
            <w:pPr>
              <w:spacing w:before="109" w:line="195"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027" w:type="dxa"/>
            <w:vAlign w:val="top"/>
          </w:tcPr>
          <w:p w14:paraId="3B75D76A">
            <w:pPr>
              <w:spacing w:before="109"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0.450</w:t>
            </w:r>
          </w:p>
        </w:tc>
        <w:tc>
          <w:tcPr>
            <w:tcW w:w="1028" w:type="dxa"/>
            <w:vAlign w:val="top"/>
          </w:tcPr>
          <w:p w14:paraId="5C645398">
            <w:pPr>
              <w:spacing w:before="109"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0.430</w:t>
            </w:r>
          </w:p>
        </w:tc>
        <w:tc>
          <w:tcPr>
            <w:tcW w:w="1028" w:type="dxa"/>
            <w:vAlign w:val="top"/>
          </w:tcPr>
          <w:p w14:paraId="67B27A5B">
            <w:pPr>
              <w:spacing w:before="109"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0.400</w:t>
            </w:r>
          </w:p>
        </w:tc>
        <w:tc>
          <w:tcPr>
            <w:tcW w:w="1681" w:type="dxa"/>
            <w:vAlign w:val="top"/>
          </w:tcPr>
          <w:p w14:paraId="65399A03">
            <w:pPr>
              <w:spacing w:before="109"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0.3137357</w:t>
            </w:r>
          </w:p>
        </w:tc>
        <w:tc>
          <w:tcPr>
            <w:tcW w:w="1681" w:type="dxa"/>
            <w:vAlign w:val="top"/>
          </w:tcPr>
          <w:p w14:paraId="32242046">
            <w:pPr>
              <w:spacing w:before="109"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0.2520675</w:t>
            </w:r>
          </w:p>
        </w:tc>
        <w:tc>
          <w:tcPr>
            <w:tcW w:w="1681" w:type="dxa"/>
            <w:vAlign w:val="top"/>
          </w:tcPr>
          <w:p w14:paraId="4BEA502E">
            <w:pPr>
              <w:spacing w:before="109"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0.2500068</w:t>
            </w:r>
          </w:p>
        </w:tc>
        <w:tc>
          <w:tcPr>
            <w:tcW w:w="1681" w:type="dxa"/>
            <w:vAlign w:val="top"/>
          </w:tcPr>
          <w:p w14:paraId="13F09CBA">
            <w:pPr>
              <w:spacing w:before="109"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681" w:type="dxa"/>
            <w:vAlign w:val="top"/>
          </w:tcPr>
          <w:p w14:paraId="67497B55">
            <w:pPr>
              <w:spacing w:before="109"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0.2500000</w:t>
            </w:r>
          </w:p>
        </w:tc>
        <w:tc>
          <w:tcPr>
            <w:tcW w:w="1692" w:type="dxa"/>
            <w:tcBorders>
              <w:right w:val="single" w:color="000000" w:sz="10" w:space="0"/>
            </w:tcBorders>
            <w:vAlign w:val="top"/>
          </w:tcPr>
          <w:p w14:paraId="1851280C">
            <w:pPr>
              <w:spacing w:before="109"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1E4E50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045" w:type="dxa"/>
            <w:tcBorders>
              <w:left w:val="single" w:color="000000" w:sz="10" w:space="0"/>
            </w:tcBorders>
            <w:vAlign w:val="top"/>
          </w:tcPr>
          <w:p w14:paraId="6C633B6B">
            <w:pPr>
              <w:spacing w:before="111" w:line="195"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027" w:type="dxa"/>
            <w:vAlign w:val="top"/>
          </w:tcPr>
          <w:p w14:paraId="29C2B9BE">
            <w:pPr>
              <w:spacing w:before="111"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0.391</w:t>
            </w:r>
          </w:p>
        </w:tc>
        <w:tc>
          <w:tcPr>
            <w:tcW w:w="1028" w:type="dxa"/>
            <w:vAlign w:val="top"/>
          </w:tcPr>
          <w:p w14:paraId="6C798147">
            <w:pPr>
              <w:spacing w:before="111"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0.384</w:t>
            </w:r>
          </w:p>
        </w:tc>
        <w:tc>
          <w:tcPr>
            <w:tcW w:w="1028" w:type="dxa"/>
            <w:vAlign w:val="top"/>
          </w:tcPr>
          <w:p w14:paraId="61EC2951">
            <w:pPr>
              <w:spacing w:before="111"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0.372</w:t>
            </w:r>
          </w:p>
        </w:tc>
        <w:tc>
          <w:tcPr>
            <w:tcW w:w="1681" w:type="dxa"/>
            <w:vAlign w:val="top"/>
          </w:tcPr>
          <w:p w14:paraId="29A05BA4">
            <w:pPr>
              <w:spacing w:before="111"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0.3297643</w:t>
            </w:r>
          </w:p>
        </w:tc>
        <w:tc>
          <w:tcPr>
            <w:tcW w:w="1681" w:type="dxa"/>
            <w:vAlign w:val="top"/>
          </w:tcPr>
          <w:p w14:paraId="31E8F74A">
            <w:pPr>
              <w:spacing w:before="111"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0.2643661</w:t>
            </w:r>
          </w:p>
        </w:tc>
        <w:tc>
          <w:tcPr>
            <w:tcW w:w="1681" w:type="dxa"/>
            <w:vAlign w:val="top"/>
          </w:tcPr>
          <w:p w14:paraId="39CF1C36">
            <w:pPr>
              <w:spacing w:before="111"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0.2508252</w:t>
            </w:r>
          </w:p>
        </w:tc>
        <w:tc>
          <w:tcPr>
            <w:tcW w:w="1681" w:type="dxa"/>
            <w:vAlign w:val="top"/>
          </w:tcPr>
          <w:p w14:paraId="2D5F5350">
            <w:pPr>
              <w:spacing w:before="111"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0.2500001</w:t>
            </w:r>
          </w:p>
        </w:tc>
        <w:tc>
          <w:tcPr>
            <w:tcW w:w="1681" w:type="dxa"/>
            <w:vAlign w:val="top"/>
          </w:tcPr>
          <w:p w14:paraId="36081436">
            <w:pPr>
              <w:spacing w:before="111"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0.2500000</w:t>
            </w:r>
          </w:p>
        </w:tc>
        <w:tc>
          <w:tcPr>
            <w:tcW w:w="1692" w:type="dxa"/>
            <w:tcBorders>
              <w:right w:val="single" w:color="000000" w:sz="10" w:space="0"/>
            </w:tcBorders>
            <w:vAlign w:val="top"/>
          </w:tcPr>
          <w:p w14:paraId="2F91472E">
            <w:pPr>
              <w:spacing w:before="111"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2492D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045" w:type="dxa"/>
            <w:tcBorders>
              <w:left w:val="single" w:color="000000" w:sz="10" w:space="0"/>
            </w:tcBorders>
            <w:vAlign w:val="top"/>
          </w:tcPr>
          <w:p w14:paraId="4B087A34">
            <w:pPr>
              <w:spacing w:before="112"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027" w:type="dxa"/>
            <w:vAlign w:val="top"/>
          </w:tcPr>
          <w:p w14:paraId="5468F8F1">
            <w:pPr>
              <w:spacing w:before="112"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0.365</w:t>
            </w:r>
          </w:p>
        </w:tc>
        <w:tc>
          <w:tcPr>
            <w:tcW w:w="1028" w:type="dxa"/>
            <w:vAlign w:val="top"/>
          </w:tcPr>
          <w:p w14:paraId="4E8CCC3E">
            <w:pPr>
              <w:spacing w:before="112"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0.361</w:t>
            </w:r>
          </w:p>
        </w:tc>
        <w:tc>
          <w:tcPr>
            <w:tcW w:w="1028" w:type="dxa"/>
            <w:vAlign w:val="top"/>
          </w:tcPr>
          <w:p w14:paraId="1B2F38D4">
            <w:pPr>
              <w:spacing w:before="112"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0.355</w:t>
            </w:r>
          </w:p>
        </w:tc>
        <w:tc>
          <w:tcPr>
            <w:tcW w:w="1681" w:type="dxa"/>
            <w:vAlign w:val="top"/>
          </w:tcPr>
          <w:p w14:paraId="703D6AA6">
            <w:pPr>
              <w:spacing w:before="112"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0.3287528</w:t>
            </w:r>
          </w:p>
        </w:tc>
        <w:tc>
          <w:tcPr>
            <w:tcW w:w="1681" w:type="dxa"/>
            <w:vAlign w:val="top"/>
          </w:tcPr>
          <w:p w14:paraId="25352BC6">
            <w:pPr>
              <w:spacing w:before="112"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0.2751162</w:t>
            </w:r>
          </w:p>
        </w:tc>
        <w:tc>
          <w:tcPr>
            <w:tcW w:w="1681" w:type="dxa"/>
            <w:vAlign w:val="top"/>
          </w:tcPr>
          <w:p w14:paraId="24CEFA64">
            <w:pPr>
              <w:spacing w:before="112"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0.2537391</w:t>
            </w:r>
          </w:p>
        </w:tc>
        <w:tc>
          <w:tcPr>
            <w:tcW w:w="1681" w:type="dxa"/>
            <w:vAlign w:val="top"/>
          </w:tcPr>
          <w:p w14:paraId="43001E2E">
            <w:pPr>
              <w:spacing w:before="112"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0.2500084</w:t>
            </w:r>
          </w:p>
        </w:tc>
        <w:tc>
          <w:tcPr>
            <w:tcW w:w="1681" w:type="dxa"/>
            <w:vAlign w:val="top"/>
          </w:tcPr>
          <w:p w14:paraId="4DD555A3">
            <w:pPr>
              <w:spacing w:before="112"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0.2500000</w:t>
            </w:r>
          </w:p>
        </w:tc>
        <w:tc>
          <w:tcPr>
            <w:tcW w:w="1692" w:type="dxa"/>
            <w:tcBorders>
              <w:right w:val="single" w:color="000000" w:sz="10" w:space="0"/>
            </w:tcBorders>
            <w:vAlign w:val="top"/>
          </w:tcPr>
          <w:p w14:paraId="51D63A34">
            <w:pPr>
              <w:spacing w:before="112"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791C80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045" w:type="dxa"/>
            <w:tcBorders>
              <w:left w:val="single" w:color="000000" w:sz="10" w:space="0"/>
            </w:tcBorders>
            <w:vAlign w:val="top"/>
          </w:tcPr>
          <w:p w14:paraId="5485C625">
            <w:pPr>
              <w:spacing w:before="111"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1027" w:type="dxa"/>
            <w:vAlign w:val="top"/>
          </w:tcPr>
          <w:p w14:paraId="43D9CC7C">
            <w:pPr>
              <w:spacing w:before="111"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0.350</w:t>
            </w:r>
          </w:p>
        </w:tc>
        <w:tc>
          <w:tcPr>
            <w:tcW w:w="1028" w:type="dxa"/>
            <w:vAlign w:val="top"/>
          </w:tcPr>
          <w:p w14:paraId="24E1DD6F">
            <w:pPr>
              <w:spacing w:before="111"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0.347</w:t>
            </w:r>
          </w:p>
        </w:tc>
        <w:tc>
          <w:tcPr>
            <w:tcW w:w="1028" w:type="dxa"/>
            <w:vAlign w:val="top"/>
          </w:tcPr>
          <w:p w14:paraId="13523A7F">
            <w:pPr>
              <w:spacing w:before="111"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0.343</w:t>
            </w:r>
          </w:p>
        </w:tc>
        <w:tc>
          <w:tcPr>
            <w:tcW w:w="1681" w:type="dxa"/>
            <w:vAlign w:val="top"/>
          </w:tcPr>
          <w:p w14:paraId="2EF33CF5">
            <w:pPr>
              <w:spacing w:before="111"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0.3249792</w:t>
            </w:r>
          </w:p>
        </w:tc>
        <w:tc>
          <w:tcPr>
            <w:tcW w:w="1681" w:type="dxa"/>
            <w:vAlign w:val="top"/>
          </w:tcPr>
          <w:p w14:paraId="6B0AA31F">
            <w:pPr>
              <w:spacing w:before="111"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0.2818205</w:t>
            </w:r>
          </w:p>
        </w:tc>
        <w:tc>
          <w:tcPr>
            <w:tcW w:w="1681" w:type="dxa"/>
            <w:vAlign w:val="top"/>
          </w:tcPr>
          <w:p w14:paraId="533304DE">
            <w:pPr>
              <w:spacing w:before="111"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0.2576263</w:t>
            </w:r>
          </w:p>
        </w:tc>
        <w:tc>
          <w:tcPr>
            <w:tcW w:w="1681" w:type="dxa"/>
            <w:vAlign w:val="top"/>
          </w:tcPr>
          <w:p w14:paraId="5B043158">
            <w:pPr>
              <w:spacing w:before="111"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0.2500789</w:t>
            </w:r>
          </w:p>
        </w:tc>
        <w:tc>
          <w:tcPr>
            <w:tcW w:w="1681" w:type="dxa"/>
            <w:vAlign w:val="top"/>
          </w:tcPr>
          <w:p w14:paraId="48B84C5D">
            <w:pPr>
              <w:spacing w:before="111"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0.2500000</w:t>
            </w:r>
          </w:p>
        </w:tc>
        <w:tc>
          <w:tcPr>
            <w:tcW w:w="1692" w:type="dxa"/>
            <w:tcBorders>
              <w:right w:val="single" w:color="000000" w:sz="10" w:space="0"/>
            </w:tcBorders>
            <w:vAlign w:val="top"/>
          </w:tcPr>
          <w:p w14:paraId="0B886CA3">
            <w:pPr>
              <w:spacing w:before="111"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359492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045" w:type="dxa"/>
            <w:tcBorders>
              <w:left w:val="single" w:color="000000" w:sz="10" w:space="0"/>
            </w:tcBorders>
            <w:vAlign w:val="top"/>
          </w:tcPr>
          <w:p w14:paraId="21F48D6E">
            <w:pPr>
              <w:spacing w:before="112" w:line="195" w:lineRule="auto"/>
              <w:ind w:left="35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027" w:type="dxa"/>
            <w:vAlign w:val="top"/>
          </w:tcPr>
          <w:p w14:paraId="554184F8">
            <w:pPr>
              <w:spacing w:before="112"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0.339</w:t>
            </w:r>
          </w:p>
        </w:tc>
        <w:tc>
          <w:tcPr>
            <w:tcW w:w="1028" w:type="dxa"/>
            <w:vAlign w:val="top"/>
          </w:tcPr>
          <w:p w14:paraId="6628BC0D">
            <w:pPr>
              <w:spacing w:before="112"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0.337</w:t>
            </w:r>
          </w:p>
        </w:tc>
        <w:tc>
          <w:tcPr>
            <w:tcW w:w="1028" w:type="dxa"/>
            <w:vAlign w:val="top"/>
          </w:tcPr>
          <w:p w14:paraId="02305B17">
            <w:pPr>
              <w:spacing w:before="112"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0.334</w:t>
            </w:r>
          </w:p>
        </w:tc>
        <w:tc>
          <w:tcPr>
            <w:tcW w:w="1681" w:type="dxa"/>
            <w:vAlign w:val="top"/>
          </w:tcPr>
          <w:p w14:paraId="2D14165A">
            <w:pPr>
              <w:spacing w:before="112"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0.3209718</w:t>
            </w:r>
          </w:p>
        </w:tc>
        <w:tc>
          <w:tcPr>
            <w:tcW w:w="1681" w:type="dxa"/>
            <w:vAlign w:val="top"/>
          </w:tcPr>
          <w:p w14:paraId="7FC0C674">
            <w:pPr>
              <w:spacing w:before="112"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0.2857518</w:t>
            </w:r>
          </w:p>
        </w:tc>
        <w:tc>
          <w:tcPr>
            <w:tcW w:w="1681" w:type="dxa"/>
            <w:vAlign w:val="top"/>
          </w:tcPr>
          <w:p w14:paraId="770BE0B2">
            <w:pPr>
              <w:spacing w:before="112"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0.2614021</w:t>
            </w:r>
          </w:p>
        </w:tc>
        <w:tc>
          <w:tcPr>
            <w:tcW w:w="1681" w:type="dxa"/>
            <w:vAlign w:val="top"/>
          </w:tcPr>
          <w:p w14:paraId="46D5001E">
            <w:pPr>
              <w:spacing w:before="112"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0.2502943</w:t>
            </w:r>
          </w:p>
        </w:tc>
        <w:tc>
          <w:tcPr>
            <w:tcW w:w="1681" w:type="dxa"/>
            <w:vAlign w:val="top"/>
          </w:tcPr>
          <w:p w14:paraId="4DF330C8">
            <w:pPr>
              <w:spacing w:before="112"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0.2500000</w:t>
            </w:r>
          </w:p>
        </w:tc>
        <w:tc>
          <w:tcPr>
            <w:tcW w:w="1692" w:type="dxa"/>
            <w:tcBorders>
              <w:right w:val="single" w:color="000000" w:sz="10" w:space="0"/>
            </w:tcBorders>
            <w:vAlign w:val="top"/>
          </w:tcPr>
          <w:p w14:paraId="262AE251">
            <w:pPr>
              <w:spacing w:before="112"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400D9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045" w:type="dxa"/>
            <w:tcBorders>
              <w:left w:val="single" w:color="000000" w:sz="10" w:space="0"/>
            </w:tcBorders>
            <w:vAlign w:val="top"/>
          </w:tcPr>
          <w:p w14:paraId="0A6490A0">
            <w:pPr>
              <w:spacing w:before="113" w:line="195" w:lineRule="auto"/>
              <w:ind w:left="3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1027" w:type="dxa"/>
            <w:vAlign w:val="top"/>
          </w:tcPr>
          <w:p w14:paraId="75EE2546">
            <w:pPr>
              <w:spacing w:before="113"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0.331</w:t>
            </w:r>
          </w:p>
        </w:tc>
        <w:tc>
          <w:tcPr>
            <w:tcW w:w="1028" w:type="dxa"/>
            <w:vAlign w:val="top"/>
          </w:tcPr>
          <w:p w14:paraId="33E91040">
            <w:pPr>
              <w:spacing w:before="113"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0.330</w:t>
            </w:r>
          </w:p>
        </w:tc>
        <w:tc>
          <w:tcPr>
            <w:tcW w:w="1028" w:type="dxa"/>
            <w:vAlign w:val="top"/>
          </w:tcPr>
          <w:p w14:paraId="75DD75D1">
            <w:pPr>
              <w:spacing w:before="113"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0.328</w:t>
            </w:r>
          </w:p>
        </w:tc>
        <w:tc>
          <w:tcPr>
            <w:tcW w:w="1681" w:type="dxa"/>
            <w:vAlign w:val="top"/>
          </w:tcPr>
          <w:p w14:paraId="0E88A3E7">
            <w:pPr>
              <w:spacing w:before="113"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0.3172703</w:t>
            </w:r>
          </w:p>
        </w:tc>
        <w:tc>
          <w:tcPr>
            <w:tcW w:w="1681" w:type="dxa"/>
            <w:vAlign w:val="top"/>
          </w:tcPr>
          <w:p w14:paraId="6012540A">
            <w:pPr>
              <w:spacing w:before="113"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0.2879898</w:t>
            </w:r>
          </w:p>
        </w:tc>
        <w:tc>
          <w:tcPr>
            <w:tcW w:w="1681" w:type="dxa"/>
            <w:vAlign w:val="top"/>
          </w:tcPr>
          <w:p w14:paraId="60993FB7">
            <w:pPr>
              <w:spacing w:before="113"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0.2646580</w:t>
            </w:r>
          </w:p>
        </w:tc>
        <w:tc>
          <w:tcPr>
            <w:tcW w:w="1681" w:type="dxa"/>
            <w:vAlign w:val="top"/>
          </w:tcPr>
          <w:p w14:paraId="35591F21">
            <w:pPr>
              <w:spacing w:before="113"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0.2506959</w:t>
            </w:r>
          </w:p>
        </w:tc>
        <w:tc>
          <w:tcPr>
            <w:tcW w:w="1681" w:type="dxa"/>
            <w:vAlign w:val="top"/>
          </w:tcPr>
          <w:p w14:paraId="050E7C15">
            <w:pPr>
              <w:spacing w:before="113"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0.2500004</w:t>
            </w:r>
          </w:p>
        </w:tc>
        <w:tc>
          <w:tcPr>
            <w:tcW w:w="1692" w:type="dxa"/>
            <w:tcBorders>
              <w:right w:val="single" w:color="000000" w:sz="10" w:space="0"/>
            </w:tcBorders>
            <w:vAlign w:val="top"/>
          </w:tcPr>
          <w:p w14:paraId="27D9B796">
            <w:pPr>
              <w:spacing w:before="113"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0BBDD6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045" w:type="dxa"/>
            <w:tcBorders>
              <w:left w:val="single" w:color="000000" w:sz="10" w:space="0"/>
            </w:tcBorders>
            <w:vAlign w:val="top"/>
          </w:tcPr>
          <w:p w14:paraId="539CE4AA">
            <w:pPr>
              <w:spacing w:before="114"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700</w:t>
            </w:r>
          </w:p>
        </w:tc>
        <w:tc>
          <w:tcPr>
            <w:tcW w:w="1027" w:type="dxa"/>
            <w:vAlign w:val="top"/>
          </w:tcPr>
          <w:p w14:paraId="3D6E1599">
            <w:pPr>
              <w:spacing w:before="114"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0.325</w:t>
            </w:r>
          </w:p>
        </w:tc>
        <w:tc>
          <w:tcPr>
            <w:tcW w:w="1028" w:type="dxa"/>
            <w:vAlign w:val="top"/>
          </w:tcPr>
          <w:p w14:paraId="09E1B436">
            <w:pPr>
              <w:spacing w:before="114"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0.324</w:t>
            </w:r>
          </w:p>
        </w:tc>
        <w:tc>
          <w:tcPr>
            <w:tcW w:w="1028" w:type="dxa"/>
            <w:vAlign w:val="top"/>
          </w:tcPr>
          <w:p w14:paraId="11CBFD9A">
            <w:pPr>
              <w:spacing w:before="114"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0.322</w:t>
            </w:r>
          </w:p>
        </w:tc>
        <w:tc>
          <w:tcPr>
            <w:tcW w:w="1681" w:type="dxa"/>
            <w:vAlign w:val="top"/>
          </w:tcPr>
          <w:p w14:paraId="07D0A104">
            <w:pPr>
              <w:spacing w:before="114"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0.3139664</w:t>
            </w:r>
          </w:p>
        </w:tc>
        <w:tc>
          <w:tcPr>
            <w:tcW w:w="1681" w:type="dxa"/>
            <w:vAlign w:val="top"/>
          </w:tcPr>
          <w:p w14:paraId="6E5BFEC6">
            <w:pPr>
              <w:spacing w:before="114"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0.2891964</w:t>
            </w:r>
          </w:p>
        </w:tc>
        <w:tc>
          <w:tcPr>
            <w:tcW w:w="1681" w:type="dxa"/>
            <w:vAlign w:val="top"/>
          </w:tcPr>
          <w:p w14:paraId="5B7EE29C">
            <w:pPr>
              <w:spacing w:before="114"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0.2673276</w:t>
            </w:r>
          </w:p>
        </w:tc>
        <w:tc>
          <w:tcPr>
            <w:tcW w:w="1681" w:type="dxa"/>
            <w:vAlign w:val="top"/>
          </w:tcPr>
          <w:p w14:paraId="163DD028">
            <w:pPr>
              <w:spacing w:before="114"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0.2512715</w:t>
            </w:r>
          </w:p>
        </w:tc>
        <w:tc>
          <w:tcPr>
            <w:tcW w:w="1681" w:type="dxa"/>
            <w:vAlign w:val="top"/>
          </w:tcPr>
          <w:p w14:paraId="20F0D51C">
            <w:pPr>
              <w:spacing w:before="114"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0.2500022</w:t>
            </w:r>
          </w:p>
        </w:tc>
        <w:tc>
          <w:tcPr>
            <w:tcW w:w="1692" w:type="dxa"/>
            <w:tcBorders>
              <w:right w:val="single" w:color="000000" w:sz="10" w:space="0"/>
            </w:tcBorders>
            <w:vAlign w:val="top"/>
          </w:tcPr>
          <w:p w14:paraId="0B346221">
            <w:pPr>
              <w:spacing w:before="114"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3778B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045" w:type="dxa"/>
            <w:tcBorders>
              <w:left w:val="single" w:color="000000" w:sz="10" w:space="0"/>
            </w:tcBorders>
            <w:vAlign w:val="top"/>
          </w:tcPr>
          <w:p w14:paraId="1ADA1AE0">
            <w:pPr>
              <w:spacing w:before="115" w:line="195" w:lineRule="auto"/>
              <w:ind w:left="361"/>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c>
          <w:tcPr>
            <w:tcW w:w="1027" w:type="dxa"/>
            <w:vAlign w:val="top"/>
          </w:tcPr>
          <w:p w14:paraId="075520AF">
            <w:pPr>
              <w:spacing w:before="115"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0.320</w:t>
            </w:r>
          </w:p>
        </w:tc>
        <w:tc>
          <w:tcPr>
            <w:tcW w:w="1028" w:type="dxa"/>
            <w:vAlign w:val="top"/>
          </w:tcPr>
          <w:p w14:paraId="4E51FF82">
            <w:pPr>
              <w:spacing w:before="115"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0.320</w:t>
            </w:r>
          </w:p>
        </w:tc>
        <w:tc>
          <w:tcPr>
            <w:tcW w:w="1028" w:type="dxa"/>
            <w:vAlign w:val="top"/>
          </w:tcPr>
          <w:p w14:paraId="2C134047">
            <w:pPr>
              <w:spacing w:before="115"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0.318</w:t>
            </w:r>
          </w:p>
        </w:tc>
        <w:tc>
          <w:tcPr>
            <w:tcW w:w="1681" w:type="dxa"/>
            <w:vAlign w:val="top"/>
          </w:tcPr>
          <w:p w14:paraId="02A3888A">
            <w:pPr>
              <w:spacing w:before="115"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0.3110384</w:t>
            </w:r>
          </w:p>
        </w:tc>
        <w:tc>
          <w:tcPr>
            <w:tcW w:w="1681" w:type="dxa"/>
            <w:vAlign w:val="top"/>
          </w:tcPr>
          <w:p w14:paraId="39D2B62B">
            <w:pPr>
              <w:spacing w:before="115"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0.2897636</w:t>
            </w:r>
          </w:p>
        </w:tc>
        <w:tc>
          <w:tcPr>
            <w:tcW w:w="1681" w:type="dxa"/>
            <w:vAlign w:val="top"/>
          </w:tcPr>
          <w:p w14:paraId="20883F6B">
            <w:pPr>
              <w:spacing w:before="115"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0.2694666</w:t>
            </w:r>
          </w:p>
        </w:tc>
        <w:tc>
          <w:tcPr>
            <w:tcW w:w="1681" w:type="dxa"/>
            <w:vAlign w:val="top"/>
          </w:tcPr>
          <w:p w14:paraId="3CD91002">
            <w:pPr>
              <w:spacing w:before="115"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0.2519800</w:t>
            </w:r>
          </w:p>
        </w:tc>
        <w:tc>
          <w:tcPr>
            <w:tcW w:w="1681" w:type="dxa"/>
            <w:vAlign w:val="top"/>
          </w:tcPr>
          <w:p w14:paraId="62D7817D">
            <w:pPr>
              <w:spacing w:before="115"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0.2500075</w:t>
            </w:r>
          </w:p>
        </w:tc>
        <w:tc>
          <w:tcPr>
            <w:tcW w:w="1692" w:type="dxa"/>
            <w:tcBorders>
              <w:right w:val="single" w:color="000000" w:sz="10" w:space="0"/>
            </w:tcBorders>
            <w:vAlign w:val="top"/>
          </w:tcPr>
          <w:p w14:paraId="17DCAE6D">
            <w:pPr>
              <w:spacing w:before="115"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020E0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045" w:type="dxa"/>
            <w:tcBorders>
              <w:left w:val="single" w:color="000000" w:sz="10" w:space="0"/>
            </w:tcBorders>
            <w:vAlign w:val="top"/>
          </w:tcPr>
          <w:p w14:paraId="79A53B0D">
            <w:pPr>
              <w:spacing w:before="117"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900</w:t>
            </w:r>
          </w:p>
        </w:tc>
        <w:tc>
          <w:tcPr>
            <w:tcW w:w="1027" w:type="dxa"/>
            <w:vAlign w:val="top"/>
          </w:tcPr>
          <w:p w14:paraId="4B4E9E79">
            <w:pPr>
              <w:spacing w:before="117"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0.316</w:t>
            </w:r>
          </w:p>
        </w:tc>
        <w:tc>
          <w:tcPr>
            <w:tcW w:w="1028" w:type="dxa"/>
            <w:vAlign w:val="top"/>
          </w:tcPr>
          <w:p w14:paraId="3EB744D7">
            <w:pPr>
              <w:spacing w:before="117"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0.316</w:t>
            </w:r>
          </w:p>
        </w:tc>
        <w:tc>
          <w:tcPr>
            <w:tcW w:w="1028" w:type="dxa"/>
            <w:vAlign w:val="top"/>
          </w:tcPr>
          <w:p w14:paraId="653C667A">
            <w:pPr>
              <w:spacing w:before="117"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0.314</w:t>
            </w:r>
          </w:p>
        </w:tc>
        <w:tc>
          <w:tcPr>
            <w:tcW w:w="1681" w:type="dxa"/>
            <w:vAlign w:val="top"/>
          </w:tcPr>
          <w:p w14:paraId="036A2F95">
            <w:pPr>
              <w:spacing w:before="117"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0.3084393</w:t>
            </w:r>
          </w:p>
        </w:tc>
        <w:tc>
          <w:tcPr>
            <w:tcW w:w="1681" w:type="dxa"/>
            <w:vAlign w:val="top"/>
          </w:tcPr>
          <w:p w14:paraId="501F7F67">
            <w:pPr>
              <w:spacing w:before="117"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0.2899270</w:t>
            </w:r>
          </w:p>
        </w:tc>
        <w:tc>
          <w:tcPr>
            <w:tcW w:w="1681" w:type="dxa"/>
            <w:vAlign w:val="top"/>
          </w:tcPr>
          <w:p w14:paraId="03D3B1CF">
            <w:pPr>
              <w:spacing w:before="117" w:line="195" w:lineRule="auto"/>
              <w:ind w:left="4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0.2711611</w:t>
            </w:r>
          </w:p>
        </w:tc>
        <w:tc>
          <w:tcPr>
            <w:tcW w:w="1681" w:type="dxa"/>
            <w:vAlign w:val="top"/>
          </w:tcPr>
          <w:p w14:paraId="1DF8B142">
            <w:pPr>
              <w:spacing w:before="117"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0.2527746</w:t>
            </w:r>
          </w:p>
        </w:tc>
        <w:tc>
          <w:tcPr>
            <w:tcW w:w="1681" w:type="dxa"/>
            <w:vAlign w:val="top"/>
          </w:tcPr>
          <w:p w14:paraId="49FDA9BE">
            <w:pPr>
              <w:spacing w:before="117"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0.2500196</w:t>
            </w:r>
          </w:p>
        </w:tc>
        <w:tc>
          <w:tcPr>
            <w:tcW w:w="1692" w:type="dxa"/>
            <w:tcBorders>
              <w:right w:val="single" w:color="000000" w:sz="10" w:space="0"/>
            </w:tcBorders>
            <w:vAlign w:val="top"/>
          </w:tcPr>
          <w:p w14:paraId="41382B60">
            <w:pPr>
              <w:spacing w:before="117"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3291A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045" w:type="dxa"/>
            <w:tcBorders>
              <w:left w:val="single" w:color="000000" w:sz="10" w:space="0"/>
            </w:tcBorders>
            <w:vAlign w:val="top"/>
          </w:tcPr>
          <w:p w14:paraId="051CD0BE">
            <w:pPr>
              <w:spacing w:before="118" w:line="195" w:lineRule="auto"/>
              <w:ind w:left="3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1000</w:t>
            </w:r>
          </w:p>
        </w:tc>
        <w:tc>
          <w:tcPr>
            <w:tcW w:w="1027" w:type="dxa"/>
            <w:vAlign w:val="top"/>
          </w:tcPr>
          <w:p w14:paraId="38ABAD19">
            <w:pPr>
              <w:spacing w:before="118"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0.313</w:t>
            </w:r>
          </w:p>
        </w:tc>
        <w:tc>
          <w:tcPr>
            <w:tcW w:w="1028" w:type="dxa"/>
            <w:vAlign w:val="top"/>
          </w:tcPr>
          <w:p w14:paraId="7A85F63B">
            <w:pPr>
              <w:spacing w:before="118"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0.312</w:t>
            </w:r>
          </w:p>
        </w:tc>
        <w:tc>
          <w:tcPr>
            <w:tcW w:w="1028" w:type="dxa"/>
            <w:vAlign w:val="top"/>
          </w:tcPr>
          <w:p w14:paraId="674DEC76">
            <w:pPr>
              <w:spacing w:before="118"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0.311</w:t>
            </w:r>
          </w:p>
        </w:tc>
        <w:tc>
          <w:tcPr>
            <w:tcW w:w="1681" w:type="dxa"/>
            <w:vAlign w:val="top"/>
          </w:tcPr>
          <w:p w14:paraId="7B8F3315">
            <w:pPr>
              <w:spacing w:before="118"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0.3061210</w:t>
            </w:r>
          </w:p>
        </w:tc>
        <w:tc>
          <w:tcPr>
            <w:tcW w:w="1681" w:type="dxa"/>
            <w:vAlign w:val="top"/>
          </w:tcPr>
          <w:p w14:paraId="43D51A7F">
            <w:pPr>
              <w:spacing w:before="118"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0.2898319</w:t>
            </w:r>
          </w:p>
        </w:tc>
        <w:tc>
          <w:tcPr>
            <w:tcW w:w="1681" w:type="dxa"/>
            <w:vAlign w:val="top"/>
          </w:tcPr>
          <w:p w14:paraId="7B9A90D6">
            <w:pPr>
              <w:spacing w:before="118"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0.2724944</w:t>
            </w:r>
          </w:p>
        </w:tc>
        <w:tc>
          <w:tcPr>
            <w:tcW w:w="1681" w:type="dxa"/>
            <w:vAlign w:val="top"/>
          </w:tcPr>
          <w:p w14:paraId="5CBDFAAE">
            <w:pPr>
              <w:spacing w:before="118"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0.2536139</w:t>
            </w:r>
          </w:p>
        </w:tc>
        <w:tc>
          <w:tcPr>
            <w:tcW w:w="1681" w:type="dxa"/>
            <w:vAlign w:val="top"/>
          </w:tcPr>
          <w:p w14:paraId="5E549887">
            <w:pPr>
              <w:spacing w:before="118"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0.2500419</w:t>
            </w:r>
          </w:p>
        </w:tc>
        <w:tc>
          <w:tcPr>
            <w:tcW w:w="1692" w:type="dxa"/>
            <w:tcBorders>
              <w:right w:val="single" w:color="000000" w:sz="10" w:space="0"/>
            </w:tcBorders>
            <w:vAlign w:val="top"/>
          </w:tcPr>
          <w:p w14:paraId="289F0666">
            <w:pPr>
              <w:spacing w:before="118"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085A4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045" w:type="dxa"/>
            <w:tcBorders>
              <w:left w:val="single" w:color="000000" w:sz="10" w:space="0"/>
            </w:tcBorders>
            <w:vAlign w:val="top"/>
          </w:tcPr>
          <w:p w14:paraId="6FDB7670">
            <w:pPr>
              <w:spacing w:before="119" w:line="195" w:lineRule="auto"/>
              <w:ind w:left="3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1500</w:t>
            </w:r>
          </w:p>
        </w:tc>
        <w:tc>
          <w:tcPr>
            <w:tcW w:w="1027" w:type="dxa"/>
            <w:vAlign w:val="top"/>
          </w:tcPr>
          <w:p w14:paraId="20B5B37D">
            <w:pPr>
              <w:spacing w:before="119"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0.301</w:t>
            </w:r>
          </w:p>
        </w:tc>
        <w:tc>
          <w:tcPr>
            <w:tcW w:w="1028" w:type="dxa"/>
            <w:vAlign w:val="top"/>
          </w:tcPr>
          <w:p w14:paraId="4E696FD9">
            <w:pPr>
              <w:spacing w:before="119"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0.301</w:t>
            </w:r>
          </w:p>
        </w:tc>
        <w:tc>
          <w:tcPr>
            <w:tcW w:w="1028" w:type="dxa"/>
            <w:vAlign w:val="top"/>
          </w:tcPr>
          <w:p w14:paraId="17C6C07B">
            <w:pPr>
              <w:spacing w:before="119"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0.300</w:t>
            </w:r>
          </w:p>
        </w:tc>
        <w:tc>
          <w:tcPr>
            <w:tcW w:w="1681" w:type="dxa"/>
            <w:vAlign w:val="top"/>
          </w:tcPr>
          <w:p w14:paraId="22A2FE6D">
            <w:pPr>
              <w:spacing w:before="119"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0.2974839</w:t>
            </w:r>
          </w:p>
        </w:tc>
        <w:tc>
          <w:tcPr>
            <w:tcW w:w="1681" w:type="dxa"/>
            <w:vAlign w:val="top"/>
          </w:tcPr>
          <w:p w14:paraId="70E5FC14">
            <w:pPr>
              <w:spacing w:before="119"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0.2877819</w:t>
            </w:r>
          </w:p>
        </w:tc>
        <w:tc>
          <w:tcPr>
            <w:tcW w:w="1681" w:type="dxa"/>
            <w:vAlign w:val="top"/>
          </w:tcPr>
          <w:p w14:paraId="5DEE899E">
            <w:pPr>
              <w:spacing w:before="119"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0.2758135</w:t>
            </w:r>
          </w:p>
        </w:tc>
        <w:tc>
          <w:tcPr>
            <w:tcW w:w="1681" w:type="dxa"/>
            <w:vAlign w:val="top"/>
          </w:tcPr>
          <w:p w14:paraId="494647E8">
            <w:pPr>
              <w:spacing w:before="119"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0.2576286</w:t>
            </w:r>
          </w:p>
        </w:tc>
        <w:tc>
          <w:tcPr>
            <w:tcW w:w="1681" w:type="dxa"/>
            <w:vAlign w:val="top"/>
          </w:tcPr>
          <w:p w14:paraId="265202E8">
            <w:pPr>
              <w:spacing w:before="119"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0.2503909</w:t>
            </w:r>
          </w:p>
        </w:tc>
        <w:tc>
          <w:tcPr>
            <w:tcW w:w="1692" w:type="dxa"/>
            <w:tcBorders>
              <w:right w:val="single" w:color="000000" w:sz="10" w:space="0"/>
            </w:tcBorders>
            <w:vAlign w:val="top"/>
          </w:tcPr>
          <w:p w14:paraId="57F0AC46">
            <w:pPr>
              <w:spacing w:before="119"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0.2500009</w:t>
            </w:r>
          </w:p>
        </w:tc>
      </w:tr>
      <w:tr w14:paraId="0075B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045" w:type="dxa"/>
            <w:tcBorders>
              <w:left w:val="single" w:color="000000" w:sz="10" w:space="0"/>
            </w:tcBorders>
            <w:vAlign w:val="top"/>
          </w:tcPr>
          <w:p w14:paraId="1F462B3E">
            <w:pPr>
              <w:spacing w:before="120" w:line="195" w:lineRule="auto"/>
              <w:ind w:left="29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w:t>
            </w:r>
          </w:p>
        </w:tc>
        <w:tc>
          <w:tcPr>
            <w:tcW w:w="1027" w:type="dxa"/>
            <w:vAlign w:val="top"/>
          </w:tcPr>
          <w:p w14:paraId="01AE6348">
            <w:pPr>
              <w:spacing w:before="120"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0.294</w:t>
            </w:r>
          </w:p>
        </w:tc>
        <w:tc>
          <w:tcPr>
            <w:tcW w:w="1028" w:type="dxa"/>
            <w:vAlign w:val="top"/>
          </w:tcPr>
          <w:p w14:paraId="1A27504F">
            <w:pPr>
              <w:spacing w:before="120"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0.294</w:t>
            </w:r>
          </w:p>
        </w:tc>
        <w:tc>
          <w:tcPr>
            <w:tcW w:w="1028" w:type="dxa"/>
            <w:vAlign w:val="top"/>
          </w:tcPr>
          <w:p w14:paraId="45BCC5F7">
            <w:pPr>
              <w:spacing w:before="120"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0.294</w:t>
            </w:r>
          </w:p>
        </w:tc>
        <w:tc>
          <w:tcPr>
            <w:tcW w:w="1681" w:type="dxa"/>
            <w:vAlign w:val="top"/>
          </w:tcPr>
          <w:p w14:paraId="264A7B22">
            <w:pPr>
              <w:spacing w:before="120"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0.2918092</w:t>
            </w:r>
          </w:p>
        </w:tc>
        <w:tc>
          <w:tcPr>
            <w:tcW w:w="1681" w:type="dxa"/>
            <w:vAlign w:val="top"/>
          </w:tcPr>
          <w:p w14:paraId="6F688B5C">
            <w:pPr>
              <w:spacing w:before="120"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0.2852229</w:t>
            </w:r>
          </w:p>
        </w:tc>
        <w:tc>
          <w:tcPr>
            <w:tcW w:w="1681" w:type="dxa"/>
            <w:vAlign w:val="top"/>
          </w:tcPr>
          <w:p w14:paraId="3A792548">
            <w:pPr>
              <w:spacing w:before="120"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0.2764695</w:t>
            </w:r>
          </w:p>
        </w:tc>
        <w:tc>
          <w:tcPr>
            <w:tcW w:w="1681" w:type="dxa"/>
            <w:vAlign w:val="top"/>
          </w:tcPr>
          <w:p w14:paraId="3D6D20FB">
            <w:pPr>
              <w:spacing w:before="120"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0.2606095</w:t>
            </w:r>
          </w:p>
        </w:tc>
        <w:tc>
          <w:tcPr>
            <w:tcW w:w="1681" w:type="dxa"/>
            <w:vAlign w:val="top"/>
          </w:tcPr>
          <w:p w14:paraId="2674B445">
            <w:pPr>
              <w:spacing w:before="120" w:line="195" w:lineRule="auto"/>
              <w:ind w:left="4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0.2511426</w:t>
            </w:r>
          </w:p>
        </w:tc>
        <w:tc>
          <w:tcPr>
            <w:tcW w:w="1692" w:type="dxa"/>
            <w:tcBorders>
              <w:right w:val="single" w:color="000000" w:sz="10" w:space="0"/>
            </w:tcBorders>
            <w:vAlign w:val="top"/>
          </w:tcPr>
          <w:p w14:paraId="13DC3A63">
            <w:pPr>
              <w:spacing w:before="120"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0.2500118</w:t>
            </w:r>
          </w:p>
        </w:tc>
      </w:tr>
      <w:tr w14:paraId="6C90D0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045" w:type="dxa"/>
            <w:tcBorders>
              <w:left w:val="single" w:color="000000" w:sz="10" w:space="0"/>
            </w:tcBorders>
            <w:vAlign w:val="top"/>
          </w:tcPr>
          <w:p w14:paraId="1CE270F5">
            <w:pPr>
              <w:spacing w:before="121" w:line="195"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3000</w:t>
            </w:r>
          </w:p>
        </w:tc>
        <w:tc>
          <w:tcPr>
            <w:tcW w:w="1027" w:type="dxa"/>
            <w:vAlign w:val="top"/>
          </w:tcPr>
          <w:p w14:paraId="52501DEF">
            <w:pPr>
              <w:spacing w:before="121"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0.286</w:t>
            </w:r>
          </w:p>
        </w:tc>
        <w:tc>
          <w:tcPr>
            <w:tcW w:w="1028" w:type="dxa"/>
            <w:vAlign w:val="top"/>
          </w:tcPr>
          <w:p w14:paraId="47F099B7">
            <w:pPr>
              <w:spacing w:before="121"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0.286</w:t>
            </w:r>
          </w:p>
        </w:tc>
        <w:tc>
          <w:tcPr>
            <w:tcW w:w="1028" w:type="dxa"/>
            <w:vAlign w:val="top"/>
          </w:tcPr>
          <w:p w14:paraId="2CC2CA25">
            <w:pPr>
              <w:spacing w:before="121"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0.286</w:t>
            </w:r>
          </w:p>
        </w:tc>
        <w:tc>
          <w:tcPr>
            <w:tcW w:w="1681" w:type="dxa"/>
            <w:vAlign w:val="top"/>
          </w:tcPr>
          <w:p w14:paraId="60BAC5AE">
            <w:pPr>
              <w:spacing w:before="121"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0.2846213</w:t>
            </w:r>
          </w:p>
        </w:tc>
        <w:tc>
          <w:tcPr>
            <w:tcW w:w="1681" w:type="dxa"/>
            <w:vAlign w:val="top"/>
          </w:tcPr>
          <w:p w14:paraId="17BB69F1">
            <w:pPr>
              <w:spacing w:before="121"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0.2808825</w:t>
            </w:r>
          </w:p>
        </w:tc>
        <w:tc>
          <w:tcPr>
            <w:tcW w:w="1681" w:type="dxa"/>
            <w:vAlign w:val="top"/>
          </w:tcPr>
          <w:p w14:paraId="50B7F631">
            <w:pPr>
              <w:spacing w:before="121"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0.2755266</w:t>
            </w:r>
          </w:p>
        </w:tc>
        <w:tc>
          <w:tcPr>
            <w:tcW w:w="1681" w:type="dxa"/>
            <w:vAlign w:val="top"/>
          </w:tcPr>
          <w:p w14:paraId="6DB1363E">
            <w:pPr>
              <w:spacing w:before="121"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0.2638769</w:t>
            </w:r>
          </w:p>
        </w:tc>
        <w:tc>
          <w:tcPr>
            <w:tcW w:w="1681" w:type="dxa"/>
            <w:vAlign w:val="top"/>
          </w:tcPr>
          <w:p w14:paraId="5111A1DA">
            <w:pPr>
              <w:spacing w:before="121" w:line="195" w:lineRule="auto"/>
              <w:ind w:left="4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0.2531411</w:t>
            </w:r>
          </w:p>
        </w:tc>
        <w:tc>
          <w:tcPr>
            <w:tcW w:w="1692" w:type="dxa"/>
            <w:tcBorders>
              <w:right w:val="single" w:color="000000" w:sz="10" w:space="0"/>
            </w:tcBorders>
            <w:vAlign w:val="top"/>
          </w:tcPr>
          <w:p w14:paraId="51A4B01E">
            <w:pPr>
              <w:spacing w:before="121"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0.2501491</w:t>
            </w:r>
          </w:p>
        </w:tc>
      </w:tr>
      <w:tr w14:paraId="700FF9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045" w:type="dxa"/>
            <w:tcBorders>
              <w:left w:val="single" w:color="000000" w:sz="10" w:space="0"/>
            </w:tcBorders>
            <w:vAlign w:val="top"/>
          </w:tcPr>
          <w:p w14:paraId="070A6400">
            <w:pPr>
              <w:spacing w:before="123"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4000</w:t>
            </w:r>
          </w:p>
        </w:tc>
        <w:tc>
          <w:tcPr>
            <w:tcW w:w="1027" w:type="dxa"/>
            <w:vAlign w:val="top"/>
          </w:tcPr>
          <w:p w14:paraId="6C78C661">
            <w:pPr>
              <w:spacing w:before="123"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0.281</w:t>
            </w:r>
          </w:p>
        </w:tc>
        <w:tc>
          <w:tcPr>
            <w:tcW w:w="1028" w:type="dxa"/>
            <w:vAlign w:val="top"/>
          </w:tcPr>
          <w:p w14:paraId="1CCBB592">
            <w:pPr>
              <w:spacing w:before="123"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0.281</w:t>
            </w:r>
          </w:p>
        </w:tc>
        <w:tc>
          <w:tcPr>
            <w:tcW w:w="1028" w:type="dxa"/>
            <w:vAlign w:val="top"/>
          </w:tcPr>
          <w:p w14:paraId="404EC6CF">
            <w:pPr>
              <w:spacing w:before="123"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0.281</w:t>
            </w:r>
          </w:p>
        </w:tc>
        <w:tc>
          <w:tcPr>
            <w:tcW w:w="1681" w:type="dxa"/>
            <w:vAlign w:val="top"/>
          </w:tcPr>
          <w:p w14:paraId="1DBDDEEB">
            <w:pPr>
              <w:spacing w:before="123"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0.2801201</w:t>
            </w:r>
          </w:p>
        </w:tc>
        <w:tc>
          <w:tcPr>
            <w:tcW w:w="1681" w:type="dxa"/>
            <w:vAlign w:val="top"/>
          </w:tcPr>
          <w:p w14:paraId="3CE97C10">
            <w:pPr>
              <w:spacing w:before="123"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0.2776460</w:t>
            </w:r>
          </w:p>
        </w:tc>
        <w:tc>
          <w:tcPr>
            <w:tcW w:w="1681" w:type="dxa"/>
            <w:vAlign w:val="top"/>
          </w:tcPr>
          <w:p w14:paraId="362A31BC">
            <w:pPr>
              <w:spacing w:before="123"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0.2739659</w:t>
            </w:r>
          </w:p>
        </w:tc>
        <w:tc>
          <w:tcPr>
            <w:tcW w:w="1681" w:type="dxa"/>
            <w:vAlign w:val="top"/>
          </w:tcPr>
          <w:p w14:paraId="12C5BB62">
            <w:pPr>
              <w:spacing w:before="123"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0.2651729</w:t>
            </w:r>
          </w:p>
        </w:tc>
        <w:tc>
          <w:tcPr>
            <w:tcW w:w="1681" w:type="dxa"/>
            <w:vAlign w:val="top"/>
          </w:tcPr>
          <w:p w14:paraId="76C35867">
            <w:pPr>
              <w:spacing w:before="123"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0.2549792</w:t>
            </w:r>
          </w:p>
        </w:tc>
        <w:tc>
          <w:tcPr>
            <w:tcW w:w="1692" w:type="dxa"/>
            <w:tcBorders>
              <w:right w:val="single" w:color="000000" w:sz="10" w:space="0"/>
            </w:tcBorders>
            <w:vAlign w:val="top"/>
          </w:tcPr>
          <w:p w14:paraId="55C922F7">
            <w:pPr>
              <w:spacing w:before="123"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0.2505065</w:t>
            </w:r>
          </w:p>
        </w:tc>
      </w:tr>
      <w:tr w14:paraId="57E262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045" w:type="dxa"/>
            <w:tcBorders>
              <w:left w:val="single" w:color="000000" w:sz="10" w:space="0"/>
              <w:bottom w:val="single" w:color="000000" w:sz="10" w:space="0"/>
            </w:tcBorders>
            <w:vAlign w:val="top"/>
          </w:tcPr>
          <w:p w14:paraId="35CB40FC">
            <w:pPr>
              <w:spacing w:before="124" w:line="195"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w:t>
            </w:r>
          </w:p>
        </w:tc>
        <w:tc>
          <w:tcPr>
            <w:tcW w:w="1027" w:type="dxa"/>
            <w:tcBorders>
              <w:bottom w:val="single" w:color="000000" w:sz="10" w:space="0"/>
            </w:tcBorders>
            <w:vAlign w:val="top"/>
          </w:tcPr>
          <w:p w14:paraId="0A7C70C1">
            <w:pPr>
              <w:spacing w:before="124"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0.270</w:t>
            </w:r>
          </w:p>
        </w:tc>
        <w:tc>
          <w:tcPr>
            <w:tcW w:w="1028" w:type="dxa"/>
            <w:tcBorders>
              <w:bottom w:val="single" w:color="000000" w:sz="10" w:space="0"/>
            </w:tcBorders>
            <w:vAlign w:val="top"/>
          </w:tcPr>
          <w:p w14:paraId="4E2C8911">
            <w:pPr>
              <w:spacing w:before="124"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0.270</w:t>
            </w:r>
          </w:p>
        </w:tc>
        <w:tc>
          <w:tcPr>
            <w:tcW w:w="1028" w:type="dxa"/>
            <w:tcBorders>
              <w:bottom w:val="single" w:color="000000" w:sz="10" w:space="0"/>
            </w:tcBorders>
            <w:vAlign w:val="top"/>
          </w:tcPr>
          <w:p w14:paraId="0EA0C6EB">
            <w:pPr>
              <w:spacing w:before="124"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0.270</w:t>
            </w:r>
          </w:p>
        </w:tc>
        <w:tc>
          <w:tcPr>
            <w:tcW w:w="1681" w:type="dxa"/>
            <w:tcBorders>
              <w:bottom w:val="single" w:color="000000" w:sz="10" w:space="0"/>
            </w:tcBorders>
            <w:vAlign w:val="top"/>
          </w:tcPr>
          <w:p w14:paraId="63F70365">
            <w:pPr>
              <w:spacing w:before="124"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0.2699015</w:t>
            </w:r>
          </w:p>
        </w:tc>
        <w:tc>
          <w:tcPr>
            <w:tcW w:w="1681" w:type="dxa"/>
            <w:tcBorders>
              <w:bottom w:val="single" w:color="000000" w:sz="10" w:space="0"/>
            </w:tcBorders>
            <w:vAlign w:val="top"/>
          </w:tcPr>
          <w:p w14:paraId="142A15BA">
            <w:pPr>
              <w:spacing w:before="124"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0.2691577</w:t>
            </w:r>
          </w:p>
        </w:tc>
        <w:tc>
          <w:tcPr>
            <w:tcW w:w="1681" w:type="dxa"/>
            <w:tcBorders>
              <w:bottom w:val="single" w:color="000000" w:sz="10" w:space="0"/>
            </w:tcBorders>
            <w:vAlign w:val="top"/>
          </w:tcPr>
          <w:p w14:paraId="61914F7D">
            <w:pPr>
              <w:spacing w:before="124"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0.2679792</w:t>
            </w:r>
          </w:p>
        </w:tc>
        <w:tc>
          <w:tcPr>
            <w:tcW w:w="1681" w:type="dxa"/>
            <w:tcBorders>
              <w:bottom w:val="single" w:color="000000" w:sz="10" w:space="0"/>
            </w:tcBorders>
            <w:vAlign w:val="top"/>
          </w:tcPr>
          <w:p w14:paraId="6946516D">
            <w:pPr>
              <w:spacing w:before="124"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0.2646736</w:t>
            </w:r>
          </w:p>
        </w:tc>
        <w:tc>
          <w:tcPr>
            <w:tcW w:w="1681" w:type="dxa"/>
            <w:tcBorders>
              <w:bottom w:val="single" w:color="000000" w:sz="10" w:space="0"/>
            </w:tcBorders>
            <w:vAlign w:val="top"/>
          </w:tcPr>
          <w:p w14:paraId="54E10A40">
            <w:pPr>
              <w:spacing w:before="124"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0.2589427</w:t>
            </w:r>
          </w:p>
        </w:tc>
        <w:tc>
          <w:tcPr>
            <w:tcW w:w="1692" w:type="dxa"/>
            <w:tcBorders>
              <w:bottom w:val="single" w:color="000000" w:sz="10" w:space="0"/>
              <w:right w:val="single" w:color="000000" w:sz="10" w:space="0"/>
            </w:tcBorders>
            <w:vAlign w:val="top"/>
          </w:tcPr>
          <w:p w14:paraId="6BD718A2">
            <w:pPr>
              <w:spacing w:before="124"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0.2532382</w:t>
            </w:r>
          </w:p>
        </w:tc>
      </w:tr>
    </w:tbl>
    <w:p w14:paraId="287D47B9">
      <w:pPr>
        <w:pStyle w:val="2"/>
      </w:pPr>
    </w:p>
    <w:p w14:paraId="32235637">
      <w:pPr>
        <w:sectPr>
          <w:footerReference r:id="rId129" w:type="default"/>
          <w:pgSz w:w="16840" w:h="11907"/>
          <w:pgMar w:top="1132" w:right="1294" w:bottom="1258" w:left="1294" w:header="829" w:footer="1096" w:gutter="0"/>
          <w:cols w:space="720" w:num="1"/>
        </w:sectPr>
      </w:pPr>
    </w:p>
    <w:p w14:paraId="01503ACD">
      <w:pPr>
        <w:pStyle w:val="2"/>
        <w:spacing w:line="265" w:lineRule="auto"/>
      </w:pPr>
    </w:p>
    <w:p w14:paraId="4F246796">
      <w:pPr>
        <w:pStyle w:val="2"/>
        <w:spacing w:line="265" w:lineRule="auto"/>
      </w:pPr>
    </w:p>
    <w:p w14:paraId="3943CED6">
      <w:pPr>
        <w:spacing w:before="65" w:line="223" w:lineRule="auto"/>
        <w:ind w:left="5017"/>
        <w:rPr>
          <w:rFonts w:ascii="宋体" w:hAnsi="宋体" w:eastAsia="宋体" w:cs="宋体"/>
          <w:sz w:val="20"/>
          <w:szCs w:val="20"/>
        </w:rPr>
      </w:pPr>
      <w:r>
        <w:rPr>
          <w:rFonts w:ascii="宋体" w:hAnsi="宋体" w:eastAsia="宋体" w:cs="宋体"/>
          <w:b/>
          <w:bCs/>
          <w:spacing w:val="6"/>
          <w:sz w:val="20"/>
          <w:szCs w:val="20"/>
        </w:rPr>
        <w:t>表</w:t>
      </w:r>
      <w:r>
        <w:rPr>
          <w:rFonts w:ascii="Times New Roman" w:hAnsi="Times New Roman" w:eastAsia="Times New Roman" w:cs="Times New Roman"/>
          <w:b/>
          <w:bCs/>
          <w:spacing w:val="6"/>
          <w:sz w:val="20"/>
          <w:szCs w:val="20"/>
        </w:rPr>
        <w:t>6.3-4</w:t>
      </w:r>
      <w:r>
        <w:rPr>
          <w:rFonts w:ascii="宋体" w:hAnsi="宋体" w:eastAsia="宋体" w:cs="宋体"/>
          <w:b/>
          <w:bCs/>
          <w:spacing w:val="6"/>
          <w:sz w:val="20"/>
          <w:szCs w:val="20"/>
        </w:rPr>
        <w:t>枯水期</w:t>
      </w:r>
      <w:r>
        <w:rPr>
          <w:rFonts w:ascii="Times New Roman" w:hAnsi="Times New Roman" w:eastAsia="Times New Roman" w:cs="Times New Roman"/>
          <w:b/>
          <w:bCs/>
          <w:sz w:val="20"/>
          <w:szCs w:val="20"/>
        </w:rPr>
        <w:t>COD</w:t>
      </w:r>
      <w:r>
        <w:rPr>
          <w:rFonts w:ascii="宋体" w:hAnsi="宋体" w:eastAsia="宋体" w:cs="宋体"/>
          <w:b/>
          <w:bCs/>
          <w:spacing w:val="6"/>
          <w:sz w:val="20"/>
          <w:szCs w:val="20"/>
        </w:rPr>
        <w:t>浓度预测值</w:t>
      </w:r>
      <w:r>
        <w:rPr>
          <w:rFonts w:ascii="宋体" w:hAnsi="宋体" w:eastAsia="宋体" w:cs="宋体"/>
          <w:b/>
          <w:bCs/>
          <w:spacing w:val="5"/>
          <w:sz w:val="20"/>
          <w:szCs w:val="20"/>
        </w:rPr>
        <w:t>（事故排放）</w:t>
      </w:r>
    </w:p>
    <w:tbl>
      <w:tblPr>
        <w:tblStyle w:val="5"/>
        <w:tblW w:w="14023"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2"/>
        <w:gridCol w:w="1537"/>
        <w:gridCol w:w="1537"/>
        <w:gridCol w:w="1397"/>
        <w:gridCol w:w="1397"/>
        <w:gridCol w:w="1397"/>
        <w:gridCol w:w="1398"/>
        <w:gridCol w:w="1398"/>
        <w:gridCol w:w="1398"/>
        <w:gridCol w:w="1412"/>
      </w:tblGrid>
      <w:tr w14:paraId="065F8A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1152" w:type="dxa"/>
            <w:tcBorders>
              <w:top w:val="single" w:color="000000" w:sz="10" w:space="0"/>
              <w:left w:val="single" w:color="000000" w:sz="10" w:space="0"/>
            </w:tcBorders>
            <w:vAlign w:val="top"/>
          </w:tcPr>
          <w:p w14:paraId="7443BBA4">
            <w:pPr>
              <w:spacing w:before="101" w:line="201"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C(x,y)</w:t>
            </w:r>
          </w:p>
        </w:tc>
        <w:tc>
          <w:tcPr>
            <w:tcW w:w="1537" w:type="dxa"/>
            <w:tcBorders>
              <w:top w:val="single" w:color="000000" w:sz="10" w:space="0"/>
            </w:tcBorders>
            <w:vAlign w:val="top"/>
          </w:tcPr>
          <w:p w14:paraId="2A1F4B0A">
            <w:pPr>
              <w:spacing w:before="105" w:line="195" w:lineRule="auto"/>
              <w:ind w:left="7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37" w:type="dxa"/>
            <w:tcBorders>
              <w:top w:val="single" w:color="000000" w:sz="10" w:space="0"/>
            </w:tcBorders>
            <w:vAlign w:val="top"/>
          </w:tcPr>
          <w:p w14:paraId="12F91B7C">
            <w:pPr>
              <w:spacing w:before="105" w:line="195" w:lineRule="auto"/>
              <w:ind w:left="71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97" w:type="dxa"/>
            <w:tcBorders>
              <w:top w:val="single" w:color="000000" w:sz="10" w:space="0"/>
            </w:tcBorders>
            <w:vAlign w:val="top"/>
          </w:tcPr>
          <w:p w14:paraId="23E71535">
            <w:pPr>
              <w:spacing w:before="108" w:line="192" w:lineRule="auto"/>
              <w:ind w:left="64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397" w:type="dxa"/>
            <w:tcBorders>
              <w:top w:val="single" w:color="000000" w:sz="10" w:space="0"/>
            </w:tcBorders>
            <w:vAlign w:val="top"/>
          </w:tcPr>
          <w:p w14:paraId="3B3FDE85">
            <w:pPr>
              <w:spacing w:before="105" w:line="195" w:lineRule="auto"/>
              <w:ind w:left="61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397" w:type="dxa"/>
            <w:tcBorders>
              <w:top w:val="single" w:color="000000" w:sz="10" w:space="0"/>
            </w:tcBorders>
            <w:vAlign w:val="top"/>
          </w:tcPr>
          <w:p w14:paraId="0220C141">
            <w:pPr>
              <w:spacing w:before="105" w:line="195" w:lineRule="auto"/>
              <w:ind w:left="5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398" w:type="dxa"/>
            <w:tcBorders>
              <w:top w:val="single" w:color="000000" w:sz="10" w:space="0"/>
            </w:tcBorders>
            <w:vAlign w:val="top"/>
          </w:tcPr>
          <w:p w14:paraId="110951E9">
            <w:pPr>
              <w:spacing w:before="105" w:line="195" w:lineRule="auto"/>
              <w:ind w:left="604"/>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398" w:type="dxa"/>
            <w:tcBorders>
              <w:top w:val="single" w:color="000000" w:sz="10" w:space="0"/>
            </w:tcBorders>
            <w:vAlign w:val="top"/>
          </w:tcPr>
          <w:p w14:paraId="43890035">
            <w:pPr>
              <w:spacing w:before="105" w:line="195" w:lineRule="auto"/>
              <w:ind w:left="606"/>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398" w:type="dxa"/>
            <w:tcBorders>
              <w:top w:val="single" w:color="000000" w:sz="10" w:space="0"/>
            </w:tcBorders>
            <w:vAlign w:val="top"/>
          </w:tcPr>
          <w:p w14:paraId="73F9E67A">
            <w:pPr>
              <w:spacing w:before="105" w:line="195" w:lineRule="auto"/>
              <w:ind w:left="6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1412" w:type="dxa"/>
            <w:tcBorders>
              <w:top w:val="single" w:color="000000" w:sz="10" w:space="0"/>
              <w:right w:val="single" w:color="000000" w:sz="10" w:space="0"/>
            </w:tcBorders>
            <w:vAlign w:val="top"/>
          </w:tcPr>
          <w:p w14:paraId="0513B58F">
            <w:pPr>
              <w:spacing w:before="105" w:line="195" w:lineRule="auto"/>
              <w:ind w:left="5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r>
      <w:tr w14:paraId="07C25C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152" w:type="dxa"/>
            <w:tcBorders>
              <w:left w:val="single" w:color="000000" w:sz="10" w:space="0"/>
            </w:tcBorders>
            <w:vAlign w:val="top"/>
          </w:tcPr>
          <w:p w14:paraId="3C20AECE">
            <w:pPr>
              <w:spacing w:before="99" w:line="195"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537" w:type="dxa"/>
            <w:vAlign w:val="top"/>
          </w:tcPr>
          <w:p w14:paraId="1A8348A9">
            <w:pPr>
              <w:spacing w:before="99" w:line="195"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65.822</w:t>
            </w:r>
          </w:p>
        </w:tc>
        <w:tc>
          <w:tcPr>
            <w:tcW w:w="1537" w:type="dxa"/>
            <w:vAlign w:val="top"/>
          </w:tcPr>
          <w:p w14:paraId="0C7727C2">
            <w:pPr>
              <w:spacing w:before="99"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29.264</w:t>
            </w:r>
          </w:p>
        </w:tc>
        <w:tc>
          <w:tcPr>
            <w:tcW w:w="1397" w:type="dxa"/>
            <w:vAlign w:val="top"/>
          </w:tcPr>
          <w:p w14:paraId="6A2744BF">
            <w:pPr>
              <w:spacing w:before="99"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12.188</w:t>
            </w:r>
          </w:p>
        </w:tc>
        <w:tc>
          <w:tcPr>
            <w:tcW w:w="1397" w:type="dxa"/>
            <w:vAlign w:val="top"/>
          </w:tcPr>
          <w:p w14:paraId="07C00A2C">
            <w:pPr>
              <w:spacing w:before="99"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8.9206194</w:t>
            </w:r>
          </w:p>
        </w:tc>
        <w:tc>
          <w:tcPr>
            <w:tcW w:w="1397" w:type="dxa"/>
            <w:vAlign w:val="top"/>
          </w:tcPr>
          <w:p w14:paraId="65249FD5">
            <w:pPr>
              <w:spacing w:before="99"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398" w:type="dxa"/>
            <w:vAlign w:val="top"/>
          </w:tcPr>
          <w:p w14:paraId="7D121DAB">
            <w:pPr>
              <w:spacing w:before="99"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398" w:type="dxa"/>
            <w:vAlign w:val="top"/>
          </w:tcPr>
          <w:p w14:paraId="4B3B4441">
            <w:pPr>
              <w:spacing w:before="99"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398" w:type="dxa"/>
            <w:vAlign w:val="top"/>
          </w:tcPr>
          <w:p w14:paraId="53230E05">
            <w:pPr>
              <w:spacing w:before="99"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12" w:type="dxa"/>
            <w:tcBorders>
              <w:right w:val="single" w:color="000000" w:sz="10" w:space="0"/>
            </w:tcBorders>
            <w:vAlign w:val="top"/>
          </w:tcPr>
          <w:p w14:paraId="59AE33AF">
            <w:pPr>
              <w:spacing w:before="99"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2C1C2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152" w:type="dxa"/>
            <w:tcBorders>
              <w:left w:val="single" w:color="000000" w:sz="10" w:space="0"/>
            </w:tcBorders>
            <w:vAlign w:val="top"/>
          </w:tcPr>
          <w:p w14:paraId="15EB2203">
            <w:pPr>
              <w:spacing w:before="102"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537" w:type="dxa"/>
            <w:vAlign w:val="top"/>
          </w:tcPr>
          <w:p w14:paraId="1F880FF5">
            <w:pPr>
              <w:spacing w:before="102"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49.153</w:t>
            </w:r>
          </w:p>
        </w:tc>
        <w:tc>
          <w:tcPr>
            <w:tcW w:w="1537" w:type="dxa"/>
            <w:vAlign w:val="top"/>
          </w:tcPr>
          <w:p w14:paraId="5A3AC3BA">
            <w:pPr>
              <w:spacing w:before="102" w:line="195" w:lineRule="auto"/>
              <w:ind w:left="4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32.977</w:t>
            </w:r>
          </w:p>
        </w:tc>
        <w:tc>
          <w:tcPr>
            <w:tcW w:w="1397" w:type="dxa"/>
            <w:vAlign w:val="top"/>
          </w:tcPr>
          <w:p w14:paraId="2E5302DA">
            <w:pPr>
              <w:spacing w:before="102"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18.563</w:t>
            </w:r>
          </w:p>
        </w:tc>
        <w:tc>
          <w:tcPr>
            <w:tcW w:w="1397" w:type="dxa"/>
            <w:vAlign w:val="top"/>
          </w:tcPr>
          <w:p w14:paraId="435A8AB0">
            <w:pPr>
              <w:spacing w:before="102"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9.0527450</w:t>
            </w:r>
          </w:p>
        </w:tc>
        <w:tc>
          <w:tcPr>
            <w:tcW w:w="1397" w:type="dxa"/>
            <w:vAlign w:val="top"/>
          </w:tcPr>
          <w:p w14:paraId="171AC036">
            <w:pPr>
              <w:spacing w:before="102"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398" w:type="dxa"/>
            <w:vAlign w:val="top"/>
          </w:tcPr>
          <w:p w14:paraId="36ECF51F">
            <w:pPr>
              <w:spacing w:before="102"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398" w:type="dxa"/>
            <w:vAlign w:val="top"/>
          </w:tcPr>
          <w:p w14:paraId="55361A84">
            <w:pPr>
              <w:spacing w:before="102"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398" w:type="dxa"/>
            <w:vAlign w:val="top"/>
          </w:tcPr>
          <w:p w14:paraId="7317EF9B">
            <w:pPr>
              <w:spacing w:before="102"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12" w:type="dxa"/>
            <w:tcBorders>
              <w:right w:val="single" w:color="000000" w:sz="10" w:space="0"/>
            </w:tcBorders>
            <w:vAlign w:val="top"/>
          </w:tcPr>
          <w:p w14:paraId="4D97BE7E">
            <w:pPr>
              <w:spacing w:before="102"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195A8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152" w:type="dxa"/>
            <w:tcBorders>
              <w:left w:val="single" w:color="000000" w:sz="10" w:space="0"/>
            </w:tcBorders>
            <w:vAlign w:val="top"/>
          </w:tcPr>
          <w:p w14:paraId="5AB43E4D">
            <w:pPr>
              <w:spacing w:before="104" w:line="195" w:lineRule="auto"/>
              <w:ind w:left="462"/>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537" w:type="dxa"/>
            <w:vAlign w:val="top"/>
          </w:tcPr>
          <w:p w14:paraId="4E08557B">
            <w:pPr>
              <w:spacing w:before="104"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41.768</w:t>
            </w:r>
          </w:p>
        </w:tc>
        <w:tc>
          <w:tcPr>
            <w:tcW w:w="1537" w:type="dxa"/>
            <w:vAlign w:val="top"/>
          </w:tcPr>
          <w:p w14:paraId="5DCD5E4D">
            <w:pPr>
              <w:spacing w:before="104" w:line="195" w:lineRule="auto"/>
              <w:ind w:left="4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32.234</w:t>
            </w:r>
          </w:p>
        </w:tc>
        <w:tc>
          <w:tcPr>
            <w:tcW w:w="1397" w:type="dxa"/>
            <w:vAlign w:val="top"/>
          </w:tcPr>
          <w:p w14:paraId="4B5D2E36">
            <w:pPr>
              <w:spacing w:before="104"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21.594</w:t>
            </w:r>
          </w:p>
        </w:tc>
        <w:tc>
          <w:tcPr>
            <w:tcW w:w="1397" w:type="dxa"/>
            <w:vAlign w:val="top"/>
          </w:tcPr>
          <w:p w14:paraId="4DE14BD8">
            <w:pPr>
              <w:spacing w:before="104"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9.6479999</w:t>
            </w:r>
          </w:p>
        </w:tc>
        <w:tc>
          <w:tcPr>
            <w:tcW w:w="1397" w:type="dxa"/>
            <w:vAlign w:val="top"/>
          </w:tcPr>
          <w:p w14:paraId="4039154A">
            <w:pPr>
              <w:spacing w:before="104"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8.9200079</w:t>
            </w:r>
          </w:p>
        </w:tc>
        <w:tc>
          <w:tcPr>
            <w:tcW w:w="1398" w:type="dxa"/>
            <w:vAlign w:val="top"/>
          </w:tcPr>
          <w:p w14:paraId="568E7EF0">
            <w:pPr>
              <w:spacing w:before="104"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398" w:type="dxa"/>
            <w:vAlign w:val="top"/>
          </w:tcPr>
          <w:p w14:paraId="7C05A7B1">
            <w:pPr>
              <w:spacing w:before="104"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398" w:type="dxa"/>
            <w:vAlign w:val="top"/>
          </w:tcPr>
          <w:p w14:paraId="05645235">
            <w:pPr>
              <w:spacing w:before="104"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12" w:type="dxa"/>
            <w:tcBorders>
              <w:right w:val="single" w:color="000000" w:sz="10" w:space="0"/>
            </w:tcBorders>
            <w:vAlign w:val="top"/>
          </w:tcPr>
          <w:p w14:paraId="2CFCA58D">
            <w:pPr>
              <w:spacing w:before="104"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3111D4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152" w:type="dxa"/>
            <w:tcBorders>
              <w:left w:val="single" w:color="000000" w:sz="10" w:space="0"/>
            </w:tcBorders>
            <w:vAlign w:val="top"/>
          </w:tcPr>
          <w:p w14:paraId="1901E9F0">
            <w:pPr>
              <w:spacing w:before="106" w:line="195"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537" w:type="dxa"/>
            <w:vAlign w:val="top"/>
          </w:tcPr>
          <w:p w14:paraId="556C86DA">
            <w:pPr>
              <w:spacing w:before="106" w:line="195"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37.365</w:t>
            </w:r>
          </w:p>
        </w:tc>
        <w:tc>
          <w:tcPr>
            <w:tcW w:w="1537" w:type="dxa"/>
            <w:vAlign w:val="top"/>
          </w:tcPr>
          <w:p w14:paraId="6D38FA84">
            <w:pPr>
              <w:spacing w:before="106" w:line="195" w:lineRule="auto"/>
              <w:ind w:left="4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30.916</w:t>
            </w:r>
          </w:p>
        </w:tc>
        <w:tc>
          <w:tcPr>
            <w:tcW w:w="1397" w:type="dxa"/>
            <w:vAlign w:val="top"/>
          </w:tcPr>
          <w:p w14:paraId="46D7CCDC">
            <w:pPr>
              <w:spacing w:before="106"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22.846</w:t>
            </w:r>
          </w:p>
        </w:tc>
        <w:tc>
          <w:tcPr>
            <w:tcW w:w="1397" w:type="dxa"/>
            <w:vAlign w:val="top"/>
          </w:tcPr>
          <w:p w14:paraId="55BDCC1D">
            <w:pPr>
              <w:spacing w:before="106"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10.5539057</w:t>
            </w:r>
          </w:p>
        </w:tc>
        <w:tc>
          <w:tcPr>
            <w:tcW w:w="1397" w:type="dxa"/>
            <w:vAlign w:val="top"/>
          </w:tcPr>
          <w:p w14:paraId="255971A4">
            <w:pPr>
              <w:spacing w:before="106"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8.9203097</w:t>
            </w:r>
          </w:p>
        </w:tc>
        <w:tc>
          <w:tcPr>
            <w:tcW w:w="1398" w:type="dxa"/>
            <w:vAlign w:val="top"/>
          </w:tcPr>
          <w:p w14:paraId="2527DD6E">
            <w:pPr>
              <w:spacing w:before="106"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398" w:type="dxa"/>
            <w:vAlign w:val="top"/>
          </w:tcPr>
          <w:p w14:paraId="2E811BF9">
            <w:pPr>
              <w:spacing w:before="106"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398" w:type="dxa"/>
            <w:vAlign w:val="top"/>
          </w:tcPr>
          <w:p w14:paraId="7F077EE8">
            <w:pPr>
              <w:spacing w:before="106"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12" w:type="dxa"/>
            <w:tcBorders>
              <w:right w:val="single" w:color="000000" w:sz="10" w:space="0"/>
            </w:tcBorders>
            <w:vAlign w:val="top"/>
          </w:tcPr>
          <w:p w14:paraId="2A2E60FC">
            <w:pPr>
              <w:spacing w:before="106"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582B6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77FBB9D4">
            <w:pPr>
              <w:spacing w:before="108" w:line="195" w:lineRule="auto"/>
              <w:ind w:left="464"/>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537" w:type="dxa"/>
            <w:vAlign w:val="top"/>
          </w:tcPr>
          <w:p w14:paraId="45AFA9E5">
            <w:pPr>
              <w:spacing w:before="108" w:line="195"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34.360</w:t>
            </w:r>
          </w:p>
        </w:tc>
        <w:tc>
          <w:tcPr>
            <w:tcW w:w="1537" w:type="dxa"/>
            <w:vAlign w:val="top"/>
          </w:tcPr>
          <w:p w14:paraId="5168D43B">
            <w:pPr>
              <w:spacing w:before="108"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29.630</w:t>
            </w:r>
          </w:p>
        </w:tc>
        <w:tc>
          <w:tcPr>
            <w:tcW w:w="1397" w:type="dxa"/>
            <w:vAlign w:val="top"/>
          </w:tcPr>
          <w:p w14:paraId="561BBCA1">
            <w:pPr>
              <w:spacing w:before="108"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23.287</w:t>
            </w:r>
          </w:p>
        </w:tc>
        <w:tc>
          <w:tcPr>
            <w:tcW w:w="1397" w:type="dxa"/>
            <w:vAlign w:val="top"/>
          </w:tcPr>
          <w:p w14:paraId="4BE7330C">
            <w:pPr>
              <w:spacing w:before="108"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11.5076140</w:t>
            </w:r>
          </w:p>
        </w:tc>
        <w:tc>
          <w:tcPr>
            <w:tcW w:w="1397" w:type="dxa"/>
            <w:vAlign w:val="top"/>
          </w:tcPr>
          <w:p w14:paraId="20664B48">
            <w:pPr>
              <w:spacing w:before="108"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8.9227229</w:t>
            </w:r>
          </w:p>
        </w:tc>
        <w:tc>
          <w:tcPr>
            <w:tcW w:w="1398" w:type="dxa"/>
            <w:vAlign w:val="top"/>
          </w:tcPr>
          <w:p w14:paraId="2C192833">
            <w:pPr>
              <w:spacing w:before="10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398" w:type="dxa"/>
            <w:vAlign w:val="top"/>
          </w:tcPr>
          <w:p w14:paraId="1341D408">
            <w:pPr>
              <w:spacing w:before="108"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398" w:type="dxa"/>
            <w:vAlign w:val="top"/>
          </w:tcPr>
          <w:p w14:paraId="3C716749">
            <w:pPr>
              <w:spacing w:before="108"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12" w:type="dxa"/>
            <w:tcBorders>
              <w:right w:val="single" w:color="000000" w:sz="10" w:space="0"/>
            </w:tcBorders>
            <w:vAlign w:val="top"/>
          </w:tcPr>
          <w:p w14:paraId="32CD8C50">
            <w:pPr>
              <w:spacing w:before="108"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1156F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1CC0744C">
            <w:pPr>
              <w:spacing w:before="109" w:line="195"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537" w:type="dxa"/>
            <w:vAlign w:val="top"/>
          </w:tcPr>
          <w:p w14:paraId="32E5DF22">
            <w:pPr>
              <w:spacing w:before="109"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26.903</w:t>
            </w:r>
          </w:p>
        </w:tc>
        <w:tc>
          <w:tcPr>
            <w:tcW w:w="1537" w:type="dxa"/>
            <w:vAlign w:val="top"/>
          </w:tcPr>
          <w:p w14:paraId="0E39A512">
            <w:pPr>
              <w:spacing w:before="109"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25.145</w:t>
            </w:r>
          </w:p>
        </w:tc>
        <w:tc>
          <w:tcPr>
            <w:tcW w:w="1397" w:type="dxa"/>
            <w:vAlign w:val="top"/>
          </w:tcPr>
          <w:p w14:paraId="60F763BA">
            <w:pPr>
              <w:spacing w:before="109"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22.434</w:t>
            </w:r>
          </w:p>
        </w:tc>
        <w:tc>
          <w:tcPr>
            <w:tcW w:w="1397" w:type="dxa"/>
            <w:vAlign w:val="top"/>
          </w:tcPr>
          <w:p w14:paraId="33B5B5F9">
            <w:pPr>
              <w:spacing w:before="109"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14.6552633</w:t>
            </w:r>
          </w:p>
        </w:tc>
        <w:tc>
          <w:tcPr>
            <w:tcW w:w="1397" w:type="dxa"/>
            <w:vAlign w:val="top"/>
          </w:tcPr>
          <w:p w14:paraId="63985D27">
            <w:pPr>
              <w:spacing w:before="109"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9.1060441</w:t>
            </w:r>
          </w:p>
        </w:tc>
        <w:tc>
          <w:tcPr>
            <w:tcW w:w="1398" w:type="dxa"/>
            <w:vAlign w:val="top"/>
          </w:tcPr>
          <w:p w14:paraId="691FFF0D">
            <w:pPr>
              <w:spacing w:before="109"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8.9206138</w:t>
            </w:r>
          </w:p>
        </w:tc>
        <w:tc>
          <w:tcPr>
            <w:tcW w:w="1398" w:type="dxa"/>
            <w:vAlign w:val="top"/>
          </w:tcPr>
          <w:p w14:paraId="10123137">
            <w:pPr>
              <w:spacing w:before="109"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398" w:type="dxa"/>
            <w:vAlign w:val="top"/>
          </w:tcPr>
          <w:p w14:paraId="4AB1376D">
            <w:pPr>
              <w:spacing w:before="109"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12" w:type="dxa"/>
            <w:tcBorders>
              <w:right w:val="single" w:color="000000" w:sz="10" w:space="0"/>
            </w:tcBorders>
            <w:vAlign w:val="top"/>
          </w:tcPr>
          <w:p w14:paraId="6A45F9BB">
            <w:pPr>
              <w:spacing w:before="109"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20F375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361E17A7">
            <w:pPr>
              <w:spacing w:before="111"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537" w:type="dxa"/>
            <w:vAlign w:val="top"/>
          </w:tcPr>
          <w:p w14:paraId="49D7280A">
            <w:pPr>
              <w:spacing w:before="111"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21.628</w:t>
            </w:r>
          </w:p>
        </w:tc>
        <w:tc>
          <w:tcPr>
            <w:tcW w:w="1537" w:type="dxa"/>
            <w:vAlign w:val="top"/>
          </w:tcPr>
          <w:p w14:paraId="1A3DDF11">
            <w:pPr>
              <w:spacing w:before="111"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20.991</w:t>
            </w:r>
          </w:p>
        </w:tc>
        <w:tc>
          <w:tcPr>
            <w:tcW w:w="1397" w:type="dxa"/>
            <w:vAlign w:val="top"/>
          </w:tcPr>
          <w:p w14:paraId="45B378F7">
            <w:pPr>
              <w:spacing w:before="111"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19.936</w:t>
            </w:r>
          </w:p>
        </w:tc>
        <w:tc>
          <w:tcPr>
            <w:tcW w:w="1397" w:type="dxa"/>
            <w:vAlign w:val="top"/>
          </w:tcPr>
          <w:p w14:paraId="6AA68F65">
            <w:pPr>
              <w:spacing w:before="111"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16.0964121</w:t>
            </w:r>
          </w:p>
        </w:tc>
        <w:tc>
          <w:tcPr>
            <w:tcW w:w="1397" w:type="dxa"/>
            <w:vAlign w:val="top"/>
          </w:tcPr>
          <w:p w14:paraId="53B3224E">
            <w:pPr>
              <w:spacing w:before="111"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10.2125241</w:t>
            </w:r>
          </w:p>
        </w:tc>
        <w:tc>
          <w:tcPr>
            <w:tcW w:w="1398" w:type="dxa"/>
            <w:vAlign w:val="top"/>
          </w:tcPr>
          <w:p w14:paraId="08A4C7A3">
            <w:pPr>
              <w:spacing w:before="111"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8.9942433</w:t>
            </w:r>
          </w:p>
        </w:tc>
        <w:tc>
          <w:tcPr>
            <w:tcW w:w="1398" w:type="dxa"/>
            <w:vAlign w:val="top"/>
          </w:tcPr>
          <w:p w14:paraId="55B66575">
            <w:pPr>
              <w:spacing w:before="111"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8.9200079</w:t>
            </w:r>
          </w:p>
        </w:tc>
        <w:tc>
          <w:tcPr>
            <w:tcW w:w="1398" w:type="dxa"/>
            <w:vAlign w:val="top"/>
          </w:tcPr>
          <w:p w14:paraId="34C62A3E">
            <w:pPr>
              <w:spacing w:before="111"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12" w:type="dxa"/>
            <w:tcBorders>
              <w:right w:val="single" w:color="000000" w:sz="10" w:space="0"/>
            </w:tcBorders>
            <w:vAlign w:val="top"/>
          </w:tcPr>
          <w:p w14:paraId="18CDBD8B">
            <w:pPr>
              <w:spacing w:before="111"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2031AB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03E2B78F">
            <w:pPr>
              <w:spacing w:before="112" w:line="195"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537" w:type="dxa"/>
            <w:vAlign w:val="top"/>
          </w:tcPr>
          <w:p w14:paraId="35EF2D2E">
            <w:pPr>
              <w:spacing w:before="112" w:line="195" w:lineRule="auto"/>
              <w:ind w:left="490"/>
              <w:rPr>
                <w:rFonts w:ascii="Times New Roman" w:hAnsi="Times New Roman" w:eastAsia="Times New Roman" w:cs="Times New Roman"/>
                <w:sz w:val="20"/>
                <w:szCs w:val="20"/>
              </w:rPr>
            </w:pPr>
            <w:r>
              <w:rPr>
                <w:rFonts w:ascii="Times New Roman" w:hAnsi="Times New Roman" w:eastAsia="Times New Roman" w:cs="Times New Roman"/>
                <w:sz w:val="20"/>
                <w:szCs w:val="20"/>
              </w:rPr>
              <w:t>19.289</w:t>
            </w:r>
          </w:p>
        </w:tc>
        <w:tc>
          <w:tcPr>
            <w:tcW w:w="1537" w:type="dxa"/>
            <w:vAlign w:val="top"/>
          </w:tcPr>
          <w:p w14:paraId="6B6859EE">
            <w:pPr>
              <w:spacing w:before="112"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18.939</w:t>
            </w:r>
          </w:p>
        </w:tc>
        <w:tc>
          <w:tcPr>
            <w:tcW w:w="1397" w:type="dxa"/>
            <w:vAlign w:val="top"/>
          </w:tcPr>
          <w:p w14:paraId="6BB9B1BD">
            <w:pPr>
              <w:spacing w:before="112"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18.347</w:t>
            </w:r>
          </w:p>
        </w:tc>
        <w:tc>
          <w:tcPr>
            <w:tcW w:w="1397" w:type="dxa"/>
            <w:vAlign w:val="top"/>
          </w:tcPr>
          <w:p w14:paraId="45636AFC">
            <w:pPr>
              <w:spacing w:before="112"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16.0042399</w:t>
            </w:r>
          </w:p>
        </w:tc>
        <w:tc>
          <w:tcPr>
            <w:tcW w:w="1397" w:type="dxa"/>
            <w:vAlign w:val="top"/>
          </w:tcPr>
          <w:p w14:paraId="7CF2A569">
            <w:pPr>
              <w:spacing w:before="112"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11.1793357</w:t>
            </w:r>
          </w:p>
        </w:tc>
        <w:tc>
          <w:tcPr>
            <w:tcW w:w="1398" w:type="dxa"/>
            <w:vAlign w:val="top"/>
          </w:tcPr>
          <w:p w14:paraId="0C304661">
            <w:pPr>
              <w:spacing w:before="112"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9.2563514</w:t>
            </w:r>
          </w:p>
        </w:tc>
        <w:tc>
          <w:tcPr>
            <w:tcW w:w="1398" w:type="dxa"/>
            <w:vAlign w:val="top"/>
          </w:tcPr>
          <w:p w14:paraId="286EE21B">
            <w:pPr>
              <w:spacing w:before="112"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8.9207582</w:t>
            </w:r>
          </w:p>
        </w:tc>
        <w:tc>
          <w:tcPr>
            <w:tcW w:w="1398" w:type="dxa"/>
            <w:vAlign w:val="top"/>
          </w:tcPr>
          <w:p w14:paraId="3408A868">
            <w:pPr>
              <w:spacing w:before="112"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12" w:type="dxa"/>
            <w:tcBorders>
              <w:right w:val="single" w:color="000000" w:sz="10" w:space="0"/>
            </w:tcBorders>
            <w:vAlign w:val="top"/>
          </w:tcPr>
          <w:p w14:paraId="4A9477F9">
            <w:pPr>
              <w:spacing w:before="112"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79091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26FA72E9">
            <w:pPr>
              <w:spacing w:before="111" w:line="195" w:lineRule="auto"/>
              <w:ind w:left="4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1537" w:type="dxa"/>
            <w:vAlign w:val="top"/>
          </w:tcPr>
          <w:p w14:paraId="1666690D">
            <w:pPr>
              <w:spacing w:before="111" w:line="195" w:lineRule="auto"/>
              <w:ind w:left="490"/>
              <w:rPr>
                <w:rFonts w:ascii="Times New Roman" w:hAnsi="Times New Roman" w:eastAsia="Times New Roman" w:cs="Times New Roman"/>
                <w:sz w:val="20"/>
                <w:szCs w:val="20"/>
              </w:rPr>
            </w:pPr>
            <w:r>
              <w:rPr>
                <w:rFonts w:ascii="Times New Roman" w:hAnsi="Times New Roman" w:eastAsia="Times New Roman" w:cs="Times New Roman"/>
                <w:sz w:val="20"/>
                <w:szCs w:val="20"/>
              </w:rPr>
              <w:t>17.894</w:t>
            </w:r>
          </w:p>
        </w:tc>
        <w:tc>
          <w:tcPr>
            <w:tcW w:w="1537" w:type="dxa"/>
            <w:vAlign w:val="top"/>
          </w:tcPr>
          <w:p w14:paraId="1B3B09F7">
            <w:pPr>
              <w:spacing w:before="111"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17.666</w:t>
            </w:r>
          </w:p>
        </w:tc>
        <w:tc>
          <w:tcPr>
            <w:tcW w:w="1397" w:type="dxa"/>
            <w:vAlign w:val="top"/>
          </w:tcPr>
          <w:p w14:paraId="058A51B0">
            <w:pPr>
              <w:spacing w:before="111"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17.275</w:t>
            </w:r>
          </w:p>
        </w:tc>
        <w:tc>
          <w:tcPr>
            <w:tcW w:w="1397" w:type="dxa"/>
            <w:vAlign w:val="top"/>
          </w:tcPr>
          <w:p w14:paraId="5DD81F19">
            <w:pPr>
              <w:spacing w:before="111"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15.6636657</w:t>
            </w:r>
          </w:p>
        </w:tc>
        <w:tc>
          <w:tcPr>
            <w:tcW w:w="1397" w:type="dxa"/>
            <w:vAlign w:val="top"/>
          </w:tcPr>
          <w:p w14:paraId="01965A2A">
            <w:pPr>
              <w:spacing w:before="111"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11.7819475</w:t>
            </w:r>
          </w:p>
        </w:tc>
        <w:tc>
          <w:tcPr>
            <w:tcW w:w="1398" w:type="dxa"/>
            <w:vAlign w:val="top"/>
          </w:tcPr>
          <w:p w14:paraId="515F93EF">
            <w:pPr>
              <w:spacing w:before="111"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9.6059162</w:t>
            </w:r>
          </w:p>
        </w:tc>
        <w:tc>
          <w:tcPr>
            <w:tcW w:w="1398" w:type="dxa"/>
            <w:vAlign w:val="top"/>
          </w:tcPr>
          <w:p w14:paraId="0AD214D5">
            <w:pPr>
              <w:spacing w:before="111"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8.9270961</w:t>
            </w:r>
          </w:p>
        </w:tc>
        <w:tc>
          <w:tcPr>
            <w:tcW w:w="1398" w:type="dxa"/>
            <w:vAlign w:val="top"/>
          </w:tcPr>
          <w:p w14:paraId="5D8DE2E2">
            <w:pPr>
              <w:spacing w:before="111"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8.9200001</w:t>
            </w:r>
          </w:p>
        </w:tc>
        <w:tc>
          <w:tcPr>
            <w:tcW w:w="1412" w:type="dxa"/>
            <w:tcBorders>
              <w:right w:val="single" w:color="000000" w:sz="10" w:space="0"/>
            </w:tcBorders>
            <w:vAlign w:val="top"/>
          </w:tcPr>
          <w:p w14:paraId="518D09D7">
            <w:pPr>
              <w:spacing w:before="111"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311CFB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34743A3A">
            <w:pPr>
              <w:spacing w:before="112"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537" w:type="dxa"/>
            <w:vAlign w:val="top"/>
          </w:tcPr>
          <w:p w14:paraId="591BC6C0">
            <w:pPr>
              <w:spacing w:before="112" w:line="195" w:lineRule="auto"/>
              <w:ind w:left="490"/>
              <w:rPr>
                <w:rFonts w:ascii="Times New Roman" w:hAnsi="Times New Roman" w:eastAsia="Times New Roman" w:cs="Times New Roman"/>
                <w:sz w:val="20"/>
                <w:szCs w:val="20"/>
              </w:rPr>
            </w:pPr>
            <w:r>
              <w:rPr>
                <w:rFonts w:ascii="Times New Roman" w:hAnsi="Times New Roman" w:eastAsia="Times New Roman" w:cs="Times New Roman"/>
                <w:sz w:val="20"/>
                <w:szCs w:val="20"/>
              </w:rPr>
              <w:t>16.941</w:t>
            </w:r>
          </w:p>
        </w:tc>
        <w:tc>
          <w:tcPr>
            <w:tcW w:w="1537" w:type="dxa"/>
            <w:vAlign w:val="top"/>
          </w:tcPr>
          <w:p w14:paraId="03A634D0">
            <w:pPr>
              <w:spacing w:before="112"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16.778</w:t>
            </w:r>
          </w:p>
        </w:tc>
        <w:tc>
          <w:tcPr>
            <w:tcW w:w="1397" w:type="dxa"/>
            <w:vAlign w:val="top"/>
          </w:tcPr>
          <w:p w14:paraId="3C9D3E61">
            <w:pPr>
              <w:spacing w:before="112"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16.496</w:t>
            </w:r>
          </w:p>
        </w:tc>
        <w:tc>
          <w:tcPr>
            <w:tcW w:w="1397" w:type="dxa"/>
            <w:vAlign w:val="top"/>
          </w:tcPr>
          <w:p w14:paraId="31F43810">
            <w:pPr>
              <w:spacing w:before="112"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15.3021854</w:t>
            </w:r>
          </w:p>
        </w:tc>
        <w:tc>
          <w:tcPr>
            <w:tcW w:w="1397" w:type="dxa"/>
            <w:vAlign w:val="top"/>
          </w:tcPr>
          <w:p w14:paraId="1A765EBB">
            <w:pPr>
              <w:spacing w:before="112"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12.1350070</w:t>
            </w:r>
          </w:p>
        </w:tc>
        <w:tc>
          <w:tcPr>
            <w:tcW w:w="1398" w:type="dxa"/>
            <w:vAlign w:val="top"/>
          </w:tcPr>
          <w:p w14:paraId="6E7BF5EA">
            <w:pPr>
              <w:spacing w:before="112"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9.9453436</w:t>
            </w:r>
          </w:p>
        </w:tc>
        <w:tc>
          <w:tcPr>
            <w:tcW w:w="1398" w:type="dxa"/>
            <w:vAlign w:val="top"/>
          </w:tcPr>
          <w:p w14:paraId="2A2FA7EC">
            <w:pPr>
              <w:spacing w:before="112"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8.9464649</w:t>
            </w:r>
          </w:p>
        </w:tc>
        <w:tc>
          <w:tcPr>
            <w:tcW w:w="1398" w:type="dxa"/>
            <w:vAlign w:val="top"/>
          </w:tcPr>
          <w:p w14:paraId="0AF32BD1">
            <w:pPr>
              <w:spacing w:before="112"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8.9200036</w:t>
            </w:r>
          </w:p>
        </w:tc>
        <w:tc>
          <w:tcPr>
            <w:tcW w:w="1412" w:type="dxa"/>
            <w:tcBorders>
              <w:right w:val="single" w:color="000000" w:sz="10" w:space="0"/>
            </w:tcBorders>
            <w:vAlign w:val="top"/>
          </w:tcPr>
          <w:p w14:paraId="46898D8C">
            <w:pPr>
              <w:spacing w:before="112"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6CEDE4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1C5F20F8">
            <w:pPr>
              <w:spacing w:before="113"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1537" w:type="dxa"/>
            <w:vAlign w:val="top"/>
          </w:tcPr>
          <w:p w14:paraId="2A0D22CF">
            <w:pPr>
              <w:spacing w:before="113" w:line="195" w:lineRule="auto"/>
              <w:ind w:left="490"/>
              <w:rPr>
                <w:rFonts w:ascii="Times New Roman" w:hAnsi="Times New Roman" w:eastAsia="Times New Roman" w:cs="Times New Roman"/>
                <w:sz w:val="20"/>
                <w:szCs w:val="20"/>
              </w:rPr>
            </w:pPr>
            <w:r>
              <w:rPr>
                <w:rFonts w:ascii="Times New Roman" w:hAnsi="Times New Roman" w:eastAsia="Times New Roman" w:cs="Times New Roman"/>
                <w:sz w:val="20"/>
                <w:szCs w:val="20"/>
              </w:rPr>
              <w:t>16.237</w:t>
            </w:r>
          </w:p>
        </w:tc>
        <w:tc>
          <w:tcPr>
            <w:tcW w:w="1537" w:type="dxa"/>
            <w:vAlign w:val="top"/>
          </w:tcPr>
          <w:p w14:paraId="72CEC742">
            <w:pPr>
              <w:spacing w:before="113"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16.113</w:t>
            </w:r>
          </w:p>
        </w:tc>
        <w:tc>
          <w:tcPr>
            <w:tcW w:w="1397" w:type="dxa"/>
            <w:vAlign w:val="top"/>
          </w:tcPr>
          <w:p w14:paraId="7B277F9B">
            <w:pPr>
              <w:spacing w:before="113"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15.897</w:t>
            </w:r>
          </w:p>
        </w:tc>
        <w:tc>
          <w:tcPr>
            <w:tcW w:w="1397" w:type="dxa"/>
            <w:vAlign w:val="top"/>
          </w:tcPr>
          <w:p w14:paraId="475A8728">
            <w:pPr>
              <w:spacing w:before="113"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14.9683277</w:t>
            </w:r>
          </w:p>
        </w:tc>
        <w:tc>
          <w:tcPr>
            <w:tcW w:w="1397" w:type="dxa"/>
            <w:vAlign w:val="top"/>
          </w:tcPr>
          <w:p w14:paraId="00445806">
            <w:pPr>
              <w:spacing w:before="113"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12.3356949</w:t>
            </w:r>
          </w:p>
        </w:tc>
        <w:tc>
          <w:tcPr>
            <w:tcW w:w="1398" w:type="dxa"/>
            <w:vAlign w:val="top"/>
          </w:tcPr>
          <w:p w14:paraId="08208D35">
            <w:pPr>
              <w:spacing w:before="113"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10.2379087</w:t>
            </w:r>
          </w:p>
        </w:tc>
        <w:tc>
          <w:tcPr>
            <w:tcW w:w="1398" w:type="dxa"/>
            <w:vAlign w:val="top"/>
          </w:tcPr>
          <w:p w14:paraId="2EF97C8A">
            <w:pPr>
              <w:spacing w:before="113"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8.9825728</w:t>
            </w:r>
          </w:p>
        </w:tc>
        <w:tc>
          <w:tcPr>
            <w:tcW w:w="1398" w:type="dxa"/>
            <w:vAlign w:val="top"/>
          </w:tcPr>
          <w:p w14:paraId="59C18161">
            <w:pPr>
              <w:spacing w:before="113"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8.9200372</w:t>
            </w:r>
          </w:p>
        </w:tc>
        <w:tc>
          <w:tcPr>
            <w:tcW w:w="1412" w:type="dxa"/>
            <w:tcBorders>
              <w:right w:val="single" w:color="000000" w:sz="10" w:space="0"/>
            </w:tcBorders>
            <w:vAlign w:val="top"/>
          </w:tcPr>
          <w:p w14:paraId="68F39D26">
            <w:pPr>
              <w:spacing w:before="113"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1555E6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78498848">
            <w:pPr>
              <w:spacing w:before="114" w:line="195" w:lineRule="auto"/>
              <w:ind w:left="4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700</w:t>
            </w:r>
          </w:p>
        </w:tc>
        <w:tc>
          <w:tcPr>
            <w:tcW w:w="1537" w:type="dxa"/>
            <w:vAlign w:val="top"/>
          </w:tcPr>
          <w:p w14:paraId="575980EF">
            <w:pPr>
              <w:spacing w:before="114" w:line="195" w:lineRule="auto"/>
              <w:ind w:left="490"/>
              <w:rPr>
                <w:rFonts w:ascii="Times New Roman" w:hAnsi="Times New Roman" w:eastAsia="Times New Roman" w:cs="Times New Roman"/>
                <w:sz w:val="20"/>
                <w:szCs w:val="20"/>
              </w:rPr>
            </w:pPr>
            <w:r>
              <w:rPr>
                <w:rFonts w:ascii="Times New Roman" w:hAnsi="Times New Roman" w:eastAsia="Times New Roman" w:cs="Times New Roman"/>
                <w:sz w:val="20"/>
                <w:szCs w:val="20"/>
              </w:rPr>
              <w:t>15.690</w:t>
            </w:r>
          </w:p>
        </w:tc>
        <w:tc>
          <w:tcPr>
            <w:tcW w:w="1537" w:type="dxa"/>
            <w:vAlign w:val="top"/>
          </w:tcPr>
          <w:p w14:paraId="1F47FBD1">
            <w:pPr>
              <w:spacing w:before="114"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15.591</w:t>
            </w:r>
          </w:p>
        </w:tc>
        <w:tc>
          <w:tcPr>
            <w:tcW w:w="1397" w:type="dxa"/>
            <w:vAlign w:val="top"/>
          </w:tcPr>
          <w:p w14:paraId="00E27223">
            <w:pPr>
              <w:spacing w:before="114"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15.419</w:t>
            </w:r>
          </w:p>
        </w:tc>
        <w:tc>
          <w:tcPr>
            <w:tcW w:w="1397" w:type="dxa"/>
            <w:vAlign w:val="top"/>
          </w:tcPr>
          <w:p w14:paraId="29271E0F">
            <w:pPr>
              <w:spacing w:before="114"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14.6703152</w:t>
            </w:r>
          </w:p>
        </w:tc>
        <w:tc>
          <w:tcPr>
            <w:tcW w:w="1397" w:type="dxa"/>
            <w:vAlign w:val="top"/>
          </w:tcPr>
          <w:p w14:paraId="0D34031B">
            <w:pPr>
              <w:spacing w:before="114"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12.4435975</w:t>
            </w:r>
          </w:p>
        </w:tc>
        <w:tc>
          <w:tcPr>
            <w:tcW w:w="1398" w:type="dxa"/>
            <w:vAlign w:val="top"/>
          </w:tcPr>
          <w:p w14:paraId="7031396C">
            <w:pPr>
              <w:spacing w:before="114"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10.4776769</w:t>
            </w:r>
          </w:p>
        </w:tc>
        <w:tc>
          <w:tcPr>
            <w:tcW w:w="1398" w:type="dxa"/>
            <w:vAlign w:val="top"/>
          </w:tcPr>
          <w:p w14:paraId="4BAC37DE">
            <w:pPr>
              <w:spacing w:before="114"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9.0343007</w:t>
            </w:r>
          </w:p>
        </w:tc>
        <w:tc>
          <w:tcPr>
            <w:tcW w:w="1398" w:type="dxa"/>
            <w:vAlign w:val="top"/>
          </w:tcPr>
          <w:p w14:paraId="272B15D5">
            <w:pPr>
              <w:spacing w:before="114"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8.9201963</w:t>
            </w:r>
          </w:p>
        </w:tc>
        <w:tc>
          <w:tcPr>
            <w:tcW w:w="1412" w:type="dxa"/>
            <w:tcBorders>
              <w:right w:val="single" w:color="000000" w:sz="10" w:space="0"/>
            </w:tcBorders>
            <w:vAlign w:val="top"/>
          </w:tcPr>
          <w:p w14:paraId="6542B2D0">
            <w:pPr>
              <w:spacing w:before="114"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1ACD49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0B872799">
            <w:pPr>
              <w:spacing w:before="115" w:line="195" w:lineRule="auto"/>
              <w:ind w:left="413"/>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c>
          <w:tcPr>
            <w:tcW w:w="1537" w:type="dxa"/>
            <w:vAlign w:val="top"/>
          </w:tcPr>
          <w:p w14:paraId="51CCB59C">
            <w:pPr>
              <w:spacing w:before="115" w:line="195" w:lineRule="auto"/>
              <w:ind w:left="490"/>
              <w:rPr>
                <w:rFonts w:ascii="Times New Roman" w:hAnsi="Times New Roman" w:eastAsia="Times New Roman" w:cs="Times New Roman"/>
                <w:sz w:val="20"/>
                <w:szCs w:val="20"/>
              </w:rPr>
            </w:pPr>
            <w:r>
              <w:rPr>
                <w:rFonts w:ascii="Times New Roman" w:hAnsi="Times New Roman" w:eastAsia="Times New Roman" w:cs="Times New Roman"/>
                <w:sz w:val="20"/>
                <w:szCs w:val="20"/>
              </w:rPr>
              <w:t>15.249</w:t>
            </w:r>
          </w:p>
        </w:tc>
        <w:tc>
          <w:tcPr>
            <w:tcW w:w="1537" w:type="dxa"/>
            <w:vAlign w:val="top"/>
          </w:tcPr>
          <w:p w14:paraId="0B6CC93B">
            <w:pPr>
              <w:spacing w:before="115"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15.168</w:t>
            </w:r>
          </w:p>
        </w:tc>
        <w:tc>
          <w:tcPr>
            <w:tcW w:w="1397" w:type="dxa"/>
            <w:vAlign w:val="top"/>
          </w:tcPr>
          <w:p w14:paraId="5870BB5C">
            <w:pPr>
              <w:spacing w:before="115"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15.027</w:t>
            </w:r>
          </w:p>
        </w:tc>
        <w:tc>
          <w:tcPr>
            <w:tcW w:w="1397" w:type="dxa"/>
            <w:vAlign w:val="top"/>
          </w:tcPr>
          <w:p w14:paraId="27BF0606">
            <w:pPr>
              <w:spacing w:before="115"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14.4061941</w:t>
            </w:r>
          </w:p>
        </w:tc>
        <w:tc>
          <w:tcPr>
            <w:tcW w:w="1397" w:type="dxa"/>
            <w:vAlign w:val="top"/>
          </w:tcPr>
          <w:p w14:paraId="1C4E1A22">
            <w:pPr>
              <w:spacing w:before="115"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12.4939954</w:t>
            </w:r>
          </w:p>
        </w:tc>
        <w:tc>
          <w:tcPr>
            <w:tcW w:w="1398" w:type="dxa"/>
            <w:vAlign w:val="top"/>
          </w:tcPr>
          <w:p w14:paraId="752DB794">
            <w:pPr>
              <w:spacing w:before="115"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10.6696802</w:t>
            </w:r>
          </w:p>
        </w:tc>
        <w:tc>
          <w:tcPr>
            <w:tcW w:w="1398" w:type="dxa"/>
            <w:vAlign w:val="top"/>
          </w:tcPr>
          <w:p w14:paraId="287DF218">
            <w:pPr>
              <w:spacing w:before="115"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9.0979646</w:t>
            </w:r>
          </w:p>
        </w:tc>
        <w:tc>
          <w:tcPr>
            <w:tcW w:w="1398" w:type="dxa"/>
            <w:vAlign w:val="top"/>
          </w:tcPr>
          <w:p w14:paraId="7633329A">
            <w:pPr>
              <w:spacing w:before="115"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8.9206773</w:t>
            </w:r>
          </w:p>
        </w:tc>
        <w:tc>
          <w:tcPr>
            <w:tcW w:w="1412" w:type="dxa"/>
            <w:tcBorders>
              <w:right w:val="single" w:color="000000" w:sz="10" w:space="0"/>
            </w:tcBorders>
            <w:vAlign w:val="top"/>
          </w:tcPr>
          <w:p w14:paraId="79986E21">
            <w:pPr>
              <w:spacing w:before="115"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153AD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03E3B356">
            <w:pPr>
              <w:spacing w:before="117" w:line="195"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900</w:t>
            </w:r>
          </w:p>
        </w:tc>
        <w:tc>
          <w:tcPr>
            <w:tcW w:w="1537" w:type="dxa"/>
            <w:vAlign w:val="top"/>
          </w:tcPr>
          <w:p w14:paraId="71C1511D">
            <w:pPr>
              <w:spacing w:before="117" w:line="195" w:lineRule="auto"/>
              <w:ind w:left="490"/>
              <w:rPr>
                <w:rFonts w:ascii="Times New Roman" w:hAnsi="Times New Roman" w:eastAsia="Times New Roman" w:cs="Times New Roman"/>
                <w:sz w:val="20"/>
                <w:szCs w:val="20"/>
              </w:rPr>
            </w:pPr>
            <w:r>
              <w:rPr>
                <w:rFonts w:ascii="Times New Roman" w:hAnsi="Times New Roman" w:eastAsia="Times New Roman" w:cs="Times New Roman"/>
                <w:sz w:val="20"/>
                <w:szCs w:val="20"/>
              </w:rPr>
              <w:t>14.883</w:t>
            </w:r>
          </w:p>
        </w:tc>
        <w:tc>
          <w:tcPr>
            <w:tcW w:w="1537" w:type="dxa"/>
            <w:vAlign w:val="top"/>
          </w:tcPr>
          <w:p w14:paraId="59A66923">
            <w:pPr>
              <w:spacing w:before="117"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14.815</w:t>
            </w:r>
          </w:p>
        </w:tc>
        <w:tc>
          <w:tcPr>
            <w:tcW w:w="1397" w:type="dxa"/>
            <w:vAlign w:val="top"/>
          </w:tcPr>
          <w:p w14:paraId="14A1E960">
            <w:pPr>
              <w:spacing w:before="117"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14.696</w:t>
            </w:r>
          </w:p>
        </w:tc>
        <w:tc>
          <w:tcPr>
            <w:tcW w:w="1397" w:type="dxa"/>
            <w:vAlign w:val="top"/>
          </w:tcPr>
          <w:p w14:paraId="0AD98108">
            <w:pPr>
              <w:spacing w:before="117"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14.1717120</w:t>
            </w:r>
          </w:p>
        </w:tc>
        <w:tc>
          <w:tcPr>
            <w:tcW w:w="1397" w:type="dxa"/>
            <w:vAlign w:val="top"/>
          </w:tcPr>
          <w:p w14:paraId="087CE3BB">
            <w:pPr>
              <w:spacing w:before="117"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12.5080907</w:t>
            </w:r>
          </w:p>
        </w:tc>
        <w:tc>
          <w:tcPr>
            <w:tcW w:w="1398" w:type="dxa"/>
            <w:vAlign w:val="top"/>
          </w:tcPr>
          <w:p w14:paraId="78CD8F4F">
            <w:pPr>
              <w:spacing w:before="117"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10.8216660</w:t>
            </w:r>
          </w:p>
        </w:tc>
        <w:tc>
          <w:tcPr>
            <w:tcW w:w="1398" w:type="dxa"/>
            <w:vAlign w:val="top"/>
          </w:tcPr>
          <w:p w14:paraId="5F1C1246">
            <w:pPr>
              <w:spacing w:before="117"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9.1693452</w:t>
            </w:r>
          </w:p>
        </w:tc>
        <w:tc>
          <w:tcPr>
            <w:tcW w:w="1398" w:type="dxa"/>
            <w:vAlign w:val="top"/>
          </w:tcPr>
          <w:p w14:paraId="053F37B6">
            <w:pPr>
              <w:spacing w:before="117"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8.9217624</w:t>
            </w:r>
          </w:p>
        </w:tc>
        <w:tc>
          <w:tcPr>
            <w:tcW w:w="1412" w:type="dxa"/>
            <w:tcBorders>
              <w:right w:val="single" w:color="000000" w:sz="10" w:space="0"/>
            </w:tcBorders>
            <w:vAlign w:val="top"/>
          </w:tcPr>
          <w:p w14:paraId="70E6B23D">
            <w:pPr>
              <w:spacing w:before="117"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8.9200001</w:t>
            </w:r>
          </w:p>
        </w:tc>
      </w:tr>
      <w:tr w14:paraId="2E964F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5CF3E3F1">
            <w:pPr>
              <w:spacing w:before="118" w:line="195"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1000</w:t>
            </w:r>
          </w:p>
        </w:tc>
        <w:tc>
          <w:tcPr>
            <w:tcW w:w="1537" w:type="dxa"/>
            <w:vAlign w:val="top"/>
          </w:tcPr>
          <w:p w14:paraId="6761B3C2">
            <w:pPr>
              <w:spacing w:before="118" w:line="195" w:lineRule="auto"/>
              <w:ind w:left="490"/>
              <w:rPr>
                <w:rFonts w:ascii="Times New Roman" w:hAnsi="Times New Roman" w:eastAsia="Times New Roman" w:cs="Times New Roman"/>
                <w:sz w:val="20"/>
                <w:szCs w:val="20"/>
              </w:rPr>
            </w:pPr>
            <w:r>
              <w:rPr>
                <w:rFonts w:ascii="Times New Roman" w:hAnsi="Times New Roman" w:eastAsia="Times New Roman" w:cs="Times New Roman"/>
                <w:sz w:val="20"/>
                <w:szCs w:val="20"/>
              </w:rPr>
              <w:t>14.573</w:t>
            </w:r>
          </w:p>
        </w:tc>
        <w:tc>
          <w:tcPr>
            <w:tcW w:w="1537" w:type="dxa"/>
            <w:vAlign w:val="top"/>
          </w:tcPr>
          <w:p w14:paraId="44DF79B6">
            <w:pPr>
              <w:spacing w:before="118"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14.515</w:t>
            </w:r>
          </w:p>
        </w:tc>
        <w:tc>
          <w:tcPr>
            <w:tcW w:w="1397" w:type="dxa"/>
            <w:vAlign w:val="top"/>
          </w:tcPr>
          <w:p w14:paraId="1348D640">
            <w:pPr>
              <w:spacing w:before="118"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14.414</w:t>
            </w:r>
          </w:p>
        </w:tc>
        <w:tc>
          <w:tcPr>
            <w:tcW w:w="1397" w:type="dxa"/>
            <w:vAlign w:val="top"/>
          </w:tcPr>
          <w:p w14:paraId="771B634A">
            <w:pPr>
              <w:spacing w:before="118"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13.9625418</w:t>
            </w:r>
          </w:p>
        </w:tc>
        <w:tc>
          <w:tcPr>
            <w:tcW w:w="1397" w:type="dxa"/>
            <w:vAlign w:val="top"/>
          </w:tcPr>
          <w:p w14:paraId="72936413">
            <w:pPr>
              <w:spacing w:before="118"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12.4989511</w:t>
            </w:r>
          </w:p>
        </w:tc>
        <w:tc>
          <w:tcPr>
            <w:tcW w:w="1398" w:type="dxa"/>
            <w:vAlign w:val="top"/>
          </w:tcPr>
          <w:p w14:paraId="3589CE8E">
            <w:pPr>
              <w:spacing w:before="118"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10.9411545</w:t>
            </w:r>
          </w:p>
        </w:tc>
        <w:tc>
          <w:tcPr>
            <w:tcW w:w="1398" w:type="dxa"/>
            <w:vAlign w:val="top"/>
          </w:tcPr>
          <w:p w14:paraId="5DC7A7E5">
            <w:pPr>
              <w:spacing w:before="118"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9.2447129</w:t>
            </w:r>
          </w:p>
        </w:tc>
        <w:tc>
          <w:tcPr>
            <w:tcW w:w="1398" w:type="dxa"/>
            <w:vAlign w:val="top"/>
          </w:tcPr>
          <w:p w14:paraId="0A54BF1C">
            <w:pPr>
              <w:spacing w:before="118"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8.9237660</w:t>
            </w:r>
          </w:p>
        </w:tc>
        <w:tc>
          <w:tcPr>
            <w:tcW w:w="1412" w:type="dxa"/>
            <w:tcBorders>
              <w:right w:val="single" w:color="000000" w:sz="10" w:space="0"/>
            </w:tcBorders>
            <w:vAlign w:val="top"/>
          </w:tcPr>
          <w:p w14:paraId="7D276200">
            <w:pPr>
              <w:spacing w:before="118"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8.9200004</w:t>
            </w:r>
          </w:p>
        </w:tc>
      </w:tr>
      <w:tr w14:paraId="1FC8AD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558931E8">
            <w:pPr>
              <w:spacing w:before="119" w:line="195"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1500</w:t>
            </w:r>
          </w:p>
        </w:tc>
        <w:tc>
          <w:tcPr>
            <w:tcW w:w="1537" w:type="dxa"/>
            <w:vAlign w:val="top"/>
          </w:tcPr>
          <w:p w14:paraId="3C84358E">
            <w:pPr>
              <w:spacing w:before="119" w:line="195" w:lineRule="auto"/>
              <w:ind w:left="490"/>
              <w:rPr>
                <w:rFonts w:ascii="Times New Roman" w:hAnsi="Times New Roman" w:eastAsia="Times New Roman" w:cs="Times New Roman"/>
                <w:sz w:val="20"/>
                <w:szCs w:val="20"/>
              </w:rPr>
            </w:pPr>
            <w:r>
              <w:rPr>
                <w:rFonts w:ascii="Times New Roman" w:hAnsi="Times New Roman" w:eastAsia="Times New Roman" w:cs="Times New Roman"/>
                <w:sz w:val="20"/>
                <w:szCs w:val="20"/>
              </w:rPr>
              <w:t>13.520</w:t>
            </w:r>
          </w:p>
        </w:tc>
        <w:tc>
          <w:tcPr>
            <w:tcW w:w="1537" w:type="dxa"/>
            <w:vAlign w:val="top"/>
          </w:tcPr>
          <w:p w14:paraId="100855F8">
            <w:pPr>
              <w:spacing w:before="119"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13.489</w:t>
            </w:r>
          </w:p>
        </w:tc>
        <w:tc>
          <w:tcPr>
            <w:tcW w:w="1397" w:type="dxa"/>
            <w:vAlign w:val="top"/>
          </w:tcPr>
          <w:p w14:paraId="4D238B7B">
            <w:pPr>
              <w:spacing w:before="119"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13.434</w:t>
            </w:r>
          </w:p>
        </w:tc>
        <w:tc>
          <w:tcPr>
            <w:tcW w:w="1397" w:type="dxa"/>
            <w:vAlign w:val="top"/>
          </w:tcPr>
          <w:p w14:paraId="0B32957F">
            <w:pPr>
              <w:spacing w:before="119"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13.1829621</w:t>
            </w:r>
          </w:p>
        </w:tc>
        <w:tc>
          <w:tcPr>
            <w:tcW w:w="1397" w:type="dxa"/>
            <w:vAlign w:val="top"/>
          </w:tcPr>
          <w:p w14:paraId="11F60875">
            <w:pPr>
              <w:spacing w:before="119"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12.3119463</w:t>
            </w:r>
          </w:p>
        </w:tc>
        <w:tc>
          <w:tcPr>
            <w:tcW w:w="1398" w:type="dxa"/>
            <w:vAlign w:val="top"/>
          </w:tcPr>
          <w:p w14:paraId="6844D4EC">
            <w:pPr>
              <w:spacing w:before="119"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11.2374559</w:t>
            </w:r>
          </w:p>
        </w:tc>
        <w:tc>
          <w:tcPr>
            <w:tcW w:w="1398" w:type="dxa"/>
            <w:vAlign w:val="top"/>
          </w:tcPr>
          <w:p w14:paraId="02BEC1FF">
            <w:pPr>
              <w:spacing w:before="119"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9.6048753</w:t>
            </w:r>
          </w:p>
        </w:tc>
        <w:tc>
          <w:tcPr>
            <w:tcW w:w="1398" w:type="dxa"/>
            <w:vAlign w:val="top"/>
          </w:tcPr>
          <w:p w14:paraId="4088B6DF">
            <w:pPr>
              <w:spacing w:before="119"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8.9550913</w:t>
            </w:r>
          </w:p>
        </w:tc>
        <w:tc>
          <w:tcPr>
            <w:tcW w:w="1412" w:type="dxa"/>
            <w:tcBorders>
              <w:right w:val="single" w:color="000000" w:sz="10" w:space="0"/>
            </w:tcBorders>
            <w:vAlign w:val="top"/>
          </w:tcPr>
          <w:p w14:paraId="6CDB854A">
            <w:pPr>
              <w:spacing w:before="119"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8.9200791</w:t>
            </w:r>
          </w:p>
        </w:tc>
      </w:tr>
      <w:tr w14:paraId="3DA3C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7B15B9A0">
            <w:pPr>
              <w:spacing w:before="120" w:line="195"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w:t>
            </w:r>
          </w:p>
        </w:tc>
        <w:tc>
          <w:tcPr>
            <w:tcW w:w="1537" w:type="dxa"/>
            <w:vAlign w:val="top"/>
          </w:tcPr>
          <w:p w14:paraId="5D672196">
            <w:pPr>
              <w:spacing w:before="120" w:line="195" w:lineRule="auto"/>
              <w:ind w:left="490"/>
              <w:rPr>
                <w:rFonts w:ascii="Times New Roman" w:hAnsi="Times New Roman" w:eastAsia="Times New Roman" w:cs="Times New Roman"/>
                <w:sz w:val="20"/>
                <w:szCs w:val="20"/>
              </w:rPr>
            </w:pPr>
            <w:r>
              <w:rPr>
                <w:rFonts w:ascii="Times New Roman" w:hAnsi="Times New Roman" w:eastAsia="Times New Roman" w:cs="Times New Roman"/>
                <w:sz w:val="20"/>
                <w:szCs w:val="20"/>
              </w:rPr>
              <w:t>12.891</w:t>
            </w:r>
          </w:p>
        </w:tc>
        <w:tc>
          <w:tcPr>
            <w:tcW w:w="1537" w:type="dxa"/>
            <w:vAlign w:val="top"/>
          </w:tcPr>
          <w:p w14:paraId="6B997F61">
            <w:pPr>
              <w:spacing w:before="120"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12.871</w:t>
            </w:r>
          </w:p>
        </w:tc>
        <w:tc>
          <w:tcPr>
            <w:tcW w:w="1397" w:type="dxa"/>
            <w:vAlign w:val="top"/>
          </w:tcPr>
          <w:p w14:paraId="0AE902F1">
            <w:pPr>
              <w:spacing w:before="120"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12.835</w:t>
            </w:r>
          </w:p>
        </w:tc>
        <w:tc>
          <w:tcPr>
            <w:tcW w:w="1397" w:type="dxa"/>
            <w:vAlign w:val="top"/>
          </w:tcPr>
          <w:p w14:paraId="39B780E2">
            <w:pPr>
              <w:spacing w:before="120"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12.6704020</w:t>
            </w:r>
          </w:p>
        </w:tc>
        <w:tc>
          <w:tcPr>
            <w:tcW w:w="1397" w:type="dxa"/>
            <w:vAlign w:val="top"/>
          </w:tcPr>
          <w:p w14:paraId="72A34D28">
            <w:pPr>
              <w:spacing w:before="120"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12.0795915</w:t>
            </w:r>
          </w:p>
        </w:tc>
        <w:tc>
          <w:tcPr>
            <w:tcW w:w="1398" w:type="dxa"/>
            <w:vAlign w:val="top"/>
          </w:tcPr>
          <w:p w14:paraId="7931B5ED">
            <w:pPr>
              <w:spacing w:before="120"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11.2943942</w:t>
            </w:r>
          </w:p>
        </w:tc>
        <w:tc>
          <w:tcPr>
            <w:tcW w:w="1398" w:type="dxa"/>
            <w:vAlign w:val="top"/>
          </w:tcPr>
          <w:p w14:paraId="0FCCD825">
            <w:pPr>
              <w:spacing w:before="120"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9.8717061</w:t>
            </w:r>
          </w:p>
        </w:tc>
        <w:tc>
          <w:tcPr>
            <w:tcW w:w="1398" w:type="dxa"/>
            <w:vAlign w:val="top"/>
          </w:tcPr>
          <w:p w14:paraId="51E58AA2">
            <w:pPr>
              <w:spacing w:before="120"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9.0224928</w:t>
            </w:r>
          </w:p>
        </w:tc>
        <w:tc>
          <w:tcPr>
            <w:tcW w:w="1412" w:type="dxa"/>
            <w:tcBorders>
              <w:right w:val="single" w:color="000000" w:sz="10" w:space="0"/>
            </w:tcBorders>
            <w:vAlign w:val="top"/>
          </w:tcPr>
          <w:p w14:paraId="11BB3905">
            <w:pPr>
              <w:spacing w:before="120"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8.9210603</w:t>
            </w:r>
          </w:p>
        </w:tc>
      </w:tr>
      <w:tr w14:paraId="214E1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6D65CA01">
            <w:pPr>
              <w:spacing w:before="121"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3000</w:t>
            </w:r>
          </w:p>
        </w:tc>
        <w:tc>
          <w:tcPr>
            <w:tcW w:w="1537" w:type="dxa"/>
            <w:vAlign w:val="top"/>
          </w:tcPr>
          <w:p w14:paraId="3A3811BF">
            <w:pPr>
              <w:spacing w:before="121" w:line="195"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12.141</w:t>
            </w:r>
          </w:p>
        </w:tc>
        <w:tc>
          <w:tcPr>
            <w:tcW w:w="1537" w:type="dxa"/>
            <w:vAlign w:val="top"/>
          </w:tcPr>
          <w:p w14:paraId="5A0F9263">
            <w:pPr>
              <w:spacing w:before="121"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12.130</w:t>
            </w:r>
          </w:p>
        </w:tc>
        <w:tc>
          <w:tcPr>
            <w:tcW w:w="1397" w:type="dxa"/>
            <w:vAlign w:val="top"/>
          </w:tcPr>
          <w:p w14:paraId="0E32F210">
            <w:pPr>
              <w:spacing w:before="121"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12.110</w:t>
            </w:r>
          </w:p>
        </w:tc>
        <w:tc>
          <w:tcPr>
            <w:tcW w:w="1397" w:type="dxa"/>
            <w:vAlign w:val="top"/>
          </w:tcPr>
          <w:p w14:paraId="486B6884">
            <w:pPr>
              <w:spacing w:before="121"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12.0205001</w:t>
            </w:r>
          </w:p>
        </w:tc>
        <w:tc>
          <w:tcPr>
            <w:tcW w:w="1397" w:type="dxa"/>
            <w:vAlign w:val="top"/>
          </w:tcPr>
          <w:p w14:paraId="5BFF0468">
            <w:pPr>
              <w:spacing w:before="121"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11.6856709</w:t>
            </w:r>
          </w:p>
        </w:tc>
        <w:tc>
          <w:tcPr>
            <w:tcW w:w="1398" w:type="dxa"/>
            <w:vAlign w:val="top"/>
          </w:tcPr>
          <w:p w14:paraId="0AA2AC90">
            <w:pPr>
              <w:spacing w:before="121"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11.2060291</w:t>
            </w:r>
          </w:p>
        </w:tc>
        <w:tc>
          <w:tcPr>
            <w:tcW w:w="1398" w:type="dxa"/>
            <w:vAlign w:val="top"/>
          </w:tcPr>
          <w:p w14:paraId="563F9302">
            <w:pPr>
              <w:spacing w:before="121"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10.1627442</w:t>
            </w:r>
          </w:p>
        </w:tc>
        <w:tc>
          <w:tcPr>
            <w:tcW w:w="1398" w:type="dxa"/>
            <w:vAlign w:val="top"/>
          </w:tcPr>
          <w:p w14:paraId="68360CE5">
            <w:pPr>
              <w:spacing w:before="121"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9.2013038</w:t>
            </w:r>
          </w:p>
        </w:tc>
        <w:tc>
          <w:tcPr>
            <w:tcW w:w="1412" w:type="dxa"/>
            <w:tcBorders>
              <w:right w:val="single" w:color="000000" w:sz="10" w:space="0"/>
            </w:tcBorders>
            <w:vAlign w:val="top"/>
          </w:tcPr>
          <w:p w14:paraId="79F8543F">
            <w:pPr>
              <w:spacing w:before="121"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8.9333560</w:t>
            </w:r>
          </w:p>
        </w:tc>
      </w:tr>
      <w:tr w14:paraId="23D52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652C10F3">
            <w:pPr>
              <w:spacing w:before="123"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4000</w:t>
            </w:r>
          </w:p>
        </w:tc>
        <w:tc>
          <w:tcPr>
            <w:tcW w:w="1537" w:type="dxa"/>
            <w:vAlign w:val="top"/>
          </w:tcPr>
          <w:p w14:paraId="77F7DCCC">
            <w:pPr>
              <w:spacing w:before="123" w:line="195" w:lineRule="auto"/>
              <w:ind w:left="490"/>
              <w:rPr>
                <w:rFonts w:ascii="Times New Roman" w:hAnsi="Times New Roman" w:eastAsia="Times New Roman" w:cs="Times New Roman"/>
                <w:sz w:val="20"/>
                <w:szCs w:val="20"/>
              </w:rPr>
            </w:pPr>
            <w:r>
              <w:rPr>
                <w:rFonts w:ascii="Times New Roman" w:hAnsi="Times New Roman" w:eastAsia="Times New Roman" w:cs="Times New Roman"/>
                <w:sz w:val="20"/>
                <w:szCs w:val="20"/>
              </w:rPr>
              <w:t>11.691</w:t>
            </w:r>
          </w:p>
        </w:tc>
        <w:tc>
          <w:tcPr>
            <w:tcW w:w="1537" w:type="dxa"/>
            <w:vAlign w:val="top"/>
          </w:tcPr>
          <w:p w14:paraId="77E145F4">
            <w:pPr>
              <w:spacing w:before="123"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11.684</w:t>
            </w:r>
          </w:p>
        </w:tc>
        <w:tc>
          <w:tcPr>
            <w:tcW w:w="1397" w:type="dxa"/>
            <w:vAlign w:val="top"/>
          </w:tcPr>
          <w:p w14:paraId="68741A56">
            <w:pPr>
              <w:spacing w:before="123"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11.671</w:t>
            </w:r>
          </w:p>
        </w:tc>
        <w:tc>
          <w:tcPr>
            <w:tcW w:w="1397" w:type="dxa"/>
            <w:vAlign w:val="top"/>
          </w:tcPr>
          <w:p w14:paraId="501D98C0">
            <w:pPr>
              <w:spacing w:before="123"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11.6129358</w:t>
            </w:r>
          </w:p>
        </w:tc>
        <w:tc>
          <w:tcPr>
            <w:tcW w:w="1397" w:type="dxa"/>
            <w:vAlign w:val="top"/>
          </w:tcPr>
          <w:p w14:paraId="60D3C27F">
            <w:pPr>
              <w:spacing w:before="123"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11.3917387</w:t>
            </w:r>
          </w:p>
        </w:tc>
        <w:tc>
          <w:tcPr>
            <w:tcW w:w="1398" w:type="dxa"/>
            <w:vAlign w:val="top"/>
          </w:tcPr>
          <w:p w14:paraId="1463D18A">
            <w:pPr>
              <w:spacing w:before="123"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11.0627105</w:t>
            </w:r>
          </w:p>
        </w:tc>
        <w:tc>
          <w:tcPr>
            <w:tcW w:w="1398" w:type="dxa"/>
            <w:vAlign w:val="top"/>
          </w:tcPr>
          <w:p w14:paraId="5677A53B">
            <w:pPr>
              <w:spacing w:before="123"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10.2765584</w:t>
            </w:r>
          </w:p>
        </w:tc>
        <w:tc>
          <w:tcPr>
            <w:tcW w:w="1398" w:type="dxa"/>
            <w:vAlign w:val="top"/>
          </w:tcPr>
          <w:p w14:paraId="15FBF583">
            <w:pPr>
              <w:spacing w:before="123"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9.3651781</w:t>
            </w:r>
          </w:p>
        </w:tc>
        <w:tc>
          <w:tcPr>
            <w:tcW w:w="1412" w:type="dxa"/>
            <w:tcBorders>
              <w:right w:val="single" w:color="000000" w:sz="10" w:space="0"/>
            </w:tcBorders>
            <w:vAlign w:val="top"/>
          </w:tcPr>
          <w:p w14:paraId="71245AD1">
            <w:pPr>
              <w:spacing w:before="123"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8.9652803</w:t>
            </w:r>
          </w:p>
        </w:tc>
      </w:tr>
      <w:tr w14:paraId="187C2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152" w:type="dxa"/>
            <w:tcBorders>
              <w:left w:val="single" w:color="000000" w:sz="10" w:space="0"/>
              <w:bottom w:val="single" w:color="000000" w:sz="10" w:space="0"/>
            </w:tcBorders>
            <w:vAlign w:val="top"/>
          </w:tcPr>
          <w:p w14:paraId="0864DE57">
            <w:pPr>
              <w:spacing w:before="124"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w:t>
            </w:r>
          </w:p>
        </w:tc>
        <w:tc>
          <w:tcPr>
            <w:tcW w:w="1537" w:type="dxa"/>
            <w:tcBorders>
              <w:bottom w:val="single" w:color="000000" w:sz="10" w:space="0"/>
            </w:tcBorders>
            <w:vAlign w:val="top"/>
          </w:tcPr>
          <w:p w14:paraId="33F327AC">
            <w:pPr>
              <w:spacing w:before="124" w:line="195" w:lineRule="auto"/>
              <w:ind w:left="490"/>
              <w:rPr>
                <w:rFonts w:ascii="Times New Roman" w:hAnsi="Times New Roman" w:eastAsia="Times New Roman" w:cs="Times New Roman"/>
                <w:sz w:val="20"/>
                <w:szCs w:val="20"/>
              </w:rPr>
            </w:pPr>
            <w:r>
              <w:rPr>
                <w:rFonts w:ascii="Times New Roman" w:hAnsi="Times New Roman" w:eastAsia="Times New Roman" w:cs="Times New Roman"/>
                <w:sz w:val="20"/>
                <w:szCs w:val="20"/>
              </w:rPr>
              <w:t>10.707</w:t>
            </w:r>
          </w:p>
        </w:tc>
        <w:tc>
          <w:tcPr>
            <w:tcW w:w="1537" w:type="dxa"/>
            <w:tcBorders>
              <w:bottom w:val="single" w:color="000000" w:sz="10" w:space="0"/>
            </w:tcBorders>
            <w:vAlign w:val="top"/>
          </w:tcPr>
          <w:p w14:paraId="56F926B1">
            <w:pPr>
              <w:spacing w:before="124"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10.705</w:t>
            </w:r>
          </w:p>
        </w:tc>
        <w:tc>
          <w:tcPr>
            <w:tcW w:w="1397" w:type="dxa"/>
            <w:tcBorders>
              <w:bottom w:val="single" w:color="000000" w:sz="10" w:space="0"/>
            </w:tcBorders>
            <w:vAlign w:val="top"/>
          </w:tcPr>
          <w:p w14:paraId="52E01334">
            <w:pPr>
              <w:spacing w:before="124"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10.702</w:t>
            </w:r>
          </w:p>
        </w:tc>
        <w:tc>
          <w:tcPr>
            <w:tcW w:w="1397" w:type="dxa"/>
            <w:tcBorders>
              <w:bottom w:val="single" w:color="000000" w:sz="10" w:space="0"/>
            </w:tcBorders>
            <w:vAlign w:val="top"/>
          </w:tcPr>
          <w:p w14:paraId="7A1D6C7C">
            <w:pPr>
              <w:spacing w:before="124"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10.6846817</w:t>
            </w:r>
          </w:p>
        </w:tc>
        <w:tc>
          <w:tcPr>
            <w:tcW w:w="1397" w:type="dxa"/>
            <w:tcBorders>
              <w:bottom w:val="single" w:color="000000" w:sz="10" w:space="0"/>
            </w:tcBorders>
            <w:vAlign w:val="top"/>
          </w:tcPr>
          <w:p w14:paraId="1211F7B5">
            <w:pPr>
              <w:spacing w:before="124"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10.6187232</w:t>
            </w:r>
          </w:p>
        </w:tc>
        <w:tc>
          <w:tcPr>
            <w:tcW w:w="1398" w:type="dxa"/>
            <w:tcBorders>
              <w:bottom w:val="single" w:color="000000" w:sz="10" w:space="0"/>
            </w:tcBorders>
            <w:vAlign w:val="top"/>
          </w:tcPr>
          <w:p w14:paraId="1A8D1149">
            <w:pPr>
              <w:spacing w:before="124"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10.5142253</w:t>
            </w:r>
          </w:p>
        </w:tc>
        <w:tc>
          <w:tcPr>
            <w:tcW w:w="1398" w:type="dxa"/>
            <w:tcBorders>
              <w:bottom w:val="single" w:color="000000" w:sz="10" w:space="0"/>
            </w:tcBorders>
            <w:vAlign w:val="top"/>
          </w:tcPr>
          <w:p w14:paraId="366F504B">
            <w:pPr>
              <w:spacing w:before="124"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10.2211171</w:t>
            </w:r>
          </w:p>
        </w:tc>
        <w:tc>
          <w:tcPr>
            <w:tcW w:w="1398" w:type="dxa"/>
            <w:tcBorders>
              <w:bottom w:val="single" w:color="000000" w:sz="10" w:space="0"/>
            </w:tcBorders>
            <w:vAlign w:val="top"/>
          </w:tcPr>
          <w:p w14:paraId="297509D6">
            <w:pPr>
              <w:spacing w:before="124"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9.7129533</w:t>
            </w:r>
          </w:p>
        </w:tc>
        <w:tc>
          <w:tcPr>
            <w:tcW w:w="1412" w:type="dxa"/>
            <w:tcBorders>
              <w:bottom w:val="single" w:color="000000" w:sz="10" w:space="0"/>
              <w:right w:val="single" w:color="000000" w:sz="10" w:space="0"/>
            </w:tcBorders>
            <w:vAlign w:val="top"/>
          </w:tcPr>
          <w:p w14:paraId="4EED2F1A">
            <w:pPr>
              <w:spacing w:before="124"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9.2071316</w:t>
            </w:r>
          </w:p>
        </w:tc>
      </w:tr>
    </w:tbl>
    <w:p w14:paraId="6BA00D5C">
      <w:pPr>
        <w:pStyle w:val="2"/>
      </w:pPr>
    </w:p>
    <w:p w14:paraId="4F23D0C8">
      <w:pPr>
        <w:sectPr>
          <w:headerReference r:id="rId130" w:type="default"/>
          <w:footerReference r:id="rId131" w:type="default"/>
          <w:pgSz w:w="16840" w:h="11907"/>
          <w:pgMar w:top="1132" w:right="1388" w:bottom="1255" w:left="1402" w:header="829" w:footer="1096" w:gutter="0"/>
          <w:cols w:space="720" w:num="1"/>
        </w:sectPr>
      </w:pPr>
    </w:p>
    <w:p w14:paraId="74B79880">
      <w:pPr>
        <w:pStyle w:val="2"/>
        <w:spacing w:line="265" w:lineRule="auto"/>
      </w:pPr>
    </w:p>
    <w:p w14:paraId="11C061BA">
      <w:pPr>
        <w:pStyle w:val="2"/>
        <w:spacing w:line="265" w:lineRule="auto"/>
      </w:pPr>
    </w:p>
    <w:p w14:paraId="72CF12C4">
      <w:pPr>
        <w:spacing w:before="65" w:line="223" w:lineRule="auto"/>
        <w:ind w:left="5055"/>
        <w:rPr>
          <w:rFonts w:ascii="宋体" w:hAnsi="宋体" w:eastAsia="宋体" w:cs="宋体"/>
          <w:sz w:val="20"/>
          <w:szCs w:val="20"/>
        </w:rPr>
      </w:pPr>
      <w:r>
        <w:rPr>
          <w:rFonts w:ascii="宋体" w:hAnsi="宋体" w:eastAsia="宋体" w:cs="宋体"/>
          <w:b/>
          <w:bCs/>
          <w:spacing w:val="5"/>
          <w:sz w:val="20"/>
          <w:szCs w:val="20"/>
        </w:rPr>
        <w:t>表</w:t>
      </w:r>
      <w:r>
        <w:rPr>
          <w:rFonts w:ascii="Times New Roman" w:hAnsi="Times New Roman" w:eastAsia="Times New Roman" w:cs="Times New Roman"/>
          <w:b/>
          <w:bCs/>
          <w:spacing w:val="5"/>
          <w:sz w:val="20"/>
          <w:szCs w:val="20"/>
        </w:rPr>
        <w:t>6.3-5</w:t>
      </w:r>
      <w:r>
        <w:rPr>
          <w:rFonts w:ascii="宋体" w:hAnsi="宋体" w:eastAsia="宋体" w:cs="宋体"/>
          <w:b/>
          <w:bCs/>
          <w:spacing w:val="5"/>
          <w:sz w:val="20"/>
          <w:szCs w:val="20"/>
        </w:rPr>
        <w:t>枯水期</w:t>
      </w:r>
      <w:r>
        <w:rPr>
          <w:rFonts w:ascii="Times New Roman" w:hAnsi="Times New Roman" w:eastAsia="Times New Roman" w:cs="Times New Roman"/>
          <w:b/>
          <w:bCs/>
          <w:sz w:val="20"/>
          <w:szCs w:val="20"/>
        </w:rPr>
        <w:t>NH</w:t>
      </w:r>
      <w:r>
        <w:rPr>
          <w:rFonts w:ascii="Times New Roman" w:hAnsi="Times New Roman" w:eastAsia="Times New Roman" w:cs="Times New Roman"/>
          <w:b/>
          <w:bCs/>
          <w:spacing w:val="5"/>
          <w:sz w:val="13"/>
          <w:szCs w:val="13"/>
        </w:rPr>
        <w:t>3</w:t>
      </w:r>
      <w:r>
        <w:rPr>
          <w:rFonts w:ascii="Times New Roman" w:hAnsi="Times New Roman" w:eastAsia="Times New Roman" w:cs="Times New Roman"/>
          <w:b/>
          <w:bCs/>
          <w:spacing w:val="5"/>
          <w:sz w:val="20"/>
          <w:szCs w:val="20"/>
        </w:rPr>
        <w:t>-N</w:t>
      </w:r>
      <w:r>
        <w:rPr>
          <w:rFonts w:ascii="宋体" w:hAnsi="宋体" w:eastAsia="宋体" w:cs="宋体"/>
          <w:b/>
          <w:bCs/>
          <w:spacing w:val="5"/>
          <w:sz w:val="20"/>
          <w:szCs w:val="20"/>
        </w:rPr>
        <w:t>浓度预测值（事故排放）</w:t>
      </w:r>
    </w:p>
    <w:tbl>
      <w:tblPr>
        <w:tblStyle w:val="5"/>
        <w:tblW w:w="14225"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2"/>
        <w:gridCol w:w="1606"/>
        <w:gridCol w:w="1607"/>
        <w:gridCol w:w="1449"/>
        <w:gridCol w:w="1448"/>
        <w:gridCol w:w="1449"/>
        <w:gridCol w:w="1448"/>
        <w:gridCol w:w="1448"/>
        <w:gridCol w:w="1448"/>
        <w:gridCol w:w="1460"/>
      </w:tblGrid>
      <w:tr w14:paraId="62087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62" w:type="dxa"/>
            <w:tcBorders>
              <w:top w:val="single" w:color="000000" w:sz="10" w:space="0"/>
              <w:left w:val="single" w:color="000000" w:sz="10" w:space="0"/>
            </w:tcBorders>
            <w:vAlign w:val="top"/>
          </w:tcPr>
          <w:p w14:paraId="152CE2B5">
            <w:pPr>
              <w:spacing w:before="101" w:line="201"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C(x,y)</w:t>
            </w:r>
          </w:p>
        </w:tc>
        <w:tc>
          <w:tcPr>
            <w:tcW w:w="1606" w:type="dxa"/>
            <w:tcBorders>
              <w:top w:val="single" w:color="000000" w:sz="10" w:space="0"/>
            </w:tcBorders>
            <w:vAlign w:val="top"/>
          </w:tcPr>
          <w:p w14:paraId="4D051F69">
            <w:pPr>
              <w:spacing w:before="105" w:line="195" w:lineRule="auto"/>
              <w:ind w:left="74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07" w:type="dxa"/>
            <w:tcBorders>
              <w:top w:val="single" w:color="000000" w:sz="10" w:space="0"/>
            </w:tcBorders>
            <w:vAlign w:val="top"/>
          </w:tcPr>
          <w:p w14:paraId="1CB0F599">
            <w:pPr>
              <w:spacing w:before="105" w:line="195" w:lineRule="auto"/>
              <w:ind w:left="74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449" w:type="dxa"/>
            <w:tcBorders>
              <w:top w:val="single" w:color="000000" w:sz="10" w:space="0"/>
            </w:tcBorders>
            <w:vAlign w:val="top"/>
          </w:tcPr>
          <w:p w14:paraId="7F57D801">
            <w:pPr>
              <w:spacing w:before="108" w:line="192" w:lineRule="auto"/>
              <w:ind w:left="67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448" w:type="dxa"/>
            <w:tcBorders>
              <w:top w:val="single" w:color="000000" w:sz="10" w:space="0"/>
            </w:tcBorders>
            <w:vAlign w:val="top"/>
          </w:tcPr>
          <w:p w14:paraId="305DDA0E">
            <w:pPr>
              <w:spacing w:before="105" w:line="195" w:lineRule="auto"/>
              <w:ind w:left="6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449" w:type="dxa"/>
            <w:tcBorders>
              <w:top w:val="single" w:color="000000" w:sz="10" w:space="0"/>
            </w:tcBorders>
            <w:vAlign w:val="top"/>
          </w:tcPr>
          <w:p w14:paraId="590052B3">
            <w:pPr>
              <w:spacing w:before="105"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448" w:type="dxa"/>
            <w:tcBorders>
              <w:top w:val="single" w:color="000000" w:sz="10" w:space="0"/>
            </w:tcBorders>
            <w:vAlign w:val="top"/>
          </w:tcPr>
          <w:p w14:paraId="3CAE3B9D">
            <w:pPr>
              <w:spacing w:before="105" w:line="195" w:lineRule="auto"/>
              <w:ind w:left="624"/>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448" w:type="dxa"/>
            <w:tcBorders>
              <w:top w:val="single" w:color="000000" w:sz="10" w:space="0"/>
            </w:tcBorders>
            <w:vAlign w:val="top"/>
          </w:tcPr>
          <w:p w14:paraId="5C7BDEB3">
            <w:pPr>
              <w:spacing w:before="105" w:line="195" w:lineRule="auto"/>
              <w:ind w:left="62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448" w:type="dxa"/>
            <w:tcBorders>
              <w:top w:val="single" w:color="000000" w:sz="10" w:space="0"/>
            </w:tcBorders>
            <w:vAlign w:val="top"/>
          </w:tcPr>
          <w:p w14:paraId="1448A7A3">
            <w:pPr>
              <w:spacing w:before="105" w:line="195" w:lineRule="auto"/>
              <w:ind w:left="6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1460" w:type="dxa"/>
            <w:tcBorders>
              <w:top w:val="single" w:color="000000" w:sz="10" w:space="0"/>
              <w:right w:val="single" w:color="000000" w:sz="10" w:space="0"/>
            </w:tcBorders>
            <w:vAlign w:val="top"/>
          </w:tcPr>
          <w:p w14:paraId="38D97BE0">
            <w:pPr>
              <w:spacing w:before="105" w:line="195" w:lineRule="auto"/>
              <w:ind w:left="5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r>
      <w:tr w14:paraId="27D3D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862" w:type="dxa"/>
            <w:tcBorders>
              <w:left w:val="single" w:color="000000" w:sz="10" w:space="0"/>
            </w:tcBorders>
            <w:vAlign w:val="top"/>
          </w:tcPr>
          <w:p w14:paraId="2ED1AAAE">
            <w:pPr>
              <w:spacing w:before="99" w:line="195"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606" w:type="dxa"/>
            <w:vAlign w:val="top"/>
          </w:tcPr>
          <w:p w14:paraId="65B1D5FB">
            <w:pPr>
              <w:spacing w:before="99" w:line="195"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5.940</w:t>
            </w:r>
          </w:p>
        </w:tc>
        <w:tc>
          <w:tcPr>
            <w:tcW w:w="1607" w:type="dxa"/>
            <w:vAlign w:val="top"/>
          </w:tcPr>
          <w:p w14:paraId="0894810E">
            <w:pPr>
              <w:spacing w:before="99" w:line="195"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2.284</w:t>
            </w:r>
          </w:p>
        </w:tc>
        <w:tc>
          <w:tcPr>
            <w:tcW w:w="1449" w:type="dxa"/>
            <w:vAlign w:val="top"/>
          </w:tcPr>
          <w:p w14:paraId="24A72C90">
            <w:pPr>
              <w:spacing w:before="99"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0.577</w:t>
            </w:r>
          </w:p>
        </w:tc>
        <w:tc>
          <w:tcPr>
            <w:tcW w:w="1448" w:type="dxa"/>
            <w:vAlign w:val="top"/>
          </w:tcPr>
          <w:p w14:paraId="24D6F2C1">
            <w:pPr>
              <w:spacing w:before="99"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0.2500619</w:t>
            </w:r>
          </w:p>
        </w:tc>
        <w:tc>
          <w:tcPr>
            <w:tcW w:w="1449" w:type="dxa"/>
            <w:vAlign w:val="top"/>
          </w:tcPr>
          <w:p w14:paraId="6F8F4559">
            <w:pPr>
              <w:spacing w:before="99"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0.2500000</w:t>
            </w:r>
          </w:p>
        </w:tc>
        <w:tc>
          <w:tcPr>
            <w:tcW w:w="1448" w:type="dxa"/>
            <w:vAlign w:val="top"/>
          </w:tcPr>
          <w:p w14:paraId="398F9386">
            <w:pPr>
              <w:spacing w:before="99"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448" w:type="dxa"/>
            <w:vAlign w:val="top"/>
          </w:tcPr>
          <w:p w14:paraId="49A6A056">
            <w:pPr>
              <w:spacing w:before="99"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448" w:type="dxa"/>
            <w:vAlign w:val="top"/>
          </w:tcPr>
          <w:p w14:paraId="0A8306F7">
            <w:pPr>
              <w:spacing w:before="99"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0.2500000</w:t>
            </w:r>
          </w:p>
        </w:tc>
        <w:tc>
          <w:tcPr>
            <w:tcW w:w="1460" w:type="dxa"/>
            <w:tcBorders>
              <w:right w:val="single" w:color="000000" w:sz="10" w:space="0"/>
            </w:tcBorders>
            <w:vAlign w:val="top"/>
          </w:tcPr>
          <w:p w14:paraId="0B4D95C5">
            <w:pPr>
              <w:spacing w:before="99"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6EEBBF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862" w:type="dxa"/>
            <w:tcBorders>
              <w:left w:val="single" w:color="000000" w:sz="10" w:space="0"/>
            </w:tcBorders>
            <w:vAlign w:val="top"/>
          </w:tcPr>
          <w:p w14:paraId="1FD3C778">
            <w:pPr>
              <w:spacing w:before="102"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606" w:type="dxa"/>
            <w:vAlign w:val="top"/>
          </w:tcPr>
          <w:p w14:paraId="6D51CACA">
            <w:pPr>
              <w:spacing w:before="102" w:line="195" w:lineRule="auto"/>
              <w:ind w:left="5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4.273</w:t>
            </w:r>
          </w:p>
        </w:tc>
        <w:tc>
          <w:tcPr>
            <w:tcW w:w="1607" w:type="dxa"/>
            <w:vAlign w:val="top"/>
          </w:tcPr>
          <w:p w14:paraId="12AFC164">
            <w:pPr>
              <w:spacing w:before="102" w:line="195"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2.656</w:t>
            </w:r>
          </w:p>
        </w:tc>
        <w:tc>
          <w:tcPr>
            <w:tcW w:w="1449" w:type="dxa"/>
            <w:vAlign w:val="top"/>
          </w:tcPr>
          <w:p w14:paraId="151B429F">
            <w:pPr>
              <w:spacing w:before="102" w:line="195"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1.214</w:t>
            </w:r>
          </w:p>
        </w:tc>
        <w:tc>
          <w:tcPr>
            <w:tcW w:w="1448" w:type="dxa"/>
            <w:vAlign w:val="top"/>
          </w:tcPr>
          <w:p w14:paraId="0012D3E9">
            <w:pPr>
              <w:spacing w:before="102"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0.2632749</w:t>
            </w:r>
          </w:p>
        </w:tc>
        <w:tc>
          <w:tcPr>
            <w:tcW w:w="1449" w:type="dxa"/>
            <w:vAlign w:val="top"/>
          </w:tcPr>
          <w:p w14:paraId="0FF008DC">
            <w:pPr>
              <w:spacing w:before="102"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0.2500000</w:t>
            </w:r>
          </w:p>
        </w:tc>
        <w:tc>
          <w:tcPr>
            <w:tcW w:w="1448" w:type="dxa"/>
            <w:vAlign w:val="top"/>
          </w:tcPr>
          <w:p w14:paraId="7C8902EE">
            <w:pPr>
              <w:spacing w:before="102"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448" w:type="dxa"/>
            <w:vAlign w:val="top"/>
          </w:tcPr>
          <w:p w14:paraId="007A0C00">
            <w:pPr>
              <w:spacing w:before="102"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448" w:type="dxa"/>
            <w:vAlign w:val="top"/>
          </w:tcPr>
          <w:p w14:paraId="0CC229EA">
            <w:pPr>
              <w:spacing w:before="102"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0.2500000</w:t>
            </w:r>
          </w:p>
        </w:tc>
        <w:tc>
          <w:tcPr>
            <w:tcW w:w="1460" w:type="dxa"/>
            <w:tcBorders>
              <w:right w:val="single" w:color="000000" w:sz="10" w:space="0"/>
            </w:tcBorders>
            <w:vAlign w:val="top"/>
          </w:tcPr>
          <w:p w14:paraId="5A2EF2AA">
            <w:pPr>
              <w:spacing w:before="102"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4C1A4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862" w:type="dxa"/>
            <w:tcBorders>
              <w:left w:val="single" w:color="000000" w:sz="10" w:space="0"/>
            </w:tcBorders>
            <w:vAlign w:val="top"/>
          </w:tcPr>
          <w:p w14:paraId="204D4985">
            <w:pPr>
              <w:spacing w:before="104" w:line="195" w:lineRule="auto"/>
              <w:ind w:left="316"/>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606" w:type="dxa"/>
            <w:vAlign w:val="top"/>
          </w:tcPr>
          <w:p w14:paraId="3B6A4015">
            <w:pPr>
              <w:spacing w:before="104" w:line="195" w:lineRule="auto"/>
              <w:ind w:left="5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3.535</w:t>
            </w:r>
          </w:p>
        </w:tc>
        <w:tc>
          <w:tcPr>
            <w:tcW w:w="1607" w:type="dxa"/>
            <w:vAlign w:val="top"/>
          </w:tcPr>
          <w:p w14:paraId="567CD59A">
            <w:pPr>
              <w:spacing w:before="104" w:line="195"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2.581</w:t>
            </w:r>
          </w:p>
        </w:tc>
        <w:tc>
          <w:tcPr>
            <w:tcW w:w="1449" w:type="dxa"/>
            <w:vAlign w:val="top"/>
          </w:tcPr>
          <w:p w14:paraId="68D9BBE9">
            <w:pPr>
              <w:spacing w:before="104" w:line="195"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1.517</w:t>
            </w:r>
          </w:p>
        </w:tc>
        <w:tc>
          <w:tcPr>
            <w:tcW w:w="1448" w:type="dxa"/>
            <w:vAlign w:val="top"/>
          </w:tcPr>
          <w:p w14:paraId="6186525D">
            <w:pPr>
              <w:spacing w:before="104"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0.3228036</w:t>
            </w:r>
          </w:p>
        </w:tc>
        <w:tc>
          <w:tcPr>
            <w:tcW w:w="1449" w:type="dxa"/>
            <w:vAlign w:val="top"/>
          </w:tcPr>
          <w:p w14:paraId="6BE1F036">
            <w:pPr>
              <w:spacing w:before="104"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0.2500008</w:t>
            </w:r>
          </w:p>
        </w:tc>
        <w:tc>
          <w:tcPr>
            <w:tcW w:w="1448" w:type="dxa"/>
            <w:vAlign w:val="top"/>
          </w:tcPr>
          <w:p w14:paraId="670EB7AC">
            <w:pPr>
              <w:spacing w:before="104"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448" w:type="dxa"/>
            <w:vAlign w:val="top"/>
          </w:tcPr>
          <w:p w14:paraId="5AE9BC13">
            <w:pPr>
              <w:spacing w:before="104"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448" w:type="dxa"/>
            <w:vAlign w:val="top"/>
          </w:tcPr>
          <w:p w14:paraId="20D45BFE">
            <w:pPr>
              <w:spacing w:before="104"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0.2500000</w:t>
            </w:r>
          </w:p>
        </w:tc>
        <w:tc>
          <w:tcPr>
            <w:tcW w:w="1460" w:type="dxa"/>
            <w:tcBorders>
              <w:right w:val="single" w:color="000000" w:sz="10" w:space="0"/>
            </w:tcBorders>
            <w:vAlign w:val="top"/>
          </w:tcPr>
          <w:p w14:paraId="66582370">
            <w:pPr>
              <w:spacing w:before="104"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0CDC6F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862" w:type="dxa"/>
            <w:tcBorders>
              <w:left w:val="single" w:color="000000" w:sz="10" w:space="0"/>
            </w:tcBorders>
            <w:vAlign w:val="top"/>
          </w:tcPr>
          <w:p w14:paraId="718AEB1E">
            <w:pPr>
              <w:spacing w:before="106"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606" w:type="dxa"/>
            <w:vAlign w:val="top"/>
          </w:tcPr>
          <w:p w14:paraId="6770EF1F">
            <w:pPr>
              <w:spacing w:before="106" w:line="195" w:lineRule="auto"/>
              <w:ind w:left="5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3.095</w:t>
            </w:r>
          </w:p>
        </w:tc>
        <w:tc>
          <w:tcPr>
            <w:tcW w:w="1607" w:type="dxa"/>
            <w:vAlign w:val="top"/>
          </w:tcPr>
          <w:p w14:paraId="3D663E1C">
            <w:pPr>
              <w:spacing w:before="106" w:line="195"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2.450</w:t>
            </w:r>
          </w:p>
        </w:tc>
        <w:tc>
          <w:tcPr>
            <w:tcW w:w="1449" w:type="dxa"/>
            <w:vAlign w:val="top"/>
          </w:tcPr>
          <w:p w14:paraId="3DD032D3">
            <w:pPr>
              <w:spacing w:before="106" w:line="195"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1.643</w:t>
            </w:r>
          </w:p>
        </w:tc>
        <w:tc>
          <w:tcPr>
            <w:tcW w:w="1448" w:type="dxa"/>
            <w:vAlign w:val="top"/>
          </w:tcPr>
          <w:p w14:paraId="3C627ACA">
            <w:pPr>
              <w:spacing w:before="106"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0.4134014</w:t>
            </w:r>
          </w:p>
        </w:tc>
        <w:tc>
          <w:tcPr>
            <w:tcW w:w="1449" w:type="dxa"/>
            <w:vAlign w:val="top"/>
          </w:tcPr>
          <w:p w14:paraId="35E68190">
            <w:pPr>
              <w:spacing w:before="106"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0.2500310</w:t>
            </w:r>
          </w:p>
        </w:tc>
        <w:tc>
          <w:tcPr>
            <w:tcW w:w="1448" w:type="dxa"/>
            <w:vAlign w:val="top"/>
          </w:tcPr>
          <w:p w14:paraId="049DF6E2">
            <w:pPr>
              <w:spacing w:before="106"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448" w:type="dxa"/>
            <w:vAlign w:val="top"/>
          </w:tcPr>
          <w:p w14:paraId="0BFBDC42">
            <w:pPr>
              <w:spacing w:before="106"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448" w:type="dxa"/>
            <w:vAlign w:val="top"/>
          </w:tcPr>
          <w:p w14:paraId="019AC4FE">
            <w:pPr>
              <w:spacing w:before="106"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0.2500000</w:t>
            </w:r>
          </w:p>
        </w:tc>
        <w:tc>
          <w:tcPr>
            <w:tcW w:w="1460" w:type="dxa"/>
            <w:tcBorders>
              <w:right w:val="single" w:color="000000" w:sz="10" w:space="0"/>
            </w:tcBorders>
            <w:vAlign w:val="top"/>
          </w:tcPr>
          <w:p w14:paraId="044C2953">
            <w:pPr>
              <w:spacing w:before="106"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587D4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2" w:type="dxa"/>
            <w:tcBorders>
              <w:left w:val="single" w:color="000000" w:sz="10" w:space="0"/>
            </w:tcBorders>
            <w:vAlign w:val="top"/>
          </w:tcPr>
          <w:p w14:paraId="43AD0EF1">
            <w:pPr>
              <w:spacing w:before="108" w:line="195" w:lineRule="auto"/>
              <w:ind w:left="317"/>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606" w:type="dxa"/>
            <w:vAlign w:val="top"/>
          </w:tcPr>
          <w:p w14:paraId="76763E4A">
            <w:pPr>
              <w:spacing w:before="108" w:line="195" w:lineRule="auto"/>
              <w:ind w:left="5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2.794</w:t>
            </w:r>
          </w:p>
        </w:tc>
        <w:tc>
          <w:tcPr>
            <w:tcW w:w="1607" w:type="dxa"/>
            <w:vAlign w:val="top"/>
          </w:tcPr>
          <w:p w14:paraId="6AD767D3">
            <w:pPr>
              <w:spacing w:before="108" w:line="195"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2.321</w:t>
            </w:r>
          </w:p>
        </w:tc>
        <w:tc>
          <w:tcPr>
            <w:tcW w:w="1449" w:type="dxa"/>
            <w:vAlign w:val="top"/>
          </w:tcPr>
          <w:p w14:paraId="1F851AA3">
            <w:pPr>
              <w:spacing w:before="108" w:line="195"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1.687</w:t>
            </w:r>
          </w:p>
        </w:tc>
        <w:tc>
          <w:tcPr>
            <w:tcW w:w="1448" w:type="dxa"/>
            <w:vAlign w:val="top"/>
          </w:tcPr>
          <w:p w14:paraId="17B3F023">
            <w:pPr>
              <w:spacing w:before="108"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0.5087828</w:t>
            </w:r>
          </w:p>
        </w:tc>
        <w:tc>
          <w:tcPr>
            <w:tcW w:w="1449" w:type="dxa"/>
            <w:vAlign w:val="top"/>
          </w:tcPr>
          <w:p w14:paraId="5015BA96">
            <w:pPr>
              <w:spacing w:before="108"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0.2502723</w:t>
            </w:r>
          </w:p>
        </w:tc>
        <w:tc>
          <w:tcPr>
            <w:tcW w:w="1448" w:type="dxa"/>
            <w:vAlign w:val="top"/>
          </w:tcPr>
          <w:p w14:paraId="4BD58D59">
            <w:pPr>
              <w:spacing w:before="108"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448" w:type="dxa"/>
            <w:vAlign w:val="top"/>
          </w:tcPr>
          <w:p w14:paraId="39B68891">
            <w:pPr>
              <w:spacing w:before="108"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448" w:type="dxa"/>
            <w:vAlign w:val="top"/>
          </w:tcPr>
          <w:p w14:paraId="0E58D691">
            <w:pPr>
              <w:spacing w:before="108"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0.2500000</w:t>
            </w:r>
          </w:p>
        </w:tc>
        <w:tc>
          <w:tcPr>
            <w:tcW w:w="1460" w:type="dxa"/>
            <w:tcBorders>
              <w:right w:val="single" w:color="000000" w:sz="10" w:space="0"/>
            </w:tcBorders>
            <w:vAlign w:val="top"/>
          </w:tcPr>
          <w:p w14:paraId="0EEEAA22">
            <w:pPr>
              <w:spacing w:before="108"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7186B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2" w:type="dxa"/>
            <w:tcBorders>
              <w:left w:val="single" w:color="000000" w:sz="10" w:space="0"/>
            </w:tcBorders>
            <w:vAlign w:val="top"/>
          </w:tcPr>
          <w:p w14:paraId="32C1C84D">
            <w:pPr>
              <w:spacing w:before="109"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606" w:type="dxa"/>
            <w:vAlign w:val="top"/>
          </w:tcPr>
          <w:p w14:paraId="59E091C0">
            <w:pPr>
              <w:spacing w:before="109" w:line="195" w:lineRule="auto"/>
              <w:ind w:left="5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2.049</w:t>
            </w:r>
          </w:p>
        </w:tc>
        <w:tc>
          <w:tcPr>
            <w:tcW w:w="1607" w:type="dxa"/>
            <w:vAlign w:val="top"/>
          </w:tcPr>
          <w:p w14:paraId="213F4166">
            <w:pPr>
              <w:spacing w:before="109" w:line="195" w:lineRule="auto"/>
              <w:ind w:left="5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1.873</w:t>
            </w:r>
          </w:p>
        </w:tc>
        <w:tc>
          <w:tcPr>
            <w:tcW w:w="1449" w:type="dxa"/>
            <w:vAlign w:val="top"/>
          </w:tcPr>
          <w:p w14:paraId="7A6DECC0">
            <w:pPr>
              <w:spacing w:before="109" w:line="195"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1.602</w:t>
            </w:r>
          </w:p>
        </w:tc>
        <w:tc>
          <w:tcPr>
            <w:tcW w:w="1448" w:type="dxa"/>
            <w:vAlign w:val="top"/>
          </w:tcPr>
          <w:p w14:paraId="10D97BC7">
            <w:pPr>
              <w:spacing w:before="109"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0.8236212</w:t>
            </w:r>
          </w:p>
        </w:tc>
        <w:tc>
          <w:tcPr>
            <w:tcW w:w="1449" w:type="dxa"/>
            <w:vAlign w:val="top"/>
          </w:tcPr>
          <w:p w14:paraId="2AB265A8">
            <w:pPr>
              <w:spacing w:before="109"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0.2686075</w:t>
            </w:r>
          </w:p>
        </w:tc>
        <w:tc>
          <w:tcPr>
            <w:tcW w:w="1448" w:type="dxa"/>
            <w:vAlign w:val="top"/>
          </w:tcPr>
          <w:p w14:paraId="07F063BE">
            <w:pPr>
              <w:spacing w:before="109"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0.2500614</w:t>
            </w:r>
          </w:p>
        </w:tc>
        <w:tc>
          <w:tcPr>
            <w:tcW w:w="1448" w:type="dxa"/>
            <w:vAlign w:val="top"/>
          </w:tcPr>
          <w:p w14:paraId="594A3CC9">
            <w:pPr>
              <w:spacing w:before="109"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448" w:type="dxa"/>
            <w:vAlign w:val="top"/>
          </w:tcPr>
          <w:p w14:paraId="2584F137">
            <w:pPr>
              <w:spacing w:before="109"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0.2500000</w:t>
            </w:r>
          </w:p>
        </w:tc>
        <w:tc>
          <w:tcPr>
            <w:tcW w:w="1460" w:type="dxa"/>
            <w:tcBorders>
              <w:right w:val="single" w:color="000000" w:sz="10" w:space="0"/>
            </w:tcBorders>
            <w:vAlign w:val="top"/>
          </w:tcPr>
          <w:p w14:paraId="5964C7B8">
            <w:pPr>
              <w:spacing w:before="109"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5172F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2" w:type="dxa"/>
            <w:tcBorders>
              <w:left w:val="single" w:color="000000" w:sz="10" w:space="0"/>
            </w:tcBorders>
            <w:vAlign w:val="top"/>
          </w:tcPr>
          <w:p w14:paraId="63465A66">
            <w:pPr>
              <w:spacing w:before="111"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606" w:type="dxa"/>
            <w:vAlign w:val="top"/>
          </w:tcPr>
          <w:p w14:paraId="1F1F1F82">
            <w:pPr>
              <w:spacing w:before="111" w:line="195" w:lineRule="auto"/>
              <w:ind w:left="5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1.521</w:t>
            </w:r>
          </w:p>
        </w:tc>
        <w:tc>
          <w:tcPr>
            <w:tcW w:w="1607" w:type="dxa"/>
            <w:vAlign w:val="top"/>
          </w:tcPr>
          <w:p w14:paraId="52AFD7C5">
            <w:pPr>
              <w:spacing w:before="111" w:line="195" w:lineRule="auto"/>
              <w:ind w:left="5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1.457</w:t>
            </w:r>
          </w:p>
        </w:tc>
        <w:tc>
          <w:tcPr>
            <w:tcW w:w="1449" w:type="dxa"/>
            <w:vAlign w:val="top"/>
          </w:tcPr>
          <w:p w14:paraId="70FA8BCA">
            <w:pPr>
              <w:spacing w:before="111" w:line="195"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1.352</w:t>
            </w:r>
          </w:p>
        </w:tc>
        <w:tc>
          <w:tcPr>
            <w:tcW w:w="1448" w:type="dxa"/>
            <w:vAlign w:val="top"/>
          </w:tcPr>
          <w:p w14:paraId="0AD06B88">
            <w:pPr>
              <w:spacing w:before="111"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0.9678786</w:t>
            </w:r>
          </w:p>
        </w:tc>
        <w:tc>
          <w:tcPr>
            <w:tcW w:w="1449" w:type="dxa"/>
            <w:vAlign w:val="top"/>
          </w:tcPr>
          <w:p w14:paraId="6980B045">
            <w:pPr>
              <w:spacing w:before="111"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0.3792952</w:t>
            </w:r>
          </w:p>
        </w:tc>
        <w:tc>
          <w:tcPr>
            <w:tcW w:w="1448" w:type="dxa"/>
            <w:vAlign w:val="top"/>
          </w:tcPr>
          <w:p w14:paraId="547E837D">
            <w:pPr>
              <w:spacing w:before="111"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0.2574268</w:t>
            </w:r>
          </w:p>
        </w:tc>
        <w:tc>
          <w:tcPr>
            <w:tcW w:w="1448" w:type="dxa"/>
            <w:vAlign w:val="top"/>
          </w:tcPr>
          <w:p w14:paraId="68F8C774">
            <w:pPr>
              <w:spacing w:before="111"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0.2500008</w:t>
            </w:r>
          </w:p>
        </w:tc>
        <w:tc>
          <w:tcPr>
            <w:tcW w:w="1448" w:type="dxa"/>
            <w:vAlign w:val="top"/>
          </w:tcPr>
          <w:p w14:paraId="68584F89">
            <w:pPr>
              <w:spacing w:before="111"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0.2500000</w:t>
            </w:r>
          </w:p>
        </w:tc>
        <w:tc>
          <w:tcPr>
            <w:tcW w:w="1460" w:type="dxa"/>
            <w:tcBorders>
              <w:right w:val="single" w:color="000000" w:sz="10" w:space="0"/>
            </w:tcBorders>
            <w:vAlign w:val="top"/>
          </w:tcPr>
          <w:p w14:paraId="46AF5582">
            <w:pPr>
              <w:spacing w:before="111"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2F80F2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2" w:type="dxa"/>
            <w:tcBorders>
              <w:left w:val="single" w:color="000000" w:sz="10" w:space="0"/>
            </w:tcBorders>
            <w:vAlign w:val="top"/>
          </w:tcPr>
          <w:p w14:paraId="246B892C">
            <w:pPr>
              <w:spacing w:before="112"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606" w:type="dxa"/>
            <w:vAlign w:val="top"/>
          </w:tcPr>
          <w:p w14:paraId="06BF09DE">
            <w:pPr>
              <w:spacing w:before="112" w:line="195" w:lineRule="auto"/>
              <w:ind w:left="5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1.287</w:t>
            </w:r>
          </w:p>
        </w:tc>
        <w:tc>
          <w:tcPr>
            <w:tcW w:w="1607" w:type="dxa"/>
            <w:vAlign w:val="top"/>
          </w:tcPr>
          <w:p w14:paraId="54181300">
            <w:pPr>
              <w:spacing w:before="112" w:line="195" w:lineRule="auto"/>
              <w:ind w:left="5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1.252</w:t>
            </w:r>
          </w:p>
        </w:tc>
        <w:tc>
          <w:tcPr>
            <w:tcW w:w="1449" w:type="dxa"/>
            <w:vAlign w:val="top"/>
          </w:tcPr>
          <w:p w14:paraId="3557EFCC">
            <w:pPr>
              <w:spacing w:before="112" w:line="195"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1.193</w:t>
            </w:r>
          </w:p>
        </w:tc>
        <w:tc>
          <w:tcPr>
            <w:tcW w:w="1448" w:type="dxa"/>
            <w:vAlign w:val="top"/>
          </w:tcPr>
          <w:p w14:paraId="68A8CB54">
            <w:pPr>
              <w:spacing w:before="112"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0.9587755</w:t>
            </w:r>
          </w:p>
        </w:tc>
        <w:tc>
          <w:tcPr>
            <w:tcW w:w="1449" w:type="dxa"/>
            <w:vAlign w:val="top"/>
          </w:tcPr>
          <w:p w14:paraId="757A1194">
            <w:pPr>
              <w:spacing w:before="112"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0.4760457</w:t>
            </w:r>
          </w:p>
        </w:tc>
        <w:tc>
          <w:tcPr>
            <w:tcW w:w="1448" w:type="dxa"/>
            <w:vAlign w:val="top"/>
          </w:tcPr>
          <w:p w14:paraId="0658A17D">
            <w:pPr>
              <w:spacing w:before="112"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0.2836518</w:t>
            </w:r>
          </w:p>
        </w:tc>
        <w:tc>
          <w:tcPr>
            <w:tcW w:w="1448" w:type="dxa"/>
            <w:vAlign w:val="top"/>
          </w:tcPr>
          <w:p w14:paraId="1A74BCF8">
            <w:pPr>
              <w:spacing w:before="112"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0.2500759</w:t>
            </w:r>
          </w:p>
        </w:tc>
        <w:tc>
          <w:tcPr>
            <w:tcW w:w="1448" w:type="dxa"/>
            <w:vAlign w:val="top"/>
          </w:tcPr>
          <w:p w14:paraId="43BDCD83">
            <w:pPr>
              <w:spacing w:before="112"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0.2500000</w:t>
            </w:r>
          </w:p>
        </w:tc>
        <w:tc>
          <w:tcPr>
            <w:tcW w:w="1460" w:type="dxa"/>
            <w:tcBorders>
              <w:right w:val="single" w:color="000000" w:sz="10" w:space="0"/>
            </w:tcBorders>
            <w:vAlign w:val="top"/>
          </w:tcPr>
          <w:p w14:paraId="4EC2EF1C">
            <w:pPr>
              <w:spacing w:before="112"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1BF24D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2" w:type="dxa"/>
            <w:tcBorders>
              <w:left w:val="single" w:color="000000" w:sz="10" w:space="0"/>
            </w:tcBorders>
            <w:vAlign w:val="top"/>
          </w:tcPr>
          <w:p w14:paraId="32E4E288">
            <w:pPr>
              <w:spacing w:before="111"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1606" w:type="dxa"/>
            <w:vAlign w:val="top"/>
          </w:tcPr>
          <w:p w14:paraId="59880C94">
            <w:pPr>
              <w:spacing w:before="111" w:line="195" w:lineRule="auto"/>
              <w:ind w:left="5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1.148</w:t>
            </w:r>
          </w:p>
        </w:tc>
        <w:tc>
          <w:tcPr>
            <w:tcW w:w="1607" w:type="dxa"/>
            <w:vAlign w:val="top"/>
          </w:tcPr>
          <w:p w14:paraId="14AC95BC">
            <w:pPr>
              <w:spacing w:before="111" w:line="195" w:lineRule="auto"/>
              <w:ind w:left="5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1.125</w:t>
            </w:r>
          </w:p>
        </w:tc>
        <w:tc>
          <w:tcPr>
            <w:tcW w:w="1449" w:type="dxa"/>
            <w:vAlign w:val="top"/>
          </w:tcPr>
          <w:p w14:paraId="5B8B27B5">
            <w:pPr>
              <w:spacing w:before="111" w:line="195"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1.086</w:t>
            </w:r>
          </w:p>
        </w:tc>
        <w:tc>
          <w:tcPr>
            <w:tcW w:w="1448" w:type="dxa"/>
            <w:vAlign w:val="top"/>
          </w:tcPr>
          <w:p w14:paraId="31913A93">
            <w:pPr>
              <w:spacing w:before="111"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0.9248127</w:t>
            </w:r>
          </w:p>
        </w:tc>
        <w:tc>
          <w:tcPr>
            <w:tcW w:w="1449" w:type="dxa"/>
            <w:vAlign w:val="top"/>
          </w:tcPr>
          <w:p w14:paraId="6A66FBE7">
            <w:pPr>
              <w:spacing w:before="111"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0.5363841</w:t>
            </w:r>
          </w:p>
        </w:tc>
        <w:tc>
          <w:tcPr>
            <w:tcW w:w="1448" w:type="dxa"/>
            <w:vAlign w:val="top"/>
          </w:tcPr>
          <w:p w14:paraId="6ABEDC3A">
            <w:pPr>
              <w:spacing w:before="111"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0.3186370</w:t>
            </w:r>
          </w:p>
        </w:tc>
        <w:tc>
          <w:tcPr>
            <w:tcW w:w="1448" w:type="dxa"/>
            <w:vAlign w:val="top"/>
          </w:tcPr>
          <w:p w14:paraId="1ED95CD7">
            <w:pPr>
              <w:spacing w:before="111"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0.2507101</w:t>
            </w:r>
          </w:p>
        </w:tc>
        <w:tc>
          <w:tcPr>
            <w:tcW w:w="1448" w:type="dxa"/>
            <w:vAlign w:val="top"/>
          </w:tcPr>
          <w:p w14:paraId="180B4036">
            <w:pPr>
              <w:spacing w:before="111"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0.2500000</w:t>
            </w:r>
          </w:p>
        </w:tc>
        <w:tc>
          <w:tcPr>
            <w:tcW w:w="1460" w:type="dxa"/>
            <w:tcBorders>
              <w:right w:val="single" w:color="000000" w:sz="10" w:space="0"/>
            </w:tcBorders>
            <w:vAlign w:val="top"/>
          </w:tcPr>
          <w:p w14:paraId="0679CC7D">
            <w:pPr>
              <w:spacing w:before="111"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0168E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2" w:type="dxa"/>
            <w:tcBorders>
              <w:left w:val="single" w:color="000000" w:sz="10" w:space="0"/>
            </w:tcBorders>
            <w:vAlign w:val="top"/>
          </w:tcPr>
          <w:p w14:paraId="5AE4B4B6">
            <w:pPr>
              <w:spacing w:before="112" w:line="195"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606" w:type="dxa"/>
            <w:vAlign w:val="top"/>
          </w:tcPr>
          <w:p w14:paraId="5FDEDE9A">
            <w:pPr>
              <w:spacing w:before="112" w:line="195" w:lineRule="auto"/>
              <w:ind w:left="5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1.053</w:t>
            </w:r>
          </w:p>
        </w:tc>
        <w:tc>
          <w:tcPr>
            <w:tcW w:w="1607" w:type="dxa"/>
            <w:vAlign w:val="top"/>
          </w:tcPr>
          <w:p w14:paraId="540C3082">
            <w:pPr>
              <w:spacing w:before="112" w:line="195" w:lineRule="auto"/>
              <w:ind w:left="5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1.036</w:t>
            </w:r>
          </w:p>
        </w:tc>
        <w:tc>
          <w:tcPr>
            <w:tcW w:w="1449" w:type="dxa"/>
            <w:vAlign w:val="top"/>
          </w:tcPr>
          <w:p w14:paraId="20435CDA">
            <w:pPr>
              <w:spacing w:before="112" w:line="195"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1.008</w:t>
            </w:r>
          </w:p>
        </w:tc>
        <w:tc>
          <w:tcPr>
            <w:tcW w:w="1448" w:type="dxa"/>
            <w:vAlign w:val="top"/>
          </w:tcPr>
          <w:p w14:paraId="1D4CDA0A">
            <w:pPr>
              <w:spacing w:before="112"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0.8887464</w:t>
            </w:r>
          </w:p>
        </w:tc>
        <w:tc>
          <w:tcPr>
            <w:tcW w:w="1449" w:type="dxa"/>
            <w:vAlign w:val="top"/>
          </w:tcPr>
          <w:p w14:paraId="44DC337A">
            <w:pPr>
              <w:spacing w:before="112"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0.5717666</w:t>
            </w:r>
          </w:p>
        </w:tc>
        <w:tc>
          <w:tcPr>
            <w:tcW w:w="1448" w:type="dxa"/>
            <w:vAlign w:val="top"/>
          </w:tcPr>
          <w:p w14:paraId="267DB73F">
            <w:pPr>
              <w:spacing w:before="112"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0.3526192</w:t>
            </w:r>
          </w:p>
        </w:tc>
        <w:tc>
          <w:tcPr>
            <w:tcW w:w="1448" w:type="dxa"/>
            <w:vAlign w:val="top"/>
          </w:tcPr>
          <w:p w14:paraId="3BCC4743">
            <w:pPr>
              <w:spacing w:before="112"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0.2526487</w:t>
            </w:r>
          </w:p>
        </w:tc>
        <w:tc>
          <w:tcPr>
            <w:tcW w:w="1448" w:type="dxa"/>
            <w:vAlign w:val="top"/>
          </w:tcPr>
          <w:p w14:paraId="6BB9D1EF">
            <w:pPr>
              <w:spacing w:before="112"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0.2500004</w:t>
            </w:r>
          </w:p>
        </w:tc>
        <w:tc>
          <w:tcPr>
            <w:tcW w:w="1460" w:type="dxa"/>
            <w:tcBorders>
              <w:right w:val="single" w:color="000000" w:sz="10" w:space="0"/>
            </w:tcBorders>
            <w:vAlign w:val="top"/>
          </w:tcPr>
          <w:p w14:paraId="70446DAD">
            <w:pPr>
              <w:spacing w:before="112"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1CD52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2" w:type="dxa"/>
            <w:tcBorders>
              <w:left w:val="single" w:color="000000" w:sz="10" w:space="0"/>
            </w:tcBorders>
            <w:vAlign w:val="top"/>
          </w:tcPr>
          <w:p w14:paraId="70AD8974">
            <w:pPr>
              <w:spacing w:before="113"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1606" w:type="dxa"/>
            <w:vAlign w:val="top"/>
          </w:tcPr>
          <w:p w14:paraId="6A6F48DA">
            <w:pPr>
              <w:spacing w:before="113" w:line="195" w:lineRule="auto"/>
              <w:ind w:left="5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0.982</w:t>
            </w:r>
          </w:p>
        </w:tc>
        <w:tc>
          <w:tcPr>
            <w:tcW w:w="1607" w:type="dxa"/>
            <w:vAlign w:val="top"/>
          </w:tcPr>
          <w:p w14:paraId="045EFA6A">
            <w:pPr>
              <w:spacing w:before="113"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0.970</w:t>
            </w:r>
          </w:p>
        </w:tc>
        <w:tc>
          <w:tcPr>
            <w:tcW w:w="1449" w:type="dxa"/>
            <w:vAlign w:val="top"/>
          </w:tcPr>
          <w:p w14:paraId="5A180512">
            <w:pPr>
              <w:spacing w:before="113"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0.948</w:t>
            </w:r>
          </w:p>
        </w:tc>
        <w:tc>
          <w:tcPr>
            <w:tcW w:w="1448" w:type="dxa"/>
            <w:vAlign w:val="top"/>
          </w:tcPr>
          <w:p w14:paraId="61FC3398">
            <w:pPr>
              <w:spacing w:before="113"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0.8554331</w:t>
            </w:r>
          </w:p>
        </w:tc>
        <w:tc>
          <w:tcPr>
            <w:tcW w:w="1449" w:type="dxa"/>
            <w:vAlign w:val="top"/>
          </w:tcPr>
          <w:p w14:paraId="65C57BDC">
            <w:pPr>
              <w:spacing w:before="113"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0.5919085</w:t>
            </w:r>
          </w:p>
        </w:tc>
        <w:tc>
          <w:tcPr>
            <w:tcW w:w="1448" w:type="dxa"/>
            <w:vAlign w:val="top"/>
          </w:tcPr>
          <w:p w14:paraId="33F8E844">
            <w:pPr>
              <w:spacing w:before="113"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0.3819217</w:t>
            </w:r>
          </w:p>
        </w:tc>
        <w:tc>
          <w:tcPr>
            <w:tcW w:w="1448" w:type="dxa"/>
            <w:vAlign w:val="top"/>
          </w:tcPr>
          <w:p w14:paraId="31771799">
            <w:pPr>
              <w:spacing w:before="113"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0.2562635</w:t>
            </w:r>
          </w:p>
        </w:tc>
        <w:tc>
          <w:tcPr>
            <w:tcW w:w="1448" w:type="dxa"/>
            <w:vAlign w:val="top"/>
          </w:tcPr>
          <w:p w14:paraId="7226D11C">
            <w:pPr>
              <w:spacing w:before="113"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0.2500037</w:t>
            </w:r>
          </w:p>
        </w:tc>
        <w:tc>
          <w:tcPr>
            <w:tcW w:w="1460" w:type="dxa"/>
            <w:tcBorders>
              <w:right w:val="single" w:color="000000" w:sz="10" w:space="0"/>
            </w:tcBorders>
            <w:vAlign w:val="top"/>
          </w:tcPr>
          <w:p w14:paraId="4D55328C">
            <w:pPr>
              <w:spacing w:before="113"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0E2276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2" w:type="dxa"/>
            <w:tcBorders>
              <w:left w:val="single" w:color="000000" w:sz="10" w:space="0"/>
            </w:tcBorders>
            <w:vAlign w:val="top"/>
          </w:tcPr>
          <w:p w14:paraId="391D5CED">
            <w:pPr>
              <w:spacing w:before="114"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700</w:t>
            </w:r>
          </w:p>
        </w:tc>
        <w:tc>
          <w:tcPr>
            <w:tcW w:w="1606" w:type="dxa"/>
            <w:vAlign w:val="top"/>
          </w:tcPr>
          <w:p w14:paraId="61DBFFBE">
            <w:pPr>
              <w:spacing w:before="114" w:line="195" w:lineRule="auto"/>
              <w:ind w:left="5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0.928</w:t>
            </w:r>
          </w:p>
        </w:tc>
        <w:tc>
          <w:tcPr>
            <w:tcW w:w="1607" w:type="dxa"/>
            <w:vAlign w:val="top"/>
          </w:tcPr>
          <w:p w14:paraId="54F3E4A5">
            <w:pPr>
              <w:spacing w:before="114"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0.918</w:t>
            </w:r>
          </w:p>
        </w:tc>
        <w:tc>
          <w:tcPr>
            <w:tcW w:w="1449" w:type="dxa"/>
            <w:vAlign w:val="top"/>
          </w:tcPr>
          <w:p w14:paraId="62752155">
            <w:pPr>
              <w:spacing w:before="114"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0.901</w:t>
            </w:r>
          </w:p>
        </w:tc>
        <w:tc>
          <w:tcPr>
            <w:tcW w:w="1448" w:type="dxa"/>
            <w:vAlign w:val="top"/>
          </w:tcPr>
          <w:p w14:paraId="68F929B3">
            <w:pPr>
              <w:spacing w:before="114"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0.8256974</w:t>
            </w:r>
          </w:p>
        </w:tc>
        <w:tc>
          <w:tcPr>
            <w:tcW w:w="1449" w:type="dxa"/>
            <w:vAlign w:val="top"/>
          </w:tcPr>
          <w:p w14:paraId="6C3C360B">
            <w:pPr>
              <w:spacing w:before="114"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0.6027678</w:t>
            </w:r>
          </w:p>
        </w:tc>
        <w:tc>
          <w:tcPr>
            <w:tcW w:w="1448" w:type="dxa"/>
            <w:vAlign w:val="top"/>
          </w:tcPr>
          <w:p w14:paraId="0E84C150">
            <w:pPr>
              <w:spacing w:before="114"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0.4059481</w:t>
            </w:r>
          </w:p>
        </w:tc>
        <w:tc>
          <w:tcPr>
            <w:tcW w:w="1448" w:type="dxa"/>
            <w:vAlign w:val="top"/>
          </w:tcPr>
          <w:p w14:paraId="31D4C5BA">
            <w:pPr>
              <w:spacing w:before="114"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0.2614433</w:t>
            </w:r>
          </w:p>
        </w:tc>
        <w:tc>
          <w:tcPr>
            <w:tcW w:w="1448" w:type="dxa"/>
            <w:vAlign w:val="top"/>
          </w:tcPr>
          <w:p w14:paraId="493216B8">
            <w:pPr>
              <w:spacing w:before="114"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0.2500197</w:t>
            </w:r>
          </w:p>
        </w:tc>
        <w:tc>
          <w:tcPr>
            <w:tcW w:w="1460" w:type="dxa"/>
            <w:tcBorders>
              <w:right w:val="single" w:color="000000" w:sz="10" w:space="0"/>
            </w:tcBorders>
            <w:vAlign w:val="top"/>
          </w:tcPr>
          <w:p w14:paraId="79D20CEF">
            <w:pPr>
              <w:spacing w:before="114"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183AA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2" w:type="dxa"/>
            <w:tcBorders>
              <w:left w:val="single" w:color="000000" w:sz="10" w:space="0"/>
            </w:tcBorders>
            <w:vAlign w:val="top"/>
          </w:tcPr>
          <w:p w14:paraId="5DF9152C">
            <w:pPr>
              <w:spacing w:before="115"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c>
          <w:tcPr>
            <w:tcW w:w="1606" w:type="dxa"/>
            <w:vAlign w:val="top"/>
          </w:tcPr>
          <w:p w14:paraId="61ECEF63">
            <w:pPr>
              <w:spacing w:before="115" w:line="195" w:lineRule="auto"/>
              <w:ind w:left="5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0.884</w:t>
            </w:r>
          </w:p>
        </w:tc>
        <w:tc>
          <w:tcPr>
            <w:tcW w:w="1607" w:type="dxa"/>
            <w:vAlign w:val="top"/>
          </w:tcPr>
          <w:p w14:paraId="1C58B11B">
            <w:pPr>
              <w:spacing w:before="115"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0.876</w:t>
            </w:r>
          </w:p>
        </w:tc>
        <w:tc>
          <w:tcPr>
            <w:tcW w:w="1449" w:type="dxa"/>
            <w:vAlign w:val="top"/>
          </w:tcPr>
          <w:p w14:paraId="3504ACE1">
            <w:pPr>
              <w:spacing w:before="115"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0.861</w:t>
            </w:r>
          </w:p>
        </w:tc>
        <w:tc>
          <w:tcPr>
            <w:tcW w:w="1448" w:type="dxa"/>
            <w:vAlign w:val="top"/>
          </w:tcPr>
          <w:p w14:paraId="4718B6E2">
            <w:pPr>
              <w:spacing w:before="115"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0.7993456</w:t>
            </w:r>
          </w:p>
        </w:tc>
        <w:tc>
          <w:tcPr>
            <w:tcW w:w="1449" w:type="dxa"/>
            <w:vAlign w:val="top"/>
          </w:tcPr>
          <w:p w14:paraId="429DD814">
            <w:pPr>
              <w:spacing w:before="115"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0.6078726</w:t>
            </w:r>
          </w:p>
        </w:tc>
        <w:tc>
          <w:tcPr>
            <w:tcW w:w="1448" w:type="dxa"/>
            <w:vAlign w:val="top"/>
          </w:tcPr>
          <w:p w14:paraId="77517977">
            <w:pPr>
              <w:spacing w:before="115"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0.4251996</w:t>
            </w:r>
          </w:p>
        </w:tc>
        <w:tc>
          <w:tcPr>
            <w:tcW w:w="1448" w:type="dxa"/>
            <w:vAlign w:val="top"/>
          </w:tcPr>
          <w:p w14:paraId="174C3CBF">
            <w:pPr>
              <w:spacing w:before="115"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0.2678200</w:t>
            </w:r>
          </w:p>
        </w:tc>
        <w:tc>
          <w:tcPr>
            <w:tcW w:w="1448" w:type="dxa"/>
            <w:vAlign w:val="top"/>
          </w:tcPr>
          <w:p w14:paraId="40205CF2">
            <w:pPr>
              <w:spacing w:before="115"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0.2500678</w:t>
            </w:r>
          </w:p>
        </w:tc>
        <w:tc>
          <w:tcPr>
            <w:tcW w:w="1460" w:type="dxa"/>
            <w:tcBorders>
              <w:right w:val="single" w:color="000000" w:sz="10" w:space="0"/>
            </w:tcBorders>
            <w:vAlign w:val="top"/>
          </w:tcPr>
          <w:p w14:paraId="421CF585">
            <w:pPr>
              <w:spacing w:before="115"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63EEDD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2" w:type="dxa"/>
            <w:tcBorders>
              <w:left w:val="single" w:color="000000" w:sz="10" w:space="0"/>
            </w:tcBorders>
            <w:vAlign w:val="top"/>
          </w:tcPr>
          <w:p w14:paraId="6FAD861F">
            <w:pPr>
              <w:spacing w:before="117"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900</w:t>
            </w:r>
          </w:p>
        </w:tc>
        <w:tc>
          <w:tcPr>
            <w:tcW w:w="1606" w:type="dxa"/>
            <w:vAlign w:val="top"/>
          </w:tcPr>
          <w:p w14:paraId="393D828A">
            <w:pPr>
              <w:spacing w:before="117" w:line="195" w:lineRule="auto"/>
              <w:ind w:left="5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0.847</w:t>
            </w:r>
          </w:p>
        </w:tc>
        <w:tc>
          <w:tcPr>
            <w:tcW w:w="1607" w:type="dxa"/>
            <w:vAlign w:val="top"/>
          </w:tcPr>
          <w:p w14:paraId="6B4DF7A2">
            <w:pPr>
              <w:spacing w:before="117"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0.840</w:t>
            </w:r>
          </w:p>
        </w:tc>
        <w:tc>
          <w:tcPr>
            <w:tcW w:w="1449" w:type="dxa"/>
            <w:vAlign w:val="top"/>
          </w:tcPr>
          <w:p w14:paraId="253D021B">
            <w:pPr>
              <w:spacing w:before="117"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0.829</w:t>
            </w:r>
          </w:p>
        </w:tc>
        <w:tc>
          <w:tcPr>
            <w:tcW w:w="1448" w:type="dxa"/>
            <w:vAlign w:val="top"/>
          </w:tcPr>
          <w:p w14:paraId="74C5D307">
            <w:pPr>
              <w:spacing w:before="117"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0.7759533</w:t>
            </w:r>
          </w:p>
        </w:tc>
        <w:tc>
          <w:tcPr>
            <w:tcW w:w="1449" w:type="dxa"/>
            <w:vAlign w:val="top"/>
          </w:tcPr>
          <w:p w14:paraId="747E16D7">
            <w:pPr>
              <w:spacing w:before="117"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0.6093434</w:t>
            </w:r>
          </w:p>
        </w:tc>
        <w:tc>
          <w:tcPr>
            <w:tcW w:w="1448" w:type="dxa"/>
            <w:vAlign w:val="top"/>
          </w:tcPr>
          <w:p w14:paraId="3A0A60F0">
            <w:pPr>
              <w:spacing w:before="117"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0.4404498</w:t>
            </w:r>
          </w:p>
        </w:tc>
        <w:tc>
          <w:tcPr>
            <w:tcW w:w="1448" w:type="dxa"/>
            <w:vAlign w:val="top"/>
          </w:tcPr>
          <w:p w14:paraId="3B95704A">
            <w:pPr>
              <w:spacing w:before="117"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0.2749716</w:t>
            </w:r>
          </w:p>
        </w:tc>
        <w:tc>
          <w:tcPr>
            <w:tcW w:w="1448" w:type="dxa"/>
            <w:vAlign w:val="top"/>
          </w:tcPr>
          <w:p w14:paraId="7846B80B">
            <w:pPr>
              <w:spacing w:before="117"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0.2501765</w:t>
            </w:r>
          </w:p>
        </w:tc>
        <w:tc>
          <w:tcPr>
            <w:tcW w:w="1460" w:type="dxa"/>
            <w:tcBorders>
              <w:right w:val="single" w:color="000000" w:sz="10" w:space="0"/>
            </w:tcBorders>
            <w:vAlign w:val="top"/>
          </w:tcPr>
          <w:p w14:paraId="2248023C">
            <w:pPr>
              <w:spacing w:before="117"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734ED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2" w:type="dxa"/>
            <w:tcBorders>
              <w:left w:val="single" w:color="000000" w:sz="10" w:space="0"/>
            </w:tcBorders>
            <w:vAlign w:val="top"/>
          </w:tcPr>
          <w:p w14:paraId="10370623">
            <w:pPr>
              <w:spacing w:before="118"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1000</w:t>
            </w:r>
          </w:p>
        </w:tc>
        <w:tc>
          <w:tcPr>
            <w:tcW w:w="1606" w:type="dxa"/>
            <w:vAlign w:val="top"/>
          </w:tcPr>
          <w:p w14:paraId="796EB916">
            <w:pPr>
              <w:spacing w:before="118" w:line="195" w:lineRule="auto"/>
              <w:ind w:left="5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0.816</w:t>
            </w:r>
          </w:p>
        </w:tc>
        <w:tc>
          <w:tcPr>
            <w:tcW w:w="1607" w:type="dxa"/>
            <w:vAlign w:val="top"/>
          </w:tcPr>
          <w:p w14:paraId="003217F8">
            <w:pPr>
              <w:spacing w:before="118"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0.810</w:t>
            </w:r>
          </w:p>
        </w:tc>
        <w:tc>
          <w:tcPr>
            <w:tcW w:w="1449" w:type="dxa"/>
            <w:vAlign w:val="top"/>
          </w:tcPr>
          <w:p w14:paraId="06686851">
            <w:pPr>
              <w:spacing w:before="118"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0.800</w:t>
            </w:r>
          </w:p>
        </w:tc>
        <w:tc>
          <w:tcPr>
            <w:tcW w:w="1448" w:type="dxa"/>
            <w:vAlign w:val="top"/>
          </w:tcPr>
          <w:p w14:paraId="23308984">
            <w:pPr>
              <w:spacing w:before="118"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0.7550886</w:t>
            </w:r>
          </w:p>
        </w:tc>
        <w:tc>
          <w:tcPr>
            <w:tcW w:w="1449" w:type="dxa"/>
            <w:vAlign w:val="top"/>
          </w:tcPr>
          <w:p w14:paraId="3B2739BD">
            <w:pPr>
              <w:spacing w:before="118"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0.6084874</w:t>
            </w:r>
          </w:p>
        </w:tc>
        <w:tc>
          <w:tcPr>
            <w:tcW w:w="1448" w:type="dxa"/>
            <w:vAlign w:val="top"/>
          </w:tcPr>
          <w:p w14:paraId="6424C89C">
            <w:pPr>
              <w:spacing w:before="118"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0.4524499</w:t>
            </w:r>
          </w:p>
        </w:tc>
        <w:tc>
          <w:tcPr>
            <w:tcW w:w="1448" w:type="dxa"/>
            <w:vAlign w:val="top"/>
          </w:tcPr>
          <w:p w14:paraId="7699C717">
            <w:pPr>
              <w:spacing w:before="118"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0.2825250</w:t>
            </w:r>
          </w:p>
        </w:tc>
        <w:tc>
          <w:tcPr>
            <w:tcW w:w="1448" w:type="dxa"/>
            <w:vAlign w:val="top"/>
          </w:tcPr>
          <w:p w14:paraId="77933F06">
            <w:pPr>
              <w:spacing w:before="118"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0.2503772</w:t>
            </w:r>
          </w:p>
        </w:tc>
        <w:tc>
          <w:tcPr>
            <w:tcW w:w="1460" w:type="dxa"/>
            <w:tcBorders>
              <w:right w:val="single" w:color="000000" w:sz="10" w:space="0"/>
            </w:tcBorders>
            <w:vAlign w:val="top"/>
          </w:tcPr>
          <w:p w14:paraId="4D9142AB">
            <w:pPr>
              <w:spacing w:before="118"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187F3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2" w:type="dxa"/>
            <w:tcBorders>
              <w:left w:val="single" w:color="000000" w:sz="10" w:space="0"/>
            </w:tcBorders>
            <w:vAlign w:val="top"/>
          </w:tcPr>
          <w:p w14:paraId="2D1A8F99">
            <w:pPr>
              <w:spacing w:before="119"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1500</w:t>
            </w:r>
          </w:p>
        </w:tc>
        <w:tc>
          <w:tcPr>
            <w:tcW w:w="1606" w:type="dxa"/>
            <w:vAlign w:val="top"/>
          </w:tcPr>
          <w:p w14:paraId="41E61239">
            <w:pPr>
              <w:spacing w:before="119" w:line="195" w:lineRule="auto"/>
              <w:ind w:left="5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0.711</w:t>
            </w:r>
          </w:p>
        </w:tc>
        <w:tc>
          <w:tcPr>
            <w:tcW w:w="1607" w:type="dxa"/>
            <w:vAlign w:val="top"/>
          </w:tcPr>
          <w:p w14:paraId="5C5CAAB1">
            <w:pPr>
              <w:spacing w:before="119"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0.708</w:t>
            </w:r>
          </w:p>
        </w:tc>
        <w:tc>
          <w:tcPr>
            <w:tcW w:w="1449" w:type="dxa"/>
            <w:vAlign w:val="top"/>
          </w:tcPr>
          <w:p w14:paraId="4A2815F1">
            <w:pPr>
              <w:spacing w:before="119"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0.702</w:t>
            </w:r>
          </w:p>
        </w:tc>
        <w:tc>
          <w:tcPr>
            <w:tcW w:w="1448" w:type="dxa"/>
            <w:vAlign w:val="top"/>
          </w:tcPr>
          <w:p w14:paraId="5B250677">
            <w:pPr>
              <w:spacing w:before="119"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0.6773548</w:t>
            </w:r>
          </w:p>
        </w:tc>
        <w:tc>
          <w:tcPr>
            <w:tcW w:w="1449" w:type="dxa"/>
            <w:vAlign w:val="top"/>
          </w:tcPr>
          <w:p w14:paraId="4B0302AB">
            <w:pPr>
              <w:spacing w:before="119"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0.5900369</w:t>
            </w:r>
          </w:p>
        </w:tc>
        <w:tc>
          <w:tcPr>
            <w:tcW w:w="1448" w:type="dxa"/>
            <w:vAlign w:val="top"/>
          </w:tcPr>
          <w:p w14:paraId="492105E3">
            <w:pPr>
              <w:spacing w:before="119"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0.4823211</w:t>
            </w:r>
          </w:p>
        </w:tc>
        <w:tc>
          <w:tcPr>
            <w:tcW w:w="1448" w:type="dxa"/>
            <w:vAlign w:val="top"/>
          </w:tcPr>
          <w:p w14:paraId="2EAB87E4">
            <w:pPr>
              <w:spacing w:before="119"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0.3186576</w:t>
            </w:r>
          </w:p>
        </w:tc>
        <w:tc>
          <w:tcPr>
            <w:tcW w:w="1448" w:type="dxa"/>
            <w:vAlign w:val="top"/>
          </w:tcPr>
          <w:p w14:paraId="177257AA">
            <w:pPr>
              <w:spacing w:before="119"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0.2535178</w:t>
            </w:r>
          </w:p>
        </w:tc>
        <w:tc>
          <w:tcPr>
            <w:tcW w:w="1460" w:type="dxa"/>
            <w:tcBorders>
              <w:right w:val="single" w:color="000000" w:sz="10" w:space="0"/>
            </w:tcBorders>
            <w:vAlign w:val="top"/>
          </w:tcPr>
          <w:p w14:paraId="0B6F3E81">
            <w:pPr>
              <w:spacing w:before="119"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0.2500079</w:t>
            </w:r>
          </w:p>
        </w:tc>
      </w:tr>
      <w:tr w14:paraId="63FC4E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2" w:type="dxa"/>
            <w:tcBorders>
              <w:left w:val="single" w:color="000000" w:sz="10" w:space="0"/>
            </w:tcBorders>
            <w:vAlign w:val="top"/>
          </w:tcPr>
          <w:p w14:paraId="40371397">
            <w:pPr>
              <w:spacing w:before="120" w:line="195" w:lineRule="auto"/>
              <w:ind w:left="2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2000</w:t>
            </w:r>
          </w:p>
        </w:tc>
        <w:tc>
          <w:tcPr>
            <w:tcW w:w="1606" w:type="dxa"/>
            <w:vAlign w:val="top"/>
          </w:tcPr>
          <w:p w14:paraId="4BF0360F">
            <w:pPr>
              <w:spacing w:before="120" w:line="195" w:lineRule="auto"/>
              <w:ind w:left="5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0.648</w:t>
            </w:r>
          </w:p>
        </w:tc>
        <w:tc>
          <w:tcPr>
            <w:tcW w:w="1607" w:type="dxa"/>
            <w:vAlign w:val="top"/>
          </w:tcPr>
          <w:p w14:paraId="4ABDAD4F">
            <w:pPr>
              <w:spacing w:before="120"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0.646</w:t>
            </w:r>
          </w:p>
        </w:tc>
        <w:tc>
          <w:tcPr>
            <w:tcW w:w="1449" w:type="dxa"/>
            <w:vAlign w:val="top"/>
          </w:tcPr>
          <w:p w14:paraId="2BF0625E">
            <w:pPr>
              <w:spacing w:before="120"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0.643</w:t>
            </w:r>
          </w:p>
        </w:tc>
        <w:tc>
          <w:tcPr>
            <w:tcW w:w="1448" w:type="dxa"/>
            <w:vAlign w:val="top"/>
          </w:tcPr>
          <w:p w14:paraId="2AC54635">
            <w:pPr>
              <w:spacing w:before="120"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0.6262825</w:t>
            </w:r>
          </w:p>
        </w:tc>
        <w:tc>
          <w:tcPr>
            <w:tcW w:w="1449" w:type="dxa"/>
            <w:vAlign w:val="top"/>
          </w:tcPr>
          <w:p w14:paraId="5C12A4E9">
            <w:pPr>
              <w:spacing w:before="120"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0.5670057</w:t>
            </w:r>
          </w:p>
        </w:tc>
        <w:tc>
          <w:tcPr>
            <w:tcW w:w="1448" w:type="dxa"/>
            <w:vAlign w:val="top"/>
          </w:tcPr>
          <w:p w14:paraId="099B1D3D">
            <w:pPr>
              <w:spacing w:before="120"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0.4882259</w:t>
            </w:r>
          </w:p>
        </w:tc>
        <w:tc>
          <w:tcPr>
            <w:tcW w:w="1448" w:type="dxa"/>
            <w:vAlign w:val="top"/>
          </w:tcPr>
          <w:p w14:paraId="38BB11A3">
            <w:pPr>
              <w:spacing w:before="120"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0.3454858</w:t>
            </w:r>
          </w:p>
        </w:tc>
        <w:tc>
          <w:tcPr>
            <w:tcW w:w="1448" w:type="dxa"/>
            <w:vAlign w:val="top"/>
          </w:tcPr>
          <w:p w14:paraId="3B4B4FC6">
            <w:pPr>
              <w:spacing w:before="120"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0.2602832</w:t>
            </w:r>
          </w:p>
        </w:tc>
        <w:tc>
          <w:tcPr>
            <w:tcW w:w="1460" w:type="dxa"/>
            <w:tcBorders>
              <w:right w:val="single" w:color="000000" w:sz="10" w:space="0"/>
            </w:tcBorders>
            <w:vAlign w:val="top"/>
          </w:tcPr>
          <w:p w14:paraId="14F7DA22">
            <w:pPr>
              <w:spacing w:before="120"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0.2501064</w:t>
            </w:r>
          </w:p>
        </w:tc>
      </w:tr>
      <w:tr w14:paraId="5FE72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2" w:type="dxa"/>
            <w:tcBorders>
              <w:left w:val="single" w:color="000000" w:sz="10" w:space="0"/>
            </w:tcBorders>
            <w:vAlign w:val="top"/>
          </w:tcPr>
          <w:p w14:paraId="12B3E792">
            <w:pPr>
              <w:spacing w:before="121"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3000</w:t>
            </w:r>
          </w:p>
        </w:tc>
        <w:tc>
          <w:tcPr>
            <w:tcW w:w="1606" w:type="dxa"/>
            <w:vAlign w:val="top"/>
          </w:tcPr>
          <w:p w14:paraId="5D37F264">
            <w:pPr>
              <w:spacing w:before="121" w:line="195" w:lineRule="auto"/>
              <w:ind w:left="5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0.574</w:t>
            </w:r>
          </w:p>
        </w:tc>
        <w:tc>
          <w:tcPr>
            <w:tcW w:w="1607" w:type="dxa"/>
            <w:vAlign w:val="top"/>
          </w:tcPr>
          <w:p w14:paraId="51A4169D">
            <w:pPr>
              <w:spacing w:before="121"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0.573</w:t>
            </w:r>
          </w:p>
        </w:tc>
        <w:tc>
          <w:tcPr>
            <w:tcW w:w="1449" w:type="dxa"/>
            <w:vAlign w:val="top"/>
          </w:tcPr>
          <w:p w14:paraId="165D0175">
            <w:pPr>
              <w:spacing w:before="121"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0.571</w:t>
            </w:r>
          </w:p>
        </w:tc>
        <w:tc>
          <w:tcPr>
            <w:tcW w:w="1448" w:type="dxa"/>
            <w:vAlign w:val="top"/>
          </w:tcPr>
          <w:p w14:paraId="5081619A">
            <w:pPr>
              <w:spacing w:before="121"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0.5615918</w:t>
            </w:r>
          </w:p>
        </w:tc>
        <w:tc>
          <w:tcPr>
            <w:tcW w:w="1449" w:type="dxa"/>
            <w:vAlign w:val="top"/>
          </w:tcPr>
          <w:p w14:paraId="531DBDD7">
            <w:pPr>
              <w:spacing w:before="121"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0.5279424</w:t>
            </w:r>
          </w:p>
        </w:tc>
        <w:tc>
          <w:tcPr>
            <w:tcW w:w="1448" w:type="dxa"/>
            <w:vAlign w:val="top"/>
          </w:tcPr>
          <w:p w14:paraId="3B11BDE7">
            <w:pPr>
              <w:spacing w:before="121"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0.4797397</w:t>
            </w:r>
          </w:p>
        </w:tc>
        <w:tc>
          <w:tcPr>
            <w:tcW w:w="1448" w:type="dxa"/>
            <w:vAlign w:val="top"/>
          </w:tcPr>
          <w:p w14:paraId="11FBA527">
            <w:pPr>
              <w:spacing w:before="121"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0.3748924</w:t>
            </w:r>
          </w:p>
        </w:tc>
        <w:tc>
          <w:tcPr>
            <w:tcW w:w="1448" w:type="dxa"/>
            <w:vAlign w:val="top"/>
          </w:tcPr>
          <w:p w14:paraId="2A9BA11A">
            <w:pPr>
              <w:spacing w:before="121"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0.2782703</w:t>
            </w:r>
          </w:p>
        </w:tc>
        <w:tc>
          <w:tcPr>
            <w:tcW w:w="1460" w:type="dxa"/>
            <w:tcBorders>
              <w:right w:val="single" w:color="000000" w:sz="10" w:space="0"/>
            </w:tcBorders>
            <w:vAlign w:val="top"/>
          </w:tcPr>
          <w:p w14:paraId="00000791">
            <w:pPr>
              <w:spacing w:before="121"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0.2513422</w:t>
            </w:r>
          </w:p>
        </w:tc>
      </w:tr>
      <w:tr w14:paraId="265EB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2" w:type="dxa"/>
            <w:tcBorders>
              <w:left w:val="single" w:color="000000" w:sz="10" w:space="0"/>
            </w:tcBorders>
            <w:vAlign w:val="top"/>
          </w:tcPr>
          <w:p w14:paraId="50B7BDBE">
            <w:pPr>
              <w:spacing w:before="123"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4000</w:t>
            </w:r>
          </w:p>
        </w:tc>
        <w:tc>
          <w:tcPr>
            <w:tcW w:w="1606" w:type="dxa"/>
            <w:vAlign w:val="top"/>
          </w:tcPr>
          <w:p w14:paraId="29C1408F">
            <w:pPr>
              <w:spacing w:before="123" w:line="195" w:lineRule="auto"/>
              <w:ind w:left="5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0.529</w:t>
            </w:r>
          </w:p>
        </w:tc>
        <w:tc>
          <w:tcPr>
            <w:tcW w:w="1607" w:type="dxa"/>
            <w:vAlign w:val="top"/>
          </w:tcPr>
          <w:p w14:paraId="62CE079B">
            <w:pPr>
              <w:spacing w:before="123"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0.528</w:t>
            </w:r>
          </w:p>
        </w:tc>
        <w:tc>
          <w:tcPr>
            <w:tcW w:w="1449" w:type="dxa"/>
            <w:vAlign w:val="top"/>
          </w:tcPr>
          <w:p w14:paraId="3D873921">
            <w:pPr>
              <w:spacing w:before="123"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0.527</w:t>
            </w:r>
          </w:p>
        </w:tc>
        <w:tc>
          <w:tcPr>
            <w:tcW w:w="1448" w:type="dxa"/>
            <w:vAlign w:val="top"/>
          </w:tcPr>
          <w:p w14:paraId="6E39D2E6">
            <w:pPr>
              <w:spacing w:before="123"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0.5210805</w:t>
            </w:r>
          </w:p>
        </w:tc>
        <w:tc>
          <w:tcPr>
            <w:tcW w:w="1449" w:type="dxa"/>
            <w:vAlign w:val="top"/>
          </w:tcPr>
          <w:p w14:paraId="5077449F">
            <w:pPr>
              <w:spacing w:before="123"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0.4988140</w:t>
            </w:r>
          </w:p>
        </w:tc>
        <w:tc>
          <w:tcPr>
            <w:tcW w:w="1448" w:type="dxa"/>
            <w:vAlign w:val="top"/>
          </w:tcPr>
          <w:p w14:paraId="0516B137">
            <w:pPr>
              <w:spacing w:before="123"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0.4656929</w:t>
            </w:r>
          </w:p>
        </w:tc>
        <w:tc>
          <w:tcPr>
            <w:tcW w:w="1448" w:type="dxa"/>
            <w:vAlign w:val="top"/>
          </w:tcPr>
          <w:p w14:paraId="7D7CD72C">
            <w:pPr>
              <w:spacing w:before="123"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0.3865560</w:t>
            </w:r>
          </w:p>
        </w:tc>
        <w:tc>
          <w:tcPr>
            <w:tcW w:w="1448" w:type="dxa"/>
            <w:vAlign w:val="top"/>
          </w:tcPr>
          <w:p w14:paraId="1A233AF1">
            <w:pPr>
              <w:spacing w:before="123"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0.2948132</w:t>
            </w:r>
          </w:p>
        </w:tc>
        <w:tc>
          <w:tcPr>
            <w:tcW w:w="1460" w:type="dxa"/>
            <w:tcBorders>
              <w:right w:val="single" w:color="000000" w:sz="10" w:space="0"/>
            </w:tcBorders>
            <w:vAlign w:val="top"/>
          </w:tcPr>
          <w:p w14:paraId="36C99839">
            <w:pPr>
              <w:spacing w:before="123"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0.2545581</w:t>
            </w:r>
          </w:p>
        </w:tc>
      </w:tr>
      <w:tr w14:paraId="60579D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62" w:type="dxa"/>
            <w:tcBorders>
              <w:left w:val="single" w:color="000000" w:sz="10" w:space="0"/>
              <w:bottom w:val="single" w:color="000000" w:sz="10" w:space="0"/>
            </w:tcBorders>
            <w:vAlign w:val="top"/>
          </w:tcPr>
          <w:p w14:paraId="217A7B4D">
            <w:pPr>
              <w:spacing w:before="124"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9000</w:t>
            </w:r>
          </w:p>
        </w:tc>
        <w:tc>
          <w:tcPr>
            <w:tcW w:w="1606" w:type="dxa"/>
            <w:tcBorders>
              <w:bottom w:val="single" w:color="000000" w:sz="10" w:space="0"/>
            </w:tcBorders>
            <w:vAlign w:val="top"/>
          </w:tcPr>
          <w:p w14:paraId="1B238B45">
            <w:pPr>
              <w:spacing w:before="124" w:line="195" w:lineRule="auto"/>
              <w:ind w:left="5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0.431</w:t>
            </w:r>
          </w:p>
        </w:tc>
        <w:tc>
          <w:tcPr>
            <w:tcW w:w="1607" w:type="dxa"/>
            <w:tcBorders>
              <w:bottom w:val="single" w:color="000000" w:sz="10" w:space="0"/>
            </w:tcBorders>
            <w:vAlign w:val="top"/>
          </w:tcPr>
          <w:p w14:paraId="6FBC58ED">
            <w:pPr>
              <w:spacing w:before="124"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0.431</w:t>
            </w:r>
          </w:p>
        </w:tc>
        <w:tc>
          <w:tcPr>
            <w:tcW w:w="1449" w:type="dxa"/>
            <w:tcBorders>
              <w:bottom w:val="single" w:color="000000" w:sz="10" w:space="0"/>
            </w:tcBorders>
            <w:vAlign w:val="top"/>
          </w:tcPr>
          <w:p w14:paraId="4D03F70A">
            <w:pPr>
              <w:spacing w:before="124"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0.431</w:t>
            </w:r>
          </w:p>
        </w:tc>
        <w:tc>
          <w:tcPr>
            <w:tcW w:w="1448" w:type="dxa"/>
            <w:tcBorders>
              <w:bottom w:val="single" w:color="000000" w:sz="10" w:space="0"/>
            </w:tcBorders>
            <w:vAlign w:val="top"/>
          </w:tcPr>
          <w:p w14:paraId="0AC9A62F">
            <w:pPr>
              <w:spacing w:before="124"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0.4291138</w:t>
            </w:r>
          </w:p>
        </w:tc>
        <w:tc>
          <w:tcPr>
            <w:tcW w:w="1449" w:type="dxa"/>
            <w:tcBorders>
              <w:bottom w:val="single" w:color="000000" w:sz="10" w:space="0"/>
            </w:tcBorders>
            <w:vAlign w:val="top"/>
          </w:tcPr>
          <w:p w14:paraId="3BC33960">
            <w:pPr>
              <w:spacing w:before="124"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0.4224191</w:t>
            </w:r>
          </w:p>
        </w:tc>
        <w:tc>
          <w:tcPr>
            <w:tcW w:w="1448" w:type="dxa"/>
            <w:tcBorders>
              <w:bottom w:val="single" w:color="000000" w:sz="10" w:space="0"/>
            </w:tcBorders>
            <w:vAlign w:val="top"/>
          </w:tcPr>
          <w:p w14:paraId="76A09236">
            <w:pPr>
              <w:spacing w:before="124"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0.4118126</w:t>
            </w:r>
          </w:p>
        </w:tc>
        <w:tc>
          <w:tcPr>
            <w:tcW w:w="1448" w:type="dxa"/>
            <w:tcBorders>
              <w:bottom w:val="single" w:color="000000" w:sz="10" w:space="0"/>
            </w:tcBorders>
            <w:vAlign w:val="top"/>
          </w:tcPr>
          <w:p w14:paraId="1A877E71">
            <w:pPr>
              <w:spacing w:before="124"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0.3820624</w:t>
            </w:r>
          </w:p>
        </w:tc>
        <w:tc>
          <w:tcPr>
            <w:tcW w:w="1448" w:type="dxa"/>
            <w:tcBorders>
              <w:bottom w:val="single" w:color="000000" w:sz="10" w:space="0"/>
            </w:tcBorders>
            <w:vAlign w:val="top"/>
          </w:tcPr>
          <w:p w14:paraId="641BA8FF">
            <w:pPr>
              <w:spacing w:before="124"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0.3304841</w:t>
            </w:r>
          </w:p>
        </w:tc>
        <w:tc>
          <w:tcPr>
            <w:tcW w:w="1460" w:type="dxa"/>
            <w:tcBorders>
              <w:bottom w:val="single" w:color="000000" w:sz="10" w:space="0"/>
              <w:right w:val="single" w:color="000000" w:sz="10" w:space="0"/>
            </w:tcBorders>
            <w:vAlign w:val="top"/>
          </w:tcPr>
          <w:p w14:paraId="4E4D4750">
            <w:pPr>
              <w:spacing w:before="124"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0.2791436</w:t>
            </w:r>
          </w:p>
        </w:tc>
      </w:tr>
    </w:tbl>
    <w:p w14:paraId="763D4F9B">
      <w:pPr>
        <w:pStyle w:val="2"/>
      </w:pPr>
    </w:p>
    <w:p w14:paraId="23EAF9E0">
      <w:pPr>
        <w:sectPr>
          <w:headerReference r:id="rId132" w:type="default"/>
          <w:footerReference r:id="rId133" w:type="default"/>
          <w:pgSz w:w="16840" w:h="11907"/>
          <w:pgMar w:top="1132" w:right="1294" w:bottom="1258" w:left="1294" w:header="829" w:footer="1096" w:gutter="0"/>
          <w:cols w:space="720" w:num="1"/>
        </w:sectPr>
      </w:pPr>
    </w:p>
    <w:p w14:paraId="5B0E7F2F">
      <w:pPr>
        <w:pStyle w:val="2"/>
        <w:spacing w:line="265" w:lineRule="auto"/>
      </w:pPr>
    </w:p>
    <w:p w14:paraId="6C3D94D4">
      <w:pPr>
        <w:pStyle w:val="2"/>
        <w:spacing w:line="265" w:lineRule="auto"/>
      </w:pPr>
    </w:p>
    <w:p w14:paraId="321F2ADB">
      <w:pPr>
        <w:spacing w:before="65" w:line="228" w:lineRule="auto"/>
        <w:ind w:left="4175"/>
        <w:rPr>
          <w:rFonts w:ascii="宋体" w:hAnsi="宋体" w:eastAsia="宋体" w:cs="宋体"/>
          <w:sz w:val="20"/>
          <w:szCs w:val="20"/>
        </w:rPr>
      </w:pPr>
      <w:r>
        <w:rPr>
          <w:rFonts w:ascii="宋体" w:hAnsi="宋体" w:eastAsia="宋体" w:cs="宋体"/>
          <w:b/>
          <w:bCs/>
          <w:spacing w:val="6"/>
          <w:sz w:val="20"/>
          <w:szCs w:val="20"/>
        </w:rPr>
        <w:t>表</w:t>
      </w:r>
      <w:r>
        <w:rPr>
          <w:rFonts w:ascii="Times New Roman" w:hAnsi="Times New Roman" w:eastAsia="Times New Roman" w:cs="Times New Roman"/>
          <w:b/>
          <w:bCs/>
          <w:spacing w:val="6"/>
          <w:sz w:val="20"/>
          <w:szCs w:val="20"/>
        </w:rPr>
        <w:t>6.3-6</w:t>
      </w:r>
      <w:r>
        <w:rPr>
          <w:rFonts w:ascii="宋体" w:hAnsi="宋体" w:eastAsia="宋体" w:cs="宋体"/>
          <w:b/>
          <w:bCs/>
          <w:spacing w:val="6"/>
          <w:sz w:val="20"/>
          <w:szCs w:val="20"/>
        </w:rPr>
        <w:t>下泄生态基流情况下</w:t>
      </w:r>
      <w:r>
        <w:rPr>
          <w:rFonts w:ascii="Times New Roman" w:hAnsi="Times New Roman" w:eastAsia="Times New Roman" w:cs="Times New Roman"/>
          <w:b/>
          <w:bCs/>
          <w:sz w:val="20"/>
          <w:szCs w:val="20"/>
        </w:rPr>
        <w:t>COD</w:t>
      </w:r>
      <w:r>
        <w:rPr>
          <w:rFonts w:ascii="宋体" w:hAnsi="宋体" w:eastAsia="宋体" w:cs="宋体"/>
          <w:b/>
          <w:bCs/>
          <w:spacing w:val="6"/>
          <w:sz w:val="20"/>
          <w:szCs w:val="20"/>
        </w:rPr>
        <w:t>浓度预测值（正常排放）</w:t>
      </w:r>
    </w:p>
    <w:p w14:paraId="454070A7">
      <w:pPr>
        <w:spacing w:line="131" w:lineRule="exact"/>
      </w:pPr>
    </w:p>
    <w:tbl>
      <w:tblPr>
        <w:tblStyle w:val="5"/>
        <w:tblW w:w="14023"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2"/>
        <w:gridCol w:w="1537"/>
        <w:gridCol w:w="1537"/>
        <w:gridCol w:w="1397"/>
        <w:gridCol w:w="1397"/>
        <w:gridCol w:w="1397"/>
        <w:gridCol w:w="1398"/>
        <w:gridCol w:w="1398"/>
        <w:gridCol w:w="1398"/>
        <w:gridCol w:w="1412"/>
      </w:tblGrid>
      <w:tr w14:paraId="6F5E81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1152" w:type="dxa"/>
            <w:tcBorders>
              <w:top w:val="single" w:color="000000" w:sz="10" w:space="0"/>
              <w:left w:val="single" w:color="000000" w:sz="10" w:space="0"/>
            </w:tcBorders>
            <w:vAlign w:val="top"/>
          </w:tcPr>
          <w:p w14:paraId="375FE2E7">
            <w:pPr>
              <w:spacing w:before="101" w:line="201"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C(x,y)</w:t>
            </w:r>
          </w:p>
        </w:tc>
        <w:tc>
          <w:tcPr>
            <w:tcW w:w="1537" w:type="dxa"/>
            <w:tcBorders>
              <w:top w:val="single" w:color="000000" w:sz="10" w:space="0"/>
            </w:tcBorders>
            <w:vAlign w:val="top"/>
          </w:tcPr>
          <w:p w14:paraId="2B7E2949">
            <w:pPr>
              <w:spacing w:before="105" w:line="195" w:lineRule="auto"/>
              <w:ind w:left="7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37" w:type="dxa"/>
            <w:tcBorders>
              <w:top w:val="single" w:color="000000" w:sz="10" w:space="0"/>
            </w:tcBorders>
            <w:vAlign w:val="top"/>
          </w:tcPr>
          <w:p w14:paraId="7048D7F4">
            <w:pPr>
              <w:spacing w:before="105" w:line="195" w:lineRule="auto"/>
              <w:ind w:left="71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97" w:type="dxa"/>
            <w:tcBorders>
              <w:top w:val="single" w:color="000000" w:sz="10" w:space="0"/>
            </w:tcBorders>
            <w:vAlign w:val="top"/>
          </w:tcPr>
          <w:p w14:paraId="25D92552">
            <w:pPr>
              <w:spacing w:before="108" w:line="192" w:lineRule="auto"/>
              <w:ind w:left="64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397" w:type="dxa"/>
            <w:tcBorders>
              <w:top w:val="single" w:color="000000" w:sz="10" w:space="0"/>
            </w:tcBorders>
            <w:vAlign w:val="top"/>
          </w:tcPr>
          <w:p w14:paraId="3DCB45A7">
            <w:pPr>
              <w:spacing w:before="105" w:line="195" w:lineRule="auto"/>
              <w:ind w:left="61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397" w:type="dxa"/>
            <w:tcBorders>
              <w:top w:val="single" w:color="000000" w:sz="10" w:space="0"/>
            </w:tcBorders>
            <w:vAlign w:val="top"/>
          </w:tcPr>
          <w:p w14:paraId="2D7A3073">
            <w:pPr>
              <w:spacing w:before="105" w:line="195" w:lineRule="auto"/>
              <w:ind w:left="5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398" w:type="dxa"/>
            <w:tcBorders>
              <w:top w:val="single" w:color="000000" w:sz="10" w:space="0"/>
            </w:tcBorders>
            <w:vAlign w:val="top"/>
          </w:tcPr>
          <w:p w14:paraId="36E571CC">
            <w:pPr>
              <w:spacing w:before="105" w:line="195" w:lineRule="auto"/>
              <w:ind w:left="604"/>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398" w:type="dxa"/>
            <w:tcBorders>
              <w:top w:val="single" w:color="000000" w:sz="10" w:space="0"/>
            </w:tcBorders>
            <w:vAlign w:val="top"/>
          </w:tcPr>
          <w:p w14:paraId="36272654">
            <w:pPr>
              <w:spacing w:before="105" w:line="195" w:lineRule="auto"/>
              <w:ind w:left="606"/>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398" w:type="dxa"/>
            <w:tcBorders>
              <w:top w:val="single" w:color="000000" w:sz="10" w:space="0"/>
            </w:tcBorders>
            <w:vAlign w:val="top"/>
          </w:tcPr>
          <w:p w14:paraId="4CE75870">
            <w:pPr>
              <w:spacing w:before="105" w:line="195"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412" w:type="dxa"/>
            <w:tcBorders>
              <w:top w:val="single" w:color="000000" w:sz="10" w:space="0"/>
              <w:right w:val="single" w:color="000000" w:sz="10" w:space="0"/>
            </w:tcBorders>
            <w:vAlign w:val="top"/>
          </w:tcPr>
          <w:p w14:paraId="45E9814C">
            <w:pPr>
              <w:spacing w:before="105" w:line="195" w:lineRule="auto"/>
              <w:ind w:left="610"/>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r>
      <w:tr w14:paraId="26B752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4E0FA3C4">
            <w:pPr>
              <w:spacing w:before="99" w:line="195"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537" w:type="dxa"/>
            <w:vAlign w:val="top"/>
          </w:tcPr>
          <w:p w14:paraId="3976D39C">
            <w:pPr>
              <w:spacing w:before="99" w:line="195"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35.789</w:t>
            </w:r>
          </w:p>
        </w:tc>
        <w:tc>
          <w:tcPr>
            <w:tcW w:w="1537" w:type="dxa"/>
            <w:vAlign w:val="top"/>
          </w:tcPr>
          <w:p w14:paraId="75E53839">
            <w:pPr>
              <w:spacing w:before="99"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19.100</w:t>
            </w:r>
          </w:p>
        </w:tc>
        <w:tc>
          <w:tcPr>
            <w:tcW w:w="1397" w:type="dxa"/>
            <w:vAlign w:val="top"/>
          </w:tcPr>
          <w:p w14:paraId="0307F26D">
            <w:pPr>
              <w:spacing w:before="99"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10.733</w:t>
            </w:r>
          </w:p>
        </w:tc>
        <w:tc>
          <w:tcPr>
            <w:tcW w:w="1397" w:type="dxa"/>
            <w:vAlign w:val="top"/>
          </w:tcPr>
          <w:p w14:paraId="04DB4D3F">
            <w:pPr>
              <w:spacing w:before="99"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8.9205569</w:t>
            </w:r>
          </w:p>
        </w:tc>
        <w:tc>
          <w:tcPr>
            <w:tcW w:w="1397" w:type="dxa"/>
            <w:vAlign w:val="top"/>
          </w:tcPr>
          <w:p w14:paraId="4CE9FC35">
            <w:pPr>
              <w:spacing w:before="99"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398" w:type="dxa"/>
            <w:vAlign w:val="top"/>
          </w:tcPr>
          <w:p w14:paraId="111040BB">
            <w:pPr>
              <w:spacing w:before="99"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398" w:type="dxa"/>
            <w:vAlign w:val="top"/>
          </w:tcPr>
          <w:p w14:paraId="23CAF9F8">
            <w:pPr>
              <w:spacing w:before="99"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398" w:type="dxa"/>
            <w:vAlign w:val="top"/>
          </w:tcPr>
          <w:p w14:paraId="39BAED6C">
            <w:pPr>
              <w:spacing w:before="99"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12" w:type="dxa"/>
            <w:tcBorders>
              <w:right w:val="single" w:color="000000" w:sz="10" w:space="0"/>
            </w:tcBorders>
            <w:vAlign w:val="top"/>
          </w:tcPr>
          <w:p w14:paraId="0237EDA5">
            <w:pPr>
              <w:spacing w:before="99"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63371A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75EAACBD">
            <w:pPr>
              <w:spacing w:before="100"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537" w:type="dxa"/>
            <w:vAlign w:val="top"/>
          </w:tcPr>
          <w:p w14:paraId="4E480505">
            <w:pPr>
              <w:spacing w:before="100"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27.918</w:t>
            </w:r>
          </w:p>
        </w:tc>
        <w:tc>
          <w:tcPr>
            <w:tcW w:w="1537" w:type="dxa"/>
            <w:vAlign w:val="top"/>
          </w:tcPr>
          <w:p w14:paraId="6D0F7636">
            <w:pPr>
              <w:spacing w:before="100"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20.614</w:t>
            </w:r>
          </w:p>
        </w:tc>
        <w:tc>
          <w:tcPr>
            <w:tcW w:w="1397" w:type="dxa"/>
            <w:vAlign w:val="top"/>
          </w:tcPr>
          <w:p w14:paraId="566D64A7">
            <w:pPr>
              <w:spacing w:before="100"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13.855</w:t>
            </w:r>
          </w:p>
        </w:tc>
        <w:tc>
          <w:tcPr>
            <w:tcW w:w="1397" w:type="dxa"/>
            <w:vAlign w:val="top"/>
          </w:tcPr>
          <w:p w14:paraId="09BA75CF">
            <w:pPr>
              <w:spacing w:before="100"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9.0064876</w:t>
            </w:r>
          </w:p>
        </w:tc>
        <w:tc>
          <w:tcPr>
            <w:tcW w:w="1397" w:type="dxa"/>
            <w:vAlign w:val="top"/>
          </w:tcPr>
          <w:p w14:paraId="4A033E52">
            <w:pPr>
              <w:spacing w:before="100"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398" w:type="dxa"/>
            <w:vAlign w:val="top"/>
          </w:tcPr>
          <w:p w14:paraId="4EC0ACF1">
            <w:pPr>
              <w:spacing w:before="100"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398" w:type="dxa"/>
            <w:vAlign w:val="top"/>
          </w:tcPr>
          <w:p w14:paraId="68140644">
            <w:pPr>
              <w:spacing w:before="100"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398" w:type="dxa"/>
            <w:vAlign w:val="top"/>
          </w:tcPr>
          <w:p w14:paraId="1FA496EA">
            <w:pPr>
              <w:spacing w:before="100"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12" w:type="dxa"/>
            <w:tcBorders>
              <w:right w:val="single" w:color="000000" w:sz="10" w:space="0"/>
            </w:tcBorders>
            <w:vAlign w:val="top"/>
          </w:tcPr>
          <w:p w14:paraId="3A2DA554">
            <w:pPr>
              <w:spacing w:before="100"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1B261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22FEF4F5">
            <w:pPr>
              <w:spacing w:before="102" w:line="195" w:lineRule="auto"/>
              <w:ind w:left="462"/>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537" w:type="dxa"/>
            <w:vAlign w:val="top"/>
          </w:tcPr>
          <w:p w14:paraId="6B43FC10">
            <w:pPr>
              <w:spacing w:before="102"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24.430</w:t>
            </w:r>
          </w:p>
        </w:tc>
        <w:tc>
          <w:tcPr>
            <w:tcW w:w="1537" w:type="dxa"/>
            <w:vAlign w:val="top"/>
          </w:tcPr>
          <w:p w14:paraId="24C8635B">
            <w:pPr>
              <w:spacing w:before="102"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20.143</w:t>
            </w:r>
          </w:p>
        </w:tc>
        <w:tc>
          <w:tcPr>
            <w:tcW w:w="1397" w:type="dxa"/>
            <w:vAlign w:val="top"/>
          </w:tcPr>
          <w:p w14:paraId="6EB4DDEF">
            <w:pPr>
              <w:spacing w:before="102"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15.234</w:t>
            </w:r>
          </w:p>
        </w:tc>
        <w:tc>
          <w:tcPr>
            <w:tcW w:w="1397" w:type="dxa"/>
            <w:vAlign w:val="top"/>
          </w:tcPr>
          <w:p w14:paraId="6A7E23E7">
            <w:pPr>
              <w:spacing w:before="102"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9.3460443</w:t>
            </w:r>
          </w:p>
        </w:tc>
        <w:tc>
          <w:tcPr>
            <w:tcW w:w="1397" w:type="dxa"/>
            <w:vAlign w:val="top"/>
          </w:tcPr>
          <w:p w14:paraId="66072CC6">
            <w:pPr>
              <w:spacing w:before="102"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8.9200088</w:t>
            </w:r>
          </w:p>
        </w:tc>
        <w:tc>
          <w:tcPr>
            <w:tcW w:w="1398" w:type="dxa"/>
            <w:vAlign w:val="top"/>
          </w:tcPr>
          <w:p w14:paraId="140E2E39">
            <w:pPr>
              <w:spacing w:before="102"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398" w:type="dxa"/>
            <w:vAlign w:val="top"/>
          </w:tcPr>
          <w:p w14:paraId="441E7073">
            <w:pPr>
              <w:spacing w:before="102"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398" w:type="dxa"/>
            <w:vAlign w:val="top"/>
          </w:tcPr>
          <w:p w14:paraId="390A6429">
            <w:pPr>
              <w:spacing w:before="102"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12" w:type="dxa"/>
            <w:tcBorders>
              <w:right w:val="single" w:color="000000" w:sz="10" w:space="0"/>
            </w:tcBorders>
            <w:vAlign w:val="top"/>
          </w:tcPr>
          <w:p w14:paraId="68448242">
            <w:pPr>
              <w:spacing w:before="102"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7B754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6319AC49">
            <w:pPr>
              <w:spacing w:before="103" w:line="195"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537" w:type="dxa"/>
            <w:vAlign w:val="top"/>
          </w:tcPr>
          <w:p w14:paraId="162F3A4B">
            <w:pPr>
              <w:spacing w:before="103"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22.351</w:t>
            </w:r>
          </w:p>
        </w:tc>
        <w:tc>
          <w:tcPr>
            <w:tcW w:w="1537" w:type="dxa"/>
            <w:vAlign w:val="top"/>
          </w:tcPr>
          <w:p w14:paraId="744699F7">
            <w:pPr>
              <w:spacing w:before="103"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19.457</w:t>
            </w:r>
          </w:p>
        </w:tc>
        <w:tc>
          <w:tcPr>
            <w:tcW w:w="1397" w:type="dxa"/>
            <w:vAlign w:val="top"/>
          </w:tcPr>
          <w:p w14:paraId="39450484">
            <w:pPr>
              <w:spacing w:before="103"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15.765</w:t>
            </w:r>
          </w:p>
        </w:tc>
        <w:tc>
          <w:tcPr>
            <w:tcW w:w="1397" w:type="dxa"/>
            <w:vAlign w:val="top"/>
          </w:tcPr>
          <w:p w14:paraId="4AA9A099">
            <w:pPr>
              <w:spacing w:before="103"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9.8262326</w:t>
            </w:r>
          </w:p>
        </w:tc>
        <w:tc>
          <w:tcPr>
            <w:tcW w:w="1397" w:type="dxa"/>
            <w:vAlign w:val="top"/>
          </w:tcPr>
          <w:p w14:paraId="13739093">
            <w:pPr>
              <w:spacing w:before="103"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8.9202784</w:t>
            </w:r>
          </w:p>
        </w:tc>
        <w:tc>
          <w:tcPr>
            <w:tcW w:w="1398" w:type="dxa"/>
            <w:vAlign w:val="top"/>
          </w:tcPr>
          <w:p w14:paraId="3FE60B57">
            <w:pPr>
              <w:spacing w:before="103"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398" w:type="dxa"/>
            <w:vAlign w:val="top"/>
          </w:tcPr>
          <w:p w14:paraId="0440180B">
            <w:pPr>
              <w:spacing w:before="103"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398" w:type="dxa"/>
            <w:vAlign w:val="top"/>
          </w:tcPr>
          <w:p w14:paraId="743570AA">
            <w:pPr>
              <w:spacing w:before="103"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12" w:type="dxa"/>
            <w:tcBorders>
              <w:right w:val="single" w:color="000000" w:sz="10" w:space="0"/>
            </w:tcBorders>
            <w:vAlign w:val="top"/>
          </w:tcPr>
          <w:p w14:paraId="190519C3">
            <w:pPr>
              <w:spacing w:before="103"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6D4E24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2BECF2A3">
            <w:pPr>
              <w:spacing w:before="102" w:line="195" w:lineRule="auto"/>
              <w:ind w:left="464"/>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537" w:type="dxa"/>
            <w:vAlign w:val="top"/>
          </w:tcPr>
          <w:p w14:paraId="3BC7C00E">
            <w:pPr>
              <w:spacing w:before="102"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20.932</w:t>
            </w:r>
          </w:p>
        </w:tc>
        <w:tc>
          <w:tcPr>
            <w:tcW w:w="1537" w:type="dxa"/>
            <w:vAlign w:val="top"/>
          </w:tcPr>
          <w:p w14:paraId="2D77EA3B">
            <w:pPr>
              <w:spacing w:before="102"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18.813</w:t>
            </w:r>
          </w:p>
        </w:tc>
        <w:tc>
          <w:tcPr>
            <w:tcW w:w="1397" w:type="dxa"/>
            <w:vAlign w:val="top"/>
          </w:tcPr>
          <w:p w14:paraId="54310D3B">
            <w:pPr>
              <w:spacing w:before="102"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15.926</w:t>
            </w:r>
          </w:p>
        </w:tc>
        <w:tc>
          <w:tcPr>
            <w:tcW w:w="1397" w:type="dxa"/>
            <w:vAlign w:val="top"/>
          </w:tcPr>
          <w:p w14:paraId="7F7E690A">
            <w:pPr>
              <w:spacing w:before="102"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10.3097035</w:t>
            </w:r>
          </w:p>
        </w:tc>
        <w:tc>
          <w:tcPr>
            <w:tcW w:w="1397" w:type="dxa"/>
            <w:vAlign w:val="top"/>
          </w:tcPr>
          <w:p w14:paraId="01EC30B7">
            <w:pPr>
              <w:spacing w:before="102"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8.9221519</w:t>
            </w:r>
          </w:p>
        </w:tc>
        <w:tc>
          <w:tcPr>
            <w:tcW w:w="1398" w:type="dxa"/>
            <w:vAlign w:val="top"/>
          </w:tcPr>
          <w:p w14:paraId="3663D73A">
            <w:pPr>
              <w:spacing w:before="102"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398" w:type="dxa"/>
            <w:vAlign w:val="top"/>
          </w:tcPr>
          <w:p w14:paraId="4A1F7DE1">
            <w:pPr>
              <w:spacing w:before="102"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398" w:type="dxa"/>
            <w:vAlign w:val="top"/>
          </w:tcPr>
          <w:p w14:paraId="7B106B0C">
            <w:pPr>
              <w:spacing w:before="102"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12" w:type="dxa"/>
            <w:tcBorders>
              <w:right w:val="single" w:color="000000" w:sz="10" w:space="0"/>
            </w:tcBorders>
            <w:vAlign w:val="top"/>
          </w:tcPr>
          <w:p w14:paraId="22DE84CE">
            <w:pPr>
              <w:spacing w:before="102"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0AA9E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0F81F245">
            <w:pPr>
              <w:spacing w:before="103" w:line="195"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537" w:type="dxa"/>
            <w:vAlign w:val="top"/>
          </w:tcPr>
          <w:p w14:paraId="556BCAB7">
            <w:pPr>
              <w:spacing w:before="103" w:line="195" w:lineRule="auto"/>
              <w:ind w:left="490"/>
              <w:rPr>
                <w:rFonts w:ascii="Times New Roman" w:hAnsi="Times New Roman" w:eastAsia="Times New Roman" w:cs="Times New Roman"/>
                <w:sz w:val="20"/>
                <w:szCs w:val="20"/>
              </w:rPr>
            </w:pPr>
            <w:r>
              <w:rPr>
                <w:rFonts w:ascii="Times New Roman" w:hAnsi="Times New Roman" w:eastAsia="Times New Roman" w:cs="Times New Roman"/>
                <w:sz w:val="20"/>
                <w:szCs w:val="20"/>
              </w:rPr>
              <w:t>17.410</w:t>
            </w:r>
          </w:p>
        </w:tc>
        <w:tc>
          <w:tcPr>
            <w:tcW w:w="1537" w:type="dxa"/>
            <w:vAlign w:val="top"/>
          </w:tcPr>
          <w:p w14:paraId="5D52A1FC">
            <w:pPr>
              <w:spacing w:before="103"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16.625</w:t>
            </w:r>
          </w:p>
        </w:tc>
        <w:tc>
          <w:tcPr>
            <w:tcW w:w="1397" w:type="dxa"/>
            <w:vAlign w:val="top"/>
          </w:tcPr>
          <w:p w14:paraId="6A5D5A6B">
            <w:pPr>
              <w:spacing w:before="103"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15.404</w:t>
            </w:r>
          </w:p>
        </w:tc>
        <w:tc>
          <w:tcPr>
            <w:tcW w:w="1397" w:type="dxa"/>
            <w:vAlign w:val="top"/>
          </w:tcPr>
          <w:p w14:paraId="21DA7219">
            <w:pPr>
              <w:spacing w:before="103"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11.8078130</w:t>
            </w:r>
          </w:p>
        </w:tc>
        <w:tc>
          <w:tcPr>
            <w:tcW w:w="1397" w:type="dxa"/>
            <w:vAlign w:val="top"/>
          </w:tcPr>
          <w:p w14:paraId="624D467A">
            <w:pPr>
              <w:spacing w:before="103"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9.0336365</w:t>
            </w:r>
          </w:p>
        </w:tc>
        <w:tc>
          <w:tcPr>
            <w:tcW w:w="1398" w:type="dxa"/>
            <w:vAlign w:val="top"/>
          </w:tcPr>
          <w:p w14:paraId="46686124">
            <w:pPr>
              <w:spacing w:before="103"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8.9205173</w:t>
            </w:r>
          </w:p>
        </w:tc>
        <w:tc>
          <w:tcPr>
            <w:tcW w:w="1398" w:type="dxa"/>
            <w:vAlign w:val="top"/>
          </w:tcPr>
          <w:p w14:paraId="1C91E27C">
            <w:pPr>
              <w:spacing w:before="103"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398" w:type="dxa"/>
            <w:vAlign w:val="top"/>
          </w:tcPr>
          <w:p w14:paraId="3CDDF6EC">
            <w:pPr>
              <w:spacing w:before="103"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12" w:type="dxa"/>
            <w:tcBorders>
              <w:right w:val="single" w:color="000000" w:sz="10" w:space="0"/>
            </w:tcBorders>
            <w:vAlign w:val="top"/>
          </w:tcPr>
          <w:p w14:paraId="7838AA63">
            <w:pPr>
              <w:spacing w:before="103"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70C6D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4EC53CA2">
            <w:pPr>
              <w:spacing w:before="104"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537" w:type="dxa"/>
            <w:vAlign w:val="top"/>
          </w:tcPr>
          <w:p w14:paraId="6320EE13">
            <w:pPr>
              <w:spacing w:before="104" w:line="195" w:lineRule="auto"/>
              <w:ind w:left="490"/>
              <w:rPr>
                <w:rFonts w:ascii="Times New Roman" w:hAnsi="Times New Roman" w:eastAsia="Times New Roman" w:cs="Times New Roman"/>
                <w:sz w:val="20"/>
                <w:szCs w:val="20"/>
              </w:rPr>
            </w:pPr>
            <w:r>
              <w:rPr>
                <w:rFonts w:ascii="Times New Roman" w:hAnsi="Times New Roman" w:eastAsia="Times New Roman" w:cs="Times New Roman"/>
                <w:sz w:val="20"/>
                <w:szCs w:val="20"/>
              </w:rPr>
              <w:t>14.918</w:t>
            </w:r>
          </w:p>
        </w:tc>
        <w:tc>
          <w:tcPr>
            <w:tcW w:w="1537" w:type="dxa"/>
            <w:vAlign w:val="top"/>
          </w:tcPr>
          <w:p w14:paraId="3A8D4273">
            <w:pPr>
              <w:spacing w:before="104"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14.634</w:t>
            </w:r>
          </w:p>
        </w:tc>
        <w:tc>
          <w:tcPr>
            <w:tcW w:w="1397" w:type="dxa"/>
            <w:vAlign w:val="top"/>
          </w:tcPr>
          <w:p w14:paraId="3206D380">
            <w:pPr>
              <w:spacing w:before="104"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14.162</w:t>
            </w:r>
          </w:p>
        </w:tc>
        <w:tc>
          <w:tcPr>
            <w:tcW w:w="1397" w:type="dxa"/>
            <w:vAlign w:val="top"/>
          </w:tcPr>
          <w:p w14:paraId="1617FC4A">
            <w:pPr>
              <w:spacing w:before="104"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12.4182616</w:t>
            </w:r>
          </w:p>
        </w:tc>
        <w:tc>
          <w:tcPr>
            <w:tcW w:w="1397" w:type="dxa"/>
            <w:vAlign w:val="top"/>
          </w:tcPr>
          <w:p w14:paraId="36403B39">
            <w:pPr>
              <w:spacing w:before="104"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9.6139476</w:t>
            </w:r>
          </w:p>
        </w:tc>
        <w:tc>
          <w:tcPr>
            <w:tcW w:w="1398" w:type="dxa"/>
            <w:vAlign w:val="top"/>
          </w:tcPr>
          <w:p w14:paraId="4C1AA8C2">
            <w:pPr>
              <w:spacing w:before="104"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8.9668221</w:t>
            </w:r>
          </w:p>
        </w:tc>
        <w:tc>
          <w:tcPr>
            <w:tcW w:w="1398" w:type="dxa"/>
            <w:vAlign w:val="top"/>
          </w:tcPr>
          <w:p w14:paraId="4B848605">
            <w:pPr>
              <w:spacing w:before="104"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8.9200084</w:t>
            </w:r>
          </w:p>
        </w:tc>
        <w:tc>
          <w:tcPr>
            <w:tcW w:w="1398" w:type="dxa"/>
            <w:vAlign w:val="top"/>
          </w:tcPr>
          <w:p w14:paraId="4E360CFD">
            <w:pPr>
              <w:spacing w:before="104"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12" w:type="dxa"/>
            <w:tcBorders>
              <w:right w:val="single" w:color="000000" w:sz="10" w:space="0"/>
            </w:tcBorders>
            <w:vAlign w:val="top"/>
          </w:tcPr>
          <w:p w14:paraId="13DABD23">
            <w:pPr>
              <w:spacing w:before="104"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3B6A5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0108A802">
            <w:pPr>
              <w:spacing w:before="105" w:line="195"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537" w:type="dxa"/>
            <w:vAlign w:val="top"/>
          </w:tcPr>
          <w:p w14:paraId="60CC4DE2">
            <w:pPr>
              <w:spacing w:before="105" w:line="195" w:lineRule="auto"/>
              <w:ind w:left="490"/>
              <w:rPr>
                <w:rFonts w:ascii="Times New Roman" w:hAnsi="Times New Roman" w:eastAsia="Times New Roman" w:cs="Times New Roman"/>
                <w:sz w:val="20"/>
                <w:szCs w:val="20"/>
              </w:rPr>
            </w:pPr>
            <w:r>
              <w:rPr>
                <w:rFonts w:ascii="Times New Roman" w:hAnsi="Times New Roman" w:eastAsia="Times New Roman" w:cs="Times New Roman"/>
                <w:sz w:val="20"/>
                <w:szCs w:val="20"/>
              </w:rPr>
              <w:t>13.813</w:t>
            </w:r>
          </w:p>
        </w:tc>
        <w:tc>
          <w:tcPr>
            <w:tcW w:w="1537" w:type="dxa"/>
            <w:vAlign w:val="top"/>
          </w:tcPr>
          <w:p w14:paraId="32C802F9">
            <w:pPr>
              <w:spacing w:before="105"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13.658</w:t>
            </w:r>
          </w:p>
        </w:tc>
        <w:tc>
          <w:tcPr>
            <w:tcW w:w="1397" w:type="dxa"/>
            <w:vAlign w:val="top"/>
          </w:tcPr>
          <w:p w14:paraId="43013191">
            <w:pPr>
              <w:spacing w:before="105"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13.393</w:t>
            </w:r>
          </w:p>
        </w:tc>
        <w:tc>
          <w:tcPr>
            <w:tcW w:w="1397" w:type="dxa"/>
            <w:vAlign w:val="top"/>
          </w:tcPr>
          <w:p w14:paraId="0F093F2E">
            <w:pPr>
              <w:spacing w:before="105"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12.3357657</w:t>
            </w:r>
          </w:p>
        </w:tc>
        <w:tc>
          <w:tcPr>
            <w:tcW w:w="1397" w:type="dxa"/>
            <w:vAlign w:val="top"/>
          </w:tcPr>
          <w:p w14:paraId="6ECA2EF8">
            <w:pPr>
              <w:spacing w:before="105"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10.0818168</w:t>
            </w:r>
          </w:p>
        </w:tc>
        <w:tc>
          <w:tcPr>
            <w:tcW w:w="1398" w:type="dxa"/>
            <w:vAlign w:val="top"/>
          </w:tcPr>
          <w:p w14:paraId="3608C18C">
            <w:pPr>
              <w:spacing w:before="105"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9.1125545</w:t>
            </w:r>
          </w:p>
        </w:tc>
        <w:tc>
          <w:tcPr>
            <w:tcW w:w="1398" w:type="dxa"/>
            <w:vAlign w:val="top"/>
          </w:tcPr>
          <w:p w14:paraId="6E016581">
            <w:pPr>
              <w:spacing w:before="105"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8.9206119</w:t>
            </w:r>
          </w:p>
        </w:tc>
        <w:tc>
          <w:tcPr>
            <w:tcW w:w="1398" w:type="dxa"/>
            <w:vAlign w:val="top"/>
          </w:tcPr>
          <w:p w14:paraId="21AC8D02">
            <w:pPr>
              <w:spacing w:before="105"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8.9200001</w:t>
            </w:r>
          </w:p>
        </w:tc>
        <w:tc>
          <w:tcPr>
            <w:tcW w:w="1412" w:type="dxa"/>
            <w:tcBorders>
              <w:right w:val="single" w:color="000000" w:sz="10" w:space="0"/>
            </w:tcBorders>
            <w:vAlign w:val="top"/>
          </w:tcPr>
          <w:p w14:paraId="42D7043D">
            <w:pPr>
              <w:spacing w:before="105"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310AA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0587A94F">
            <w:pPr>
              <w:spacing w:before="106" w:line="195" w:lineRule="auto"/>
              <w:ind w:left="4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1537" w:type="dxa"/>
            <w:vAlign w:val="top"/>
          </w:tcPr>
          <w:p w14:paraId="3B846E0F">
            <w:pPr>
              <w:spacing w:before="106" w:line="195" w:lineRule="auto"/>
              <w:ind w:left="490"/>
              <w:rPr>
                <w:rFonts w:ascii="Times New Roman" w:hAnsi="Times New Roman" w:eastAsia="Times New Roman" w:cs="Times New Roman"/>
                <w:sz w:val="20"/>
                <w:szCs w:val="20"/>
              </w:rPr>
            </w:pPr>
            <w:r>
              <w:rPr>
                <w:rFonts w:ascii="Times New Roman" w:hAnsi="Times New Roman" w:eastAsia="Times New Roman" w:cs="Times New Roman"/>
                <w:sz w:val="20"/>
                <w:szCs w:val="20"/>
              </w:rPr>
              <w:t>13.154</w:t>
            </w:r>
          </w:p>
        </w:tc>
        <w:tc>
          <w:tcPr>
            <w:tcW w:w="1537" w:type="dxa"/>
            <w:vAlign w:val="top"/>
          </w:tcPr>
          <w:p w14:paraId="75FD2DC6">
            <w:pPr>
              <w:spacing w:before="106"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13.053</w:t>
            </w:r>
          </w:p>
        </w:tc>
        <w:tc>
          <w:tcPr>
            <w:tcW w:w="1397" w:type="dxa"/>
            <w:vAlign w:val="top"/>
          </w:tcPr>
          <w:p w14:paraId="287B77F0">
            <w:pPr>
              <w:spacing w:before="106"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12.878</w:t>
            </w:r>
          </w:p>
        </w:tc>
        <w:tc>
          <w:tcPr>
            <w:tcW w:w="1397" w:type="dxa"/>
            <w:vAlign w:val="top"/>
          </w:tcPr>
          <w:p w14:paraId="08533E3D">
            <w:pPr>
              <w:spacing w:before="106"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12.1534854</w:t>
            </w:r>
          </w:p>
        </w:tc>
        <w:tc>
          <w:tcPr>
            <w:tcW w:w="1397" w:type="dxa"/>
            <w:vAlign w:val="top"/>
          </w:tcPr>
          <w:p w14:paraId="3680BD59">
            <w:pPr>
              <w:spacing w:before="106"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10.3601512</w:t>
            </w:r>
          </w:p>
        </w:tc>
        <w:tc>
          <w:tcPr>
            <w:tcW w:w="1398" w:type="dxa"/>
            <w:vAlign w:val="top"/>
          </w:tcPr>
          <w:p w14:paraId="1CF022CA">
            <w:pPr>
              <w:spacing w:before="106"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9.2940848</w:t>
            </w:r>
          </w:p>
        </w:tc>
        <w:tc>
          <w:tcPr>
            <w:tcW w:w="1398" w:type="dxa"/>
            <w:vAlign w:val="top"/>
          </w:tcPr>
          <w:p w14:paraId="112FC296">
            <w:pPr>
              <w:spacing w:before="106"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8.9250069</w:t>
            </w:r>
          </w:p>
        </w:tc>
        <w:tc>
          <w:tcPr>
            <w:tcW w:w="1398" w:type="dxa"/>
            <w:vAlign w:val="top"/>
          </w:tcPr>
          <w:p w14:paraId="7CD607EF">
            <w:pPr>
              <w:spacing w:before="106"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8.9200078</w:t>
            </w:r>
          </w:p>
        </w:tc>
        <w:tc>
          <w:tcPr>
            <w:tcW w:w="1412" w:type="dxa"/>
            <w:tcBorders>
              <w:right w:val="single" w:color="000000" w:sz="10" w:space="0"/>
            </w:tcBorders>
            <w:vAlign w:val="top"/>
          </w:tcPr>
          <w:p w14:paraId="00D761FA">
            <w:pPr>
              <w:spacing w:before="106"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341B6F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152" w:type="dxa"/>
            <w:tcBorders>
              <w:left w:val="single" w:color="000000" w:sz="10" w:space="0"/>
            </w:tcBorders>
            <w:vAlign w:val="top"/>
          </w:tcPr>
          <w:p w14:paraId="547938F1">
            <w:pPr>
              <w:spacing w:before="108"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537" w:type="dxa"/>
            <w:vAlign w:val="top"/>
          </w:tcPr>
          <w:p w14:paraId="3E7AA2B0">
            <w:pPr>
              <w:spacing w:before="108" w:line="195" w:lineRule="auto"/>
              <w:ind w:left="490"/>
              <w:rPr>
                <w:rFonts w:ascii="Times New Roman" w:hAnsi="Times New Roman" w:eastAsia="Times New Roman" w:cs="Times New Roman"/>
                <w:sz w:val="20"/>
                <w:szCs w:val="20"/>
              </w:rPr>
            </w:pPr>
            <w:r>
              <w:rPr>
                <w:rFonts w:ascii="Times New Roman" w:hAnsi="Times New Roman" w:eastAsia="Times New Roman" w:cs="Times New Roman"/>
                <w:sz w:val="20"/>
                <w:szCs w:val="20"/>
              </w:rPr>
              <w:t>12.704</w:t>
            </w:r>
          </w:p>
        </w:tc>
        <w:tc>
          <w:tcPr>
            <w:tcW w:w="1537" w:type="dxa"/>
            <w:vAlign w:val="top"/>
          </w:tcPr>
          <w:p w14:paraId="1837CB3D">
            <w:pPr>
              <w:spacing w:before="108"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12.631</w:t>
            </w:r>
          </w:p>
        </w:tc>
        <w:tc>
          <w:tcPr>
            <w:tcW w:w="1397" w:type="dxa"/>
            <w:vAlign w:val="top"/>
          </w:tcPr>
          <w:p w14:paraId="61C45829">
            <w:pPr>
              <w:spacing w:before="108"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12.505</w:t>
            </w:r>
          </w:p>
        </w:tc>
        <w:tc>
          <w:tcPr>
            <w:tcW w:w="1397" w:type="dxa"/>
            <w:vAlign w:val="top"/>
          </w:tcPr>
          <w:p w14:paraId="2F9B0E43">
            <w:pPr>
              <w:spacing w:before="108"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11.9696952</w:t>
            </w:r>
          </w:p>
        </w:tc>
        <w:tc>
          <w:tcPr>
            <w:tcW w:w="1397" w:type="dxa"/>
            <w:vAlign w:val="top"/>
          </w:tcPr>
          <w:p w14:paraId="1B4380E1">
            <w:pPr>
              <w:spacing w:before="108"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10.5167841</w:t>
            </w:r>
          </w:p>
        </w:tc>
        <w:tc>
          <w:tcPr>
            <w:tcW w:w="1398" w:type="dxa"/>
            <w:vAlign w:val="top"/>
          </w:tcPr>
          <w:p w14:paraId="68B387BB">
            <w:pPr>
              <w:spacing w:before="108"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9.4631200</w:t>
            </w:r>
          </w:p>
        </w:tc>
        <w:tc>
          <w:tcPr>
            <w:tcW w:w="1398" w:type="dxa"/>
            <w:vAlign w:val="top"/>
          </w:tcPr>
          <w:p w14:paraId="5D254B7F">
            <w:pPr>
              <w:spacing w:before="108"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8.9372256</w:t>
            </w:r>
          </w:p>
        </w:tc>
        <w:tc>
          <w:tcPr>
            <w:tcW w:w="1398" w:type="dxa"/>
            <w:vAlign w:val="top"/>
          </w:tcPr>
          <w:p w14:paraId="1FF59F21">
            <w:pPr>
              <w:spacing w:before="108"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8.9200973</w:t>
            </w:r>
          </w:p>
        </w:tc>
        <w:tc>
          <w:tcPr>
            <w:tcW w:w="1412" w:type="dxa"/>
            <w:tcBorders>
              <w:right w:val="single" w:color="000000" w:sz="10" w:space="0"/>
            </w:tcBorders>
            <w:vAlign w:val="top"/>
          </w:tcPr>
          <w:p w14:paraId="2E5C9D1B">
            <w:pPr>
              <w:spacing w:before="108"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8.9200001</w:t>
            </w:r>
          </w:p>
        </w:tc>
      </w:tr>
      <w:tr w14:paraId="1E7C51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210432C1">
            <w:pPr>
              <w:spacing w:before="110"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1537" w:type="dxa"/>
            <w:vAlign w:val="top"/>
          </w:tcPr>
          <w:p w14:paraId="255ECAD1">
            <w:pPr>
              <w:spacing w:before="110" w:line="195" w:lineRule="auto"/>
              <w:ind w:left="490"/>
              <w:rPr>
                <w:rFonts w:ascii="Times New Roman" w:hAnsi="Times New Roman" w:eastAsia="Times New Roman" w:cs="Times New Roman"/>
                <w:sz w:val="20"/>
                <w:szCs w:val="20"/>
              </w:rPr>
            </w:pPr>
            <w:r>
              <w:rPr>
                <w:rFonts w:ascii="Times New Roman" w:hAnsi="Times New Roman" w:eastAsia="Times New Roman" w:cs="Times New Roman"/>
                <w:sz w:val="20"/>
                <w:szCs w:val="20"/>
              </w:rPr>
              <w:t>12.371</w:t>
            </w:r>
          </w:p>
        </w:tc>
        <w:tc>
          <w:tcPr>
            <w:tcW w:w="1537" w:type="dxa"/>
            <w:vAlign w:val="top"/>
          </w:tcPr>
          <w:p w14:paraId="45E52F27">
            <w:pPr>
              <w:spacing w:before="110"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12.316</w:t>
            </w:r>
          </w:p>
        </w:tc>
        <w:tc>
          <w:tcPr>
            <w:tcW w:w="1397" w:type="dxa"/>
            <w:vAlign w:val="top"/>
          </w:tcPr>
          <w:p w14:paraId="3AD4A698">
            <w:pPr>
              <w:spacing w:before="110"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12.219</w:t>
            </w:r>
          </w:p>
        </w:tc>
        <w:tc>
          <w:tcPr>
            <w:tcW w:w="1397" w:type="dxa"/>
            <w:vAlign w:val="top"/>
          </w:tcPr>
          <w:p w14:paraId="79FFAF35">
            <w:pPr>
              <w:spacing w:before="110"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11.8033708</w:t>
            </w:r>
          </w:p>
        </w:tc>
        <w:tc>
          <w:tcPr>
            <w:tcW w:w="1397" w:type="dxa"/>
            <w:vAlign w:val="top"/>
          </w:tcPr>
          <w:p w14:paraId="40C1CD23">
            <w:pPr>
              <w:spacing w:before="110"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10.6016100</w:t>
            </w:r>
          </w:p>
        </w:tc>
        <w:tc>
          <w:tcPr>
            <w:tcW w:w="1398" w:type="dxa"/>
            <w:vAlign w:val="top"/>
          </w:tcPr>
          <w:p w14:paraId="51865A59">
            <w:pPr>
              <w:spacing w:before="110"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9.6045943</w:t>
            </w:r>
          </w:p>
        </w:tc>
        <w:tc>
          <w:tcPr>
            <w:tcW w:w="1398" w:type="dxa"/>
            <w:vAlign w:val="top"/>
          </w:tcPr>
          <w:p w14:paraId="6E88F731">
            <w:pPr>
              <w:spacing w:before="110"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8.9585921</w:t>
            </w:r>
          </w:p>
        </w:tc>
        <w:tc>
          <w:tcPr>
            <w:tcW w:w="1398" w:type="dxa"/>
            <w:vAlign w:val="top"/>
          </w:tcPr>
          <w:p w14:paraId="23215B80">
            <w:pPr>
              <w:spacing w:before="110"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8.9205165</w:t>
            </w:r>
          </w:p>
        </w:tc>
        <w:tc>
          <w:tcPr>
            <w:tcW w:w="1412" w:type="dxa"/>
            <w:tcBorders>
              <w:right w:val="single" w:color="000000" w:sz="10" w:space="0"/>
            </w:tcBorders>
            <w:vAlign w:val="top"/>
          </w:tcPr>
          <w:p w14:paraId="0F205015">
            <w:pPr>
              <w:spacing w:before="110"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8.9200016</w:t>
            </w:r>
          </w:p>
        </w:tc>
      </w:tr>
      <w:tr w14:paraId="2434C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152" w:type="dxa"/>
            <w:tcBorders>
              <w:left w:val="single" w:color="000000" w:sz="10" w:space="0"/>
            </w:tcBorders>
            <w:vAlign w:val="top"/>
          </w:tcPr>
          <w:p w14:paraId="7E40B16A">
            <w:pPr>
              <w:spacing w:before="111" w:line="195" w:lineRule="auto"/>
              <w:ind w:left="4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700</w:t>
            </w:r>
          </w:p>
        </w:tc>
        <w:tc>
          <w:tcPr>
            <w:tcW w:w="1537" w:type="dxa"/>
            <w:vAlign w:val="top"/>
          </w:tcPr>
          <w:p w14:paraId="28F3BF24">
            <w:pPr>
              <w:spacing w:before="111" w:line="195"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12.112</w:t>
            </w:r>
          </w:p>
        </w:tc>
        <w:tc>
          <w:tcPr>
            <w:tcW w:w="1537" w:type="dxa"/>
            <w:vAlign w:val="top"/>
          </w:tcPr>
          <w:p w14:paraId="76FF7647">
            <w:pPr>
              <w:spacing w:before="111"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12.068</w:t>
            </w:r>
          </w:p>
        </w:tc>
        <w:tc>
          <w:tcPr>
            <w:tcW w:w="1397" w:type="dxa"/>
            <w:vAlign w:val="top"/>
          </w:tcPr>
          <w:p w14:paraId="625B02E5">
            <w:pPr>
              <w:spacing w:before="111"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11.992</w:t>
            </w:r>
          </w:p>
        </w:tc>
        <w:tc>
          <w:tcPr>
            <w:tcW w:w="1397" w:type="dxa"/>
            <w:vAlign w:val="top"/>
          </w:tcPr>
          <w:p w14:paraId="5478FFB0">
            <w:pPr>
              <w:spacing w:before="111"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11.6565369</w:t>
            </w:r>
          </w:p>
        </w:tc>
        <w:tc>
          <w:tcPr>
            <w:tcW w:w="1397" w:type="dxa"/>
            <w:vAlign w:val="top"/>
          </w:tcPr>
          <w:p w14:paraId="74830D43">
            <w:pPr>
              <w:spacing w:before="111"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10.6437715</w:t>
            </w:r>
          </w:p>
        </w:tc>
        <w:tc>
          <w:tcPr>
            <w:tcW w:w="1398" w:type="dxa"/>
            <w:vAlign w:val="top"/>
          </w:tcPr>
          <w:p w14:paraId="64FBAB68">
            <w:pPr>
              <w:spacing w:before="111"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9.7178912</w:t>
            </w:r>
          </w:p>
        </w:tc>
        <w:tc>
          <w:tcPr>
            <w:tcW w:w="1398" w:type="dxa"/>
            <w:vAlign w:val="top"/>
          </w:tcPr>
          <w:p w14:paraId="5B7DC2C3">
            <w:pPr>
              <w:spacing w:before="111"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8.9878310</w:t>
            </w:r>
          </w:p>
        </w:tc>
        <w:tc>
          <w:tcPr>
            <w:tcW w:w="1398" w:type="dxa"/>
            <w:vAlign w:val="top"/>
          </w:tcPr>
          <w:p w14:paraId="7E36863F">
            <w:pPr>
              <w:spacing w:before="111"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8.9216813</w:t>
            </w:r>
          </w:p>
        </w:tc>
        <w:tc>
          <w:tcPr>
            <w:tcW w:w="1412" w:type="dxa"/>
            <w:tcBorders>
              <w:right w:val="single" w:color="000000" w:sz="10" w:space="0"/>
            </w:tcBorders>
            <w:vAlign w:val="top"/>
          </w:tcPr>
          <w:p w14:paraId="2D4DD679">
            <w:pPr>
              <w:spacing w:before="111"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8.9200122</w:t>
            </w:r>
          </w:p>
        </w:tc>
      </w:tr>
      <w:tr w14:paraId="2474F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3B6ADD2C">
            <w:pPr>
              <w:spacing w:before="113" w:line="195" w:lineRule="auto"/>
              <w:ind w:left="413"/>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c>
          <w:tcPr>
            <w:tcW w:w="1537" w:type="dxa"/>
            <w:vAlign w:val="top"/>
          </w:tcPr>
          <w:p w14:paraId="32D3C16B">
            <w:pPr>
              <w:spacing w:before="113" w:line="195" w:lineRule="auto"/>
              <w:ind w:left="490"/>
              <w:rPr>
                <w:rFonts w:ascii="Times New Roman" w:hAnsi="Times New Roman" w:eastAsia="Times New Roman" w:cs="Times New Roman"/>
                <w:sz w:val="20"/>
                <w:szCs w:val="20"/>
              </w:rPr>
            </w:pPr>
            <w:r>
              <w:rPr>
                <w:rFonts w:ascii="Times New Roman" w:hAnsi="Times New Roman" w:eastAsia="Times New Roman" w:cs="Times New Roman"/>
                <w:sz w:val="20"/>
                <w:szCs w:val="20"/>
              </w:rPr>
              <w:t>11.904</w:t>
            </w:r>
          </w:p>
        </w:tc>
        <w:tc>
          <w:tcPr>
            <w:tcW w:w="1537" w:type="dxa"/>
            <w:vAlign w:val="top"/>
          </w:tcPr>
          <w:p w14:paraId="7E97F3DC">
            <w:pPr>
              <w:spacing w:before="113"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11.868</w:t>
            </w:r>
          </w:p>
        </w:tc>
        <w:tc>
          <w:tcPr>
            <w:tcW w:w="1397" w:type="dxa"/>
            <w:vAlign w:val="top"/>
          </w:tcPr>
          <w:p w14:paraId="58AC1EB3">
            <w:pPr>
              <w:spacing w:before="113"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11.805</w:t>
            </w:r>
          </w:p>
        </w:tc>
        <w:tc>
          <w:tcPr>
            <w:tcW w:w="1397" w:type="dxa"/>
            <w:vAlign w:val="top"/>
          </w:tcPr>
          <w:p w14:paraId="06C707EF">
            <w:pPr>
              <w:spacing w:before="113"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11.5273045</w:t>
            </w:r>
          </w:p>
        </w:tc>
        <w:tc>
          <w:tcPr>
            <w:tcW w:w="1397" w:type="dxa"/>
            <w:vAlign w:val="top"/>
          </w:tcPr>
          <w:p w14:paraId="6C243022">
            <w:pPr>
              <w:spacing w:before="113"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10.6600444</w:t>
            </w:r>
          </w:p>
        </w:tc>
        <w:tc>
          <w:tcPr>
            <w:tcW w:w="1398" w:type="dxa"/>
            <w:vAlign w:val="top"/>
          </w:tcPr>
          <w:p w14:paraId="6FF05BE9">
            <w:pPr>
              <w:spacing w:before="113"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9.8068320</w:t>
            </w:r>
          </w:p>
        </w:tc>
        <w:tc>
          <w:tcPr>
            <w:tcW w:w="1398" w:type="dxa"/>
            <w:vAlign w:val="top"/>
          </w:tcPr>
          <w:p w14:paraId="72BC4F17">
            <w:pPr>
              <w:spacing w:before="113"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9.0225984</w:t>
            </w:r>
          </w:p>
        </w:tc>
        <w:tc>
          <w:tcPr>
            <w:tcW w:w="1398" w:type="dxa"/>
            <w:vAlign w:val="top"/>
          </w:tcPr>
          <w:p w14:paraId="71ADDF47">
            <w:pPr>
              <w:spacing w:before="113"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8.9240373</w:t>
            </w:r>
          </w:p>
        </w:tc>
        <w:tc>
          <w:tcPr>
            <w:tcW w:w="1412" w:type="dxa"/>
            <w:tcBorders>
              <w:right w:val="single" w:color="000000" w:sz="10" w:space="0"/>
            </w:tcBorders>
            <w:vAlign w:val="top"/>
          </w:tcPr>
          <w:p w14:paraId="531ABD1F">
            <w:pPr>
              <w:spacing w:before="113"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8.9200540</w:t>
            </w:r>
          </w:p>
        </w:tc>
      </w:tr>
      <w:tr w14:paraId="28C91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152" w:type="dxa"/>
            <w:tcBorders>
              <w:left w:val="single" w:color="000000" w:sz="10" w:space="0"/>
            </w:tcBorders>
            <w:vAlign w:val="top"/>
          </w:tcPr>
          <w:p w14:paraId="3DFB8259">
            <w:pPr>
              <w:spacing w:before="114" w:line="195"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900</w:t>
            </w:r>
          </w:p>
        </w:tc>
        <w:tc>
          <w:tcPr>
            <w:tcW w:w="1537" w:type="dxa"/>
            <w:vAlign w:val="top"/>
          </w:tcPr>
          <w:p w14:paraId="071827CA">
            <w:pPr>
              <w:spacing w:before="114" w:line="195" w:lineRule="auto"/>
              <w:ind w:left="490"/>
              <w:rPr>
                <w:rFonts w:ascii="Times New Roman" w:hAnsi="Times New Roman" w:eastAsia="Times New Roman" w:cs="Times New Roman"/>
                <w:sz w:val="20"/>
                <w:szCs w:val="20"/>
              </w:rPr>
            </w:pPr>
            <w:r>
              <w:rPr>
                <w:rFonts w:ascii="Times New Roman" w:hAnsi="Times New Roman" w:eastAsia="Times New Roman" w:cs="Times New Roman"/>
                <w:sz w:val="20"/>
                <w:szCs w:val="20"/>
              </w:rPr>
              <w:t>11.730</w:t>
            </w:r>
          </w:p>
        </w:tc>
        <w:tc>
          <w:tcPr>
            <w:tcW w:w="1537" w:type="dxa"/>
            <w:vAlign w:val="top"/>
          </w:tcPr>
          <w:p w14:paraId="68AB3C2F">
            <w:pPr>
              <w:spacing w:before="114"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11.700</w:t>
            </w:r>
          </w:p>
        </w:tc>
        <w:tc>
          <w:tcPr>
            <w:tcW w:w="1397" w:type="dxa"/>
            <w:vAlign w:val="top"/>
          </w:tcPr>
          <w:p w14:paraId="7040CFEB">
            <w:pPr>
              <w:spacing w:before="114"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11.648</w:t>
            </w:r>
          </w:p>
        </w:tc>
        <w:tc>
          <w:tcPr>
            <w:tcW w:w="1397" w:type="dxa"/>
            <w:vAlign w:val="top"/>
          </w:tcPr>
          <w:p w14:paraId="2C39EDAA">
            <w:pPr>
              <w:spacing w:before="114"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11.4131210</w:t>
            </w:r>
          </w:p>
        </w:tc>
        <w:tc>
          <w:tcPr>
            <w:tcW w:w="1397" w:type="dxa"/>
            <w:vAlign w:val="top"/>
          </w:tcPr>
          <w:p w14:paraId="0B0A46D3">
            <w:pPr>
              <w:spacing w:before="114"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10.6603098</w:t>
            </w:r>
          </w:p>
        </w:tc>
        <w:tc>
          <w:tcPr>
            <w:tcW w:w="1398" w:type="dxa"/>
            <w:vAlign w:val="top"/>
          </w:tcPr>
          <w:p w14:paraId="3069DF7C">
            <w:pPr>
              <w:spacing w:before="114"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9.8759428</w:t>
            </w:r>
          </w:p>
        </w:tc>
        <w:tc>
          <w:tcPr>
            <w:tcW w:w="1398" w:type="dxa"/>
            <w:vAlign w:val="top"/>
          </w:tcPr>
          <w:p w14:paraId="358E5C89">
            <w:pPr>
              <w:spacing w:before="114"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9.0605429</w:t>
            </w:r>
          </w:p>
        </w:tc>
        <w:tc>
          <w:tcPr>
            <w:tcW w:w="1398" w:type="dxa"/>
            <w:vAlign w:val="top"/>
          </w:tcPr>
          <w:p w14:paraId="1A19E5B8">
            <w:pPr>
              <w:spacing w:before="114"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8.9279227</w:t>
            </w:r>
          </w:p>
        </w:tc>
        <w:tc>
          <w:tcPr>
            <w:tcW w:w="1412" w:type="dxa"/>
            <w:tcBorders>
              <w:right w:val="single" w:color="000000" w:sz="10" w:space="0"/>
            </w:tcBorders>
            <w:vAlign w:val="top"/>
          </w:tcPr>
          <w:p w14:paraId="12B59CFB">
            <w:pPr>
              <w:spacing w:before="114"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8.9201712</w:t>
            </w:r>
          </w:p>
        </w:tc>
      </w:tr>
      <w:tr w14:paraId="774BE7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29F09ACB">
            <w:pPr>
              <w:spacing w:before="117" w:line="195"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1000</w:t>
            </w:r>
          </w:p>
        </w:tc>
        <w:tc>
          <w:tcPr>
            <w:tcW w:w="1537" w:type="dxa"/>
            <w:vAlign w:val="top"/>
          </w:tcPr>
          <w:p w14:paraId="7AA5EFE0">
            <w:pPr>
              <w:spacing w:before="117" w:line="195" w:lineRule="auto"/>
              <w:ind w:left="490"/>
              <w:rPr>
                <w:rFonts w:ascii="Times New Roman" w:hAnsi="Times New Roman" w:eastAsia="Times New Roman" w:cs="Times New Roman"/>
                <w:sz w:val="20"/>
                <w:szCs w:val="20"/>
              </w:rPr>
            </w:pPr>
            <w:r>
              <w:rPr>
                <w:rFonts w:ascii="Times New Roman" w:hAnsi="Times New Roman" w:eastAsia="Times New Roman" w:cs="Times New Roman"/>
                <w:sz w:val="20"/>
                <w:szCs w:val="20"/>
              </w:rPr>
              <w:t>11.584</w:t>
            </w:r>
          </w:p>
        </w:tc>
        <w:tc>
          <w:tcPr>
            <w:tcW w:w="1537" w:type="dxa"/>
            <w:vAlign w:val="top"/>
          </w:tcPr>
          <w:p w14:paraId="543698D6">
            <w:pPr>
              <w:spacing w:before="117"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11.558</w:t>
            </w:r>
          </w:p>
        </w:tc>
        <w:tc>
          <w:tcPr>
            <w:tcW w:w="1397" w:type="dxa"/>
            <w:vAlign w:val="top"/>
          </w:tcPr>
          <w:p w14:paraId="2456A28E">
            <w:pPr>
              <w:spacing w:before="117"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11.513</w:t>
            </w:r>
          </w:p>
        </w:tc>
        <w:tc>
          <w:tcPr>
            <w:tcW w:w="1397" w:type="dxa"/>
            <w:vAlign w:val="top"/>
          </w:tcPr>
          <w:p w14:paraId="6CA82A38">
            <w:pPr>
              <w:spacing w:before="117"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11.3116164</w:t>
            </w:r>
          </w:p>
        </w:tc>
        <w:tc>
          <w:tcPr>
            <w:tcW w:w="1397" w:type="dxa"/>
            <w:vAlign w:val="top"/>
          </w:tcPr>
          <w:p w14:paraId="460A0A16">
            <w:pPr>
              <w:spacing w:before="117"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10.6505589</w:t>
            </w:r>
          </w:p>
        </w:tc>
        <w:tc>
          <w:tcPr>
            <w:tcW w:w="1398" w:type="dxa"/>
            <w:vAlign w:val="top"/>
          </w:tcPr>
          <w:p w14:paraId="743A5A14">
            <w:pPr>
              <w:spacing w:before="117"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9.9292789</w:t>
            </w:r>
          </w:p>
        </w:tc>
        <w:tc>
          <w:tcPr>
            <w:tcW w:w="1398" w:type="dxa"/>
            <w:vAlign w:val="top"/>
          </w:tcPr>
          <w:p w14:paraId="47579CCD">
            <w:pPr>
              <w:spacing w:before="117"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9.0997424</w:t>
            </w:r>
          </w:p>
        </w:tc>
        <w:tc>
          <w:tcPr>
            <w:tcW w:w="1398" w:type="dxa"/>
            <w:vAlign w:val="top"/>
          </w:tcPr>
          <w:p w14:paraId="6C28C6F7">
            <w:pPr>
              <w:spacing w:before="117"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8.9335086</w:t>
            </w:r>
          </w:p>
        </w:tc>
        <w:tc>
          <w:tcPr>
            <w:tcW w:w="1412" w:type="dxa"/>
            <w:tcBorders>
              <w:right w:val="single" w:color="000000" w:sz="10" w:space="0"/>
            </w:tcBorders>
            <w:vAlign w:val="top"/>
          </w:tcPr>
          <w:p w14:paraId="32CF214A">
            <w:pPr>
              <w:spacing w:before="117"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8.9204284</w:t>
            </w:r>
          </w:p>
        </w:tc>
      </w:tr>
      <w:tr w14:paraId="70F92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152" w:type="dxa"/>
            <w:tcBorders>
              <w:left w:val="single" w:color="000000" w:sz="10" w:space="0"/>
            </w:tcBorders>
            <w:vAlign w:val="top"/>
          </w:tcPr>
          <w:p w14:paraId="64CADEEC">
            <w:pPr>
              <w:spacing w:before="118" w:line="195"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1500</w:t>
            </w:r>
          </w:p>
        </w:tc>
        <w:tc>
          <w:tcPr>
            <w:tcW w:w="1537" w:type="dxa"/>
            <w:vAlign w:val="top"/>
          </w:tcPr>
          <w:p w14:paraId="42C5F0CC">
            <w:pPr>
              <w:spacing w:before="118" w:line="195" w:lineRule="auto"/>
              <w:ind w:left="490"/>
              <w:rPr>
                <w:rFonts w:ascii="Times New Roman" w:hAnsi="Times New Roman" w:eastAsia="Times New Roman" w:cs="Times New Roman"/>
                <w:sz w:val="20"/>
                <w:szCs w:val="20"/>
              </w:rPr>
            </w:pPr>
            <w:r>
              <w:rPr>
                <w:rFonts w:ascii="Times New Roman" w:hAnsi="Times New Roman" w:eastAsia="Times New Roman" w:cs="Times New Roman"/>
                <w:sz w:val="20"/>
                <w:szCs w:val="20"/>
              </w:rPr>
              <w:t>11.086</w:t>
            </w:r>
          </w:p>
        </w:tc>
        <w:tc>
          <w:tcPr>
            <w:tcW w:w="1537" w:type="dxa"/>
            <w:vAlign w:val="top"/>
          </w:tcPr>
          <w:p w14:paraId="214E8D98">
            <w:pPr>
              <w:spacing w:before="118"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11.072</w:t>
            </w:r>
          </w:p>
        </w:tc>
        <w:tc>
          <w:tcPr>
            <w:tcW w:w="1397" w:type="dxa"/>
            <w:vAlign w:val="top"/>
          </w:tcPr>
          <w:p w14:paraId="32D23516">
            <w:pPr>
              <w:spacing w:before="118"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11.047</w:t>
            </w:r>
          </w:p>
        </w:tc>
        <w:tc>
          <w:tcPr>
            <w:tcW w:w="1397" w:type="dxa"/>
            <w:vAlign w:val="top"/>
          </w:tcPr>
          <w:p w14:paraId="1B9347B8">
            <w:pPr>
              <w:spacing w:before="118"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10.9354527</w:t>
            </w:r>
          </w:p>
        </w:tc>
        <w:tc>
          <w:tcPr>
            <w:tcW w:w="1397" w:type="dxa"/>
            <w:vAlign w:val="top"/>
          </w:tcPr>
          <w:p w14:paraId="59176608">
            <w:pPr>
              <w:spacing w:before="118"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10.5444357</w:t>
            </w:r>
          </w:p>
        </w:tc>
        <w:tc>
          <w:tcPr>
            <w:tcW w:w="1398" w:type="dxa"/>
            <w:vAlign w:val="top"/>
          </w:tcPr>
          <w:p w14:paraId="4912B860">
            <w:pPr>
              <w:spacing w:before="118"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10.0539286</w:t>
            </w:r>
          </w:p>
        </w:tc>
        <w:tc>
          <w:tcPr>
            <w:tcW w:w="1398" w:type="dxa"/>
            <w:vAlign w:val="top"/>
          </w:tcPr>
          <w:p w14:paraId="4054C5CF">
            <w:pPr>
              <w:spacing w:before="118"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9.2789318</w:t>
            </w:r>
          </w:p>
        </w:tc>
        <w:tc>
          <w:tcPr>
            <w:tcW w:w="1398" w:type="dxa"/>
            <w:vAlign w:val="top"/>
          </w:tcPr>
          <w:p w14:paraId="03D47FCC">
            <w:pPr>
              <w:spacing w:before="118"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8.9839221</w:t>
            </w:r>
          </w:p>
        </w:tc>
        <w:tc>
          <w:tcPr>
            <w:tcW w:w="1412" w:type="dxa"/>
            <w:tcBorders>
              <w:right w:val="single" w:color="000000" w:sz="10" w:space="0"/>
            </w:tcBorders>
            <w:vAlign w:val="top"/>
          </w:tcPr>
          <w:p w14:paraId="48511721">
            <w:pPr>
              <w:spacing w:before="118"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8.9264048</w:t>
            </w:r>
          </w:p>
        </w:tc>
      </w:tr>
      <w:tr w14:paraId="047C6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527D367E">
            <w:pPr>
              <w:spacing w:before="118" w:line="195"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w:t>
            </w:r>
          </w:p>
        </w:tc>
        <w:tc>
          <w:tcPr>
            <w:tcW w:w="1537" w:type="dxa"/>
            <w:vAlign w:val="top"/>
          </w:tcPr>
          <w:p w14:paraId="69E7475C">
            <w:pPr>
              <w:spacing w:before="118" w:line="195" w:lineRule="auto"/>
              <w:ind w:left="490"/>
              <w:rPr>
                <w:rFonts w:ascii="Times New Roman" w:hAnsi="Times New Roman" w:eastAsia="Times New Roman" w:cs="Times New Roman"/>
                <w:sz w:val="20"/>
                <w:szCs w:val="20"/>
              </w:rPr>
            </w:pPr>
            <w:r>
              <w:rPr>
                <w:rFonts w:ascii="Times New Roman" w:hAnsi="Times New Roman" w:eastAsia="Times New Roman" w:cs="Times New Roman"/>
                <w:sz w:val="20"/>
                <w:szCs w:val="20"/>
              </w:rPr>
              <w:t>10.787</w:t>
            </w:r>
          </w:p>
        </w:tc>
        <w:tc>
          <w:tcPr>
            <w:tcW w:w="1537" w:type="dxa"/>
            <w:vAlign w:val="top"/>
          </w:tcPr>
          <w:p w14:paraId="35C7FBD4">
            <w:pPr>
              <w:spacing w:before="118"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10.778</w:t>
            </w:r>
          </w:p>
        </w:tc>
        <w:tc>
          <w:tcPr>
            <w:tcW w:w="1397" w:type="dxa"/>
            <w:vAlign w:val="top"/>
          </w:tcPr>
          <w:p w14:paraId="3E991298">
            <w:pPr>
              <w:spacing w:before="118"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10.762</w:t>
            </w:r>
          </w:p>
        </w:tc>
        <w:tc>
          <w:tcPr>
            <w:tcW w:w="1397" w:type="dxa"/>
            <w:vAlign w:val="top"/>
          </w:tcPr>
          <w:p w14:paraId="6DB9F814">
            <w:pPr>
              <w:spacing w:before="118"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10.6893923</w:t>
            </w:r>
          </w:p>
        </w:tc>
        <w:tc>
          <w:tcPr>
            <w:tcW w:w="1397" w:type="dxa"/>
            <w:vAlign w:val="top"/>
          </w:tcPr>
          <w:p w14:paraId="43EA50D7">
            <w:pPr>
              <w:spacing w:before="118"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10.4251215</w:t>
            </w:r>
          </w:p>
        </w:tc>
        <w:tc>
          <w:tcPr>
            <w:tcW w:w="1398" w:type="dxa"/>
            <w:vAlign w:val="top"/>
          </w:tcPr>
          <w:p w14:paraId="7EC11396">
            <w:pPr>
              <w:spacing w:before="118"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10.0694338</w:t>
            </w:r>
          </w:p>
        </w:tc>
        <w:tc>
          <w:tcPr>
            <w:tcW w:w="1398" w:type="dxa"/>
            <w:vAlign w:val="top"/>
          </w:tcPr>
          <w:p w14:paraId="5A9615DD">
            <w:pPr>
              <w:spacing w:before="118"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9.4050691</w:t>
            </w:r>
          </w:p>
        </w:tc>
        <w:tc>
          <w:tcPr>
            <w:tcW w:w="1398" w:type="dxa"/>
            <w:vAlign w:val="top"/>
          </w:tcPr>
          <w:p w14:paraId="5C12751A">
            <w:pPr>
              <w:spacing w:before="11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9.0529790</w:t>
            </w:r>
          </w:p>
        </w:tc>
        <w:tc>
          <w:tcPr>
            <w:tcW w:w="1412" w:type="dxa"/>
            <w:tcBorders>
              <w:right w:val="single" w:color="000000" w:sz="10" w:space="0"/>
            </w:tcBorders>
            <w:vAlign w:val="top"/>
          </w:tcPr>
          <w:p w14:paraId="3057CF1C">
            <w:pPr>
              <w:spacing w:before="118"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8.9436822</w:t>
            </w:r>
          </w:p>
        </w:tc>
      </w:tr>
      <w:tr w14:paraId="6D81D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6D87A97D">
            <w:pPr>
              <w:spacing w:before="119"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3000</w:t>
            </w:r>
          </w:p>
        </w:tc>
        <w:tc>
          <w:tcPr>
            <w:tcW w:w="1537" w:type="dxa"/>
            <w:vAlign w:val="top"/>
          </w:tcPr>
          <w:p w14:paraId="39C5D4E6">
            <w:pPr>
              <w:spacing w:before="119" w:line="195" w:lineRule="auto"/>
              <w:ind w:left="490"/>
              <w:rPr>
                <w:rFonts w:ascii="Times New Roman" w:hAnsi="Times New Roman" w:eastAsia="Times New Roman" w:cs="Times New Roman"/>
                <w:sz w:val="20"/>
                <w:szCs w:val="20"/>
              </w:rPr>
            </w:pPr>
            <w:r>
              <w:rPr>
                <w:rFonts w:ascii="Times New Roman" w:hAnsi="Times New Roman" w:eastAsia="Times New Roman" w:cs="Times New Roman"/>
                <w:sz w:val="20"/>
                <w:szCs w:val="20"/>
              </w:rPr>
              <w:t>10.432</w:t>
            </w:r>
          </w:p>
        </w:tc>
        <w:tc>
          <w:tcPr>
            <w:tcW w:w="1537" w:type="dxa"/>
            <w:vAlign w:val="top"/>
          </w:tcPr>
          <w:p w14:paraId="4A388228">
            <w:pPr>
              <w:spacing w:before="119"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10.427</w:t>
            </w:r>
          </w:p>
        </w:tc>
        <w:tc>
          <w:tcPr>
            <w:tcW w:w="1397" w:type="dxa"/>
            <w:vAlign w:val="top"/>
          </w:tcPr>
          <w:p w14:paraId="4CF5F1B5">
            <w:pPr>
              <w:spacing w:before="119"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10.418</w:t>
            </w:r>
          </w:p>
        </w:tc>
        <w:tc>
          <w:tcPr>
            <w:tcW w:w="1397" w:type="dxa"/>
            <w:vAlign w:val="top"/>
          </w:tcPr>
          <w:p w14:paraId="74828AF4">
            <w:pPr>
              <w:spacing w:before="119"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10.3781910</w:t>
            </w:r>
          </w:p>
        </w:tc>
        <w:tc>
          <w:tcPr>
            <w:tcW w:w="1397" w:type="dxa"/>
            <w:vAlign w:val="top"/>
          </w:tcPr>
          <w:p w14:paraId="64B2FFF6">
            <w:pPr>
              <w:spacing w:before="119"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10.2291197</w:t>
            </w:r>
          </w:p>
        </w:tc>
        <w:tc>
          <w:tcPr>
            <w:tcW w:w="1398" w:type="dxa"/>
            <w:vAlign w:val="top"/>
          </w:tcPr>
          <w:p w14:paraId="6C8A09EF">
            <w:pPr>
              <w:spacing w:before="119"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10.0137573</w:t>
            </w:r>
          </w:p>
        </w:tc>
        <w:tc>
          <w:tcPr>
            <w:tcW w:w="1398" w:type="dxa"/>
            <w:vAlign w:val="top"/>
          </w:tcPr>
          <w:p w14:paraId="0F4CC54D">
            <w:pPr>
              <w:spacing w:before="119"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9.5353668</w:t>
            </w:r>
          </w:p>
        </w:tc>
        <w:tc>
          <w:tcPr>
            <w:tcW w:w="1398" w:type="dxa"/>
            <w:vAlign w:val="top"/>
          </w:tcPr>
          <w:p w14:paraId="2316EE28">
            <w:pPr>
              <w:spacing w:before="119"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9.1796891</w:t>
            </w:r>
          </w:p>
        </w:tc>
        <w:tc>
          <w:tcPr>
            <w:tcW w:w="1412" w:type="dxa"/>
            <w:tcBorders>
              <w:right w:val="single" w:color="000000" w:sz="10" w:space="0"/>
            </w:tcBorders>
            <w:vAlign w:val="top"/>
          </w:tcPr>
          <w:p w14:paraId="67260ED6">
            <w:pPr>
              <w:spacing w:before="119"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9.0022015</w:t>
            </w:r>
          </w:p>
        </w:tc>
      </w:tr>
      <w:tr w14:paraId="22735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454A4E33">
            <w:pPr>
              <w:spacing w:before="120"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4000</w:t>
            </w:r>
          </w:p>
        </w:tc>
        <w:tc>
          <w:tcPr>
            <w:tcW w:w="1537" w:type="dxa"/>
            <w:vAlign w:val="top"/>
          </w:tcPr>
          <w:p w14:paraId="4646EE3B">
            <w:pPr>
              <w:spacing w:before="120" w:line="195" w:lineRule="auto"/>
              <w:ind w:left="490"/>
              <w:rPr>
                <w:rFonts w:ascii="Times New Roman" w:hAnsi="Times New Roman" w:eastAsia="Times New Roman" w:cs="Times New Roman"/>
                <w:sz w:val="20"/>
                <w:szCs w:val="20"/>
              </w:rPr>
            </w:pPr>
            <w:r>
              <w:rPr>
                <w:rFonts w:ascii="Times New Roman" w:hAnsi="Times New Roman" w:eastAsia="Times New Roman" w:cs="Times New Roman"/>
                <w:sz w:val="20"/>
                <w:szCs w:val="20"/>
              </w:rPr>
              <w:t>10.218</w:t>
            </w:r>
          </w:p>
        </w:tc>
        <w:tc>
          <w:tcPr>
            <w:tcW w:w="1537" w:type="dxa"/>
            <w:vAlign w:val="top"/>
          </w:tcPr>
          <w:p w14:paraId="5969DD93">
            <w:pPr>
              <w:spacing w:before="120"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10.215</w:t>
            </w:r>
          </w:p>
        </w:tc>
        <w:tc>
          <w:tcPr>
            <w:tcW w:w="1397" w:type="dxa"/>
            <w:vAlign w:val="top"/>
          </w:tcPr>
          <w:p w14:paraId="77BF11B7">
            <w:pPr>
              <w:spacing w:before="120"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10.209</w:t>
            </w:r>
          </w:p>
        </w:tc>
        <w:tc>
          <w:tcPr>
            <w:tcW w:w="1397" w:type="dxa"/>
            <w:vAlign w:val="top"/>
          </w:tcPr>
          <w:p w14:paraId="1F43615D">
            <w:pPr>
              <w:spacing w:before="120"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10.1832173</w:t>
            </w:r>
          </w:p>
        </w:tc>
        <w:tc>
          <w:tcPr>
            <w:tcW w:w="1397" w:type="dxa"/>
            <w:vAlign w:val="top"/>
          </w:tcPr>
          <w:p w14:paraId="452AEC8E">
            <w:pPr>
              <w:spacing w:before="120"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10.0850693</w:t>
            </w:r>
          </w:p>
        </w:tc>
        <w:tc>
          <w:tcPr>
            <w:tcW w:w="1398" w:type="dxa"/>
            <w:vAlign w:val="top"/>
          </w:tcPr>
          <w:p w14:paraId="3A0B6605">
            <w:pPr>
              <w:spacing w:before="120"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9.9381411</w:t>
            </w:r>
          </w:p>
        </w:tc>
        <w:tc>
          <w:tcPr>
            <w:tcW w:w="1398" w:type="dxa"/>
            <w:vAlign w:val="top"/>
          </w:tcPr>
          <w:p w14:paraId="47466A67">
            <w:pPr>
              <w:spacing w:before="120"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9.5814055</w:t>
            </w:r>
          </w:p>
        </w:tc>
        <w:tc>
          <w:tcPr>
            <w:tcW w:w="1398" w:type="dxa"/>
            <w:vAlign w:val="top"/>
          </w:tcPr>
          <w:p w14:paraId="2425DF44">
            <w:pPr>
              <w:spacing w:before="120"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9.2663040</w:t>
            </w:r>
          </w:p>
        </w:tc>
        <w:tc>
          <w:tcPr>
            <w:tcW w:w="1412" w:type="dxa"/>
            <w:tcBorders>
              <w:right w:val="single" w:color="000000" w:sz="10" w:space="0"/>
            </w:tcBorders>
            <w:vAlign w:val="top"/>
          </w:tcPr>
          <w:p w14:paraId="00BD120B">
            <w:pPr>
              <w:spacing w:before="120"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9.0661427</w:t>
            </w:r>
          </w:p>
        </w:tc>
      </w:tr>
      <w:tr w14:paraId="1ECEB7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152" w:type="dxa"/>
            <w:tcBorders>
              <w:left w:val="single" w:color="000000" w:sz="10" w:space="0"/>
              <w:bottom w:val="single" w:color="000000" w:sz="10" w:space="0"/>
            </w:tcBorders>
            <w:vAlign w:val="top"/>
          </w:tcPr>
          <w:p w14:paraId="66B90679">
            <w:pPr>
              <w:spacing w:before="121"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w:t>
            </w:r>
          </w:p>
        </w:tc>
        <w:tc>
          <w:tcPr>
            <w:tcW w:w="1537" w:type="dxa"/>
            <w:tcBorders>
              <w:bottom w:val="single" w:color="000000" w:sz="10" w:space="0"/>
            </w:tcBorders>
            <w:vAlign w:val="top"/>
          </w:tcPr>
          <w:p w14:paraId="42C53753">
            <w:pPr>
              <w:spacing w:before="121" w:line="195" w:lineRule="auto"/>
              <w:ind w:left="5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9.748</w:t>
            </w:r>
          </w:p>
        </w:tc>
        <w:tc>
          <w:tcPr>
            <w:tcW w:w="1537" w:type="dxa"/>
            <w:tcBorders>
              <w:bottom w:val="single" w:color="000000" w:sz="10" w:space="0"/>
            </w:tcBorders>
            <w:vAlign w:val="top"/>
          </w:tcPr>
          <w:p w14:paraId="4A2EFA85">
            <w:pPr>
              <w:spacing w:before="121" w:line="195" w:lineRule="auto"/>
              <w:ind w:left="5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9.748</w:t>
            </w:r>
          </w:p>
        </w:tc>
        <w:tc>
          <w:tcPr>
            <w:tcW w:w="1397" w:type="dxa"/>
            <w:tcBorders>
              <w:bottom w:val="single" w:color="000000" w:sz="10" w:space="0"/>
            </w:tcBorders>
            <w:vAlign w:val="top"/>
          </w:tcPr>
          <w:p w14:paraId="22B26E02">
            <w:pPr>
              <w:spacing w:before="121" w:line="195" w:lineRule="auto"/>
              <w:ind w:left="4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9.746</w:t>
            </w:r>
          </w:p>
        </w:tc>
        <w:tc>
          <w:tcPr>
            <w:tcW w:w="1397" w:type="dxa"/>
            <w:tcBorders>
              <w:bottom w:val="single" w:color="000000" w:sz="10" w:space="0"/>
            </w:tcBorders>
            <w:vAlign w:val="top"/>
          </w:tcPr>
          <w:p w14:paraId="205FF19F">
            <w:pPr>
              <w:spacing w:before="121"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9.7385441</w:t>
            </w:r>
          </w:p>
        </w:tc>
        <w:tc>
          <w:tcPr>
            <w:tcW w:w="1397" w:type="dxa"/>
            <w:tcBorders>
              <w:bottom w:val="single" w:color="000000" w:sz="10" w:space="0"/>
            </w:tcBorders>
            <w:vAlign w:val="top"/>
          </w:tcPr>
          <w:p w14:paraId="1B3C49F9">
            <w:pPr>
              <w:spacing w:before="121"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9.7096423</w:t>
            </w:r>
          </w:p>
        </w:tc>
        <w:tc>
          <w:tcPr>
            <w:tcW w:w="1398" w:type="dxa"/>
            <w:tcBorders>
              <w:bottom w:val="single" w:color="000000" w:sz="10" w:space="0"/>
            </w:tcBorders>
            <w:vAlign w:val="top"/>
          </w:tcPr>
          <w:p w14:paraId="4E3C6874">
            <w:pPr>
              <w:spacing w:before="121"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9.6637225</w:t>
            </w:r>
          </w:p>
        </w:tc>
        <w:tc>
          <w:tcPr>
            <w:tcW w:w="1398" w:type="dxa"/>
            <w:tcBorders>
              <w:bottom w:val="single" w:color="000000" w:sz="10" w:space="0"/>
            </w:tcBorders>
            <w:vAlign w:val="top"/>
          </w:tcPr>
          <w:p w14:paraId="27FBEAC1">
            <w:pPr>
              <w:spacing w:before="121"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9.5339721</w:t>
            </w:r>
          </w:p>
        </w:tc>
        <w:tc>
          <w:tcPr>
            <w:tcW w:w="1398" w:type="dxa"/>
            <w:tcBorders>
              <w:bottom w:val="single" w:color="000000" w:sz="10" w:space="0"/>
            </w:tcBorders>
            <w:vAlign w:val="top"/>
          </w:tcPr>
          <w:p w14:paraId="4FEBE1BD">
            <w:pPr>
              <w:spacing w:before="121"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9.3805271</w:t>
            </w:r>
          </w:p>
        </w:tc>
        <w:tc>
          <w:tcPr>
            <w:tcW w:w="1412" w:type="dxa"/>
            <w:tcBorders>
              <w:bottom w:val="single" w:color="000000" w:sz="10" w:space="0"/>
              <w:right w:val="single" w:color="000000" w:sz="10" w:space="0"/>
            </w:tcBorders>
            <w:vAlign w:val="top"/>
          </w:tcPr>
          <w:p w14:paraId="1D1AE207">
            <w:pPr>
              <w:spacing w:before="121"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9.2338561</w:t>
            </w:r>
          </w:p>
        </w:tc>
      </w:tr>
    </w:tbl>
    <w:p w14:paraId="2BE72148">
      <w:pPr>
        <w:pStyle w:val="2"/>
      </w:pPr>
    </w:p>
    <w:p w14:paraId="4EAB10D5">
      <w:pPr>
        <w:sectPr>
          <w:headerReference r:id="rId134" w:type="default"/>
          <w:footerReference r:id="rId135" w:type="default"/>
          <w:pgSz w:w="16840" w:h="11907"/>
          <w:pgMar w:top="1132" w:right="1388" w:bottom="1258" w:left="1402" w:header="829" w:footer="1096" w:gutter="0"/>
          <w:cols w:space="720" w:num="1"/>
        </w:sectPr>
      </w:pPr>
    </w:p>
    <w:p w14:paraId="2BB01FB4">
      <w:pPr>
        <w:pStyle w:val="2"/>
        <w:spacing w:line="265" w:lineRule="auto"/>
      </w:pPr>
    </w:p>
    <w:p w14:paraId="3217A624">
      <w:pPr>
        <w:pStyle w:val="2"/>
        <w:spacing w:line="265" w:lineRule="auto"/>
      </w:pPr>
    </w:p>
    <w:p w14:paraId="2EA5744B">
      <w:pPr>
        <w:spacing w:before="65" w:line="228" w:lineRule="auto"/>
        <w:ind w:left="4424"/>
        <w:rPr>
          <w:rFonts w:ascii="宋体" w:hAnsi="宋体" w:eastAsia="宋体" w:cs="宋体"/>
          <w:sz w:val="20"/>
          <w:szCs w:val="20"/>
        </w:rPr>
      </w:pPr>
      <w:r>
        <w:rPr>
          <w:rFonts w:ascii="宋体" w:hAnsi="宋体" w:eastAsia="宋体" w:cs="宋体"/>
          <w:b/>
          <w:bCs/>
          <w:spacing w:val="6"/>
          <w:sz w:val="20"/>
          <w:szCs w:val="20"/>
        </w:rPr>
        <w:t>表</w:t>
      </w:r>
      <w:r>
        <w:rPr>
          <w:rFonts w:ascii="Times New Roman" w:hAnsi="Times New Roman" w:eastAsia="Times New Roman" w:cs="Times New Roman"/>
          <w:b/>
          <w:bCs/>
          <w:spacing w:val="6"/>
          <w:sz w:val="20"/>
          <w:szCs w:val="20"/>
        </w:rPr>
        <w:t>6.3-7</w:t>
      </w:r>
      <w:r>
        <w:rPr>
          <w:rFonts w:ascii="宋体" w:hAnsi="宋体" w:eastAsia="宋体" w:cs="宋体"/>
          <w:b/>
          <w:bCs/>
          <w:spacing w:val="6"/>
          <w:sz w:val="20"/>
          <w:szCs w:val="20"/>
        </w:rPr>
        <w:t>下泄生态基流情况下</w:t>
      </w:r>
      <w:r>
        <w:rPr>
          <w:rFonts w:ascii="Times New Roman" w:hAnsi="Times New Roman" w:eastAsia="Times New Roman" w:cs="Times New Roman"/>
          <w:b/>
          <w:bCs/>
          <w:sz w:val="20"/>
          <w:szCs w:val="20"/>
        </w:rPr>
        <w:t>NH</w:t>
      </w:r>
      <w:r>
        <w:rPr>
          <w:rFonts w:ascii="Times New Roman" w:hAnsi="Times New Roman" w:eastAsia="Times New Roman" w:cs="Times New Roman"/>
          <w:b/>
          <w:bCs/>
          <w:spacing w:val="6"/>
          <w:sz w:val="13"/>
          <w:szCs w:val="13"/>
        </w:rPr>
        <w:t>3</w:t>
      </w:r>
      <w:r>
        <w:rPr>
          <w:rFonts w:ascii="Times New Roman" w:hAnsi="Times New Roman" w:eastAsia="Times New Roman" w:cs="Times New Roman"/>
          <w:b/>
          <w:bCs/>
          <w:spacing w:val="6"/>
          <w:sz w:val="20"/>
          <w:szCs w:val="20"/>
        </w:rPr>
        <w:t>-N</w:t>
      </w:r>
      <w:r>
        <w:rPr>
          <w:rFonts w:ascii="宋体" w:hAnsi="宋体" w:eastAsia="宋体" w:cs="宋体"/>
          <w:b/>
          <w:bCs/>
          <w:spacing w:val="6"/>
          <w:sz w:val="20"/>
          <w:szCs w:val="20"/>
        </w:rPr>
        <w:t>浓度预测值（正常排放）</w:t>
      </w:r>
    </w:p>
    <w:p w14:paraId="06044426">
      <w:pPr>
        <w:spacing w:line="131" w:lineRule="exact"/>
      </w:pPr>
    </w:p>
    <w:tbl>
      <w:tblPr>
        <w:tblStyle w:val="5"/>
        <w:tblW w:w="14225"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1"/>
        <w:gridCol w:w="1607"/>
        <w:gridCol w:w="1607"/>
        <w:gridCol w:w="1449"/>
        <w:gridCol w:w="1448"/>
        <w:gridCol w:w="1449"/>
        <w:gridCol w:w="1448"/>
        <w:gridCol w:w="1448"/>
        <w:gridCol w:w="1448"/>
        <w:gridCol w:w="1460"/>
      </w:tblGrid>
      <w:tr w14:paraId="635F38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61" w:type="dxa"/>
            <w:tcBorders>
              <w:top w:val="single" w:color="000000" w:sz="10" w:space="0"/>
              <w:left w:val="single" w:color="000000" w:sz="10" w:space="0"/>
            </w:tcBorders>
            <w:vAlign w:val="top"/>
          </w:tcPr>
          <w:p w14:paraId="0B66595B">
            <w:pPr>
              <w:spacing w:before="101" w:line="201"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C(x,y)</w:t>
            </w:r>
          </w:p>
        </w:tc>
        <w:tc>
          <w:tcPr>
            <w:tcW w:w="1607" w:type="dxa"/>
            <w:tcBorders>
              <w:top w:val="single" w:color="000000" w:sz="10" w:space="0"/>
            </w:tcBorders>
            <w:vAlign w:val="top"/>
          </w:tcPr>
          <w:p w14:paraId="4AC2672C">
            <w:pPr>
              <w:spacing w:before="105" w:line="195" w:lineRule="auto"/>
              <w:ind w:left="74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07" w:type="dxa"/>
            <w:tcBorders>
              <w:top w:val="single" w:color="000000" w:sz="10" w:space="0"/>
            </w:tcBorders>
            <w:vAlign w:val="top"/>
          </w:tcPr>
          <w:p w14:paraId="6661EB29">
            <w:pPr>
              <w:spacing w:before="105" w:line="195" w:lineRule="auto"/>
              <w:ind w:left="74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449" w:type="dxa"/>
            <w:tcBorders>
              <w:top w:val="single" w:color="000000" w:sz="10" w:space="0"/>
            </w:tcBorders>
            <w:vAlign w:val="top"/>
          </w:tcPr>
          <w:p w14:paraId="3A154E44">
            <w:pPr>
              <w:spacing w:before="108" w:line="192" w:lineRule="auto"/>
              <w:ind w:left="67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448" w:type="dxa"/>
            <w:tcBorders>
              <w:top w:val="single" w:color="000000" w:sz="10" w:space="0"/>
            </w:tcBorders>
            <w:vAlign w:val="top"/>
          </w:tcPr>
          <w:p w14:paraId="77EA1164">
            <w:pPr>
              <w:spacing w:before="105" w:line="195" w:lineRule="auto"/>
              <w:ind w:left="6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449" w:type="dxa"/>
            <w:tcBorders>
              <w:top w:val="single" w:color="000000" w:sz="10" w:space="0"/>
            </w:tcBorders>
            <w:vAlign w:val="top"/>
          </w:tcPr>
          <w:p w14:paraId="67E58EC5">
            <w:pPr>
              <w:spacing w:before="105"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448" w:type="dxa"/>
            <w:tcBorders>
              <w:top w:val="single" w:color="000000" w:sz="10" w:space="0"/>
            </w:tcBorders>
            <w:vAlign w:val="top"/>
          </w:tcPr>
          <w:p w14:paraId="111B4427">
            <w:pPr>
              <w:spacing w:before="105" w:line="195" w:lineRule="auto"/>
              <w:ind w:left="624"/>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448" w:type="dxa"/>
            <w:tcBorders>
              <w:top w:val="single" w:color="000000" w:sz="10" w:space="0"/>
            </w:tcBorders>
            <w:vAlign w:val="top"/>
          </w:tcPr>
          <w:p w14:paraId="32AF6361">
            <w:pPr>
              <w:spacing w:before="105" w:line="195" w:lineRule="auto"/>
              <w:ind w:left="62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448" w:type="dxa"/>
            <w:tcBorders>
              <w:top w:val="single" w:color="000000" w:sz="10" w:space="0"/>
            </w:tcBorders>
            <w:vAlign w:val="top"/>
          </w:tcPr>
          <w:p w14:paraId="61A860E6">
            <w:pPr>
              <w:spacing w:before="105" w:line="195" w:lineRule="auto"/>
              <w:ind w:left="6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460" w:type="dxa"/>
            <w:tcBorders>
              <w:top w:val="single" w:color="000000" w:sz="10" w:space="0"/>
              <w:right w:val="single" w:color="000000" w:sz="10" w:space="0"/>
            </w:tcBorders>
            <w:vAlign w:val="top"/>
          </w:tcPr>
          <w:p w14:paraId="5F24726B">
            <w:pPr>
              <w:spacing w:before="105" w:line="195" w:lineRule="auto"/>
              <w:ind w:left="633"/>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r>
      <w:tr w14:paraId="3D4577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1" w:type="dxa"/>
            <w:tcBorders>
              <w:left w:val="single" w:color="000000" w:sz="10" w:space="0"/>
            </w:tcBorders>
            <w:vAlign w:val="top"/>
          </w:tcPr>
          <w:p w14:paraId="3591CE0A">
            <w:pPr>
              <w:spacing w:before="99" w:line="195"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607" w:type="dxa"/>
            <w:vAlign w:val="top"/>
          </w:tcPr>
          <w:p w14:paraId="0CC3F855">
            <w:pPr>
              <w:spacing w:before="99" w:line="195" w:lineRule="auto"/>
              <w:ind w:left="5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1.862</w:t>
            </w:r>
          </w:p>
        </w:tc>
        <w:tc>
          <w:tcPr>
            <w:tcW w:w="1607" w:type="dxa"/>
            <w:vAlign w:val="top"/>
          </w:tcPr>
          <w:p w14:paraId="05B441D8">
            <w:pPr>
              <w:spacing w:before="99"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0.861</w:t>
            </w:r>
          </w:p>
        </w:tc>
        <w:tc>
          <w:tcPr>
            <w:tcW w:w="1449" w:type="dxa"/>
            <w:vAlign w:val="top"/>
          </w:tcPr>
          <w:p w14:paraId="0E550A4C">
            <w:pPr>
              <w:spacing w:before="99"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0.359</w:t>
            </w:r>
          </w:p>
        </w:tc>
        <w:tc>
          <w:tcPr>
            <w:tcW w:w="1448" w:type="dxa"/>
            <w:vAlign w:val="top"/>
          </w:tcPr>
          <w:p w14:paraId="102FAF1E">
            <w:pPr>
              <w:spacing w:before="99"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0.2500334</w:t>
            </w:r>
          </w:p>
        </w:tc>
        <w:tc>
          <w:tcPr>
            <w:tcW w:w="1449" w:type="dxa"/>
            <w:vAlign w:val="top"/>
          </w:tcPr>
          <w:p w14:paraId="126F3A03">
            <w:pPr>
              <w:spacing w:before="99"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0.2500000</w:t>
            </w:r>
          </w:p>
        </w:tc>
        <w:tc>
          <w:tcPr>
            <w:tcW w:w="1448" w:type="dxa"/>
            <w:vAlign w:val="top"/>
          </w:tcPr>
          <w:p w14:paraId="36A91842">
            <w:pPr>
              <w:spacing w:before="99"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448" w:type="dxa"/>
            <w:vAlign w:val="top"/>
          </w:tcPr>
          <w:p w14:paraId="319ABBE5">
            <w:pPr>
              <w:spacing w:before="99"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448" w:type="dxa"/>
            <w:vAlign w:val="top"/>
          </w:tcPr>
          <w:p w14:paraId="0172604C">
            <w:pPr>
              <w:spacing w:before="99"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0.2500000</w:t>
            </w:r>
          </w:p>
        </w:tc>
        <w:tc>
          <w:tcPr>
            <w:tcW w:w="1460" w:type="dxa"/>
            <w:tcBorders>
              <w:right w:val="single" w:color="000000" w:sz="10" w:space="0"/>
            </w:tcBorders>
            <w:vAlign w:val="top"/>
          </w:tcPr>
          <w:p w14:paraId="1F73B1D5">
            <w:pPr>
              <w:spacing w:before="99"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52A9EE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1" w:type="dxa"/>
            <w:tcBorders>
              <w:left w:val="single" w:color="000000" w:sz="10" w:space="0"/>
            </w:tcBorders>
            <w:vAlign w:val="top"/>
          </w:tcPr>
          <w:p w14:paraId="6DF28D9A">
            <w:pPr>
              <w:spacing w:before="100"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607" w:type="dxa"/>
            <w:vAlign w:val="top"/>
          </w:tcPr>
          <w:p w14:paraId="6323659E">
            <w:pPr>
              <w:spacing w:before="100" w:line="195" w:lineRule="auto"/>
              <w:ind w:left="5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1.390</w:t>
            </w:r>
          </w:p>
        </w:tc>
        <w:tc>
          <w:tcPr>
            <w:tcW w:w="1607" w:type="dxa"/>
            <w:vAlign w:val="top"/>
          </w:tcPr>
          <w:p w14:paraId="4217A097">
            <w:pPr>
              <w:spacing w:before="100"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0.952</w:t>
            </w:r>
          </w:p>
        </w:tc>
        <w:tc>
          <w:tcPr>
            <w:tcW w:w="1449" w:type="dxa"/>
            <w:vAlign w:val="top"/>
          </w:tcPr>
          <w:p w14:paraId="0DC093A5">
            <w:pPr>
              <w:spacing w:before="100"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0.546</w:t>
            </w:r>
          </w:p>
        </w:tc>
        <w:tc>
          <w:tcPr>
            <w:tcW w:w="1448" w:type="dxa"/>
            <w:vAlign w:val="top"/>
          </w:tcPr>
          <w:p w14:paraId="5EADB08F">
            <w:pPr>
              <w:spacing w:before="100"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0.2551896</w:t>
            </w:r>
          </w:p>
        </w:tc>
        <w:tc>
          <w:tcPr>
            <w:tcW w:w="1449" w:type="dxa"/>
            <w:vAlign w:val="top"/>
          </w:tcPr>
          <w:p w14:paraId="13EEB35B">
            <w:pPr>
              <w:spacing w:before="100"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0.2500000</w:t>
            </w:r>
          </w:p>
        </w:tc>
        <w:tc>
          <w:tcPr>
            <w:tcW w:w="1448" w:type="dxa"/>
            <w:vAlign w:val="top"/>
          </w:tcPr>
          <w:p w14:paraId="6DC99408">
            <w:pPr>
              <w:spacing w:before="100"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448" w:type="dxa"/>
            <w:vAlign w:val="top"/>
          </w:tcPr>
          <w:p w14:paraId="25AEE3A6">
            <w:pPr>
              <w:spacing w:before="100"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448" w:type="dxa"/>
            <w:vAlign w:val="top"/>
          </w:tcPr>
          <w:p w14:paraId="0EEC406B">
            <w:pPr>
              <w:spacing w:before="100"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0.2500000</w:t>
            </w:r>
          </w:p>
        </w:tc>
        <w:tc>
          <w:tcPr>
            <w:tcW w:w="1460" w:type="dxa"/>
            <w:tcBorders>
              <w:right w:val="single" w:color="000000" w:sz="10" w:space="0"/>
            </w:tcBorders>
            <w:vAlign w:val="top"/>
          </w:tcPr>
          <w:p w14:paraId="41966B45">
            <w:pPr>
              <w:spacing w:before="100"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1918C4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1" w:type="dxa"/>
            <w:tcBorders>
              <w:left w:val="single" w:color="000000" w:sz="10" w:space="0"/>
            </w:tcBorders>
            <w:vAlign w:val="top"/>
          </w:tcPr>
          <w:p w14:paraId="79FED5FD">
            <w:pPr>
              <w:spacing w:before="102" w:line="195" w:lineRule="auto"/>
              <w:ind w:left="316"/>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607" w:type="dxa"/>
            <w:vAlign w:val="top"/>
          </w:tcPr>
          <w:p w14:paraId="6EC2A692">
            <w:pPr>
              <w:spacing w:before="102" w:line="195" w:lineRule="auto"/>
              <w:ind w:left="5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1.181</w:t>
            </w:r>
          </w:p>
        </w:tc>
        <w:tc>
          <w:tcPr>
            <w:tcW w:w="1607" w:type="dxa"/>
            <w:vAlign w:val="top"/>
          </w:tcPr>
          <w:p w14:paraId="642560B2">
            <w:pPr>
              <w:spacing w:before="102"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0.923</w:t>
            </w:r>
          </w:p>
        </w:tc>
        <w:tc>
          <w:tcPr>
            <w:tcW w:w="1449" w:type="dxa"/>
            <w:vAlign w:val="top"/>
          </w:tcPr>
          <w:p w14:paraId="4EF3EE9A">
            <w:pPr>
              <w:spacing w:before="102"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0.629</w:t>
            </w:r>
          </w:p>
        </w:tc>
        <w:tc>
          <w:tcPr>
            <w:tcW w:w="1448" w:type="dxa"/>
            <w:vAlign w:val="top"/>
          </w:tcPr>
          <w:p w14:paraId="09D4B25C">
            <w:pPr>
              <w:spacing w:before="102"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0.2755649</w:t>
            </w:r>
          </w:p>
        </w:tc>
        <w:tc>
          <w:tcPr>
            <w:tcW w:w="1449" w:type="dxa"/>
            <w:vAlign w:val="top"/>
          </w:tcPr>
          <w:p w14:paraId="4F0B50D4">
            <w:pPr>
              <w:spacing w:before="102"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0.2500005</w:t>
            </w:r>
          </w:p>
        </w:tc>
        <w:tc>
          <w:tcPr>
            <w:tcW w:w="1448" w:type="dxa"/>
            <w:vAlign w:val="top"/>
          </w:tcPr>
          <w:p w14:paraId="044B8958">
            <w:pPr>
              <w:spacing w:before="102"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448" w:type="dxa"/>
            <w:vAlign w:val="top"/>
          </w:tcPr>
          <w:p w14:paraId="62327136">
            <w:pPr>
              <w:spacing w:before="102"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448" w:type="dxa"/>
            <w:vAlign w:val="top"/>
          </w:tcPr>
          <w:p w14:paraId="7B2F6192">
            <w:pPr>
              <w:spacing w:before="102"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0.2500000</w:t>
            </w:r>
          </w:p>
        </w:tc>
        <w:tc>
          <w:tcPr>
            <w:tcW w:w="1460" w:type="dxa"/>
            <w:tcBorders>
              <w:right w:val="single" w:color="000000" w:sz="10" w:space="0"/>
            </w:tcBorders>
            <w:vAlign w:val="top"/>
          </w:tcPr>
          <w:p w14:paraId="4A181DAE">
            <w:pPr>
              <w:spacing w:before="102"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4C082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1" w:type="dxa"/>
            <w:tcBorders>
              <w:left w:val="single" w:color="000000" w:sz="10" w:space="0"/>
            </w:tcBorders>
            <w:vAlign w:val="top"/>
          </w:tcPr>
          <w:p w14:paraId="40EB881D">
            <w:pPr>
              <w:spacing w:before="103"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607" w:type="dxa"/>
            <w:vAlign w:val="top"/>
          </w:tcPr>
          <w:p w14:paraId="33666E37">
            <w:pPr>
              <w:spacing w:before="103" w:line="195" w:lineRule="auto"/>
              <w:ind w:left="5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1.056</w:t>
            </w:r>
          </w:p>
        </w:tc>
        <w:tc>
          <w:tcPr>
            <w:tcW w:w="1607" w:type="dxa"/>
            <w:vAlign w:val="top"/>
          </w:tcPr>
          <w:p w14:paraId="17153A9F">
            <w:pPr>
              <w:spacing w:before="103"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0.882</w:t>
            </w:r>
          </w:p>
        </w:tc>
        <w:tc>
          <w:tcPr>
            <w:tcW w:w="1449" w:type="dxa"/>
            <w:vAlign w:val="top"/>
          </w:tcPr>
          <w:p w14:paraId="41436D24">
            <w:pPr>
              <w:spacing w:before="103"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0.661</w:t>
            </w:r>
          </w:p>
        </w:tc>
        <w:tc>
          <w:tcPr>
            <w:tcW w:w="1448" w:type="dxa"/>
            <w:vAlign w:val="top"/>
          </w:tcPr>
          <w:p w14:paraId="3DA08590">
            <w:pPr>
              <w:spacing w:before="103"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0.3043802</w:t>
            </w:r>
          </w:p>
        </w:tc>
        <w:tc>
          <w:tcPr>
            <w:tcW w:w="1449" w:type="dxa"/>
            <w:vAlign w:val="top"/>
          </w:tcPr>
          <w:p w14:paraId="65E3FB5D">
            <w:pPr>
              <w:spacing w:before="103"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0.2500167</w:t>
            </w:r>
          </w:p>
        </w:tc>
        <w:tc>
          <w:tcPr>
            <w:tcW w:w="1448" w:type="dxa"/>
            <w:vAlign w:val="top"/>
          </w:tcPr>
          <w:p w14:paraId="74FFE1A9">
            <w:pPr>
              <w:spacing w:before="103"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448" w:type="dxa"/>
            <w:vAlign w:val="top"/>
          </w:tcPr>
          <w:p w14:paraId="2008F353">
            <w:pPr>
              <w:spacing w:before="103"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448" w:type="dxa"/>
            <w:vAlign w:val="top"/>
          </w:tcPr>
          <w:p w14:paraId="25906173">
            <w:pPr>
              <w:spacing w:before="103"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0.2500000</w:t>
            </w:r>
          </w:p>
        </w:tc>
        <w:tc>
          <w:tcPr>
            <w:tcW w:w="1460" w:type="dxa"/>
            <w:tcBorders>
              <w:right w:val="single" w:color="000000" w:sz="10" w:space="0"/>
            </w:tcBorders>
            <w:vAlign w:val="top"/>
          </w:tcPr>
          <w:p w14:paraId="79F2659F">
            <w:pPr>
              <w:spacing w:before="103"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2BB18D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1" w:type="dxa"/>
            <w:tcBorders>
              <w:left w:val="single" w:color="000000" w:sz="10" w:space="0"/>
            </w:tcBorders>
            <w:vAlign w:val="top"/>
          </w:tcPr>
          <w:p w14:paraId="7F51524D">
            <w:pPr>
              <w:spacing w:before="102" w:line="195" w:lineRule="auto"/>
              <w:ind w:left="317"/>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607" w:type="dxa"/>
            <w:vAlign w:val="top"/>
          </w:tcPr>
          <w:p w14:paraId="277417B7">
            <w:pPr>
              <w:spacing w:before="102" w:line="195"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0.971</w:t>
            </w:r>
          </w:p>
        </w:tc>
        <w:tc>
          <w:tcPr>
            <w:tcW w:w="1607" w:type="dxa"/>
            <w:vAlign w:val="top"/>
          </w:tcPr>
          <w:p w14:paraId="234E600C">
            <w:pPr>
              <w:spacing w:before="102"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0.844</w:t>
            </w:r>
          </w:p>
        </w:tc>
        <w:tc>
          <w:tcPr>
            <w:tcW w:w="1449" w:type="dxa"/>
            <w:vAlign w:val="top"/>
          </w:tcPr>
          <w:p w14:paraId="3426AA65">
            <w:pPr>
              <w:spacing w:before="102"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0.670</w:t>
            </w:r>
          </w:p>
        </w:tc>
        <w:tc>
          <w:tcPr>
            <w:tcW w:w="1448" w:type="dxa"/>
            <w:vAlign w:val="top"/>
          </w:tcPr>
          <w:p w14:paraId="334C1B6C">
            <w:pPr>
              <w:spacing w:before="102"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0.3333943</w:t>
            </w:r>
          </w:p>
        </w:tc>
        <w:tc>
          <w:tcPr>
            <w:tcW w:w="1449" w:type="dxa"/>
            <w:vAlign w:val="top"/>
          </w:tcPr>
          <w:p w14:paraId="6279BCF3">
            <w:pPr>
              <w:spacing w:before="102"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0.2501291</w:t>
            </w:r>
          </w:p>
        </w:tc>
        <w:tc>
          <w:tcPr>
            <w:tcW w:w="1448" w:type="dxa"/>
            <w:vAlign w:val="top"/>
          </w:tcPr>
          <w:p w14:paraId="74072F33">
            <w:pPr>
              <w:spacing w:before="102"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448" w:type="dxa"/>
            <w:vAlign w:val="top"/>
          </w:tcPr>
          <w:p w14:paraId="19856E0B">
            <w:pPr>
              <w:spacing w:before="102"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448" w:type="dxa"/>
            <w:vAlign w:val="top"/>
          </w:tcPr>
          <w:p w14:paraId="0ED0E885">
            <w:pPr>
              <w:spacing w:before="102"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0.2500000</w:t>
            </w:r>
          </w:p>
        </w:tc>
        <w:tc>
          <w:tcPr>
            <w:tcW w:w="1460" w:type="dxa"/>
            <w:tcBorders>
              <w:right w:val="single" w:color="000000" w:sz="10" w:space="0"/>
            </w:tcBorders>
            <w:vAlign w:val="top"/>
          </w:tcPr>
          <w:p w14:paraId="6D696AB1">
            <w:pPr>
              <w:spacing w:before="102"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00E11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1" w:type="dxa"/>
            <w:tcBorders>
              <w:left w:val="single" w:color="000000" w:sz="10" w:space="0"/>
            </w:tcBorders>
            <w:vAlign w:val="top"/>
          </w:tcPr>
          <w:p w14:paraId="4996BC27">
            <w:pPr>
              <w:spacing w:before="103"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607" w:type="dxa"/>
            <w:vAlign w:val="top"/>
          </w:tcPr>
          <w:p w14:paraId="26068DC0">
            <w:pPr>
              <w:spacing w:before="103" w:line="195"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0.760</w:t>
            </w:r>
          </w:p>
        </w:tc>
        <w:tc>
          <w:tcPr>
            <w:tcW w:w="1607" w:type="dxa"/>
            <w:vAlign w:val="top"/>
          </w:tcPr>
          <w:p w14:paraId="5BF33F72">
            <w:pPr>
              <w:spacing w:before="103"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0.712</w:t>
            </w:r>
          </w:p>
        </w:tc>
        <w:tc>
          <w:tcPr>
            <w:tcW w:w="1449" w:type="dxa"/>
            <w:vAlign w:val="top"/>
          </w:tcPr>
          <w:p w14:paraId="57ED65FD">
            <w:pPr>
              <w:spacing w:before="103"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0.639</w:t>
            </w:r>
          </w:p>
        </w:tc>
        <w:tc>
          <w:tcPr>
            <w:tcW w:w="1448" w:type="dxa"/>
            <w:vAlign w:val="top"/>
          </w:tcPr>
          <w:p w14:paraId="10CB85AA">
            <w:pPr>
              <w:spacing w:before="103"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0.4233189</w:t>
            </w:r>
          </w:p>
        </w:tc>
        <w:tc>
          <w:tcPr>
            <w:tcW w:w="1449" w:type="dxa"/>
            <w:vAlign w:val="top"/>
          </w:tcPr>
          <w:p w14:paraId="33CA170B">
            <w:pPr>
              <w:spacing w:before="103"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0.2568202</w:t>
            </w:r>
          </w:p>
        </w:tc>
        <w:tc>
          <w:tcPr>
            <w:tcW w:w="1448" w:type="dxa"/>
            <w:vAlign w:val="top"/>
          </w:tcPr>
          <w:p w14:paraId="6D68E103">
            <w:pPr>
              <w:spacing w:before="103"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0.2500310</w:t>
            </w:r>
          </w:p>
        </w:tc>
        <w:tc>
          <w:tcPr>
            <w:tcW w:w="1448" w:type="dxa"/>
            <w:vAlign w:val="top"/>
          </w:tcPr>
          <w:p w14:paraId="184ED6AD">
            <w:pPr>
              <w:spacing w:before="103"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448" w:type="dxa"/>
            <w:vAlign w:val="top"/>
          </w:tcPr>
          <w:p w14:paraId="68F6795E">
            <w:pPr>
              <w:spacing w:before="103"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0.2500000</w:t>
            </w:r>
          </w:p>
        </w:tc>
        <w:tc>
          <w:tcPr>
            <w:tcW w:w="1460" w:type="dxa"/>
            <w:tcBorders>
              <w:right w:val="single" w:color="000000" w:sz="10" w:space="0"/>
            </w:tcBorders>
            <w:vAlign w:val="top"/>
          </w:tcPr>
          <w:p w14:paraId="6B444045">
            <w:pPr>
              <w:spacing w:before="103"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014DAE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1" w:type="dxa"/>
            <w:tcBorders>
              <w:left w:val="single" w:color="000000" w:sz="10" w:space="0"/>
            </w:tcBorders>
            <w:vAlign w:val="top"/>
          </w:tcPr>
          <w:p w14:paraId="148833E2">
            <w:pPr>
              <w:spacing w:before="104"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607" w:type="dxa"/>
            <w:vAlign w:val="top"/>
          </w:tcPr>
          <w:p w14:paraId="7D0F4FBD">
            <w:pPr>
              <w:spacing w:before="104" w:line="195"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0.610</w:t>
            </w:r>
          </w:p>
        </w:tc>
        <w:tc>
          <w:tcPr>
            <w:tcW w:w="1607" w:type="dxa"/>
            <w:vAlign w:val="top"/>
          </w:tcPr>
          <w:p w14:paraId="6CEDBC48">
            <w:pPr>
              <w:spacing w:before="104"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0.593</w:t>
            </w:r>
          </w:p>
        </w:tc>
        <w:tc>
          <w:tcPr>
            <w:tcW w:w="1449" w:type="dxa"/>
            <w:vAlign w:val="top"/>
          </w:tcPr>
          <w:p w14:paraId="4E42EA52">
            <w:pPr>
              <w:spacing w:before="104"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0.565</w:t>
            </w:r>
          </w:p>
        </w:tc>
        <w:tc>
          <w:tcPr>
            <w:tcW w:w="1448" w:type="dxa"/>
            <w:vAlign w:val="top"/>
          </w:tcPr>
          <w:p w14:paraId="3D6D486F">
            <w:pPr>
              <w:spacing w:before="104"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0.4600172</w:t>
            </w:r>
          </w:p>
        </w:tc>
        <w:tc>
          <w:tcPr>
            <w:tcW w:w="1449" w:type="dxa"/>
            <w:vAlign w:val="top"/>
          </w:tcPr>
          <w:p w14:paraId="0DCD1915">
            <w:pPr>
              <w:spacing w:before="104"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0.2916610</w:t>
            </w:r>
          </w:p>
        </w:tc>
        <w:tc>
          <w:tcPr>
            <w:tcW w:w="1448" w:type="dxa"/>
            <w:vAlign w:val="top"/>
          </w:tcPr>
          <w:p w14:paraId="0460C0B7">
            <w:pPr>
              <w:spacing w:before="104"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0.2528110</w:t>
            </w:r>
          </w:p>
        </w:tc>
        <w:tc>
          <w:tcPr>
            <w:tcW w:w="1448" w:type="dxa"/>
            <w:vAlign w:val="top"/>
          </w:tcPr>
          <w:p w14:paraId="7361B0F0">
            <w:pPr>
              <w:spacing w:before="104"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0.2500005</w:t>
            </w:r>
          </w:p>
        </w:tc>
        <w:tc>
          <w:tcPr>
            <w:tcW w:w="1448" w:type="dxa"/>
            <w:vAlign w:val="top"/>
          </w:tcPr>
          <w:p w14:paraId="54E43A41">
            <w:pPr>
              <w:spacing w:before="104"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0.2500000</w:t>
            </w:r>
          </w:p>
        </w:tc>
        <w:tc>
          <w:tcPr>
            <w:tcW w:w="1460" w:type="dxa"/>
            <w:tcBorders>
              <w:right w:val="single" w:color="000000" w:sz="10" w:space="0"/>
            </w:tcBorders>
            <w:vAlign w:val="top"/>
          </w:tcPr>
          <w:p w14:paraId="5884E3F1">
            <w:pPr>
              <w:spacing w:before="104"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74207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1" w:type="dxa"/>
            <w:tcBorders>
              <w:left w:val="single" w:color="000000" w:sz="10" w:space="0"/>
            </w:tcBorders>
            <w:vAlign w:val="top"/>
          </w:tcPr>
          <w:p w14:paraId="5125D72B">
            <w:pPr>
              <w:spacing w:before="105"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607" w:type="dxa"/>
            <w:vAlign w:val="top"/>
          </w:tcPr>
          <w:p w14:paraId="4C70FC02">
            <w:pPr>
              <w:spacing w:before="105" w:line="195"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0.544</w:t>
            </w:r>
          </w:p>
        </w:tc>
        <w:tc>
          <w:tcPr>
            <w:tcW w:w="1607" w:type="dxa"/>
            <w:vAlign w:val="top"/>
          </w:tcPr>
          <w:p w14:paraId="7AFFD029">
            <w:pPr>
              <w:spacing w:before="105"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0.535</w:t>
            </w:r>
          </w:p>
        </w:tc>
        <w:tc>
          <w:tcPr>
            <w:tcW w:w="1449" w:type="dxa"/>
            <w:vAlign w:val="top"/>
          </w:tcPr>
          <w:p w14:paraId="0ADA1DDC">
            <w:pPr>
              <w:spacing w:before="105"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0.519</w:t>
            </w:r>
          </w:p>
        </w:tc>
        <w:tc>
          <w:tcPr>
            <w:tcW w:w="1448" w:type="dxa"/>
            <w:vAlign w:val="top"/>
          </w:tcPr>
          <w:p w14:paraId="5563F451">
            <w:pPr>
              <w:spacing w:before="105"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0.4551239</w:t>
            </w:r>
          </w:p>
        </w:tc>
        <w:tc>
          <w:tcPr>
            <w:tcW w:w="1449" w:type="dxa"/>
            <w:vAlign w:val="top"/>
          </w:tcPr>
          <w:p w14:paraId="1046693F">
            <w:pPr>
              <w:spacing w:before="105"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0.3197695</w:t>
            </w:r>
          </w:p>
        </w:tc>
        <w:tc>
          <w:tcPr>
            <w:tcW w:w="1448" w:type="dxa"/>
            <w:vAlign w:val="top"/>
          </w:tcPr>
          <w:p w14:paraId="1551213E">
            <w:pPr>
              <w:spacing w:before="105"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0.2615633</w:t>
            </w:r>
          </w:p>
        </w:tc>
        <w:tc>
          <w:tcPr>
            <w:tcW w:w="1448" w:type="dxa"/>
            <w:vAlign w:val="top"/>
          </w:tcPr>
          <w:p w14:paraId="1A8E2086">
            <w:pPr>
              <w:spacing w:before="105"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0.2500367</w:t>
            </w:r>
          </w:p>
        </w:tc>
        <w:tc>
          <w:tcPr>
            <w:tcW w:w="1448" w:type="dxa"/>
            <w:vAlign w:val="top"/>
          </w:tcPr>
          <w:p w14:paraId="5ECCCBCC">
            <w:pPr>
              <w:spacing w:before="105"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0.2500000</w:t>
            </w:r>
          </w:p>
        </w:tc>
        <w:tc>
          <w:tcPr>
            <w:tcW w:w="1460" w:type="dxa"/>
            <w:tcBorders>
              <w:right w:val="single" w:color="000000" w:sz="10" w:space="0"/>
            </w:tcBorders>
            <w:vAlign w:val="top"/>
          </w:tcPr>
          <w:p w14:paraId="3AFA9962">
            <w:pPr>
              <w:spacing w:before="105"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1FAE1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1" w:type="dxa"/>
            <w:tcBorders>
              <w:left w:val="single" w:color="000000" w:sz="10" w:space="0"/>
            </w:tcBorders>
            <w:vAlign w:val="top"/>
          </w:tcPr>
          <w:p w14:paraId="5F6E9693">
            <w:pPr>
              <w:spacing w:before="106"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1607" w:type="dxa"/>
            <w:vAlign w:val="top"/>
          </w:tcPr>
          <w:p w14:paraId="69E5E60F">
            <w:pPr>
              <w:spacing w:before="106" w:line="195"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0.504</w:t>
            </w:r>
          </w:p>
        </w:tc>
        <w:tc>
          <w:tcPr>
            <w:tcW w:w="1607" w:type="dxa"/>
            <w:vAlign w:val="top"/>
          </w:tcPr>
          <w:p w14:paraId="544B7203">
            <w:pPr>
              <w:spacing w:before="106"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0.498</w:t>
            </w:r>
          </w:p>
        </w:tc>
        <w:tc>
          <w:tcPr>
            <w:tcW w:w="1449" w:type="dxa"/>
            <w:vAlign w:val="top"/>
          </w:tcPr>
          <w:p w14:paraId="49125763">
            <w:pPr>
              <w:spacing w:before="106"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0.488</w:t>
            </w:r>
          </w:p>
        </w:tc>
        <w:tc>
          <w:tcPr>
            <w:tcW w:w="1448" w:type="dxa"/>
            <w:vAlign w:val="top"/>
          </w:tcPr>
          <w:p w14:paraId="17911BC8">
            <w:pPr>
              <w:spacing w:before="106"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0.4442338</w:t>
            </w:r>
          </w:p>
        </w:tc>
        <w:tc>
          <w:tcPr>
            <w:tcW w:w="1449" w:type="dxa"/>
            <w:vAlign w:val="top"/>
          </w:tcPr>
          <w:p w14:paraId="5C0C01F8">
            <w:pPr>
              <w:spacing w:before="106"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0.3365091</w:t>
            </w:r>
          </w:p>
        </w:tc>
        <w:tc>
          <w:tcPr>
            <w:tcW w:w="1448" w:type="dxa"/>
            <w:vAlign w:val="top"/>
          </w:tcPr>
          <w:p w14:paraId="051DEAFD">
            <w:pPr>
              <w:spacing w:before="106"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0.2724711</w:t>
            </w:r>
          </w:p>
        </w:tc>
        <w:tc>
          <w:tcPr>
            <w:tcW w:w="1448" w:type="dxa"/>
            <w:vAlign w:val="top"/>
          </w:tcPr>
          <w:p w14:paraId="15144177">
            <w:pPr>
              <w:spacing w:before="106"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0.2503008</w:t>
            </w:r>
          </w:p>
        </w:tc>
        <w:tc>
          <w:tcPr>
            <w:tcW w:w="1448" w:type="dxa"/>
            <w:vAlign w:val="top"/>
          </w:tcPr>
          <w:p w14:paraId="45E32350">
            <w:pPr>
              <w:spacing w:before="106"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0.2500005</w:t>
            </w:r>
          </w:p>
        </w:tc>
        <w:tc>
          <w:tcPr>
            <w:tcW w:w="1460" w:type="dxa"/>
            <w:tcBorders>
              <w:right w:val="single" w:color="000000" w:sz="10" w:space="0"/>
            </w:tcBorders>
            <w:vAlign w:val="top"/>
          </w:tcPr>
          <w:p w14:paraId="614C960F">
            <w:pPr>
              <w:spacing w:before="106"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3D0D5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861" w:type="dxa"/>
            <w:tcBorders>
              <w:left w:val="single" w:color="000000" w:sz="10" w:space="0"/>
            </w:tcBorders>
            <w:vAlign w:val="top"/>
          </w:tcPr>
          <w:p w14:paraId="2B328A02">
            <w:pPr>
              <w:spacing w:before="108"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607" w:type="dxa"/>
            <w:vAlign w:val="top"/>
          </w:tcPr>
          <w:p w14:paraId="40B4115D">
            <w:pPr>
              <w:spacing w:before="108" w:line="195"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0.477</w:t>
            </w:r>
          </w:p>
        </w:tc>
        <w:tc>
          <w:tcPr>
            <w:tcW w:w="1607" w:type="dxa"/>
            <w:vAlign w:val="top"/>
          </w:tcPr>
          <w:p w14:paraId="6DC0BCDD">
            <w:pPr>
              <w:spacing w:before="108"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0.473</w:t>
            </w:r>
          </w:p>
        </w:tc>
        <w:tc>
          <w:tcPr>
            <w:tcW w:w="1449" w:type="dxa"/>
            <w:vAlign w:val="top"/>
          </w:tcPr>
          <w:p w14:paraId="5A7C5466">
            <w:pPr>
              <w:spacing w:before="108"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0.465</w:t>
            </w:r>
          </w:p>
        </w:tc>
        <w:tc>
          <w:tcPr>
            <w:tcW w:w="1448" w:type="dxa"/>
            <w:vAlign w:val="top"/>
          </w:tcPr>
          <w:p w14:paraId="0D9DCAA9">
            <w:pPr>
              <w:spacing w:before="108"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0.4332466</w:t>
            </w:r>
          </w:p>
        </w:tc>
        <w:tc>
          <w:tcPr>
            <w:tcW w:w="1449" w:type="dxa"/>
            <w:vAlign w:val="top"/>
          </w:tcPr>
          <w:p w14:paraId="2997E642">
            <w:pPr>
              <w:spacing w:before="108"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0.3459458</w:t>
            </w:r>
          </w:p>
        </w:tc>
        <w:tc>
          <w:tcPr>
            <w:tcW w:w="1448" w:type="dxa"/>
            <w:vAlign w:val="top"/>
          </w:tcPr>
          <w:p w14:paraId="2A766D1B">
            <w:pPr>
              <w:spacing w:before="108"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0.2826344</w:t>
            </w:r>
          </w:p>
        </w:tc>
        <w:tc>
          <w:tcPr>
            <w:tcW w:w="1448" w:type="dxa"/>
            <w:vAlign w:val="top"/>
          </w:tcPr>
          <w:p w14:paraId="23D4D35D">
            <w:pPr>
              <w:spacing w:before="108"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0.2510350</w:t>
            </w:r>
          </w:p>
        </w:tc>
        <w:tc>
          <w:tcPr>
            <w:tcW w:w="1448" w:type="dxa"/>
            <w:vAlign w:val="top"/>
          </w:tcPr>
          <w:p w14:paraId="3F62DF80">
            <w:pPr>
              <w:spacing w:before="108"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0.2500058</w:t>
            </w:r>
          </w:p>
        </w:tc>
        <w:tc>
          <w:tcPr>
            <w:tcW w:w="1460" w:type="dxa"/>
            <w:tcBorders>
              <w:right w:val="single" w:color="000000" w:sz="10" w:space="0"/>
            </w:tcBorders>
            <w:vAlign w:val="top"/>
          </w:tcPr>
          <w:p w14:paraId="65425FC1">
            <w:pPr>
              <w:spacing w:before="108"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03D12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1" w:type="dxa"/>
            <w:tcBorders>
              <w:left w:val="single" w:color="000000" w:sz="10" w:space="0"/>
            </w:tcBorders>
            <w:vAlign w:val="top"/>
          </w:tcPr>
          <w:p w14:paraId="402C4843">
            <w:pPr>
              <w:spacing w:before="110"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1607" w:type="dxa"/>
            <w:vAlign w:val="top"/>
          </w:tcPr>
          <w:p w14:paraId="22DE0966">
            <w:pPr>
              <w:spacing w:before="110" w:line="195"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0.457</w:t>
            </w:r>
          </w:p>
        </w:tc>
        <w:tc>
          <w:tcPr>
            <w:tcW w:w="1607" w:type="dxa"/>
            <w:vAlign w:val="top"/>
          </w:tcPr>
          <w:p w14:paraId="685B0C65">
            <w:pPr>
              <w:spacing w:before="110"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0.454</w:t>
            </w:r>
          </w:p>
        </w:tc>
        <w:tc>
          <w:tcPr>
            <w:tcW w:w="1449" w:type="dxa"/>
            <w:vAlign w:val="top"/>
          </w:tcPr>
          <w:p w14:paraId="2578E6D0">
            <w:pPr>
              <w:spacing w:before="110"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0.448</w:t>
            </w:r>
          </w:p>
        </w:tc>
        <w:tc>
          <w:tcPr>
            <w:tcW w:w="1448" w:type="dxa"/>
            <w:vAlign w:val="top"/>
          </w:tcPr>
          <w:p w14:paraId="780E4A2F">
            <w:pPr>
              <w:spacing w:before="110"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0.4233029</w:t>
            </w:r>
          </w:p>
        </w:tc>
        <w:tc>
          <w:tcPr>
            <w:tcW w:w="1449" w:type="dxa"/>
            <w:vAlign w:val="top"/>
          </w:tcPr>
          <w:p w14:paraId="267D039E">
            <w:pPr>
              <w:spacing w:before="110"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0.3510719</w:t>
            </w:r>
          </w:p>
        </w:tc>
        <w:tc>
          <w:tcPr>
            <w:tcW w:w="1448" w:type="dxa"/>
            <w:vAlign w:val="top"/>
          </w:tcPr>
          <w:p w14:paraId="35AC0E16">
            <w:pPr>
              <w:spacing w:before="110"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0.2911470</w:t>
            </w:r>
          </w:p>
        </w:tc>
        <w:tc>
          <w:tcPr>
            <w:tcW w:w="1448" w:type="dxa"/>
            <w:vAlign w:val="top"/>
          </w:tcPr>
          <w:p w14:paraId="4F6C3CC7">
            <w:pPr>
              <w:spacing w:before="110"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0.2523196</w:t>
            </w:r>
          </w:p>
        </w:tc>
        <w:tc>
          <w:tcPr>
            <w:tcW w:w="1448" w:type="dxa"/>
            <w:vAlign w:val="top"/>
          </w:tcPr>
          <w:p w14:paraId="3BBC46E9">
            <w:pPr>
              <w:spacing w:before="110"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0.2500310</w:t>
            </w:r>
          </w:p>
        </w:tc>
        <w:tc>
          <w:tcPr>
            <w:tcW w:w="1460" w:type="dxa"/>
            <w:tcBorders>
              <w:right w:val="single" w:color="000000" w:sz="10" w:space="0"/>
            </w:tcBorders>
            <w:vAlign w:val="top"/>
          </w:tcPr>
          <w:p w14:paraId="2A2724B8">
            <w:pPr>
              <w:spacing w:before="110"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0.2500001</w:t>
            </w:r>
          </w:p>
        </w:tc>
      </w:tr>
      <w:tr w14:paraId="044102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861" w:type="dxa"/>
            <w:tcBorders>
              <w:left w:val="single" w:color="000000" w:sz="10" w:space="0"/>
            </w:tcBorders>
            <w:vAlign w:val="top"/>
          </w:tcPr>
          <w:p w14:paraId="70DEC0C1">
            <w:pPr>
              <w:spacing w:before="111"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700</w:t>
            </w:r>
          </w:p>
        </w:tc>
        <w:tc>
          <w:tcPr>
            <w:tcW w:w="1607" w:type="dxa"/>
            <w:vAlign w:val="top"/>
          </w:tcPr>
          <w:p w14:paraId="6361487B">
            <w:pPr>
              <w:spacing w:before="111" w:line="195"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0.442</w:t>
            </w:r>
          </w:p>
        </w:tc>
        <w:tc>
          <w:tcPr>
            <w:tcW w:w="1607" w:type="dxa"/>
            <w:vAlign w:val="top"/>
          </w:tcPr>
          <w:p w14:paraId="035AE276">
            <w:pPr>
              <w:spacing w:before="111"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0.439</w:t>
            </w:r>
          </w:p>
        </w:tc>
        <w:tc>
          <w:tcPr>
            <w:tcW w:w="1449" w:type="dxa"/>
            <w:vAlign w:val="top"/>
          </w:tcPr>
          <w:p w14:paraId="3205972A">
            <w:pPr>
              <w:spacing w:before="111"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0.435</w:t>
            </w:r>
          </w:p>
        </w:tc>
        <w:tc>
          <w:tcPr>
            <w:tcW w:w="1448" w:type="dxa"/>
            <w:vAlign w:val="top"/>
          </w:tcPr>
          <w:p w14:paraId="054863E5">
            <w:pPr>
              <w:spacing w:before="111"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0.4145251</w:t>
            </w:r>
          </w:p>
        </w:tc>
        <w:tc>
          <w:tcPr>
            <w:tcW w:w="1449" w:type="dxa"/>
            <w:vAlign w:val="top"/>
          </w:tcPr>
          <w:p w14:paraId="05FBF76A">
            <w:pPr>
              <w:spacing w:before="111"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0.3536360</w:t>
            </w:r>
          </w:p>
        </w:tc>
        <w:tc>
          <w:tcPr>
            <w:tcW w:w="1448" w:type="dxa"/>
            <w:vAlign w:val="top"/>
          </w:tcPr>
          <w:p w14:paraId="7442E4A4">
            <w:pPr>
              <w:spacing w:before="111"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0.2979705</w:t>
            </w:r>
          </w:p>
        </w:tc>
        <w:tc>
          <w:tcPr>
            <w:tcW w:w="1448" w:type="dxa"/>
            <w:vAlign w:val="top"/>
          </w:tcPr>
          <w:p w14:paraId="3CCC2669">
            <w:pPr>
              <w:spacing w:before="111"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0.2540781</w:t>
            </w:r>
          </w:p>
        </w:tc>
        <w:tc>
          <w:tcPr>
            <w:tcW w:w="1448" w:type="dxa"/>
            <w:vAlign w:val="top"/>
          </w:tcPr>
          <w:p w14:paraId="0F46504C">
            <w:pPr>
              <w:spacing w:before="111" w:line="195" w:lineRule="auto"/>
              <w:ind w:left="2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0.2501011</w:t>
            </w:r>
          </w:p>
        </w:tc>
        <w:tc>
          <w:tcPr>
            <w:tcW w:w="1460" w:type="dxa"/>
            <w:tcBorders>
              <w:right w:val="single" w:color="000000" w:sz="10" w:space="0"/>
            </w:tcBorders>
            <w:vAlign w:val="top"/>
          </w:tcPr>
          <w:p w14:paraId="71BB6A6F">
            <w:pPr>
              <w:spacing w:before="111"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0.2500007</w:t>
            </w:r>
          </w:p>
        </w:tc>
      </w:tr>
      <w:tr w14:paraId="374CB9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1" w:type="dxa"/>
            <w:tcBorders>
              <w:left w:val="single" w:color="000000" w:sz="10" w:space="0"/>
            </w:tcBorders>
            <w:vAlign w:val="top"/>
          </w:tcPr>
          <w:p w14:paraId="323C171A">
            <w:pPr>
              <w:spacing w:before="113" w:line="195" w:lineRule="auto"/>
              <w:ind w:left="267"/>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c>
          <w:tcPr>
            <w:tcW w:w="1607" w:type="dxa"/>
            <w:vAlign w:val="top"/>
          </w:tcPr>
          <w:p w14:paraId="4D5F3004">
            <w:pPr>
              <w:spacing w:before="113" w:line="195"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0.429</w:t>
            </w:r>
          </w:p>
        </w:tc>
        <w:tc>
          <w:tcPr>
            <w:tcW w:w="1607" w:type="dxa"/>
            <w:vAlign w:val="top"/>
          </w:tcPr>
          <w:p w14:paraId="1D212D30">
            <w:pPr>
              <w:spacing w:before="113"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0.427</w:t>
            </w:r>
          </w:p>
        </w:tc>
        <w:tc>
          <w:tcPr>
            <w:tcW w:w="1449" w:type="dxa"/>
            <w:vAlign w:val="top"/>
          </w:tcPr>
          <w:p w14:paraId="70ADBA81">
            <w:pPr>
              <w:spacing w:before="113"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0.423</w:t>
            </w:r>
          </w:p>
        </w:tc>
        <w:tc>
          <w:tcPr>
            <w:tcW w:w="1448" w:type="dxa"/>
            <w:vAlign w:val="top"/>
          </w:tcPr>
          <w:p w14:paraId="328A7FAA">
            <w:pPr>
              <w:spacing w:before="113"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0.4068008</w:t>
            </w:r>
          </w:p>
        </w:tc>
        <w:tc>
          <w:tcPr>
            <w:tcW w:w="1449" w:type="dxa"/>
            <w:vAlign w:val="top"/>
          </w:tcPr>
          <w:p w14:paraId="6E0B734B">
            <w:pPr>
              <w:spacing w:before="113"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0.3546446</w:t>
            </w:r>
          </w:p>
        </w:tc>
        <w:tc>
          <w:tcPr>
            <w:tcW w:w="1448" w:type="dxa"/>
            <w:vAlign w:val="top"/>
          </w:tcPr>
          <w:p w14:paraId="615F87FD">
            <w:pPr>
              <w:spacing w:before="113"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0.3033332</w:t>
            </w:r>
          </w:p>
        </w:tc>
        <w:tc>
          <w:tcPr>
            <w:tcW w:w="1448" w:type="dxa"/>
            <w:vAlign w:val="top"/>
          </w:tcPr>
          <w:p w14:paraId="6628DC9D">
            <w:pPr>
              <w:spacing w:before="113"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0.2561702</w:t>
            </w:r>
          </w:p>
        </w:tc>
        <w:tc>
          <w:tcPr>
            <w:tcW w:w="1448" w:type="dxa"/>
            <w:vAlign w:val="top"/>
          </w:tcPr>
          <w:p w14:paraId="537914E1">
            <w:pPr>
              <w:spacing w:before="113"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0.2502428</w:t>
            </w:r>
          </w:p>
        </w:tc>
        <w:tc>
          <w:tcPr>
            <w:tcW w:w="1460" w:type="dxa"/>
            <w:tcBorders>
              <w:right w:val="single" w:color="000000" w:sz="10" w:space="0"/>
            </w:tcBorders>
            <w:vAlign w:val="top"/>
          </w:tcPr>
          <w:p w14:paraId="602B6B36">
            <w:pPr>
              <w:spacing w:before="113"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0.2500032</w:t>
            </w:r>
          </w:p>
        </w:tc>
      </w:tr>
      <w:tr w14:paraId="35DA5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861" w:type="dxa"/>
            <w:tcBorders>
              <w:left w:val="single" w:color="000000" w:sz="10" w:space="0"/>
            </w:tcBorders>
            <w:vAlign w:val="top"/>
          </w:tcPr>
          <w:p w14:paraId="3514042D">
            <w:pPr>
              <w:spacing w:before="114"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900</w:t>
            </w:r>
          </w:p>
        </w:tc>
        <w:tc>
          <w:tcPr>
            <w:tcW w:w="1607" w:type="dxa"/>
            <w:vAlign w:val="top"/>
          </w:tcPr>
          <w:p w14:paraId="2B273FFE">
            <w:pPr>
              <w:spacing w:before="114" w:line="195"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0.419</w:t>
            </w:r>
          </w:p>
        </w:tc>
        <w:tc>
          <w:tcPr>
            <w:tcW w:w="1607" w:type="dxa"/>
            <w:vAlign w:val="top"/>
          </w:tcPr>
          <w:p w14:paraId="57496996">
            <w:pPr>
              <w:spacing w:before="114"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0.417</w:t>
            </w:r>
          </w:p>
        </w:tc>
        <w:tc>
          <w:tcPr>
            <w:tcW w:w="1449" w:type="dxa"/>
            <w:vAlign w:val="top"/>
          </w:tcPr>
          <w:p w14:paraId="261E184D">
            <w:pPr>
              <w:spacing w:before="114"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0.414</w:t>
            </w:r>
          </w:p>
        </w:tc>
        <w:tc>
          <w:tcPr>
            <w:tcW w:w="1448" w:type="dxa"/>
            <w:vAlign w:val="top"/>
          </w:tcPr>
          <w:p w14:paraId="23443410">
            <w:pPr>
              <w:spacing w:before="114"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0.3999773</w:t>
            </w:r>
          </w:p>
        </w:tc>
        <w:tc>
          <w:tcPr>
            <w:tcW w:w="1449" w:type="dxa"/>
            <w:vAlign w:val="top"/>
          </w:tcPr>
          <w:p w14:paraId="1C6BFBDB">
            <w:pPr>
              <w:spacing w:before="114"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0.3546909</w:t>
            </w:r>
          </w:p>
        </w:tc>
        <w:tc>
          <w:tcPr>
            <w:tcW w:w="1448" w:type="dxa"/>
            <w:vAlign w:val="top"/>
          </w:tcPr>
          <w:p w14:paraId="32C4B7F2">
            <w:pPr>
              <w:spacing w:before="114"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0.3075061</w:t>
            </w:r>
          </w:p>
        </w:tc>
        <w:tc>
          <w:tcPr>
            <w:tcW w:w="1448" w:type="dxa"/>
            <w:vAlign w:val="top"/>
          </w:tcPr>
          <w:p w14:paraId="15DDA0B3">
            <w:pPr>
              <w:spacing w:before="114"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0.2584546</w:t>
            </w:r>
          </w:p>
        </w:tc>
        <w:tc>
          <w:tcPr>
            <w:tcW w:w="1448" w:type="dxa"/>
            <w:vAlign w:val="top"/>
          </w:tcPr>
          <w:p w14:paraId="58CFBEB8">
            <w:pPr>
              <w:spacing w:before="114"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0.2504766</w:t>
            </w:r>
          </w:p>
        </w:tc>
        <w:tc>
          <w:tcPr>
            <w:tcW w:w="1460" w:type="dxa"/>
            <w:tcBorders>
              <w:right w:val="single" w:color="000000" w:sz="10" w:space="0"/>
            </w:tcBorders>
            <w:vAlign w:val="top"/>
          </w:tcPr>
          <w:p w14:paraId="21594CA7">
            <w:pPr>
              <w:spacing w:before="114"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0.2500103</w:t>
            </w:r>
          </w:p>
        </w:tc>
      </w:tr>
      <w:tr w14:paraId="7B03A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1" w:type="dxa"/>
            <w:tcBorders>
              <w:left w:val="single" w:color="000000" w:sz="10" w:space="0"/>
            </w:tcBorders>
            <w:vAlign w:val="top"/>
          </w:tcPr>
          <w:p w14:paraId="4453773D">
            <w:pPr>
              <w:spacing w:before="117"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1000</w:t>
            </w:r>
          </w:p>
        </w:tc>
        <w:tc>
          <w:tcPr>
            <w:tcW w:w="1607" w:type="dxa"/>
            <w:vAlign w:val="top"/>
          </w:tcPr>
          <w:p w14:paraId="76C39C63">
            <w:pPr>
              <w:spacing w:before="117" w:line="195"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0.410</w:t>
            </w:r>
          </w:p>
        </w:tc>
        <w:tc>
          <w:tcPr>
            <w:tcW w:w="1607" w:type="dxa"/>
            <w:vAlign w:val="top"/>
          </w:tcPr>
          <w:p w14:paraId="7C518500">
            <w:pPr>
              <w:spacing w:before="117"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0.409</w:t>
            </w:r>
          </w:p>
        </w:tc>
        <w:tc>
          <w:tcPr>
            <w:tcW w:w="1449" w:type="dxa"/>
            <w:vAlign w:val="top"/>
          </w:tcPr>
          <w:p w14:paraId="017D175F">
            <w:pPr>
              <w:spacing w:before="117"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0.406</w:t>
            </w:r>
          </w:p>
        </w:tc>
        <w:tc>
          <w:tcPr>
            <w:tcW w:w="1448" w:type="dxa"/>
            <w:vAlign w:val="top"/>
          </w:tcPr>
          <w:p w14:paraId="578CEFEF">
            <w:pPr>
              <w:spacing w:before="117"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0.3939128</w:t>
            </w:r>
          </w:p>
        </w:tc>
        <w:tc>
          <w:tcPr>
            <w:tcW w:w="1449" w:type="dxa"/>
            <w:vAlign w:val="top"/>
          </w:tcPr>
          <w:p w14:paraId="63979814">
            <w:pPr>
              <w:spacing w:before="117"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0.3541344</w:t>
            </w:r>
          </w:p>
        </w:tc>
        <w:tc>
          <w:tcPr>
            <w:tcW w:w="1448" w:type="dxa"/>
            <w:vAlign w:val="top"/>
          </w:tcPr>
          <w:p w14:paraId="63657DE8">
            <w:pPr>
              <w:spacing w:before="117"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0.3107322</w:t>
            </w:r>
          </w:p>
        </w:tc>
        <w:tc>
          <w:tcPr>
            <w:tcW w:w="1448" w:type="dxa"/>
            <w:vAlign w:val="top"/>
          </w:tcPr>
          <w:p w14:paraId="66DEE20B">
            <w:pPr>
              <w:spacing w:before="117"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0.2608158</w:t>
            </w:r>
          </w:p>
        </w:tc>
        <w:tc>
          <w:tcPr>
            <w:tcW w:w="1448" w:type="dxa"/>
            <w:vAlign w:val="top"/>
          </w:tcPr>
          <w:p w14:paraId="39D3FA4F">
            <w:pPr>
              <w:spacing w:before="117"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0.2508129</w:t>
            </w:r>
          </w:p>
        </w:tc>
        <w:tc>
          <w:tcPr>
            <w:tcW w:w="1460" w:type="dxa"/>
            <w:tcBorders>
              <w:right w:val="single" w:color="000000" w:sz="10" w:space="0"/>
            </w:tcBorders>
            <w:vAlign w:val="top"/>
          </w:tcPr>
          <w:p w14:paraId="07028F7D">
            <w:pPr>
              <w:spacing w:before="117"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0.2500258</w:t>
            </w:r>
          </w:p>
        </w:tc>
      </w:tr>
      <w:tr w14:paraId="624CC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861" w:type="dxa"/>
            <w:tcBorders>
              <w:left w:val="single" w:color="000000" w:sz="10" w:space="0"/>
            </w:tcBorders>
            <w:vAlign w:val="top"/>
          </w:tcPr>
          <w:p w14:paraId="324A9CDF">
            <w:pPr>
              <w:spacing w:before="118"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1500</w:t>
            </w:r>
          </w:p>
        </w:tc>
        <w:tc>
          <w:tcPr>
            <w:tcW w:w="1607" w:type="dxa"/>
            <w:vAlign w:val="top"/>
          </w:tcPr>
          <w:p w14:paraId="5CE92836">
            <w:pPr>
              <w:spacing w:before="118" w:line="195"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0.381</w:t>
            </w:r>
          </w:p>
        </w:tc>
        <w:tc>
          <w:tcPr>
            <w:tcW w:w="1607" w:type="dxa"/>
            <w:vAlign w:val="top"/>
          </w:tcPr>
          <w:p w14:paraId="41CA67D0">
            <w:pPr>
              <w:spacing w:before="118"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0.380</w:t>
            </w:r>
          </w:p>
        </w:tc>
        <w:tc>
          <w:tcPr>
            <w:tcW w:w="1449" w:type="dxa"/>
            <w:vAlign w:val="top"/>
          </w:tcPr>
          <w:p w14:paraId="1702F939">
            <w:pPr>
              <w:spacing w:before="118"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0.378</w:t>
            </w:r>
          </w:p>
        </w:tc>
        <w:tc>
          <w:tcPr>
            <w:tcW w:w="1448" w:type="dxa"/>
            <w:vAlign w:val="top"/>
          </w:tcPr>
          <w:p w14:paraId="537FBCFB">
            <w:pPr>
              <w:spacing w:before="118"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0.3714532</w:t>
            </w:r>
          </w:p>
        </w:tc>
        <w:tc>
          <w:tcPr>
            <w:tcW w:w="1449" w:type="dxa"/>
            <w:vAlign w:val="top"/>
          </w:tcPr>
          <w:p w14:paraId="631BAF6B">
            <w:pPr>
              <w:spacing w:before="118"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0.3478901</w:t>
            </w:r>
          </w:p>
        </w:tc>
        <w:tc>
          <w:tcPr>
            <w:tcW w:w="1448" w:type="dxa"/>
            <w:vAlign w:val="top"/>
          </w:tcPr>
          <w:p w14:paraId="0DD6886C">
            <w:pPr>
              <w:spacing w:before="118"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0.3183317</w:t>
            </w:r>
          </w:p>
        </w:tc>
        <w:tc>
          <w:tcPr>
            <w:tcW w:w="1448" w:type="dxa"/>
            <w:vAlign w:val="top"/>
          </w:tcPr>
          <w:p w14:paraId="20F2BDF7">
            <w:pPr>
              <w:spacing w:before="118"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0.2716296</w:t>
            </w:r>
          </w:p>
        </w:tc>
        <w:tc>
          <w:tcPr>
            <w:tcW w:w="1448" w:type="dxa"/>
            <w:vAlign w:val="top"/>
          </w:tcPr>
          <w:p w14:paraId="76914158">
            <w:pPr>
              <w:spacing w:before="118"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0.2538520</w:t>
            </w:r>
          </w:p>
        </w:tc>
        <w:tc>
          <w:tcPr>
            <w:tcW w:w="1460" w:type="dxa"/>
            <w:tcBorders>
              <w:right w:val="single" w:color="000000" w:sz="10" w:space="0"/>
            </w:tcBorders>
            <w:vAlign w:val="top"/>
          </w:tcPr>
          <w:p w14:paraId="742093BB">
            <w:pPr>
              <w:spacing w:before="118"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0.2503860</w:t>
            </w:r>
          </w:p>
        </w:tc>
      </w:tr>
      <w:tr w14:paraId="5C17C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1" w:type="dxa"/>
            <w:tcBorders>
              <w:left w:val="single" w:color="000000" w:sz="10" w:space="0"/>
            </w:tcBorders>
            <w:vAlign w:val="top"/>
          </w:tcPr>
          <w:p w14:paraId="474A1E92">
            <w:pPr>
              <w:spacing w:before="118" w:line="195" w:lineRule="auto"/>
              <w:ind w:left="2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2000</w:t>
            </w:r>
          </w:p>
        </w:tc>
        <w:tc>
          <w:tcPr>
            <w:tcW w:w="1607" w:type="dxa"/>
            <w:vAlign w:val="top"/>
          </w:tcPr>
          <w:p w14:paraId="4C0E3BCE">
            <w:pPr>
              <w:spacing w:before="118" w:line="195"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0.363</w:t>
            </w:r>
          </w:p>
        </w:tc>
        <w:tc>
          <w:tcPr>
            <w:tcW w:w="1607" w:type="dxa"/>
            <w:vAlign w:val="top"/>
          </w:tcPr>
          <w:p w14:paraId="2675EE1F">
            <w:pPr>
              <w:spacing w:before="118"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0.362</w:t>
            </w:r>
          </w:p>
        </w:tc>
        <w:tc>
          <w:tcPr>
            <w:tcW w:w="1449" w:type="dxa"/>
            <w:vAlign w:val="top"/>
          </w:tcPr>
          <w:p w14:paraId="738C8DFC">
            <w:pPr>
              <w:spacing w:before="118"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0.361</w:t>
            </w:r>
          </w:p>
        </w:tc>
        <w:tc>
          <w:tcPr>
            <w:tcW w:w="1448" w:type="dxa"/>
            <w:vAlign w:val="top"/>
          </w:tcPr>
          <w:p w14:paraId="67B9F381">
            <w:pPr>
              <w:spacing w:before="118"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0.3567797</w:t>
            </w:r>
          </w:p>
        </w:tc>
        <w:tc>
          <w:tcPr>
            <w:tcW w:w="1449" w:type="dxa"/>
            <w:vAlign w:val="top"/>
          </w:tcPr>
          <w:p w14:paraId="222F51AC">
            <w:pPr>
              <w:spacing w:before="118"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0.3408314</w:t>
            </w:r>
          </w:p>
        </w:tc>
        <w:tc>
          <w:tcPr>
            <w:tcW w:w="1448" w:type="dxa"/>
            <w:vAlign w:val="top"/>
          </w:tcPr>
          <w:p w14:paraId="263ADFA8">
            <w:pPr>
              <w:spacing w:before="118"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0.3193663</w:t>
            </w:r>
          </w:p>
        </w:tc>
        <w:tc>
          <w:tcPr>
            <w:tcW w:w="1448" w:type="dxa"/>
            <w:vAlign w:val="top"/>
          </w:tcPr>
          <w:p w14:paraId="4A60D503">
            <w:pPr>
              <w:spacing w:before="118"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0.2792731</w:t>
            </w:r>
          </w:p>
        </w:tc>
        <w:tc>
          <w:tcPr>
            <w:tcW w:w="1448" w:type="dxa"/>
            <w:vAlign w:val="top"/>
          </w:tcPr>
          <w:p w14:paraId="0CD28FE4">
            <w:pPr>
              <w:spacing w:before="118"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0.2580250</w:t>
            </w:r>
          </w:p>
        </w:tc>
        <w:tc>
          <w:tcPr>
            <w:tcW w:w="1460" w:type="dxa"/>
            <w:tcBorders>
              <w:right w:val="single" w:color="000000" w:sz="10" w:space="0"/>
            </w:tcBorders>
            <w:vAlign w:val="top"/>
          </w:tcPr>
          <w:p w14:paraId="50CA1F7E">
            <w:pPr>
              <w:spacing w:before="118"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0.2514292</w:t>
            </w:r>
          </w:p>
        </w:tc>
      </w:tr>
      <w:tr w14:paraId="6412C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1" w:type="dxa"/>
            <w:tcBorders>
              <w:left w:val="single" w:color="000000" w:sz="10" w:space="0"/>
            </w:tcBorders>
            <w:vAlign w:val="top"/>
          </w:tcPr>
          <w:p w14:paraId="4D891198">
            <w:pPr>
              <w:spacing w:before="119"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3000</w:t>
            </w:r>
          </w:p>
        </w:tc>
        <w:tc>
          <w:tcPr>
            <w:tcW w:w="1607" w:type="dxa"/>
            <w:vAlign w:val="top"/>
          </w:tcPr>
          <w:p w14:paraId="130F6E4F">
            <w:pPr>
              <w:spacing w:before="119" w:line="195"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0.341</w:t>
            </w:r>
          </w:p>
        </w:tc>
        <w:tc>
          <w:tcPr>
            <w:tcW w:w="1607" w:type="dxa"/>
            <w:vAlign w:val="top"/>
          </w:tcPr>
          <w:p w14:paraId="6B0E16F8">
            <w:pPr>
              <w:spacing w:before="119"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0.341</w:t>
            </w:r>
          </w:p>
        </w:tc>
        <w:tc>
          <w:tcPr>
            <w:tcW w:w="1449" w:type="dxa"/>
            <w:vAlign w:val="top"/>
          </w:tcPr>
          <w:p w14:paraId="50E921DB">
            <w:pPr>
              <w:spacing w:before="119"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0.341</w:t>
            </w:r>
          </w:p>
        </w:tc>
        <w:tc>
          <w:tcPr>
            <w:tcW w:w="1448" w:type="dxa"/>
            <w:vAlign w:val="top"/>
          </w:tcPr>
          <w:p w14:paraId="1CB01D10">
            <w:pPr>
              <w:spacing w:before="119"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0.3382542</w:t>
            </w:r>
          </w:p>
        </w:tc>
        <w:tc>
          <w:tcPr>
            <w:tcW w:w="1449" w:type="dxa"/>
            <w:vAlign w:val="top"/>
          </w:tcPr>
          <w:p w14:paraId="570D7928">
            <w:pPr>
              <w:spacing w:before="119"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0.3292320</w:t>
            </w:r>
          </w:p>
        </w:tc>
        <w:tc>
          <w:tcPr>
            <w:tcW w:w="1448" w:type="dxa"/>
            <w:vAlign w:val="top"/>
          </w:tcPr>
          <w:p w14:paraId="07B9835E">
            <w:pPr>
              <w:spacing w:before="119"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0.3161976</w:t>
            </w:r>
          </w:p>
        </w:tc>
        <w:tc>
          <w:tcPr>
            <w:tcW w:w="1448" w:type="dxa"/>
            <w:vAlign w:val="top"/>
          </w:tcPr>
          <w:p w14:paraId="2AEFF10A">
            <w:pPr>
              <w:spacing w:before="119"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0.2872439</w:t>
            </w:r>
          </w:p>
        </w:tc>
        <w:tc>
          <w:tcPr>
            <w:tcW w:w="1448" w:type="dxa"/>
            <w:vAlign w:val="top"/>
          </w:tcPr>
          <w:p w14:paraId="15718D71">
            <w:pPr>
              <w:spacing w:before="119"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0.2657172</w:t>
            </w:r>
          </w:p>
        </w:tc>
        <w:tc>
          <w:tcPr>
            <w:tcW w:w="1460" w:type="dxa"/>
            <w:tcBorders>
              <w:right w:val="single" w:color="000000" w:sz="10" w:space="0"/>
            </w:tcBorders>
            <w:vAlign w:val="top"/>
          </w:tcPr>
          <w:p w14:paraId="6512E736">
            <w:pPr>
              <w:spacing w:before="119"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0.2549751</w:t>
            </w:r>
          </w:p>
        </w:tc>
      </w:tr>
      <w:tr w14:paraId="518F2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1" w:type="dxa"/>
            <w:tcBorders>
              <w:left w:val="single" w:color="000000" w:sz="10" w:space="0"/>
            </w:tcBorders>
            <w:vAlign w:val="top"/>
          </w:tcPr>
          <w:p w14:paraId="43453241">
            <w:pPr>
              <w:spacing w:before="120"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4000</w:t>
            </w:r>
          </w:p>
        </w:tc>
        <w:tc>
          <w:tcPr>
            <w:tcW w:w="1607" w:type="dxa"/>
            <w:vAlign w:val="top"/>
          </w:tcPr>
          <w:p w14:paraId="44A99EA8">
            <w:pPr>
              <w:spacing w:before="120" w:line="195"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0.329</w:t>
            </w:r>
          </w:p>
        </w:tc>
        <w:tc>
          <w:tcPr>
            <w:tcW w:w="1607" w:type="dxa"/>
            <w:vAlign w:val="top"/>
          </w:tcPr>
          <w:p w14:paraId="2D0002B4">
            <w:pPr>
              <w:spacing w:before="120"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0.329</w:t>
            </w:r>
          </w:p>
        </w:tc>
        <w:tc>
          <w:tcPr>
            <w:tcW w:w="1449" w:type="dxa"/>
            <w:vAlign w:val="top"/>
          </w:tcPr>
          <w:p w14:paraId="6E5B5376">
            <w:pPr>
              <w:spacing w:before="120"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0.328</w:t>
            </w:r>
          </w:p>
        </w:tc>
        <w:tc>
          <w:tcPr>
            <w:tcW w:w="1448" w:type="dxa"/>
            <w:vAlign w:val="top"/>
          </w:tcPr>
          <w:p w14:paraId="1B59CCD6">
            <w:pPr>
              <w:spacing w:before="120"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0.3266754</w:t>
            </w:r>
          </w:p>
        </w:tc>
        <w:tc>
          <w:tcPr>
            <w:tcW w:w="1449" w:type="dxa"/>
            <w:vAlign w:val="top"/>
          </w:tcPr>
          <w:p w14:paraId="0556DF41">
            <w:pPr>
              <w:spacing w:before="120"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0.3207179</w:t>
            </w:r>
          </w:p>
        </w:tc>
        <w:tc>
          <w:tcPr>
            <w:tcW w:w="1448" w:type="dxa"/>
            <w:vAlign w:val="top"/>
          </w:tcPr>
          <w:p w14:paraId="24F30DDA">
            <w:pPr>
              <w:spacing w:before="120"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0.3117996</w:t>
            </w:r>
          </w:p>
        </w:tc>
        <w:tc>
          <w:tcPr>
            <w:tcW w:w="1448" w:type="dxa"/>
            <w:vAlign w:val="top"/>
          </w:tcPr>
          <w:p w14:paraId="08C3F507">
            <w:pPr>
              <w:spacing w:before="120"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0.2901463</w:t>
            </w:r>
          </w:p>
        </w:tc>
        <w:tc>
          <w:tcPr>
            <w:tcW w:w="1448" w:type="dxa"/>
            <w:vAlign w:val="top"/>
          </w:tcPr>
          <w:p w14:paraId="4D1F6ED3">
            <w:pPr>
              <w:spacing w:before="120"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0.2710201</w:t>
            </w:r>
          </w:p>
        </w:tc>
        <w:tc>
          <w:tcPr>
            <w:tcW w:w="1460" w:type="dxa"/>
            <w:tcBorders>
              <w:right w:val="single" w:color="000000" w:sz="10" w:space="0"/>
            </w:tcBorders>
            <w:vAlign w:val="top"/>
          </w:tcPr>
          <w:p w14:paraId="78F7FC71">
            <w:pPr>
              <w:spacing w:before="120"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0.2588706</w:t>
            </w:r>
          </w:p>
        </w:tc>
      </w:tr>
      <w:tr w14:paraId="732EA7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61" w:type="dxa"/>
            <w:tcBorders>
              <w:left w:val="single" w:color="000000" w:sz="10" w:space="0"/>
              <w:bottom w:val="single" w:color="000000" w:sz="10" w:space="0"/>
            </w:tcBorders>
            <w:vAlign w:val="top"/>
          </w:tcPr>
          <w:p w14:paraId="66EFBA78">
            <w:pPr>
              <w:spacing w:before="121"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9000</w:t>
            </w:r>
          </w:p>
        </w:tc>
        <w:tc>
          <w:tcPr>
            <w:tcW w:w="1607" w:type="dxa"/>
            <w:tcBorders>
              <w:bottom w:val="single" w:color="000000" w:sz="10" w:space="0"/>
            </w:tcBorders>
            <w:vAlign w:val="top"/>
          </w:tcPr>
          <w:p w14:paraId="4B3E52DC">
            <w:pPr>
              <w:spacing w:before="121" w:line="195"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0.301</w:t>
            </w:r>
          </w:p>
        </w:tc>
        <w:tc>
          <w:tcPr>
            <w:tcW w:w="1607" w:type="dxa"/>
            <w:tcBorders>
              <w:bottom w:val="single" w:color="000000" w:sz="10" w:space="0"/>
            </w:tcBorders>
            <w:vAlign w:val="top"/>
          </w:tcPr>
          <w:p w14:paraId="33E399AC">
            <w:pPr>
              <w:spacing w:before="121"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0.301</w:t>
            </w:r>
          </w:p>
        </w:tc>
        <w:tc>
          <w:tcPr>
            <w:tcW w:w="1449" w:type="dxa"/>
            <w:tcBorders>
              <w:bottom w:val="single" w:color="000000" w:sz="10" w:space="0"/>
            </w:tcBorders>
            <w:vAlign w:val="top"/>
          </w:tcPr>
          <w:p w14:paraId="675241C1">
            <w:pPr>
              <w:spacing w:before="121"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0.301</w:t>
            </w:r>
          </w:p>
        </w:tc>
        <w:tc>
          <w:tcPr>
            <w:tcW w:w="1448" w:type="dxa"/>
            <w:tcBorders>
              <w:bottom w:val="single" w:color="000000" w:sz="10" w:space="0"/>
            </w:tcBorders>
            <w:vAlign w:val="top"/>
          </w:tcPr>
          <w:p w14:paraId="4DBB7926">
            <w:pPr>
              <w:spacing w:before="121"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0.3004084</w:t>
            </w:r>
          </w:p>
        </w:tc>
        <w:tc>
          <w:tcPr>
            <w:tcW w:w="1449" w:type="dxa"/>
            <w:tcBorders>
              <w:bottom w:val="single" w:color="000000" w:sz="10" w:space="0"/>
            </w:tcBorders>
            <w:vAlign w:val="top"/>
          </w:tcPr>
          <w:p w14:paraId="763A98F0">
            <w:pPr>
              <w:spacing w:before="121"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0.2986286</w:t>
            </w:r>
          </w:p>
        </w:tc>
        <w:tc>
          <w:tcPr>
            <w:tcW w:w="1448" w:type="dxa"/>
            <w:tcBorders>
              <w:bottom w:val="single" w:color="000000" w:sz="10" w:space="0"/>
            </w:tcBorders>
            <w:vAlign w:val="top"/>
          </w:tcPr>
          <w:p w14:paraId="64803734">
            <w:pPr>
              <w:spacing w:before="121"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0.2958007</w:t>
            </w:r>
          </w:p>
        </w:tc>
        <w:tc>
          <w:tcPr>
            <w:tcW w:w="1448" w:type="dxa"/>
            <w:tcBorders>
              <w:bottom w:val="single" w:color="000000" w:sz="10" w:space="0"/>
            </w:tcBorders>
            <w:vAlign w:val="top"/>
          </w:tcPr>
          <w:p w14:paraId="131DD0D9">
            <w:pPr>
              <w:spacing w:before="121"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0.2878103</w:t>
            </w:r>
          </w:p>
        </w:tc>
        <w:tc>
          <w:tcPr>
            <w:tcW w:w="1448" w:type="dxa"/>
            <w:tcBorders>
              <w:bottom w:val="single" w:color="000000" w:sz="10" w:space="0"/>
            </w:tcBorders>
            <w:vAlign w:val="top"/>
          </w:tcPr>
          <w:p w14:paraId="3F5EF10D">
            <w:pPr>
              <w:spacing w:before="121"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0.2783607</w:t>
            </w:r>
          </w:p>
        </w:tc>
        <w:tc>
          <w:tcPr>
            <w:tcW w:w="1460" w:type="dxa"/>
            <w:tcBorders>
              <w:bottom w:val="single" w:color="000000" w:sz="10" w:space="0"/>
              <w:right w:val="single" w:color="000000" w:sz="10" w:space="0"/>
            </w:tcBorders>
            <w:vAlign w:val="top"/>
          </w:tcPr>
          <w:p w14:paraId="3A3598A7">
            <w:pPr>
              <w:spacing w:before="121"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0.2693282</w:t>
            </w:r>
          </w:p>
        </w:tc>
      </w:tr>
    </w:tbl>
    <w:p w14:paraId="25BD027D">
      <w:pPr>
        <w:pStyle w:val="2"/>
      </w:pPr>
    </w:p>
    <w:p w14:paraId="0CCC3301">
      <w:pPr>
        <w:sectPr>
          <w:headerReference r:id="rId136" w:type="default"/>
          <w:footerReference r:id="rId137" w:type="default"/>
          <w:pgSz w:w="16840" w:h="11907"/>
          <w:pgMar w:top="1132" w:right="1294" w:bottom="1258" w:left="1294" w:header="829" w:footer="1096" w:gutter="0"/>
          <w:cols w:space="720" w:num="1"/>
        </w:sectPr>
      </w:pPr>
    </w:p>
    <w:p w14:paraId="44ED332C">
      <w:pPr>
        <w:pStyle w:val="2"/>
        <w:spacing w:line="265" w:lineRule="auto"/>
      </w:pPr>
    </w:p>
    <w:p w14:paraId="5911EB64">
      <w:pPr>
        <w:pStyle w:val="2"/>
        <w:spacing w:line="265" w:lineRule="auto"/>
      </w:pPr>
    </w:p>
    <w:p w14:paraId="1D66FC94">
      <w:pPr>
        <w:spacing w:before="65" w:line="228" w:lineRule="auto"/>
        <w:ind w:left="4069"/>
        <w:rPr>
          <w:rFonts w:ascii="宋体" w:hAnsi="宋体" w:eastAsia="宋体" w:cs="宋体"/>
          <w:sz w:val="20"/>
          <w:szCs w:val="20"/>
        </w:rPr>
      </w:pPr>
      <w:r>
        <w:rPr>
          <w:rFonts w:ascii="宋体" w:hAnsi="宋体" w:eastAsia="宋体" w:cs="宋体"/>
          <w:b/>
          <w:bCs/>
          <w:spacing w:val="6"/>
          <w:sz w:val="20"/>
          <w:szCs w:val="20"/>
        </w:rPr>
        <w:t>表</w:t>
      </w:r>
      <w:r>
        <w:rPr>
          <w:rFonts w:ascii="Times New Roman" w:hAnsi="Times New Roman" w:eastAsia="Times New Roman" w:cs="Times New Roman"/>
          <w:b/>
          <w:bCs/>
          <w:spacing w:val="6"/>
          <w:sz w:val="20"/>
          <w:szCs w:val="20"/>
        </w:rPr>
        <w:t>6.3-8</w:t>
      </w:r>
      <w:r>
        <w:rPr>
          <w:rFonts w:ascii="宋体" w:hAnsi="宋体" w:eastAsia="宋体" w:cs="宋体"/>
          <w:b/>
          <w:bCs/>
          <w:spacing w:val="6"/>
          <w:sz w:val="20"/>
          <w:szCs w:val="20"/>
        </w:rPr>
        <w:t>下泄生态基流情况下</w:t>
      </w:r>
      <w:r>
        <w:rPr>
          <w:rFonts w:ascii="Times New Roman" w:hAnsi="Times New Roman" w:eastAsia="Times New Roman" w:cs="Times New Roman"/>
          <w:b/>
          <w:bCs/>
          <w:sz w:val="20"/>
          <w:szCs w:val="20"/>
        </w:rPr>
        <w:t>COD</w:t>
      </w:r>
      <w:r>
        <w:rPr>
          <w:rFonts w:ascii="宋体" w:hAnsi="宋体" w:eastAsia="宋体" w:cs="宋体"/>
          <w:b/>
          <w:bCs/>
          <w:spacing w:val="6"/>
          <w:sz w:val="20"/>
          <w:szCs w:val="20"/>
        </w:rPr>
        <w:t>浓度预测值（非正常排放）</w:t>
      </w:r>
    </w:p>
    <w:p w14:paraId="1F96F887">
      <w:pPr>
        <w:spacing w:line="131" w:lineRule="exact"/>
      </w:pPr>
    </w:p>
    <w:tbl>
      <w:tblPr>
        <w:tblStyle w:val="5"/>
        <w:tblW w:w="14023"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2"/>
        <w:gridCol w:w="1537"/>
        <w:gridCol w:w="1537"/>
        <w:gridCol w:w="1397"/>
        <w:gridCol w:w="1397"/>
        <w:gridCol w:w="1397"/>
        <w:gridCol w:w="1398"/>
        <w:gridCol w:w="1398"/>
        <w:gridCol w:w="1398"/>
        <w:gridCol w:w="1412"/>
      </w:tblGrid>
      <w:tr w14:paraId="32AF26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1152" w:type="dxa"/>
            <w:tcBorders>
              <w:top w:val="single" w:color="000000" w:sz="10" w:space="0"/>
              <w:left w:val="single" w:color="000000" w:sz="10" w:space="0"/>
            </w:tcBorders>
            <w:vAlign w:val="top"/>
          </w:tcPr>
          <w:p w14:paraId="1DF6F46D">
            <w:pPr>
              <w:spacing w:before="101" w:line="201"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C(x,y)</w:t>
            </w:r>
          </w:p>
        </w:tc>
        <w:tc>
          <w:tcPr>
            <w:tcW w:w="1537" w:type="dxa"/>
            <w:tcBorders>
              <w:top w:val="single" w:color="000000" w:sz="10" w:space="0"/>
            </w:tcBorders>
            <w:vAlign w:val="top"/>
          </w:tcPr>
          <w:p w14:paraId="342DB4CD">
            <w:pPr>
              <w:spacing w:before="105" w:line="195" w:lineRule="auto"/>
              <w:ind w:left="70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37" w:type="dxa"/>
            <w:tcBorders>
              <w:top w:val="single" w:color="000000" w:sz="10" w:space="0"/>
            </w:tcBorders>
            <w:vAlign w:val="top"/>
          </w:tcPr>
          <w:p w14:paraId="02AC06C5">
            <w:pPr>
              <w:spacing w:before="105" w:line="195" w:lineRule="auto"/>
              <w:ind w:left="71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397" w:type="dxa"/>
            <w:tcBorders>
              <w:top w:val="single" w:color="000000" w:sz="10" w:space="0"/>
            </w:tcBorders>
            <w:vAlign w:val="top"/>
          </w:tcPr>
          <w:p w14:paraId="389D85C3">
            <w:pPr>
              <w:spacing w:before="108" w:line="192" w:lineRule="auto"/>
              <w:ind w:left="64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397" w:type="dxa"/>
            <w:tcBorders>
              <w:top w:val="single" w:color="000000" w:sz="10" w:space="0"/>
            </w:tcBorders>
            <w:vAlign w:val="top"/>
          </w:tcPr>
          <w:p w14:paraId="44FCC60F">
            <w:pPr>
              <w:spacing w:before="105" w:line="195" w:lineRule="auto"/>
              <w:ind w:left="61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397" w:type="dxa"/>
            <w:tcBorders>
              <w:top w:val="single" w:color="000000" w:sz="10" w:space="0"/>
            </w:tcBorders>
            <w:vAlign w:val="top"/>
          </w:tcPr>
          <w:p w14:paraId="572912B0">
            <w:pPr>
              <w:spacing w:before="105" w:line="195" w:lineRule="auto"/>
              <w:ind w:left="5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398" w:type="dxa"/>
            <w:tcBorders>
              <w:top w:val="single" w:color="000000" w:sz="10" w:space="0"/>
            </w:tcBorders>
            <w:vAlign w:val="top"/>
          </w:tcPr>
          <w:p w14:paraId="7CA12C28">
            <w:pPr>
              <w:spacing w:before="105" w:line="195" w:lineRule="auto"/>
              <w:ind w:left="604"/>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398" w:type="dxa"/>
            <w:tcBorders>
              <w:top w:val="single" w:color="000000" w:sz="10" w:space="0"/>
            </w:tcBorders>
            <w:vAlign w:val="top"/>
          </w:tcPr>
          <w:p w14:paraId="68F9205B">
            <w:pPr>
              <w:spacing w:before="105" w:line="195" w:lineRule="auto"/>
              <w:ind w:left="606"/>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398" w:type="dxa"/>
            <w:tcBorders>
              <w:top w:val="single" w:color="000000" w:sz="10" w:space="0"/>
            </w:tcBorders>
            <w:vAlign w:val="top"/>
          </w:tcPr>
          <w:p w14:paraId="376F7AAF">
            <w:pPr>
              <w:spacing w:before="105" w:line="195"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412" w:type="dxa"/>
            <w:tcBorders>
              <w:top w:val="single" w:color="000000" w:sz="10" w:space="0"/>
              <w:right w:val="single" w:color="000000" w:sz="10" w:space="0"/>
            </w:tcBorders>
            <w:vAlign w:val="top"/>
          </w:tcPr>
          <w:p w14:paraId="38EB3C29">
            <w:pPr>
              <w:spacing w:before="105" w:line="195" w:lineRule="auto"/>
              <w:ind w:left="610"/>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r>
      <w:tr w14:paraId="7BB13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1F25BB8E">
            <w:pPr>
              <w:spacing w:before="99" w:line="195" w:lineRule="auto"/>
              <w:ind w:left="47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537" w:type="dxa"/>
            <w:vAlign w:val="top"/>
          </w:tcPr>
          <w:p w14:paraId="7E53FC55">
            <w:pPr>
              <w:spacing w:before="99" w:line="195" w:lineRule="auto"/>
              <w:ind w:left="43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154.015</w:t>
            </w:r>
          </w:p>
        </w:tc>
        <w:tc>
          <w:tcPr>
            <w:tcW w:w="1537" w:type="dxa"/>
            <w:vAlign w:val="top"/>
          </w:tcPr>
          <w:p w14:paraId="7DD5836E">
            <w:pPr>
              <w:spacing w:before="99" w:line="195" w:lineRule="auto"/>
              <w:ind w:left="4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63.891</w:t>
            </w:r>
          </w:p>
        </w:tc>
        <w:tc>
          <w:tcPr>
            <w:tcW w:w="1397" w:type="dxa"/>
            <w:vAlign w:val="top"/>
          </w:tcPr>
          <w:p w14:paraId="20859891">
            <w:pPr>
              <w:spacing w:before="99"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18.710</w:t>
            </w:r>
          </w:p>
        </w:tc>
        <w:tc>
          <w:tcPr>
            <w:tcW w:w="1397" w:type="dxa"/>
            <w:vAlign w:val="top"/>
          </w:tcPr>
          <w:p w14:paraId="7E49EAF2">
            <w:pPr>
              <w:spacing w:before="99"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8.9230071</w:t>
            </w:r>
          </w:p>
        </w:tc>
        <w:tc>
          <w:tcPr>
            <w:tcW w:w="1397" w:type="dxa"/>
            <w:vAlign w:val="top"/>
          </w:tcPr>
          <w:p w14:paraId="7D5EEDAE">
            <w:pPr>
              <w:spacing w:before="99"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398" w:type="dxa"/>
            <w:vAlign w:val="top"/>
          </w:tcPr>
          <w:p w14:paraId="3075A54E">
            <w:pPr>
              <w:spacing w:before="99"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398" w:type="dxa"/>
            <w:vAlign w:val="top"/>
          </w:tcPr>
          <w:p w14:paraId="11972530">
            <w:pPr>
              <w:spacing w:before="99"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398" w:type="dxa"/>
            <w:vAlign w:val="top"/>
          </w:tcPr>
          <w:p w14:paraId="58C6A6FD">
            <w:pPr>
              <w:spacing w:before="99"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12" w:type="dxa"/>
            <w:tcBorders>
              <w:right w:val="single" w:color="000000" w:sz="10" w:space="0"/>
            </w:tcBorders>
            <w:vAlign w:val="top"/>
          </w:tcPr>
          <w:p w14:paraId="73EBB479">
            <w:pPr>
              <w:spacing w:before="99"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531E0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37B326CD">
            <w:pPr>
              <w:spacing w:before="100"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537" w:type="dxa"/>
            <w:vAlign w:val="top"/>
          </w:tcPr>
          <w:p w14:paraId="719E9286">
            <w:pPr>
              <w:spacing w:before="100" w:line="195" w:lineRule="auto"/>
              <w:ind w:left="43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111.509</w:t>
            </w:r>
          </w:p>
        </w:tc>
        <w:tc>
          <w:tcPr>
            <w:tcW w:w="1537" w:type="dxa"/>
            <w:vAlign w:val="top"/>
          </w:tcPr>
          <w:p w14:paraId="11B89A9F">
            <w:pPr>
              <w:spacing w:before="100" w:line="195"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72.065</w:t>
            </w:r>
          </w:p>
        </w:tc>
        <w:tc>
          <w:tcPr>
            <w:tcW w:w="1397" w:type="dxa"/>
            <w:vAlign w:val="top"/>
          </w:tcPr>
          <w:p w14:paraId="15C55458">
            <w:pPr>
              <w:spacing w:before="100"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35.568</w:t>
            </w:r>
          </w:p>
        </w:tc>
        <w:tc>
          <w:tcPr>
            <w:tcW w:w="1397" w:type="dxa"/>
            <w:vAlign w:val="top"/>
          </w:tcPr>
          <w:p w14:paraId="341F3B92">
            <w:pPr>
              <w:spacing w:before="100" w:line="195" w:lineRule="auto"/>
              <w:ind w:left="2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9.3870332</w:t>
            </w:r>
          </w:p>
        </w:tc>
        <w:tc>
          <w:tcPr>
            <w:tcW w:w="1397" w:type="dxa"/>
            <w:vAlign w:val="top"/>
          </w:tcPr>
          <w:p w14:paraId="206FDD81">
            <w:pPr>
              <w:spacing w:before="100"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398" w:type="dxa"/>
            <w:vAlign w:val="top"/>
          </w:tcPr>
          <w:p w14:paraId="39EFF106">
            <w:pPr>
              <w:spacing w:before="100"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398" w:type="dxa"/>
            <w:vAlign w:val="top"/>
          </w:tcPr>
          <w:p w14:paraId="75D3E976">
            <w:pPr>
              <w:spacing w:before="100"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398" w:type="dxa"/>
            <w:vAlign w:val="top"/>
          </w:tcPr>
          <w:p w14:paraId="32A897C7">
            <w:pPr>
              <w:spacing w:before="100"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12" w:type="dxa"/>
            <w:tcBorders>
              <w:right w:val="single" w:color="000000" w:sz="10" w:space="0"/>
            </w:tcBorders>
            <w:vAlign w:val="top"/>
          </w:tcPr>
          <w:p w14:paraId="69F6EA33">
            <w:pPr>
              <w:spacing w:before="100"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4B9B28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5F0F248C">
            <w:pPr>
              <w:spacing w:before="102" w:line="195" w:lineRule="auto"/>
              <w:ind w:left="462"/>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537" w:type="dxa"/>
            <w:vAlign w:val="top"/>
          </w:tcPr>
          <w:p w14:paraId="5664336F">
            <w:pPr>
              <w:spacing w:before="102" w:line="195"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92.676</w:t>
            </w:r>
          </w:p>
        </w:tc>
        <w:tc>
          <w:tcPr>
            <w:tcW w:w="1537" w:type="dxa"/>
            <w:vAlign w:val="top"/>
          </w:tcPr>
          <w:p w14:paraId="57397ECA">
            <w:pPr>
              <w:spacing w:before="102" w:line="195" w:lineRule="auto"/>
              <w:ind w:left="4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69.525</w:t>
            </w:r>
          </w:p>
        </w:tc>
        <w:tc>
          <w:tcPr>
            <w:tcW w:w="1397" w:type="dxa"/>
            <w:vAlign w:val="top"/>
          </w:tcPr>
          <w:p w14:paraId="63E06C54">
            <w:pPr>
              <w:spacing w:before="102"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43.018</w:t>
            </w:r>
          </w:p>
        </w:tc>
        <w:tc>
          <w:tcPr>
            <w:tcW w:w="1397" w:type="dxa"/>
            <w:vAlign w:val="top"/>
          </w:tcPr>
          <w:p w14:paraId="120E55C5">
            <w:pPr>
              <w:spacing w:before="102"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11.2206390</w:t>
            </w:r>
          </w:p>
        </w:tc>
        <w:tc>
          <w:tcPr>
            <w:tcW w:w="1397" w:type="dxa"/>
            <w:vAlign w:val="top"/>
          </w:tcPr>
          <w:p w14:paraId="15F877BA">
            <w:pPr>
              <w:spacing w:before="102"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8.9200477</w:t>
            </w:r>
          </w:p>
        </w:tc>
        <w:tc>
          <w:tcPr>
            <w:tcW w:w="1398" w:type="dxa"/>
            <w:vAlign w:val="top"/>
          </w:tcPr>
          <w:p w14:paraId="66789582">
            <w:pPr>
              <w:spacing w:before="102"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398" w:type="dxa"/>
            <w:vAlign w:val="top"/>
          </w:tcPr>
          <w:p w14:paraId="1BFF2079">
            <w:pPr>
              <w:spacing w:before="102"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398" w:type="dxa"/>
            <w:vAlign w:val="top"/>
          </w:tcPr>
          <w:p w14:paraId="69314DAD">
            <w:pPr>
              <w:spacing w:before="102"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12" w:type="dxa"/>
            <w:tcBorders>
              <w:right w:val="single" w:color="000000" w:sz="10" w:space="0"/>
            </w:tcBorders>
            <w:vAlign w:val="top"/>
          </w:tcPr>
          <w:p w14:paraId="581861B9">
            <w:pPr>
              <w:spacing w:before="102"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2DA937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2D7CB025">
            <w:pPr>
              <w:spacing w:before="103" w:line="195" w:lineRule="auto"/>
              <w:ind w:left="45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537" w:type="dxa"/>
            <w:vAlign w:val="top"/>
          </w:tcPr>
          <w:p w14:paraId="64D3ACD3">
            <w:pPr>
              <w:spacing w:before="103" w:line="195" w:lineRule="auto"/>
              <w:ind w:left="4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81.449</w:t>
            </w:r>
          </w:p>
        </w:tc>
        <w:tc>
          <w:tcPr>
            <w:tcW w:w="1537" w:type="dxa"/>
            <w:vAlign w:val="top"/>
          </w:tcPr>
          <w:p w14:paraId="741FA6D2">
            <w:pPr>
              <w:spacing w:before="103" w:line="195" w:lineRule="auto"/>
              <w:ind w:left="4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65.822</w:t>
            </w:r>
          </w:p>
        </w:tc>
        <w:tc>
          <w:tcPr>
            <w:tcW w:w="1397" w:type="dxa"/>
            <w:vAlign w:val="top"/>
          </w:tcPr>
          <w:p w14:paraId="10CDE1FE">
            <w:pPr>
              <w:spacing w:before="103"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45.885</w:t>
            </w:r>
          </w:p>
        </w:tc>
        <w:tc>
          <w:tcPr>
            <w:tcW w:w="1397" w:type="dxa"/>
            <w:vAlign w:val="top"/>
          </w:tcPr>
          <w:p w14:paraId="042869A8">
            <w:pPr>
              <w:spacing w:before="103"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13.8136558</w:t>
            </w:r>
          </w:p>
        </w:tc>
        <w:tc>
          <w:tcPr>
            <w:tcW w:w="1397" w:type="dxa"/>
            <w:vAlign w:val="top"/>
          </w:tcPr>
          <w:p w14:paraId="17900278">
            <w:pPr>
              <w:spacing w:before="103"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8.9215032</w:t>
            </w:r>
          </w:p>
        </w:tc>
        <w:tc>
          <w:tcPr>
            <w:tcW w:w="1398" w:type="dxa"/>
            <w:vAlign w:val="top"/>
          </w:tcPr>
          <w:p w14:paraId="0CF07BA7">
            <w:pPr>
              <w:spacing w:before="103"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398" w:type="dxa"/>
            <w:vAlign w:val="top"/>
          </w:tcPr>
          <w:p w14:paraId="03EE677F">
            <w:pPr>
              <w:spacing w:before="103"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398" w:type="dxa"/>
            <w:vAlign w:val="top"/>
          </w:tcPr>
          <w:p w14:paraId="3580BEB1">
            <w:pPr>
              <w:spacing w:before="103"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12" w:type="dxa"/>
            <w:tcBorders>
              <w:right w:val="single" w:color="000000" w:sz="10" w:space="0"/>
            </w:tcBorders>
            <w:vAlign w:val="top"/>
          </w:tcPr>
          <w:p w14:paraId="57899E54">
            <w:pPr>
              <w:spacing w:before="103"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66D8D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099B5923">
            <w:pPr>
              <w:spacing w:before="102" w:line="195" w:lineRule="auto"/>
              <w:ind w:left="464"/>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537" w:type="dxa"/>
            <w:vAlign w:val="top"/>
          </w:tcPr>
          <w:p w14:paraId="3E58A485">
            <w:pPr>
              <w:spacing w:before="102" w:line="195"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73.786</w:t>
            </w:r>
          </w:p>
        </w:tc>
        <w:tc>
          <w:tcPr>
            <w:tcW w:w="1537" w:type="dxa"/>
            <w:vAlign w:val="top"/>
          </w:tcPr>
          <w:p w14:paraId="66574E1D">
            <w:pPr>
              <w:spacing w:before="102" w:line="195" w:lineRule="auto"/>
              <w:ind w:left="4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62.341</w:t>
            </w:r>
          </w:p>
        </w:tc>
        <w:tc>
          <w:tcPr>
            <w:tcW w:w="1397" w:type="dxa"/>
            <w:vAlign w:val="top"/>
          </w:tcPr>
          <w:p w14:paraId="2404702E">
            <w:pPr>
              <w:spacing w:before="102"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46.750</w:t>
            </w:r>
          </w:p>
        </w:tc>
        <w:tc>
          <w:tcPr>
            <w:tcW w:w="1397" w:type="dxa"/>
            <w:vAlign w:val="top"/>
          </w:tcPr>
          <w:p w14:paraId="38C50A21">
            <w:pPr>
              <w:spacing w:before="102"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16.4243990</w:t>
            </w:r>
          </w:p>
        </w:tc>
        <w:tc>
          <w:tcPr>
            <w:tcW w:w="1397" w:type="dxa"/>
            <w:vAlign w:val="top"/>
          </w:tcPr>
          <w:p w14:paraId="70977285">
            <w:pPr>
              <w:spacing w:before="102"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8.9316202</w:t>
            </w:r>
          </w:p>
        </w:tc>
        <w:tc>
          <w:tcPr>
            <w:tcW w:w="1398" w:type="dxa"/>
            <w:vAlign w:val="top"/>
          </w:tcPr>
          <w:p w14:paraId="099D9104">
            <w:pPr>
              <w:spacing w:before="102"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8.9200002</w:t>
            </w:r>
          </w:p>
        </w:tc>
        <w:tc>
          <w:tcPr>
            <w:tcW w:w="1398" w:type="dxa"/>
            <w:vAlign w:val="top"/>
          </w:tcPr>
          <w:p w14:paraId="0BC48421">
            <w:pPr>
              <w:spacing w:before="102"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398" w:type="dxa"/>
            <w:vAlign w:val="top"/>
          </w:tcPr>
          <w:p w14:paraId="42DD630D">
            <w:pPr>
              <w:spacing w:before="102"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12" w:type="dxa"/>
            <w:tcBorders>
              <w:right w:val="single" w:color="000000" w:sz="10" w:space="0"/>
            </w:tcBorders>
            <w:vAlign w:val="top"/>
          </w:tcPr>
          <w:p w14:paraId="4ADFC11F">
            <w:pPr>
              <w:spacing w:before="102"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43E07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36944887">
            <w:pPr>
              <w:spacing w:before="103" w:line="195"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537" w:type="dxa"/>
            <w:vAlign w:val="top"/>
          </w:tcPr>
          <w:p w14:paraId="785BDCF0">
            <w:pPr>
              <w:spacing w:before="103" w:line="195" w:lineRule="auto"/>
              <w:ind w:left="4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54.767</w:t>
            </w:r>
          </w:p>
        </w:tc>
        <w:tc>
          <w:tcPr>
            <w:tcW w:w="1537" w:type="dxa"/>
            <w:vAlign w:val="top"/>
          </w:tcPr>
          <w:p w14:paraId="01AF6074">
            <w:pPr>
              <w:spacing w:before="103"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50.527</w:t>
            </w:r>
          </w:p>
        </w:tc>
        <w:tc>
          <w:tcPr>
            <w:tcW w:w="1397" w:type="dxa"/>
            <w:vAlign w:val="top"/>
          </w:tcPr>
          <w:p w14:paraId="160719F8">
            <w:pPr>
              <w:spacing w:before="103"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43.933</w:t>
            </w:r>
          </w:p>
        </w:tc>
        <w:tc>
          <w:tcPr>
            <w:tcW w:w="1397" w:type="dxa"/>
            <w:vAlign w:val="top"/>
          </w:tcPr>
          <w:p w14:paraId="4B8C15DF">
            <w:pPr>
              <w:spacing w:before="103"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24.5141904</w:t>
            </w:r>
          </w:p>
        </w:tc>
        <w:tc>
          <w:tcPr>
            <w:tcW w:w="1397" w:type="dxa"/>
            <w:vAlign w:val="top"/>
          </w:tcPr>
          <w:p w14:paraId="0895D7B5">
            <w:pPr>
              <w:spacing w:before="103"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9.5336371</w:t>
            </w:r>
          </w:p>
        </w:tc>
        <w:tc>
          <w:tcPr>
            <w:tcW w:w="1398" w:type="dxa"/>
            <w:vAlign w:val="top"/>
          </w:tcPr>
          <w:p w14:paraId="323FD374">
            <w:pPr>
              <w:spacing w:before="103"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8.9227936</w:t>
            </w:r>
          </w:p>
        </w:tc>
        <w:tc>
          <w:tcPr>
            <w:tcW w:w="1398" w:type="dxa"/>
            <w:vAlign w:val="top"/>
          </w:tcPr>
          <w:p w14:paraId="5B064343">
            <w:pPr>
              <w:spacing w:before="103"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398" w:type="dxa"/>
            <w:vAlign w:val="top"/>
          </w:tcPr>
          <w:p w14:paraId="6602B325">
            <w:pPr>
              <w:spacing w:before="103"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12" w:type="dxa"/>
            <w:tcBorders>
              <w:right w:val="single" w:color="000000" w:sz="10" w:space="0"/>
            </w:tcBorders>
            <w:vAlign w:val="top"/>
          </w:tcPr>
          <w:p w14:paraId="161467CB">
            <w:pPr>
              <w:spacing w:before="103"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4370D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02C65BAA">
            <w:pPr>
              <w:spacing w:before="104" w:line="195" w:lineRule="auto"/>
              <w:ind w:left="4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537" w:type="dxa"/>
            <w:vAlign w:val="top"/>
          </w:tcPr>
          <w:p w14:paraId="32439BAE">
            <w:pPr>
              <w:spacing w:before="104"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41.311</w:t>
            </w:r>
          </w:p>
        </w:tc>
        <w:tc>
          <w:tcPr>
            <w:tcW w:w="1537" w:type="dxa"/>
            <w:vAlign w:val="top"/>
          </w:tcPr>
          <w:p w14:paraId="4DD5F985">
            <w:pPr>
              <w:spacing w:before="104" w:line="195" w:lineRule="auto"/>
              <w:ind w:left="4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39.776</w:t>
            </w:r>
          </w:p>
        </w:tc>
        <w:tc>
          <w:tcPr>
            <w:tcW w:w="1397" w:type="dxa"/>
            <w:vAlign w:val="top"/>
          </w:tcPr>
          <w:p w14:paraId="738F3FD8">
            <w:pPr>
              <w:spacing w:before="104"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37.226</w:t>
            </w:r>
          </w:p>
        </w:tc>
        <w:tc>
          <w:tcPr>
            <w:tcW w:w="1397" w:type="dxa"/>
            <w:vAlign w:val="top"/>
          </w:tcPr>
          <w:p w14:paraId="17851B8F">
            <w:pPr>
              <w:spacing w:before="104"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27.8106129</w:t>
            </w:r>
          </w:p>
        </w:tc>
        <w:tc>
          <w:tcPr>
            <w:tcW w:w="1397" w:type="dxa"/>
            <w:vAlign w:val="top"/>
          </w:tcPr>
          <w:p w14:paraId="4BF3A6AF">
            <w:pPr>
              <w:spacing w:before="104"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12.6673170</w:t>
            </w:r>
          </w:p>
        </w:tc>
        <w:tc>
          <w:tcPr>
            <w:tcW w:w="1398" w:type="dxa"/>
            <w:vAlign w:val="top"/>
          </w:tcPr>
          <w:p w14:paraId="7AB81BEF">
            <w:pPr>
              <w:spacing w:before="104"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9.1728392</w:t>
            </w:r>
          </w:p>
        </w:tc>
        <w:tc>
          <w:tcPr>
            <w:tcW w:w="1398" w:type="dxa"/>
            <w:vAlign w:val="top"/>
          </w:tcPr>
          <w:p w14:paraId="4B88F681">
            <w:pPr>
              <w:spacing w:before="104"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8.9200453</w:t>
            </w:r>
          </w:p>
        </w:tc>
        <w:tc>
          <w:tcPr>
            <w:tcW w:w="1398" w:type="dxa"/>
            <w:vAlign w:val="top"/>
          </w:tcPr>
          <w:p w14:paraId="7E42448F">
            <w:pPr>
              <w:spacing w:before="104"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c>
          <w:tcPr>
            <w:tcW w:w="1412" w:type="dxa"/>
            <w:tcBorders>
              <w:right w:val="single" w:color="000000" w:sz="10" w:space="0"/>
            </w:tcBorders>
            <w:vAlign w:val="top"/>
          </w:tcPr>
          <w:p w14:paraId="30A2AF84">
            <w:pPr>
              <w:spacing w:before="104"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38762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381E67F0">
            <w:pPr>
              <w:spacing w:before="105" w:line="195"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537" w:type="dxa"/>
            <w:vAlign w:val="top"/>
          </w:tcPr>
          <w:p w14:paraId="657EE2AD">
            <w:pPr>
              <w:spacing w:before="105" w:line="195"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35.344</w:t>
            </w:r>
          </w:p>
        </w:tc>
        <w:tc>
          <w:tcPr>
            <w:tcW w:w="1537" w:type="dxa"/>
            <w:vAlign w:val="top"/>
          </w:tcPr>
          <w:p w14:paraId="439B9376">
            <w:pPr>
              <w:spacing w:before="105" w:line="195" w:lineRule="auto"/>
              <w:ind w:left="4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34.503</w:t>
            </w:r>
          </w:p>
        </w:tc>
        <w:tc>
          <w:tcPr>
            <w:tcW w:w="1397" w:type="dxa"/>
            <w:vAlign w:val="top"/>
          </w:tcPr>
          <w:p w14:paraId="6D2A4890">
            <w:pPr>
              <w:spacing w:before="105"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33.073</w:t>
            </w:r>
          </w:p>
        </w:tc>
        <w:tc>
          <w:tcPr>
            <w:tcW w:w="1397" w:type="dxa"/>
            <w:vAlign w:val="top"/>
          </w:tcPr>
          <w:p w14:paraId="0B069C20">
            <w:pPr>
              <w:spacing w:before="105"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27.3651346</w:t>
            </w:r>
          </w:p>
        </w:tc>
        <w:tc>
          <w:tcPr>
            <w:tcW w:w="1397" w:type="dxa"/>
            <w:vAlign w:val="top"/>
          </w:tcPr>
          <w:p w14:paraId="533BC2EA">
            <w:pPr>
              <w:spacing w:before="105"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15.1938108</w:t>
            </w:r>
          </w:p>
        </w:tc>
        <w:tc>
          <w:tcPr>
            <w:tcW w:w="1398" w:type="dxa"/>
            <w:vAlign w:val="top"/>
          </w:tcPr>
          <w:p w14:paraId="4BCA0C54">
            <w:pPr>
              <w:spacing w:before="105"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9.9597942</w:t>
            </w:r>
          </w:p>
        </w:tc>
        <w:tc>
          <w:tcPr>
            <w:tcW w:w="1398" w:type="dxa"/>
            <w:vAlign w:val="top"/>
          </w:tcPr>
          <w:p w14:paraId="3D7381A9">
            <w:pPr>
              <w:spacing w:before="105"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8.9233043</w:t>
            </w:r>
          </w:p>
        </w:tc>
        <w:tc>
          <w:tcPr>
            <w:tcW w:w="1398" w:type="dxa"/>
            <w:vAlign w:val="top"/>
          </w:tcPr>
          <w:p w14:paraId="3CCA7D12">
            <w:pPr>
              <w:spacing w:before="105"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8.9200006</w:t>
            </w:r>
          </w:p>
        </w:tc>
        <w:tc>
          <w:tcPr>
            <w:tcW w:w="1412" w:type="dxa"/>
            <w:tcBorders>
              <w:right w:val="single" w:color="000000" w:sz="10" w:space="0"/>
            </w:tcBorders>
            <w:vAlign w:val="top"/>
          </w:tcPr>
          <w:p w14:paraId="25BAFAA0">
            <w:pPr>
              <w:spacing w:before="105"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26AFBA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07B8A438">
            <w:pPr>
              <w:spacing w:before="106" w:line="195" w:lineRule="auto"/>
              <w:ind w:left="4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1537" w:type="dxa"/>
            <w:vAlign w:val="top"/>
          </w:tcPr>
          <w:p w14:paraId="2DFBD795">
            <w:pPr>
              <w:spacing w:before="106" w:line="195"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31.784</w:t>
            </w:r>
          </w:p>
        </w:tc>
        <w:tc>
          <w:tcPr>
            <w:tcW w:w="1537" w:type="dxa"/>
            <w:vAlign w:val="top"/>
          </w:tcPr>
          <w:p w14:paraId="6C42398A">
            <w:pPr>
              <w:spacing w:before="106" w:line="195" w:lineRule="auto"/>
              <w:ind w:left="4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31.236</w:t>
            </w:r>
          </w:p>
        </w:tc>
        <w:tc>
          <w:tcPr>
            <w:tcW w:w="1397" w:type="dxa"/>
            <w:vAlign w:val="top"/>
          </w:tcPr>
          <w:p w14:paraId="79FE10A5">
            <w:pPr>
              <w:spacing w:before="106"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30.294</w:t>
            </w:r>
          </w:p>
        </w:tc>
        <w:tc>
          <w:tcPr>
            <w:tcW w:w="1397" w:type="dxa"/>
            <w:vAlign w:val="top"/>
          </w:tcPr>
          <w:p w14:paraId="5F22DFB5">
            <w:pPr>
              <w:spacing w:before="106"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26.3808214</w:t>
            </w:r>
          </w:p>
        </w:tc>
        <w:tc>
          <w:tcPr>
            <w:tcW w:w="1397" w:type="dxa"/>
            <w:vAlign w:val="top"/>
          </w:tcPr>
          <w:p w14:paraId="710D18F3">
            <w:pPr>
              <w:spacing w:before="106"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16.6968167</w:t>
            </w:r>
          </w:p>
        </w:tc>
        <w:tc>
          <w:tcPr>
            <w:tcW w:w="1398" w:type="dxa"/>
            <w:vAlign w:val="top"/>
          </w:tcPr>
          <w:p w14:paraId="6645CCE2">
            <w:pPr>
              <w:spacing w:before="106"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10.9400581</w:t>
            </w:r>
          </w:p>
        </w:tc>
        <w:tc>
          <w:tcPr>
            <w:tcW w:w="1398" w:type="dxa"/>
            <w:vAlign w:val="top"/>
          </w:tcPr>
          <w:p w14:paraId="6766A6F4">
            <w:pPr>
              <w:spacing w:before="106"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8.9470372</w:t>
            </w:r>
          </w:p>
        </w:tc>
        <w:tc>
          <w:tcPr>
            <w:tcW w:w="1398" w:type="dxa"/>
            <w:vAlign w:val="top"/>
          </w:tcPr>
          <w:p w14:paraId="6BC926F2">
            <w:pPr>
              <w:spacing w:before="106"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8.9200419</w:t>
            </w:r>
          </w:p>
        </w:tc>
        <w:tc>
          <w:tcPr>
            <w:tcW w:w="1412" w:type="dxa"/>
            <w:tcBorders>
              <w:right w:val="single" w:color="000000" w:sz="10" w:space="0"/>
            </w:tcBorders>
            <w:vAlign w:val="top"/>
          </w:tcPr>
          <w:p w14:paraId="62B197D1">
            <w:pPr>
              <w:spacing w:before="106"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8.9200000</w:t>
            </w:r>
          </w:p>
        </w:tc>
      </w:tr>
      <w:tr w14:paraId="3D49D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152" w:type="dxa"/>
            <w:tcBorders>
              <w:left w:val="single" w:color="000000" w:sz="10" w:space="0"/>
            </w:tcBorders>
            <w:vAlign w:val="top"/>
          </w:tcPr>
          <w:p w14:paraId="4870EAF1">
            <w:pPr>
              <w:spacing w:before="108"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537" w:type="dxa"/>
            <w:vAlign w:val="top"/>
          </w:tcPr>
          <w:p w14:paraId="4CC4932D">
            <w:pPr>
              <w:spacing w:before="108"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29.352</w:t>
            </w:r>
          </w:p>
        </w:tc>
        <w:tc>
          <w:tcPr>
            <w:tcW w:w="1537" w:type="dxa"/>
            <w:vAlign w:val="top"/>
          </w:tcPr>
          <w:p w14:paraId="1A910C94">
            <w:pPr>
              <w:spacing w:before="108"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28.960</w:t>
            </w:r>
          </w:p>
        </w:tc>
        <w:tc>
          <w:tcPr>
            <w:tcW w:w="1397" w:type="dxa"/>
            <w:vAlign w:val="top"/>
          </w:tcPr>
          <w:p w14:paraId="51577209">
            <w:pPr>
              <w:spacing w:before="108"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28.280</w:t>
            </w:r>
          </w:p>
        </w:tc>
        <w:tc>
          <w:tcPr>
            <w:tcW w:w="1397" w:type="dxa"/>
            <w:vAlign w:val="top"/>
          </w:tcPr>
          <w:p w14:paraId="6F6EBD25">
            <w:pPr>
              <w:spacing w:before="108"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25.3883539</w:t>
            </w:r>
          </w:p>
        </w:tc>
        <w:tc>
          <w:tcPr>
            <w:tcW w:w="1397" w:type="dxa"/>
            <w:vAlign w:val="top"/>
          </w:tcPr>
          <w:p w14:paraId="155557FD">
            <w:pPr>
              <w:spacing w:before="108"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17.5426339</w:t>
            </w:r>
          </w:p>
        </w:tc>
        <w:tc>
          <w:tcPr>
            <w:tcW w:w="1398" w:type="dxa"/>
            <w:vAlign w:val="top"/>
          </w:tcPr>
          <w:p w14:paraId="1FA64AF6">
            <w:pPr>
              <w:spacing w:before="108"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11.8528479</w:t>
            </w:r>
          </w:p>
        </w:tc>
        <w:tc>
          <w:tcPr>
            <w:tcW w:w="1398" w:type="dxa"/>
            <w:vAlign w:val="top"/>
          </w:tcPr>
          <w:p w14:paraId="5F5235A9">
            <w:pPr>
              <w:spacing w:before="108"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9.0130183</w:t>
            </w:r>
          </w:p>
        </w:tc>
        <w:tc>
          <w:tcPr>
            <w:tcW w:w="1398" w:type="dxa"/>
            <w:vAlign w:val="top"/>
          </w:tcPr>
          <w:p w14:paraId="4E294EC4">
            <w:pPr>
              <w:spacing w:before="108"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8.9205254</w:t>
            </w:r>
          </w:p>
        </w:tc>
        <w:tc>
          <w:tcPr>
            <w:tcW w:w="1412" w:type="dxa"/>
            <w:tcBorders>
              <w:right w:val="single" w:color="000000" w:sz="10" w:space="0"/>
            </w:tcBorders>
            <w:vAlign w:val="top"/>
          </w:tcPr>
          <w:p w14:paraId="4C5430B5">
            <w:pPr>
              <w:spacing w:before="108"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8.9200005</w:t>
            </w:r>
          </w:p>
        </w:tc>
      </w:tr>
      <w:tr w14:paraId="30502D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1F671207">
            <w:pPr>
              <w:spacing w:before="110"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1537" w:type="dxa"/>
            <w:vAlign w:val="top"/>
          </w:tcPr>
          <w:p w14:paraId="3BE08227">
            <w:pPr>
              <w:spacing w:before="110"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27.556</w:t>
            </w:r>
          </w:p>
        </w:tc>
        <w:tc>
          <w:tcPr>
            <w:tcW w:w="1537" w:type="dxa"/>
            <w:vAlign w:val="top"/>
          </w:tcPr>
          <w:p w14:paraId="0E155405">
            <w:pPr>
              <w:spacing w:before="110"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27.257</w:t>
            </w:r>
          </w:p>
        </w:tc>
        <w:tc>
          <w:tcPr>
            <w:tcW w:w="1397" w:type="dxa"/>
            <w:vAlign w:val="top"/>
          </w:tcPr>
          <w:p w14:paraId="0893BCFF">
            <w:pPr>
              <w:spacing w:before="110"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26.737</w:t>
            </w:r>
          </w:p>
        </w:tc>
        <w:tc>
          <w:tcPr>
            <w:tcW w:w="1397" w:type="dxa"/>
            <w:vAlign w:val="top"/>
          </w:tcPr>
          <w:p w14:paraId="78C46B65">
            <w:pPr>
              <w:spacing w:before="110"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24.4902024</w:t>
            </w:r>
          </w:p>
        </w:tc>
        <w:tc>
          <w:tcPr>
            <w:tcW w:w="1397" w:type="dxa"/>
            <w:vAlign w:val="top"/>
          </w:tcPr>
          <w:p w14:paraId="18BB3534">
            <w:pPr>
              <w:spacing w:before="110"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18.0006942</w:t>
            </w:r>
          </w:p>
        </w:tc>
        <w:tc>
          <w:tcPr>
            <w:tcW w:w="1398" w:type="dxa"/>
            <w:vAlign w:val="top"/>
          </w:tcPr>
          <w:p w14:paraId="7A2808B5">
            <w:pPr>
              <w:spacing w:before="110"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12.6168093</w:t>
            </w:r>
          </w:p>
        </w:tc>
        <w:tc>
          <w:tcPr>
            <w:tcW w:w="1398" w:type="dxa"/>
            <w:vAlign w:val="top"/>
          </w:tcPr>
          <w:p w14:paraId="4F44C156">
            <w:pPr>
              <w:spacing w:before="110"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9.1283976</w:t>
            </w:r>
          </w:p>
        </w:tc>
        <w:tc>
          <w:tcPr>
            <w:tcW w:w="1398" w:type="dxa"/>
            <w:vAlign w:val="top"/>
          </w:tcPr>
          <w:p w14:paraId="1DE7B830">
            <w:pPr>
              <w:spacing w:before="110"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8.9227893</w:t>
            </w:r>
          </w:p>
        </w:tc>
        <w:tc>
          <w:tcPr>
            <w:tcW w:w="1412" w:type="dxa"/>
            <w:tcBorders>
              <w:right w:val="single" w:color="000000" w:sz="10" w:space="0"/>
            </w:tcBorders>
            <w:vAlign w:val="top"/>
          </w:tcPr>
          <w:p w14:paraId="3F58F4BE">
            <w:pPr>
              <w:spacing w:before="110"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8.9200089</w:t>
            </w:r>
          </w:p>
        </w:tc>
      </w:tr>
      <w:tr w14:paraId="430CC1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152" w:type="dxa"/>
            <w:tcBorders>
              <w:left w:val="single" w:color="000000" w:sz="10" w:space="0"/>
            </w:tcBorders>
            <w:vAlign w:val="top"/>
          </w:tcPr>
          <w:p w14:paraId="2BD669A0">
            <w:pPr>
              <w:spacing w:before="111" w:line="195" w:lineRule="auto"/>
              <w:ind w:left="4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700</w:t>
            </w:r>
          </w:p>
        </w:tc>
        <w:tc>
          <w:tcPr>
            <w:tcW w:w="1537" w:type="dxa"/>
            <w:vAlign w:val="top"/>
          </w:tcPr>
          <w:p w14:paraId="4FC28208">
            <w:pPr>
              <w:spacing w:before="111"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26.159</w:t>
            </w:r>
          </w:p>
        </w:tc>
        <w:tc>
          <w:tcPr>
            <w:tcW w:w="1537" w:type="dxa"/>
            <w:vAlign w:val="top"/>
          </w:tcPr>
          <w:p w14:paraId="5ED51D26">
            <w:pPr>
              <w:spacing w:before="111"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25.921</w:t>
            </w:r>
          </w:p>
        </w:tc>
        <w:tc>
          <w:tcPr>
            <w:tcW w:w="1397" w:type="dxa"/>
            <w:vAlign w:val="top"/>
          </w:tcPr>
          <w:p w14:paraId="714DDDFC">
            <w:pPr>
              <w:spacing w:before="111"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25.507</w:t>
            </w:r>
          </w:p>
        </w:tc>
        <w:tc>
          <w:tcPr>
            <w:tcW w:w="1397" w:type="dxa"/>
            <w:vAlign w:val="top"/>
          </w:tcPr>
          <w:p w14:paraId="2AA84994">
            <w:pPr>
              <w:spacing w:before="111"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23.6972993</w:t>
            </w:r>
          </w:p>
        </w:tc>
        <w:tc>
          <w:tcPr>
            <w:tcW w:w="1397" w:type="dxa"/>
            <w:vAlign w:val="top"/>
          </w:tcPr>
          <w:p w14:paraId="6FF47EEF">
            <w:pPr>
              <w:spacing w:before="111"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18.2283663</w:t>
            </w:r>
          </w:p>
        </w:tc>
        <w:tc>
          <w:tcPr>
            <w:tcW w:w="1398" w:type="dxa"/>
            <w:vAlign w:val="top"/>
          </w:tcPr>
          <w:p w14:paraId="47814375">
            <w:pPr>
              <w:spacing w:before="111"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13.2286127</w:t>
            </w:r>
          </w:p>
        </w:tc>
        <w:tc>
          <w:tcPr>
            <w:tcW w:w="1398" w:type="dxa"/>
            <w:vAlign w:val="top"/>
          </w:tcPr>
          <w:p w14:paraId="111F1E89">
            <w:pPr>
              <w:spacing w:before="111"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9.2862876</w:t>
            </w:r>
          </w:p>
        </w:tc>
        <w:tc>
          <w:tcPr>
            <w:tcW w:w="1398" w:type="dxa"/>
            <w:vAlign w:val="top"/>
          </w:tcPr>
          <w:p w14:paraId="4028AC59">
            <w:pPr>
              <w:spacing w:before="111"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8.9290792</w:t>
            </w:r>
          </w:p>
        </w:tc>
        <w:tc>
          <w:tcPr>
            <w:tcW w:w="1412" w:type="dxa"/>
            <w:tcBorders>
              <w:right w:val="single" w:color="000000" w:sz="10" w:space="0"/>
            </w:tcBorders>
            <w:vAlign w:val="top"/>
          </w:tcPr>
          <w:p w14:paraId="3C862444">
            <w:pPr>
              <w:spacing w:before="111"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8.9200656</w:t>
            </w:r>
          </w:p>
        </w:tc>
      </w:tr>
      <w:tr w14:paraId="6B022B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13F88D05">
            <w:pPr>
              <w:spacing w:before="113" w:line="195" w:lineRule="auto"/>
              <w:ind w:left="413"/>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c>
          <w:tcPr>
            <w:tcW w:w="1537" w:type="dxa"/>
            <w:vAlign w:val="top"/>
          </w:tcPr>
          <w:p w14:paraId="5DF517A6">
            <w:pPr>
              <w:spacing w:before="113"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25.031</w:t>
            </w:r>
          </w:p>
        </w:tc>
        <w:tc>
          <w:tcPr>
            <w:tcW w:w="1537" w:type="dxa"/>
            <w:vAlign w:val="top"/>
          </w:tcPr>
          <w:p w14:paraId="6D3B71CE">
            <w:pPr>
              <w:spacing w:before="113"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24.837</w:t>
            </w:r>
          </w:p>
        </w:tc>
        <w:tc>
          <w:tcPr>
            <w:tcW w:w="1397" w:type="dxa"/>
            <w:vAlign w:val="top"/>
          </w:tcPr>
          <w:p w14:paraId="625E1DAB">
            <w:pPr>
              <w:spacing w:before="113"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24.497</w:t>
            </w:r>
          </w:p>
        </w:tc>
        <w:tc>
          <w:tcPr>
            <w:tcW w:w="1397" w:type="dxa"/>
            <w:vAlign w:val="top"/>
          </w:tcPr>
          <w:p w14:paraId="5A6BB7EF">
            <w:pPr>
              <w:spacing w:before="113"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22.9994440</w:t>
            </w:r>
          </w:p>
        </w:tc>
        <w:tc>
          <w:tcPr>
            <w:tcW w:w="1397" w:type="dxa"/>
            <w:vAlign w:val="top"/>
          </w:tcPr>
          <w:p w14:paraId="4C66065E">
            <w:pPr>
              <w:spacing w:before="113"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18.3162400</w:t>
            </w:r>
          </w:p>
        </w:tc>
        <w:tc>
          <w:tcPr>
            <w:tcW w:w="1398" w:type="dxa"/>
            <w:vAlign w:val="top"/>
          </w:tcPr>
          <w:p w14:paraId="014C2138">
            <w:pPr>
              <w:spacing w:before="113"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13.7088926</w:t>
            </w:r>
          </w:p>
        </w:tc>
        <w:tc>
          <w:tcPr>
            <w:tcW w:w="1398" w:type="dxa"/>
            <w:vAlign w:val="top"/>
          </w:tcPr>
          <w:p w14:paraId="1933025E">
            <w:pPr>
              <w:spacing w:before="113"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9.4740313</w:t>
            </w:r>
          </w:p>
        </w:tc>
        <w:tc>
          <w:tcPr>
            <w:tcW w:w="1398" w:type="dxa"/>
            <w:vAlign w:val="top"/>
          </w:tcPr>
          <w:p w14:paraId="07E49C18">
            <w:pPr>
              <w:spacing w:before="113"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8.9418013</w:t>
            </w:r>
          </w:p>
        </w:tc>
        <w:tc>
          <w:tcPr>
            <w:tcW w:w="1412" w:type="dxa"/>
            <w:tcBorders>
              <w:right w:val="single" w:color="000000" w:sz="10" w:space="0"/>
            </w:tcBorders>
            <w:vAlign w:val="top"/>
          </w:tcPr>
          <w:p w14:paraId="039B0C38">
            <w:pPr>
              <w:spacing w:before="113"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8.9202918</w:t>
            </w:r>
          </w:p>
        </w:tc>
      </w:tr>
      <w:tr w14:paraId="191570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152" w:type="dxa"/>
            <w:tcBorders>
              <w:left w:val="single" w:color="000000" w:sz="10" w:space="0"/>
            </w:tcBorders>
            <w:vAlign w:val="top"/>
          </w:tcPr>
          <w:p w14:paraId="61CAF5A3">
            <w:pPr>
              <w:spacing w:before="114" w:line="195"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900</w:t>
            </w:r>
          </w:p>
        </w:tc>
        <w:tc>
          <w:tcPr>
            <w:tcW w:w="1537" w:type="dxa"/>
            <w:vAlign w:val="top"/>
          </w:tcPr>
          <w:p w14:paraId="07DBEBA9">
            <w:pPr>
              <w:spacing w:before="114"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24.097</w:t>
            </w:r>
          </w:p>
        </w:tc>
        <w:tc>
          <w:tcPr>
            <w:tcW w:w="1537" w:type="dxa"/>
            <w:vAlign w:val="top"/>
          </w:tcPr>
          <w:p w14:paraId="1B5471A1">
            <w:pPr>
              <w:spacing w:before="114"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23.934</w:t>
            </w:r>
          </w:p>
        </w:tc>
        <w:tc>
          <w:tcPr>
            <w:tcW w:w="1397" w:type="dxa"/>
            <w:vAlign w:val="top"/>
          </w:tcPr>
          <w:p w14:paraId="2D3AF562">
            <w:pPr>
              <w:spacing w:before="114"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23.649</w:t>
            </w:r>
          </w:p>
        </w:tc>
        <w:tc>
          <w:tcPr>
            <w:tcW w:w="1397" w:type="dxa"/>
            <w:vAlign w:val="top"/>
          </w:tcPr>
          <w:p w14:paraId="03DBC484">
            <w:pPr>
              <w:spacing w:before="114"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22.3828535</w:t>
            </w:r>
          </w:p>
        </w:tc>
        <w:tc>
          <w:tcPr>
            <w:tcW w:w="1397" w:type="dxa"/>
            <w:vAlign w:val="top"/>
          </w:tcPr>
          <w:p w14:paraId="0B4425E0">
            <w:pPr>
              <w:spacing w:before="114"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18.3176727</w:t>
            </w:r>
          </w:p>
        </w:tc>
        <w:tc>
          <w:tcPr>
            <w:tcW w:w="1398" w:type="dxa"/>
            <w:vAlign w:val="top"/>
          </w:tcPr>
          <w:p w14:paraId="58A20017">
            <w:pPr>
              <w:spacing w:before="114"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14.0820909</w:t>
            </w:r>
          </w:p>
        </w:tc>
        <w:tc>
          <w:tcPr>
            <w:tcW w:w="1398" w:type="dxa"/>
            <w:vAlign w:val="top"/>
          </w:tcPr>
          <w:p w14:paraId="4DDC6F4E">
            <w:pPr>
              <w:spacing w:before="114"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9.6789317</w:t>
            </w:r>
          </w:p>
        </w:tc>
        <w:tc>
          <w:tcPr>
            <w:tcW w:w="1398" w:type="dxa"/>
            <w:vAlign w:val="top"/>
          </w:tcPr>
          <w:p w14:paraId="2E085E95">
            <w:pPr>
              <w:spacing w:before="114"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8.9627827</w:t>
            </w:r>
          </w:p>
        </w:tc>
        <w:tc>
          <w:tcPr>
            <w:tcW w:w="1412" w:type="dxa"/>
            <w:tcBorders>
              <w:right w:val="single" w:color="000000" w:sz="10" w:space="0"/>
            </w:tcBorders>
            <w:vAlign w:val="top"/>
          </w:tcPr>
          <w:p w14:paraId="1D91713A">
            <w:pPr>
              <w:spacing w:before="114"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8.9209247</w:t>
            </w:r>
          </w:p>
        </w:tc>
      </w:tr>
      <w:tr w14:paraId="4AA7F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2209CA09">
            <w:pPr>
              <w:spacing w:before="117" w:line="195"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1000</w:t>
            </w:r>
          </w:p>
        </w:tc>
        <w:tc>
          <w:tcPr>
            <w:tcW w:w="1537" w:type="dxa"/>
            <w:vAlign w:val="top"/>
          </w:tcPr>
          <w:p w14:paraId="39098162">
            <w:pPr>
              <w:spacing w:before="117"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23.305</w:t>
            </w:r>
          </w:p>
        </w:tc>
        <w:tc>
          <w:tcPr>
            <w:tcW w:w="1537" w:type="dxa"/>
            <w:vAlign w:val="top"/>
          </w:tcPr>
          <w:p w14:paraId="6609310E">
            <w:pPr>
              <w:spacing w:before="117"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23.166</w:t>
            </w:r>
          </w:p>
        </w:tc>
        <w:tc>
          <w:tcPr>
            <w:tcW w:w="1397" w:type="dxa"/>
            <w:vAlign w:val="top"/>
          </w:tcPr>
          <w:p w14:paraId="5D8EB969">
            <w:pPr>
              <w:spacing w:before="117"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22.923</w:t>
            </w:r>
          </w:p>
        </w:tc>
        <w:tc>
          <w:tcPr>
            <w:tcW w:w="1397" w:type="dxa"/>
            <w:vAlign w:val="top"/>
          </w:tcPr>
          <w:p w14:paraId="44F2D0DD">
            <w:pPr>
              <w:spacing w:before="117"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21.8347284</w:t>
            </w:r>
          </w:p>
        </w:tc>
        <w:tc>
          <w:tcPr>
            <w:tcW w:w="1397" w:type="dxa"/>
            <w:vAlign w:val="top"/>
          </w:tcPr>
          <w:p w14:paraId="283F00E4">
            <w:pPr>
              <w:spacing w:before="117"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18.2650182</w:t>
            </w:r>
          </w:p>
        </w:tc>
        <w:tc>
          <w:tcPr>
            <w:tcW w:w="1398" w:type="dxa"/>
            <w:vAlign w:val="top"/>
          </w:tcPr>
          <w:p w14:paraId="49CC020A">
            <w:pPr>
              <w:spacing w:before="117"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14.3701060</w:t>
            </w:r>
          </w:p>
        </w:tc>
        <w:tc>
          <w:tcPr>
            <w:tcW w:w="1398" w:type="dxa"/>
            <w:vAlign w:val="top"/>
          </w:tcPr>
          <w:p w14:paraId="498F4677">
            <w:pPr>
              <w:spacing w:before="117"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9.8906090</w:t>
            </w:r>
          </w:p>
        </w:tc>
        <w:tc>
          <w:tcPr>
            <w:tcW w:w="1398" w:type="dxa"/>
            <w:vAlign w:val="top"/>
          </w:tcPr>
          <w:p w14:paraId="3CB4189B">
            <w:pPr>
              <w:spacing w:before="117"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8.9929463</w:t>
            </w:r>
          </w:p>
        </w:tc>
        <w:tc>
          <w:tcPr>
            <w:tcW w:w="1412" w:type="dxa"/>
            <w:tcBorders>
              <w:right w:val="single" w:color="000000" w:sz="10" w:space="0"/>
            </w:tcBorders>
            <w:vAlign w:val="top"/>
          </w:tcPr>
          <w:p w14:paraId="03B3A42B">
            <w:pPr>
              <w:spacing w:before="117"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8.9223136</w:t>
            </w:r>
          </w:p>
        </w:tc>
      </w:tr>
      <w:tr w14:paraId="0955A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1152" w:type="dxa"/>
            <w:tcBorders>
              <w:left w:val="single" w:color="000000" w:sz="10" w:space="0"/>
            </w:tcBorders>
            <w:vAlign w:val="top"/>
          </w:tcPr>
          <w:p w14:paraId="77BC0E58">
            <w:pPr>
              <w:spacing w:before="118" w:line="195"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1500</w:t>
            </w:r>
          </w:p>
        </w:tc>
        <w:tc>
          <w:tcPr>
            <w:tcW w:w="1537" w:type="dxa"/>
            <w:vAlign w:val="top"/>
          </w:tcPr>
          <w:p w14:paraId="6A80CF21">
            <w:pPr>
              <w:spacing w:before="118"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20.615</w:t>
            </w:r>
          </w:p>
        </w:tc>
        <w:tc>
          <w:tcPr>
            <w:tcW w:w="1537" w:type="dxa"/>
            <w:vAlign w:val="top"/>
          </w:tcPr>
          <w:p w14:paraId="09F299B8">
            <w:pPr>
              <w:spacing w:before="118" w:line="195" w:lineRule="auto"/>
              <w:ind w:left="4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20.539</w:t>
            </w:r>
          </w:p>
        </w:tc>
        <w:tc>
          <w:tcPr>
            <w:tcW w:w="1397" w:type="dxa"/>
            <w:vAlign w:val="top"/>
          </w:tcPr>
          <w:p w14:paraId="356072BD">
            <w:pPr>
              <w:spacing w:before="118"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20.406</w:t>
            </w:r>
          </w:p>
        </w:tc>
        <w:tc>
          <w:tcPr>
            <w:tcW w:w="1397" w:type="dxa"/>
            <w:vAlign w:val="top"/>
          </w:tcPr>
          <w:p w14:paraId="1B9E733C">
            <w:pPr>
              <w:spacing w:before="118"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19.8034445</w:t>
            </w:r>
          </w:p>
        </w:tc>
        <w:tc>
          <w:tcPr>
            <w:tcW w:w="1397" w:type="dxa"/>
            <w:vAlign w:val="top"/>
          </w:tcPr>
          <w:p w14:paraId="31A678B7">
            <w:pPr>
              <w:spacing w:before="118"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17.6919528</w:t>
            </w:r>
          </w:p>
        </w:tc>
        <w:tc>
          <w:tcPr>
            <w:tcW w:w="1398" w:type="dxa"/>
            <w:vAlign w:val="top"/>
          </w:tcPr>
          <w:p w14:paraId="5B6B18AC">
            <w:pPr>
              <w:spacing w:before="118"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15.0432146</w:t>
            </w:r>
          </w:p>
        </w:tc>
        <w:tc>
          <w:tcPr>
            <w:tcW w:w="1398" w:type="dxa"/>
            <w:vAlign w:val="top"/>
          </w:tcPr>
          <w:p w14:paraId="59408C37">
            <w:pPr>
              <w:spacing w:before="118"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10.8582318</w:t>
            </w:r>
          </w:p>
        </w:tc>
        <w:tc>
          <w:tcPr>
            <w:tcW w:w="1398" w:type="dxa"/>
            <w:vAlign w:val="top"/>
          </w:tcPr>
          <w:p w14:paraId="554C2395">
            <w:pPr>
              <w:spacing w:before="11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9.2651795</w:t>
            </w:r>
          </w:p>
        </w:tc>
        <w:tc>
          <w:tcPr>
            <w:tcW w:w="1412" w:type="dxa"/>
            <w:tcBorders>
              <w:right w:val="single" w:color="000000" w:sz="10" w:space="0"/>
            </w:tcBorders>
            <w:vAlign w:val="top"/>
          </w:tcPr>
          <w:p w14:paraId="77A11DB2">
            <w:pPr>
              <w:spacing w:before="118"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8.9545858</w:t>
            </w:r>
          </w:p>
        </w:tc>
      </w:tr>
      <w:tr w14:paraId="2F96D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037BE1C1">
            <w:pPr>
              <w:spacing w:before="118" w:line="195"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w:t>
            </w:r>
          </w:p>
        </w:tc>
        <w:tc>
          <w:tcPr>
            <w:tcW w:w="1537" w:type="dxa"/>
            <w:vAlign w:val="top"/>
          </w:tcPr>
          <w:p w14:paraId="53CA6613">
            <w:pPr>
              <w:spacing w:before="118" w:line="195" w:lineRule="auto"/>
              <w:ind w:left="490"/>
              <w:rPr>
                <w:rFonts w:ascii="Times New Roman" w:hAnsi="Times New Roman" w:eastAsia="Times New Roman" w:cs="Times New Roman"/>
                <w:sz w:val="20"/>
                <w:szCs w:val="20"/>
              </w:rPr>
            </w:pPr>
            <w:r>
              <w:rPr>
                <w:rFonts w:ascii="Times New Roman" w:hAnsi="Times New Roman" w:eastAsia="Times New Roman" w:cs="Times New Roman"/>
                <w:sz w:val="20"/>
                <w:szCs w:val="20"/>
              </w:rPr>
              <w:t>19.004</w:t>
            </w:r>
          </w:p>
        </w:tc>
        <w:tc>
          <w:tcPr>
            <w:tcW w:w="1537" w:type="dxa"/>
            <w:vAlign w:val="top"/>
          </w:tcPr>
          <w:p w14:paraId="0C04CAE6">
            <w:pPr>
              <w:spacing w:before="118"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18.955</w:t>
            </w:r>
          </w:p>
        </w:tc>
        <w:tc>
          <w:tcPr>
            <w:tcW w:w="1397" w:type="dxa"/>
            <w:vAlign w:val="top"/>
          </w:tcPr>
          <w:p w14:paraId="41690526">
            <w:pPr>
              <w:spacing w:before="118"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18.869</w:t>
            </w:r>
          </w:p>
        </w:tc>
        <w:tc>
          <w:tcPr>
            <w:tcW w:w="1397" w:type="dxa"/>
            <w:vAlign w:val="top"/>
          </w:tcPr>
          <w:p w14:paraId="3E16292A">
            <w:pPr>
              <w:spacing w:before="118"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18.4747182</w:t>
            </w:r>
          </w:p>
        </w:tc>
        <w:tc>
          <w:tcPr>
            <w:tcW w:w="1397" w:type="dxa"/>
            <w:vAlign w:val="top"/>
          </w:tcPr>
          <w:p w14:paraId="4BBE1740">
            <w:pPr>
              <w:spacing w:before="118"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17.0476561</w:t>
            </w:r>
          </w:p>
        </w:tc>
        <w:tc>
          <w:tcPr>
            <w:tcW w:w="1398" w:type="dxa"/>
            <w:vAlign w:val="top"/>
          </w:tcPr>
          <w:p w14:paraId="351250EE">
            <w:pPr>
              <w:spacing w:before="118"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15.1269424</w:t>
            </w:r>
          </w:p>
        </w:tc>
        <w:tc>
          <w:tcPr>
            <w:tcW w:w="1398" w:type="dxa"/>
            <w:vAlign w:val="top"/>
          </w:tcPr>
          <w:p w14:paraId="2D78CA25">
            <w:pPr>
              <w:spacing w:before="118"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11.5393733</w:t>
            </w:r>
          </w:p>
        </w:tc>
        <w:tc>
          <w:tcPr>
            <w:tcW w:w="1398" w:type="dxa"/>
            <w:vAlign w:val="top"/>
          </w:tcPr>
          <w:p w14:paraId="656F18A2">
            <w:pPr>
              <w:spacing w:before="11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9.6380867</w:t>
            </w:r>
          </w:p>
        </w:tc>
        <w:tc>
          <w:tcPr>
            <w:tcW w:w="1412" w:type="dxa"/>
            <w:tcBorders>
              <w:right w:val="single" w:color="000000" w:sz="10" w:space="0"/>
            </w:tcBorders>
            <w:vAlign w:val="top"/>
          </w:tcPr>
          <w:p w14:paraId="67556955">
            <w:pPr>
              <w:spacing w:before="118"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9.0478840</w:t>
            </w:r>
          </w:p>
        </w:tc>
      </w:tr>
      <w:tr w14:paraId="730AE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7D475E5B">
            <w:pPr>
              <w:spacing w:before="119"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3000</w:t>
            </w:r>
          </w:p>
        </w:tc>
        <w:tc>
          <w:tcPr>
            <w:tcW w:w="1537" w:type="dxa"/>
            <w:vAlign w:val="top"/>
          </w:tcPr>
          <w:p w14:paraId="569694D6">
            <w:pPr>
              <w:spacing w:before="119" w:line="195" w:lineRule="auto"/>
              <w:ind w:left="490"/>
              <w:rPr>
                <w:rFonts w:ascii="Times New Roman" w:hAnsi="Times New Roman" w:eastAsia="Times New Roman" w:cs="Times New Roman"/>
                <w:sz w:val="20"/>
                <w:szCs w:val="20"/>
              </w:rPr>
            </w:pPr>
            <w:r>
              <w:rPr>
                <w:rFonts w:ascii="Times New Roman" w:hAnsi="Times New Roman" w:eastAsia="Times New Roman" w:cs="Times New Roman"/>
                <w:sz w:val="20"/>
                <w:szCs w:val="20"/>
              </w:rPr>
              <w:t>17.082</w:t>
            </w:r>
          </w:p>
        </w:tc>
        <w:tc>
          <w:tcPr>
            <w:tcW w:w="1537" w:type="dxa"/>
            <w:vAlign w:val="top"/>
          </w:tcPr>
          <w:p w14:paraId="791BBD22">
            <w:pPr>
              <w:spacing w:before="119"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17.056</w:t>
            </w:r>
          </w:p>
        </w:tc>
        <w:tc>
          <w:tcPr>
            <w:tcW w:w="1397" w:type="dxa"/>
            <w:vAlign w:val="top"/>
          </w:tcPr>
          <w:p w14:paraId="23B1682A">
            <w:pPr>
              <w:spacing w:before="119"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17.009</w:t>
            </w:r>
          </w:p>
        </w:tc>
        <w:tc>
          <w:tcPr>
            <w:tcW w:w="1397" w:type="dxa"/>
            <w:vAlign w:val="top"/>
          </w:tcPr>
          <w:p w14:paraId="210EF40F">
            <w:pPr>
              <w:spacing w:before="119"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16.7942314</w:t>
            </w:r>
          </w:p>
        </w:tc>
        <w:tc>
          <w:tcPr>
            <w:tcW w:w="1397" w:type="dxa"/>
            <w:vAlign w:val="top"/>
          </w:tcPr>
          <w:p w14:paraId="2EB13549">
            <w:pPr>
              <w:spacing w:before="119"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15.9892466</w:t>
            </w:r>
          </w:p>
        </w:tc>
        <w:tc>
          <w:tcPr>
            <w:tcW w:w="1398" w:type="dxa"/>
            <w:vAlign w:val="top"/>
          </w:tcPr>
          <w:p w14:paraId="4B38F796">
            <w:pPr>
              <w:spacing w:before="119"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14.8262895</w:t>
            </w:r>
          </w:p>
        </w:tc>
        <w:tc>
          <w:tcPr>
            <w:tcW w:w="1398" w:type="dxa"/>
            <w:vAlign w:val="top"/>
          </w:tcPr>
          <w:p w14:paraId="5FE52753">
            <w:pPr>
              <w:spacing w:before="119"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12.2429809</w:t>
            </w:r>
          </w:p>
        </w:tc>
        <w:tc>
          <w:tcPr>
            <w:tcW w:w="1398" w:type="dxa"/>
            <w:vAlign w:val="top"/>
          </w:tcPr>
          <w:p w14:paraId="31F0EEED">
            <w:pPr>
              <w:spacing w:before="119"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10.3223213</w:t>
            </w:r>
          </w:p>
        </w:tc>
        <w:tc>
          <w:tcPr>
            <w:tcW w:w="1412" w:type="dxa"/>
            <w:tcBorders>
              <w:right w:val="single" w:color="000000" w:sz="10" w:space="0"/>
            </w:tcBorders>
            <w:vAlign w:val="top"/>
          </w:tcPr>
          <w:p w14:paraId="349EC4E2">
            <w:pPr>
              <w:spacing w:before="119"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9.3638884</w:t>
            </w:r>
          </w:p>
        </w:tc>
      </w:tr>
      <w:tr w14:paraId="043A3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152" w:type="dxa"/>
            <w:tcBorders>
              <w:left w:val="single" w:color="000000" w:sz="10" w:space="0"/>
            </w:tcBorders>
            <w:vAlign w:val="top"/>
          </w:tcPr>
          <w:p w14:paraId="733ABAB0">
            <w:pPr>
              <w:spacing w:before="120" w:line="195" w:lineRule="auto"/>
              <w:ind w:left="35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4000</w:t>
            </w:r>
          </w:p>
        </w:tc>
        <w:tc>
          <w:tcPr>
            <w:tcW w:w="1537" w:type="dxa"/>
            <w:vAlign w:val="top"/>
          </w:tcPr>
          <w:p w14:paraId="4E8FFC1B">
            <w:pPr>
              <w:spacing w:before="120" w:line="195" w:lineRule="auto"/>
              <w:ind w:left="490"/>
              <w:rPr>
                <w:rFonts w:ascii="Times New Roman" w:hAnsi="Times New Roman" w:eastAsia="Times New Roman" w:cs="Times New Roman"/>
                <w:sz w:val="20"/>
                <w:szCs w:val="20"/>
              </w:rPr>
            </w:pPr>
            <w:r>
              <w:rPr>
                <w:rFonts w:ascii="Times New Roman" w:hAnsi="Times New Roman" w:eastAsia="Times New Roman" w:cs="Times New Roman"/>
                <w:sz w:val="20"/>
                <w:szCs w:val="20"/>
              </w:rPr>
              <w:t>15.928</w:t>
            </w:r>
          </w:p>
        </w:tc>
        <w:tc>
          <w:tcPr>
            <w:tcW w:w="1537" w:type="dxa"/>
            <w:vAlign w:val="top"/>
          </w:tcPr>
          <w:p w14:paraId="0BE834FC">
            <w:pPr>
              <w:spacing w:before="120"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15.911</w:t>
            </w:r>
          </w:p>
        </w:tc>
        <w:tc>
          <w:tcPr>
            <w:tcW w:w="1397" w:type="dxa"/>
            <w:vAlign w:val="top"/>
          </w:tcPr>
          <w:p w14:paraId="6DE088BD">
            <w:pPr>
              <w:spacing w:before="120"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15.881</w:t>
            </w:r>
          </w:p>
        </w:tc>
        <w:tc>
          <w:tcPr>
            <w:tcW w:w="1397" w:type="dxa"/>
            <w:vAlign w:val="top"/>
          </w:tcPr>
          <w:p w14:paraId="38C6BC7F">
            <w:pPr>
              <w:spacing w:before="120"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15.7413732</w:t>
            </w:r>
          </w:p>
        </w:tc>
        <w:tc>
          <w:tcPr>
            <w:tcW w:w="1397" w:type="dxa"/>
            <w:vAlign w:val="top"/>
          </w:tcPr>
          <w:p w14:paraId="33049A3A">
            <w:pPr>
              <w:spacing w:before="120"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15.2113744</w:t>
            </w:r>
          </w:p>
        </w:tc>
        <w:tc>
          <w:tcPr>
            <w:tcW w:w="1398" w:type="dxa"/>
            <w:vAlign w:val="top"/>
          </w:tcPr>
          <w:p w14:paraId="31AA4662">
            <w:pPr>
              <w:spacing w:before="120"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14.4179619</w:t>
            </w:r>
          </w:p>
        </w:tc>
        <w:tc>
          <w:tcPr>
            <w:tcW w:w="1398" w:type="dxa"/>
            <w:vAlign w:val="top"/>
          </w:tcPr>
          <w:p w14:paraId="1AD54CE1">
            <w:pPr>
              <w:spacing w:before="120"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12.4915897</w:t>
            </w:r>
          </w:p>
        </w:tc>
        <w:tc>
          <w:tcPr>
            <w:tcW w:w="1398" w:type="dxa"/>
            <w:vAlign w:val="top"/>
          </w:tcPr>
          <w:p w14:paraId="5E64B6AA">
            <w:pPr>
              <w:spacing w:before="120"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10.7900418</w:t>
            </w:r>
          </w:p>
        </w:tc>
        <w:tc>
          <w:tcPr>
            <w:tcW w:w="1412" w:type="dxa"/>
            <w:tcBorders>
              <w:right w:val="single" w:color="000000" w:sz="10" w:space="0"/>
            </w:tcBorders>
            <w:vAlign w:val="top"/>
          </w:tcPr>
          <w:p w14:paraId="70C2AC7A">
            <w:pPr>
              <w:spacing w:before="120"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9.7091708</w:t>
            </w:r>
          </w:p>
        </w:tc>
      </w:tr>
      <w:tr w14:paraId="2518B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152" w:type="dxa"/>
            <w:tcBorders>
              <w:left w:val="single" w:color="000000" w:sz="10" w:space="0"/>
              <w:bottom w:val="single" w:color="000000" w:sz="10" w:space="0"/>
            </w:tcBorders>
            <w:vAlign w:val="top"/>
          </w:tcPr>
          <w:p w14:paraId="4CDECDC6">
            <w:pPr>
              <w:spacing w:before="121" w:line="195" w:lineRule="auto"/>
              <w:ind w:left="3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w:t>
            </w:r>
          </w:p>
        </w:tc>
        <w:tc>
          <w:tcPr>
            <w:tcW w:w="1537" w:type="dxa"/>
            <w:tcBorders>
              <w:bottom w:val="single" w:color="000000" w:sz="10" w:space="0"/>
            </w:tcBorders>
            <w:vAlign w:val="top"/>
          </w:tcPr>
          <w:p w14:paraId="0FF29589">
            <w:pPr>
              <w:spacing w:before="121" w:line="195" w:lineRule="auto"/>
              <w:ind w:left="490"/>
              <w:rPr>
                <w:rFonts w:ascii="Times New Roman" w:hAnsi="Times New Roman" w:eastAsia="Times New Roman" w:cs="Times New Roman"/>
                <w:sz w:val="20"/>
                <w:szCs w:val="20"/>
              </w:rPr>
            </w:pPr>
            <w:r>
              <w:rPr>
                <w:rFonts w:ascii="Times New Roman" w:hAnsi="Times New Roman" w:eastAsia="Times New Roman" w:cs="Times New Roman"/>
                <w:sz w:val="20"/>
                <w:szCs w:val="20"/>
              </w:rPr>
              <w:t>13.393</w:t>
            </w:r>
          </w:p>
        </w:tc>
        <w:tc>
          <w:tcPr>
            <w:tcW w:w="1537" w:type="dxa"/>
            <w:tcBorders>
              <w:bottom w:val="single" w:color="000000" w:sz="10" w:space="0"/>
            </w:tcBorders>
            <w:vAlign w:val="top"/>
          </w:tcPr>
          <w:p w14:paraId="4AEC8EA8">
            <w:pPr>
              <w:spacing w:before="121" w:line="195" w:lineRule="auto"/>
              <w:ind w:left="492"/>
              <w:rPr>
                <w:rFonts w:ascii="Times New Roman" w:hAnsi="Times New Roman" w:eastAsia="Times New Roman" w:cs="Times New Roman"/>
                <w:sz w:val="20"/>
                <w:szCs w:val="20"/>
              </w:rPr>
            </w:pPr>
            <w:r>
              <w:rPr>
                <w:rFonts w:ascii="Times New Roman" w:hAnsi="Times New Roman" w:eastAsia="Times New Roman" w:cs="Times New Roman"/>
                <w:sz w:val="20"/>
                <w:szCs w:val="20"/>
              </w:rPr>
              <w:t>13.389</w:t>
            </w:r>
          </w:p>
        </w:tc>
        <w:tc>
          <w:tcPr>
            <w:tcW w:w="1397" w:type="dxa"/>
            <w:tcBorders>
              <w:bottom w:val="single" w:color="000000" w:sz="10" w:space="0"/>
            </w:tcBorders>
            <w:vAlign w:val="top"/>
          </w:tcPr>
          <w:p w14:paraId="543428C0">
            <w:pPr>
              <w:spacing w:before="121"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13.380</w:t>
            </w:r>
          </w:p>
        </w:tc>
        <w:tc>
          <w:tcPr>
            <w:tcW w:w="1397" w:type="dxa"/>
            <w:tcBorders>
              <w:bottom w:val="single" w:color="000000" w:sz="10" w:space="0"/>
            </w:tcBorders>
            <w:vAlign w:val="top"/>
          </w:tcPr>
          <w:p w14:paraId="086033F2">
            <w:pPr>
              <w:spacing w:before="121" w:line="195" w:lineRule="auto"/>
              <w:ind w:left="2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13.3401380</w:t>
            </w:r>
          </w:p>
        </w:tc>
        <w:tc>
          <w:tcPr>
            <w:tcW w:w="1397" w:type="dxa"/>
            <w:tcBorders>
              <w:bottom w:val="single" w:color="000000" w:sz="10" w:space="0"/>
            </w:tcBorders>
            <w:vAlign w:val="top"/>
          </w:tcPr>
          <w:p w14:paraId="68A71B61">
            <w:pPr>
              <w:spacing w:before="121" w:line="195" w:lineRule="auto"/>
              <w:ind w:left="2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13.1840683</w:t>
            </w:r>
          </w:p>
        </w:tc>
        <w:tc>
          <w:tcPr>
            <w:tcW w:w="1398" w:type="dxa"/>
            <w:tcBorders>
              <w:bottom w:val="single" w:color="000000" w:sz="10" w:space="0"/>
            </w:tcBorders>
            <w:vAlign w:val="top"/>
          </w:tcPr>
          <w:p w14:paraId="74AFDA96">
            <w:pPr>
              <w:spacing w:before="121"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12.9361015</w:t>
            </w:r>
          </w:p>
        </w:tc>
        <w:tc>
          <w:tcPr>
            <w:tcW w:w="1398" w:type="dxa"/>
            <w:tcBorders>
              <w:bottom w:val="single" w:color="000000" w:sz="10" w:space="0"/>
            </w:tcBorders>
            <w:vAlign w:val="top"/>
          </w:tcPr>
          <w:p w14:paraId="016E7A89">
            <w:pPr>
              <w:spacing w:before="121"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12.2354493</w:t>
            </w:r>
          </w:p>
        </w:tc>
        <w:tc>
          <w:tcPr>
            <w:tcW w:w="1398" w:type="dxa"/>
            <w:tcBorders>
              <w:bottom w:val="single" w:color="000000" w:sz="10" w:space="0"/>
            </w:tcBorders>
            <w:vAlign w:val="top"/>
          </w:tcPr>
          <w:p w14:paraId="2911B35D">
            <w:pPr>
              <w:spacing w:before="121"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11.4068463</w:t>
            </w:r>
          </w:p>
        </w:tc>
        <w:tc>
          <w:tcPr>
            <w:tcW w:w="1412" w:type="dxa"/>
            <w:tcBorders>
              <w:bottom w:val="single" w:color="000000" w:sz="10" w:space="0"/>
              <w:right w:val="single" w:color="000000" w:sz="10" w:space="0"/>
            </w:tcBorders>
            <w:vAlign w:val="top"/>
          </w:tcPr>
          <w:p w14:paraId="00139FA7">
            <w:pPr>
              <w:spacing w:before="121"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10.6148230</w:t>
            </w:r>
          </w:p>
        </w:tc>
      </w:tr>
    </w:tbl>
    <w:p w14:paraId="3761CDE8">
      <w:pPr>
        <w:pStyle w:val="2"/>
      </w:pPr>
    </w:p>
    <w:p w14:paraId="4A49E3D8">
      <w:pPr>
        <w:sectPr>
          <w:headerReference r:id="rId138" w:type="default"/>
          <w:footerReference r:id="rId139" w:type="default"/>
          <w:pgSz w:w="16840" w:h="11907"/>
          <w:pgMar w:top="1132" w:right="1388" w:bottom="1258" w:left="1402" w:header="829" w:footer="1096" w:gutter="0"/>
          <w:cols w:space="720" w:num="1"/>
        </w:sectPr>
      </w:pPr>
    </w:p>
    <w:p w14:paraId="4FBB9DC3">
      <w:pPr>
        <w:pStyle w:val="2"/>
        <w:spacing w:line="265" w:lineRule="auto"/>
      </w:pPr>
    </w:p>
    <w:p w14:paraId="64A7940D">
      <w:pPr>
        <w:pStyle w:val="2"/>
        <w:spacing w:line="265" w:lineRule="auto"/>
      </w:pPr>
    </w:p>
    <w:p w14:paraId="1EF07659">
      <w:pPr>
        <w:spacing w:before="65" w:line="228" w:lineRule="auto"/>
        <w:ind w:left="4107"/>
        <w:rPr>
          <w:rFonts w:ascii="宋体" w:hAnsi="宋体" w:eastAsia="宋体" w:cs="宋体"/>
          <w:sz w:val="20"/>
          <w:szCs w:val="20"/>
        </w:rPr>
      </w:pPr>
      <w:r>
        <w:rPr>
          <w:rFonts w:ascii="宋体" w:hAnsi="宋体" w:eastAsia="宋体" w:cs="宋体"/>
          <w:b/>
          <w:bCs/>
          <w:spacing w:val="6"/>
          <w:sz w:val="20"/>
          <w:szCs w:val="20"/>
        </w:rPr>
        <w:t>表</w:t>
      </w:r>
      <w:r>
        <w:rPr>
          <w:rFonts w:ascii="Times New Roman" w:hAnsi="Times New Roman" w:eastAsia="Times New Roman" w:cs="Times New Roman"/>
          <w:b/>
          <w:bCs/>
          <w:spacing w:val="6"/>
          <w:sz w:val="20"/>
          <w:szCs w:val="20"/>
        </w:rPr>
        <w:t>6.3-9</w:t>
      </w:r>
      <w:r>
        <w:rPr>
          <w:rFonts w:ascii="宋体" w:hAnsi="宋体" w:eastAsia="宋体" w:cs="宋体"/>
          <w:b/>
          <w:bCs/>
          <w:spacing w:val="6"/>
          <w:sz w:val="20"/>
          <w:szCs w:val="20"/>
        </w:rPr>
        <w:t>下泄生态基流情况下</w:t>
      </w:r>
      <w:r>
        <w:rPr>
          <w:rFonts w:ascii="Times New Roman" w:hAnsi="Times New Roman" w:eastAsia="Times New Roman" w:cs="Times New Roman"/>
          <w:b/>
          <w:bCs/>
          <w:sz w:val="20"/>
          <w:szCs w:val="20"/>
        </w:rPr>
        <w:t>NH</w:t>
      </w:r>
      <w:r>
        <w:rPr>
          <w:rFonts w:ascii="Times New Roman" w:hAnsi="Times New Roman" w:eastAsia="Times New Roman" w:cs="Times New Roman"/>
          <w:b/>
          <w:bCs/>
          <w:spacing w:val="6"/>
          <w:sz w:val="13"/>
          <w:szCs w:val="13"/>
        </w:rPr>
        <w:t>3</w:t>
      </w:r>
      <w:r>
        <w:rPr>
          <w:rFonts w:ascii="Times New Roman" w:hAnsi="Times New Roman" w:eastAsia="Times New Roman" w:cs="Times New Roman"/>
          <w:b/>
          <w:bCs/>
          <w:spacing w:val="6"/>
          <w:sz w:val="20"/>
          <w:szCs w:val="20"/>
        </w:rPr>
        <w:t>-N</w:t>
      </w:r>
      <w:r>
        <w:rPr>
          <w:rFonts w:ascii="宋体" w:hAnsi="宋体" w:eastAsia="宋体" w:cs="宋体"/>
          <w:b/>
          <w:bCs/>
          <w:spacing w:val="6"/>
          <w:sz w:val="20"/>
          <w:szCs w:val="20"/>
        </w:rPr>
        <w:t>浓度预测值（非正常排放）</w:t>
      </w:r>
    </w:p>
    <w:p w14:paraId="48A5FE04">
      <w:pPr>
        <w:spacing w:line="131" w:lineRule="exact"/>
      </w:pPr>
    </w:p>
    <w:tbl>
      <w:tblPr>
        <w:tblStyle w:val="5"/>
        <w:tblW w:w="14225"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2"/>
        <w:gridCol w:w="1606"/>
        <w:gridCol w:w="1607"/>
        <w:gridCol w:w="1449"/>
        <w:gridCol w:w="1448"/>
        <w:gridCol w:w="1449"/>
        <w:gridCol w:w="1448"/>
        <w:gridCol w:w="1448"/>
        <w:gridCol w:w="1448"/>
        <w:gridCol w:w="1460"/>
      </w:tblGrid>
      <w:tr w14:paraId="24016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862" w:type="dxa"/>
            <w:tcBorders>
              <w:top w:val="single" w:color="000000" w:sz="10" w:space="0"/>
              <w:left w:val="single" w:color="000000" w:sz="10" w:space="0"/>
            </w:tcBorders>
            <w:vAlign w:val="top"/>
          </w:tcPr>
          <w:p w14:paraId="1FDB46C5">
            <w:pPr>
              <w:spacing w:before="101" w:line="201" w:lineRule="auto"/>
              <w:ind w:left="1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C(x,y)</w:t>
            </w:r>
          </w:p>
        </w:tc>
        <w:tc>
          <w:tcPr>
            <w:tcW w:w="1606" w:type="dxa"/>
            <w:tcBorders>
              <w:top w:val="single" w:color="000000" w:sz="10" w:space="0"/>
            </w:tcBorders>
            <w:vAlign w:val="top"/>
          </w:tcPr>
          <w:p w14:paraId="2EDC3A6C">
            <w:pPr>
              <w:spacing w:before="105" w:line="195" w:lineRule="auto"/>
              <w:ind w:left="74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607" w:type="dxa"/>
            <w:tcBorders>
              <w:top w:val="single" w:color="000000" w:sz="10" w:space="0"/>
            </w:tcBorders>
            <w:vAlign w:val="top"/>
          </w:tcPr>
          <w:p w14:paraId="7BA8B50C">
            <w:pPr>
              <w:spacing w:before="105" w:line="195" w:lineRule="auto"/>
              <w:ind w:left="74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449" w:type="dxa"/>
            <w:tcBorders>
              <w:top w:val="single" w:color="000000" w:sz="10" w:space="0"/>
            </w:tcBorders>
            <w:vAlign w:val="top"/>
          </w:tcPr>
          <w:p w14:paraId="0AB15E22">
            <w:pPr>
              <w:spacing w:before="108" w:line="192" w:lineRule="auto"/>
              <w:ind w:left="67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448" w:type="dxa"/>
            <w:tcBorders>
              <w:top w:val="single" w:color="000000" w:sz="10" w:space="0"/>
            </w:tcBorders>
            <w:vAlign w:val="top"/>
          </w:tcPr>
          <w:p w14:paraId="533B2845">
            <w:pPr>
              <w:spacing w:before="105" w:line="195" w:lineRule="auto"/>
              <w:ind w:left="63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449" w:type="dxa"/>
            <w:tcBorders>
              <w:top w:val="single" w:color="000000" w:sz="10" w:space="0"/>
            </w:tcBorders>
            <w:vAlign w:val="top"/>
          </w:tcPr>
          <w:p w14:paraId="4FEE2537">
            <w:pPr>
              <w:spacing w:before="105" w:line="195" w:lineRule="auto"/>
              <w:ind w:left="61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448" w:type="dxa"/>
            <w:tcBorders>
              <w:top w:val="single" w:color="000000" w:sz="10" w:space="0"/>
            </w:tcBorders>
            <w:vAlign w:val="top"/>
          </w:tcPr>
          <w:p w14:paraId="00B212F3">
            <w:pPr>
              <w:spacing w:before="105" w:line="195" w:lineRule="auto"/>
              <w:ind w:left="624"/>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448" w:type="dxa"/>
            <w:tcBorders>
              <w:top w:val="single" w:color="000000" w:sz="10" w:space="0"/>
            </w:tcBorders>
            <w:vAlign w:val="top"/>
          </w:tcPr>
          <w:p w14:paraId="45A30766">
            <w:pPr>
              <w:spacing w:before="105" w:line="195" w:lineRule="auto"/>
              <w:ind w:left="62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448" w:type="dxa"/>
            <w:tcBorders>
              <w:top w:val="single" w:color="000000" w:sz="10" w:space="0"/>
            </w:tcBorders>
            <w:vAlign w:val="top"/>
          </w:tcPr>
          <w:p w14:paraId="0E929C22">
            <w:pPr>
              <w:spacing w:before="105" w:line="195" w:lineRule="auto"/>
              <w:ind w:left="6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460" w:type="dxa"/>
            <w:tcBorders>
              <w:top w:val="single" w:color="000000" w:sz="10" w:space="0"/>
              <w:right w:val="single" w:color="000000" w:sz="10" w:space="0"/>
            </w:tcBorders>
            <w:vAlign w:val="top"/>
          </w:tcPr>
          <w:p w14:paraId="42694748">
            <w:pPr>
              <w:spacing w:before="105" w:line="195" w:lineRule="auto"/>
              <w:ind w:left="633"/>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r>
      <w:tr w14:paraId="0DB76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2" w:type="dxa"/>
            <w:tcBorders>
              <w:left w:val="single" w:color="000000" w:sz="10" w:space="0"/>
            </w:tcBorders>
            <w:vAlign w:val="top"/>
          </w:tcPr>
          <w:p w14:paraId="5D75B680">
            <w:pPr>
              <w:spacing w:before="99" w:line="195" w:lineRule="auto"/>
              <w:ind w:left="33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606" w:type="dxa"/>
            <w:vAlign w:val="top"/>
          </w:tcPr>
          <w:p w14:paraId="25BAE0D2">
            <w:pPr>
              <w:spacing w:before="99" w:line="195" w:lineRule="auto"/>
              <w:ind w:left="523"/>
              <w:rPr>
                <w:rFonts w:ascii="Times New Roman" w:hAnsi="Times New Roman" w:eastAsia="Times New Roman" w:cs="Times New Roman"/>
                <w:sz w:val="20"/>
                <w:szCs w:val="20"/>
              </w:rPr>
            </w:pPr>
            <w:r>
              <w:rPr>
                <w:rFonts w:ascii="Times New Roman" w:hAnsi="Times New Roman" w:eastAsia="Times New Roman" w:cs="Times New Roman"/>
                <w:sz w:val="20"/>
                <w:szCs w:val="20"/>
              </w:rPr>
              <w:t>14.760</w:t>
            </w:r>
          </w:p>
        </w:tc>
        <w:tc>
          <w:tcPr>
            <w:tcW w:w="1607" w:type="dxa"/>
            <w:vAlign w:val="top"/>
          </w:tcPr>
          <w:p w14:paraId="5E590290">
            <w:pPr>
              <w:spacing w:before="99" w:line="195" w:lineRule="auto"/>
              <w:ind w:left="5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5.747</w:t>
            </w:r>
          </w:p>
        </w:tc>
        <w:tc>
          <w:tcPr>
            <w:tcW w:w="1449" w:type="dxa"/>
            <w:vAlign w:val="top"/>
          </w:tcPr>
          <w:p w14:paraId="0979F8F9">
            <w:pPr>
              <w:spacing w:before="99" w:line="195"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1.229</w:t>
            </w:r>
          </w:p>
        </w:tc>
        <w:tc>
          <w:tcPr>
            <w:tcW w:w="1448" w:type="dxa"/>
            <w:vAlign w:val="top"/>
          </w:tcPr>
          <w:p w14:paraId="6CD73283">
            <w:pPr>
              <w:spacing w:before="99"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0.2503007</w:t>
            </w:r>
          </w:p>
        </w:tc>
        <w:tc>
          <w:tcPr>
            <w:tcW w:w="1449" w:type="dxa"/>
            <w:vAlign w:val="top"/>
          </w:tcPr>
          <w:p w14:paraId="3BC73CAB">
            <w:pPr>
              <w:spacing w:before="99"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0.2500000</w:t>
            </w:r>
          </w:p>
        </w:tc>
        <w:tc>
          <w:tcPr>
            <w:tcW w:w="1448" w:type="dxa"/>
            <w:vAlign w:val="top"/>
          </w:tcPr>
          <w:p w14:paraId="2A353C28">
            <w:pPr>
              <w:spacing w:before="99"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448" w:type="dxa"/>
            <w:vAlign w:val="top"/>
          </w:tcPr>
          <w:p w14:paraId="5A19D5C6">
            <w:pPr>
              <w:spacing w:before="99"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448" w:type="dxa"/>
            <w:vAlign w:val="top"/>
          </w:tcPr>
          <w:p w14:paraId="12E5CEDC">
            <w:pPr>
              <w:spacing w:before="99"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0.2500000</w:t>
            </w:r>
          </w:p>
        </w:tc>
        <w:tc>
          <w:tcPr>
            <w:tcW w:w="1460" w:type="dxa"/>
            <w:tcBorders>
              <w:right w:val="single" w:color="000000" w:sz="10" w:space="0"/>
            </w:tcBorders>
            <w:vAlign w:val="top"/>
          </w:tcPr>
          <w:p w14:paraId="6C23D54F">
            <w:pPr>
              <w:spacing w:before="99"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292BE4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2" w:type="dxa"/>
            <w:tcBorders>
              <w:left w:val="single" w:color="000000" w:sz="10" w:space="0"/>
            </w:tcBorders>
            <w:vAlign w:val="top"/>
          </w:tcPr>
          <w:p w14:paraId="006B86E1">
            <w:pPr>
              <w:spacing w:before="100"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606" w:type="dxa"/>
            <w:vAlign w:val="top"/>
          </w:tcPr>
          <w:p w14:paraId="6CE686DF">
            <w:pPr>
              <w:spacing w:before="100" w:line="195" w:lineRule="auto"/>
              <w:ind w:left="523"/>
              <w:rPr>
                <w:rFonts w:ascii="Times New Roman" w:hAnsi="Times New Roman" w:eastAsia="Times New Roman" w:cs="Times New Roman"/>
                <w:sz w:val="20"/>
                <w:szCs w:val="20"/>
              </w:rPr>
            </w:pPr>
            <w:r>
              <w:rPr>
                <w:rFonts w:ascii="Times New Roman" w:hAnsi="Times New Roman" w:eastAsia="Times New Roman" w:cs="Times New Roman"/>
                <w:sz w:val="20"/>
                <w:szCs w:val="20"/>
              </w:rPr>
              <w:t>10.509</w:t>
            </w:r>
          </w:p>
        </w:tc>
        <w:tc>
          <w:tcPr>
            <w:tcW w:w="1607" w:type="dxa"/>
            <w:vAlign w:val="top"/>
          </w:tcPr>
          <w:p w14:paraId="6F483343">
            <w:pPr>
              <w:spacing w:before="100" w:line="195" w:lineRule="auto"/>
              <w:ind w:left="5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6.565</w:t>
            </w:r>
          </w:p>
        </w:tc>
        <w:tc>
          <w:tcPr>
            <w:tcW w:w="1449" w:type="dxa"/>
            <w:vAlign w:val="top"/>
          </w:tcPr>
          <w:p w14:paraId="5FC38ABB">
            <w:pPr>
              <w:spacing w:before="100"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2.915</w:t>
            </w:r>
          </w:p>
        </w:tc>
        <w:tc>
          <w:tcPr>
            <w:tcW w:w="1448" w:type="dxa"/>
            <w:vAlign w:val="top"/>
          </w:tcPr>
          <w:p w14:paraId="32EEA9D6">
            <w:pPr>
              <w:spacing w:before="100"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0.2967060</w:t>
            </w:r>
          </w:p>
        </w:tc>
        <w:tc>
          <w:tcPr>
            <w:tcW w:w="1449" w:type="dxa"/>
            <w:vAlign w:val="top"/>
          </w:tcPr>
          <w:p w14:paraId="40671A33">
            <w:pPr>
              <w:spacing w:before="100"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0.2500000</w:t>
            </w:r>
          </w:p>
        </w:tc>
        <w:tc>
          <w:tcPr>
            <w:tcW w:w="1448" w:type="dxa"/>
            <w:vAlign w:val="top"/>
          </w:tcPr>
          <w:p w14:paraId="37DCC5B7">
            <w:pPr>
              <w:spacing w:before="100"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448" w:type="dxa"/>
            <w:vAlign w:val="top"/>
          </w:tcPr>
          <w:p w14:paraId="0F01AD34">
            <w:pPr>
              <w:spacing w:before="100"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448" w:type="dxa"/>
            <w:vAlign w:val="top"/>
          </w:tcPr>
          <w:p w14:paraId="24CBDB05">
            <w:pPr>
              <w:spacing w:before="100"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0.2500000</w:t>
            </w:r>
          </w:p>
        </w:tc>
        <w:tc>
          <w:tcPr>
            <w:tcW w:w="1460" w:type="dxa"/>
            <w:tcBorders>
              <w:right w:val="single" w:color="000000" w:sz="10" w:space="0"/>
            </w:tcBorders>
            <w:vAlign w:val="top"/>
          </w:tcPr>
          <w:p w14:paraId="0758F99C">
            <w:pPr>
              <w:spacing w:before="100"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6EA766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2" w:type="dxa"/>
            <w:tcBorders>
              <w:left w:val="single" w:color="000000" w:sz="10" w:space="0"/>
            </w:tcBorders>
            <w:vAlign w:val="top"/>
          </w:tcPr>
          <w:p w14:paraId="67D89E81">
            <w:pPr>
              <w:spacing w:before="102" w:line="195" w:lineRule="auto"/>
              <w:ind w:left="316"/>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606" w:type="dxa"/>
            <w:vAlign w:val="top"/>
          </w:tcPr>
          <w:p w14:paraId="7337EB0F">
            <w:pPr>
              <w:spacing w:before="102" w:line="195" w:lineRule="auto"/>
              <w:ind w:left="56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8.626</w:t>
            </w:r>
          </w:p>
        </w:tc>
        <w:tc>
          <w:tcPr>
            <w:tcW w:w="1607" w:type="dxa"/>
            <w:vAlign w:val="top"/>
          </w:tcPr>
          <w:p w14:paraId="46506F7F">
            <w:pPr>
              <w:spacing w:before="102" w:line="195" w:lineRule="auto"/>
              <w:ind w:left="5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6.311</w:t>
            </w:r>
          </w:p>
        </w:tc>
        <w:tc>
          <w:tcPr>
            <w:tcW w:w="1449" w:type="dxa"/>
            <w:vAlign w:val="top"/>
          </w:tcPr>
          <w:p w14:paraId="7E31DB47">
            <w:pPr>
              <w:spacing w:before="102" w:line="195"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3.660</w:t>
            </w:r>
          </w:p>
        </w:tc>
        <w:tc>
          <w:tcPr>
            <w:tcW w:w="1448" w:type="dxa"/>
            <w:vAlign w:val="top"/>
          </w:tcPr>
          <w:p w14:paraId="3B1A9C2D">
            <w:pPr>
              <w:spacing w:before="102"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0.4800839</w:t>
            </w:r>
          </w:p>
        </w:tc>
        <w:tc>
          <w:tcPr>
            <w:tcW w:w="1449" w:type="dxa"/>
            <w:vAlign w:val="top"/>
          </w:tcPr>
          <w:p w14:paraId="138B47E8">
            <w:pPr>
              <w:spacing w:before="102"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0.2500048</w:t>
            </w:r>
          </w:p>
        </w:tc>
        <w:tc>
          <w:tcPr>
            <w:tcW w:w="1448" w:type="dxa"/>
            <w:vAlign w:val="top"/>
          </w:tcPr>
          <w:p w14:paraId="713A65B2">
            <w:pPr>
              <w:spacing w:before="102"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448" w:type="dxa"/>
            <w:vAlign w:val="top"/>
          </w:tcPr>
          <w:p w14:paraId="2F5BA514">
            <w:pPr>
              <w:spacing w:before="102"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448" w:type="dxa"/>
            <w:vAlign w:val="top"/>
          </w:tcPr>
          <w:p w14:paraId="7E4BCC2A">
            <w:pPr>
              <w:spacing w:before="102"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0.2500000</w:t>
            </w:r>
          </w:p>
        </w:tc>
        <w:tc>
          <w:tcPr>
            <w:tcW w:w="1460" w:type="dxa"/>
            <w:tcBorders>
              <w:right w:val="single" w:color="000000" w:sz="10" w:space="0"/>
            </w:tcBorders>
            <w:vAlign w:val="top"/>
          </w:tcPr>
          <w:p w14:paraId="6C77F4EE">
            <w:pPr>
              <w:spacing w:before="102"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51D25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2" w:type="dxa"/>
            <w:tcBorders>
              <w:left w:val="single" w:color="000000" w:sz="10" w:space="0"/>
            </w:tcBorders>
            <w:vAlign w:val="top"/>
          </w:tcPr>
          <w:p w14:paraId="160C0B43">
            <w:pPr>
              <w:spacing w:before="103" w:line="195" w:lineRule="auto"/>
              <w:ind w:left="3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606" w:type="dxa"/>
            <w:vAlign w:val="top"/>
          </w:tcPr>
          <w:p w14:paraId="5396CA08">
            <w:pPr>
              <w:spacing w:before="103" w:line="195" w:lineRule="auto"/>
              <w:ind w:left="5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7.504</w:t>
            </w:r>
          </w:p>
        </w:tc>
        <w:tc>
          <w:tcPr>
            <w:tcW w:w="1607" w:type="dxa"/>
            <w:vAlign w:val="top"/>
          </w:tcPr>
          <w:p w14:paraId="76E41A85">
            <w:pPr>
              <w:spacing w:before="103" w:line="195" w:lineRule="auto"/>
              <w:ind w:left="5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5.941</w:t>
            </w:r>
          </w:p>
        </w:tc>
        <w:tc>
          <w:tcPr>
            <w:tcW w:w="1449" w:type="dxa"/>
            <w:vAlign w:val="top"/>
          </w:tcPr>
          <w:p w14:paraId="3E32AE5F">
            <w:pPr>
              <w:spacing w:before="103" w:line="195"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3.947</w:t>
            </w:r>
          </w:p>
        </w:tc>
        <w:tc>
          <w:tcPr>
            <w:tcW w:w="1448" w:type="dxa"/>
            <w:vAlign w:val="top"/>
          </w:tcPr>
          <w:p w14:paraId="316022D3">
            <w:pPr>
              <w:spacing w:before="103"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0.7394222</w:t>
            </w:r>
          </w:p>
        </w:tc>
        <w:tc>
          <w:tcPr>
            <w:tcW w:w="1449" w:type="dxa"/>
            <w:vAlign w:val="top"/>
          </w:tcPr>
          <w:p w14:paraId="1C00C911">
            <w:pPr>
              <w:spacing w:before="103"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0.2501503</w:t>
            </w:r>
          </w:p>
        </w:tc>
        <w:tc>
          <w:tcPr>
            <w:tcW w:w="1448" w:type="dxa"/>
            <w:vAlign w:val="top"/>
          </w:tcPr>
          <w:p w14:paraId="574BB8AE">
            <w:pPr>
              <w:spacing w:before="103"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448" w:type="dxa"/>
            <w:vAlign w:val="top"/>
          </w:tcPr>
          <w:p w14:paraId="52FF42B8">
            <w:pPr>
              <w:spacing w:before="103"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448" w:type="dxa"/>
            <w:vAlign w:val="top"/>
          </w:tcPr>
          <w:p w14:paraId="6B8E3E2F">
            <w:pPr>
              <w:spacing w:before="103"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0.2500000</w:t>
            </w:r>
          </w:p>
        </w:tc>
        <w:tc>
          <w:tcPr>
            <w:tcW w:w="1460" w:type="dxa"/>
            <w:tcBorders>
              <w:right w:val="single" w:color="000000" w:sz="10" w:space="0"/>
            </w:tcBorders>
            <w:vAlign w:val="top"/>
          </w:tcPr>
          <w:p w14:paraId="1562A1E2">
            <w:pPr>
              <w:spacing w:before="103"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45018C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2" w:type="dxa"/>
            <w:tcBorders>
              <w:left w:val="single" w:color="000000" w:sz="10" w:space="0"/>
            </w:tcBorders>
            <w:vAlign w:val="top"/>
          </w:tcPr>
          <w:p w14:paraId="15376DCE">
            <w:pPr>
              <w:spacing w:before="102" w:line="195" w:lineRule="auto"/>
              <w:ind w:left="317"/>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606" w:type="dxa"/>
            <w:vAlign w:val="top"/>
          </w:tcPr>
          <w:p w14:paraId="4A3C5FED">
            <w:pPr>
              <w:spacing w:before="102"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6.738</w:t>
            </w:r>
          </w:p>
        </w:tc>
        <w:tc>
          <w:tcPr>
            <w:tcW w:w="1607" w:type="dxa"/>
            <w:vAlign w:val="top"/>
          </w:tcPr>
          <w:p w14:paraId="6B170091">
            <w:pPr>
              <w:spacing w:before="102" w:line="195" w:lineRule="auto"/>
              <w:ind w:left="5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5.593</w:t>
            </w:r>
          </w:p>
        </w:tc>
        <w:tc>
          <w:tcPr>
            <w:tcW w:w="1449" w:type="dxa"/>
            <w:vAlign w:val="top"/>
          </w:tcPr>
          <w:p w14:paraId="03F5DCB5">
            <w:pPr>
              <w:spacing w:before="102" w:line="195" w:lineRule="auto"/>
              <w:ind w:left="4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4.034</w:t>
            </w:r>
          </w:p>
        </w:tc>
        <w:tc>
          <w:tcPr>
            <w:tcW w:w="1448" w:type="dxa"/>
            <w:vAlign w:val="top"/>
          </w:tcPr>
          <w:p w14:paraId="04B4417D">
            <w:pPr>
              <w:spacing w:before="102"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1.0005485</w:t>
            </w:r>
          </w:p>
        </w:tc>
        <w:tc>
          <w:tcPr>
            <w:tcW w:w="1449" w:type="dxa"/>
            <w:vAlign w:val="top"/>
          </w:tcPr>
          <w:p w14:paraId="3581693F">
            <w:pPr>
              <w:spacing w:before="102"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0.2511622</w:t>
            </w:r>
          </w:p>
        </w:tc>
        <w:tc>
          <w:tcPr>
            <w:tcW w:w="1448" w:type="dxa"/>
            <w:vAlign w:val="top"/>
          </w:tcPr>
          <w:p w14:paraId="40A32E87">
            <w:pPr>
              <w:spacing w:before="102"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448" w:type="dxa"/>
            <w:vAlign w:val="top"/>
          </w:tcPr>
          <w:p w14:paraId="2CBFBF32">
            <w:pPr>
              <w:spacing w:before="102"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448" w:type="dxa"/>
            <w:vAlign w:val="top"/>
          </w:tcPr>
          <w:p w14:paraId="55C70400">
            <w:pPr>
              <w:spacing w:before="102"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0.2500000</w:t>
            </w:r>
          </w:p>
        </w:tc>
        <w:tc>
          <w:tcPr>
            <w:tcW w:w="1460" w:type="dxa"/>
            <w:tcBorders>
              <w:right w:val="single" w:color="000000" w:sz="10" w:space="0"/>
            </w:tcBorders>
            <w:vAlign w:val="top"/>
          </w:tcPr>
          <w:p w14:paraId="4FF1C0BB">
            <w:pPr>
              <w:spacing w:before="102"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633B9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2" w:type="dxa"/>
            <w:tcBorders>
              <w:left w:val="single" w:color="000000" w:sz="10" w:space="0"/>
            </w:tcBorders>
            <w:vAlign w:val="top"/>
          </w:tcPr>
          <w:p w14:paraId="44B2D665">
            <w:pPr>
              <w:spacing w:before="103"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606" w:type="dxa"/>
            <w:vAlign w:val="top"/>
          </w:tcPr>
          <w:p w14:paraId="323F12AF">
            <w:pPr>
              <w:spacing w:before="103" w:line="195" w:lineRule="auto"/>
              <w:ind w:left="5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4.836</w:t>
            </w:r>
          </w:p>
        </w:tc>
        <w:tc>
          <w:tcPr>
            <w:tcW w:w="1607" w:type="dxa"/>
            <w:vAlign w:val="top"/>
          </w:tcPr>
          <w:p w14:paraId="4702B287">
            <w:pPr>
              <w:spacing w:before="103" w:line="195" w:lineRule="auto"/>
              <w:ind w:left="55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4.412</w:t>
            </w:r>
          </w:p>
        </w:tc>
        <w:tc>
          <w:tcPr>
            <w:tcW w:w="1449" w:type="dxa"/>
            <w:vAlign w:val="top"/>
          </w:tcPr>
          <w:p w14:paraId="7C2DC511">
            <w:pPr>
              <w:spacing w:before="103" w:line="195"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3.752</w:t>
            </w:r>
          </w:p>
        </w:tc>
        <w:tc>
          <w:tcPr>
            <w:tcW w:w="1448" w:type="dxa"/>
            <w:vAlign w:val="top"/>
          </w:tcPr>
          <w:p w14:paraId="5B469367">
            <w:pPr>
              <w:spacing w:before="103"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1.8098703</w:t>
            </w:r>
          </w:p>
        </w:tc>
        <w:tc>
          <w:tcPr>
            <w:tcW w:w="1449" w:type="dxa"/>
            <w:vAlign w:val="top"/>
          </w:tcPr>
          <w:p w14:paraId="494B4E96">
            <w:pPr>
              <w:spacing w:before="103"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0.3113815</w:t>
            </w:r>
          </w:p>
        </w:tc>
        <w:tc>
          <w:tcPr>
            <w:tcW w:w="1448" w:type="dxa"/>
            <w:vAlign w:val="top"/>
          </w:tcPr>
          <w:p w14:paraId="55FF4B23">
            <w:pPr>
              <w:spacing w:before="103"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0.2502794</w:t>
            </w:r>
          </w:p>
        </w:tc>
        <w:tc>
          <w:tcPr>
            <w:tcW w:w="1448" w:type="dxa"/>
            <w:vAlign w:val="top"/>
          </w:tcPr>
          <w:p w14:paraId="4EB02EF6">
            <w:pPr>
              <w:spacing w:before="103"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c>
          <w:tcPr>
            <w:tcW w:w="1448" w:type="dxa"/>
            <w:vAlign w:val="top"/>
          </w:tcPr>
          <w:p w14:paraId="2FCD1E79">
            <w:pPr>
              <w:spacing w:before="103"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0.2500000</w:t>
            </w:r>
          </w:p>
        </w:tc>
        <w:tc>
          <w:tcPr>
            <w:tcW w:w="1460" w:type="dxa"/>
            <w:tcBorders>
              <w:right w:val="single" w:color="000000" w:sz="10" w:space="0"/>
            </w:tcBorders>
            <w:vAlign w:val="top"/>
          </w:tcPr>
          <w:p w14:paraId="01A4A52A">
            <w:pPr>
              <w:spacing w:before="103"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185839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2" w:type="dxa"/>
            <w:tcBorders>
              <w:left w:val="single" w:color="000000" w:sz="10" w:space="0"/>
            </w:tcBorders>
            <w:vAlign w:val="top"/>
          </w:tcPr>
          <w:p w14:paraId="0A776522">
            <w:pPr>
              <w:spacing w:before="104"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1606" w:type="dxa"/>
            <w:vAlign w:val="top"/>
          </w:tcPr>
          <w:p w14:paraId="7C8C846D">
            <w:pPr>
              <w:spacing w:before="104" w:line="195" w:lineRule="auto"/>
              <w:ind w:left="5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3.491</w:t>
            </w:r>
          </w:p>
        </w:tc>
        <w:tc>
          <w:tcPr>
            <w:tcW w:w="1607" w:type="dxa"/>
            <w:vAlign w:val="top"/>
          </w:tcPr>
          <w:p w14:paraId="187D7CC1">
            <w:pPr>
              <w:spacing w:before="104" w:line="195"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3.337</w:t>
            </w:r>
          </w:p>
        </w:tc>
        <w:tc>
          <w:tcPr>
            <w:tcW w:w="1449" w:type="dxa"/>
            <w:vAlign w:val="top"/>
          </w:tcPr>
          <w:p w14:paraId="425F5579">
            <w:pPr>
              <w:spacing w:before="104" w:line="195" w:lineRule="auto"/>
              <w:ind w:left="4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3.082</w:t>
            </w:r>
          </w:p>
        </w:tc>
        <w:tc>
          <w:tcPr>
            <w:tcW w:w="1448" w:type="dxa"/>
            <w:vAlign w:val="top"/>
          </w:tcPr>
          <w:p w14:paraId="3A296F28">
            <w:pPr>
              <w:spacing w:before="104"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2.1401548</w:t>
            </w:r>
          </w:p>
        </w:tc>
        <w:tc>
          <w:tcPr>
            <w:tcW w:w="1449" w:type="dxa"/>
            <w:vAlign w:val="top"/>
          </w:tcPr>
          <w:p w14:paraId="60783431">
            <w:pPr>
              <w:spacing w:before="104"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0.6249486</w:t>
            </w:r>
          </w:p>
        </w:tc>
        <w:tc>
          <w:tcPr>
            <w:tcW w:w="1448" w:type="dxa"/>
            <w:vAlign w:val="top"/>
          </w:tcPr>
          <w:p w14:paraId="65BF0C34">
            <w:pPr>
              <w:spacing w:before="104"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0.2752986</w:t>
            </w:r>
          </w:p>
        </w:tc>
        <w:tc>
          <w:tcPr>
            <w:tcW w:w="1448" w:type="dxa"/>
            <w:vAlign w:val="top"/>
          </w:tcPr>
          <w:p w14:paraId="2F48E0DB">
            <w:pPr>
              <w:spacing w:before="104"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0.2500045</w:t>
            </w:r>
          </w:p>
        </w:tc>
        <w:tc>
          <w:tcPr>
            <w:tcW w:w="1448" w:type="dxa"/>
            <w:vAlign w:val="top"/>
          </w:tcPr>
          <w:p w14:paraId="572E63A1">
            <w:pPr>
              <w:spacing w:before="104"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0.2500000</w:t>
            </w:r>
          </w:p>
        </w:tc>
        <w:tc>
          <w:tcPr>
            <w:tcW w:w="1460" w:type="dxa"/>
            <w:tcBorders>
              <w:right w:val="single" w:color="000000" w:sz="10" w:space="0"/>
            </w:tcBorders>
            <w:vAlign w:val="top"/>
          </w:tcPr>
          <w:p w14:paraId="210BB956">
            <w:pPr>
              <w:spacing w:before="104"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5BD3E4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2" w:type="dxa"/>
            <w:tcBorders>
              <w:left w:val="single" w:color="000000" w:sz="10" w:space="0"/>
            </w:tcBorders>
            <w:vAlign w:val="top"/>
          </w:tcPr>
          <w:p w14:paraId="388F1F77">
            <w:pPr>
              <w:spacing w:before="105"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606" w:type="dxa"/>
            <w:vAlign w:val="top"/>
          </w:tcPr>
          <w:p w14:paraId="0F058EE7">
            <w:pPr>
              <w:spacing w:before="105" w:line="195" w:lineRule="auto"/>
              <w:ind w:left="5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2.895</w:t>
            </w:r>
          </w:p>
        </w:tc>
        <w:tc>
          <w:tcPr>
            <w:tcW w:w="1607" w:type="dxa"/>
            <w:vAlign w:val="top"/>
          </w:tcPr>
          <w:p w14:paraId="7E475D83">
            <w:pPr>
              <w:spacing w:before="105" w:line="195"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2.811</w:t>
            </w:r>
          </w:p>
        </w:tc>
        <w:tc>
          <w:tcPr>
            <w:tcW w:w="1449" w:type="dxa"/>
            <w:vAlign w:val="top"/>
          </w:tcPr>
          <w:p w14:paraId="173D68FC">
            <w:pPr>
              <w:spacing w:before="105"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2.667</w:t>
            </w:r>
          </w:p>
        </w:tc>
        <w:tc>
          <w:tcPr>
            <w:tcW w:w="1448" w:type="dxa"/>
            <w:vAlign w:val="top"/>
          </w:tcPr>
          <w:p w14:paraId="7D41A9E2">
            <w:pPr>
              <w:spacing w:before="105"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2.0961153</w:t>
            </w:r>
          </w:p>
        </w:tc>
        <w:tc>
          <w:tcPr>
            <w:tcW w:w="1449" w:type="dxa"/>
            <w:vAlign w:val="top"/>
          </w:tcPr>
          <w:p w14:paraId="1F69E7AB">
            <w:pPr>
              <w:spacing w:before="105"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0.8779259</w:t>
            </w:r>
          </w:p>
        </w:tc>
        <w:tc>
          <w:tcPr>
            <w:tcW w:w="1448" w:type="dxa"/>
            <w:vAlign w:val="top"/>
          </w:tcPr>
          <w:p w14:paraId="121BCAB1">
            <w:pPr>
              <w:spacing w:before="105"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0.3540697</w:t>
            </w:r>
          </w:p>
        </w:tc>
        <w:tc>
          <w:tcPr>
            <w:tcW w:w="1448" w:type="dxa"/>
            <w:vAlign w:val="top"/>
          </w:tcPr>
          <w:p w14:paraId="50938CB1">
            <w:pPr>
              <w:spacing w:before="105"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0.2503307</w:t>
            </w:r>
          </w:p>
        </w:tc>
        <w:tc>
          <w:tcPr>
            <w:tcW w:w="1448" w:type="dxa"/>
            <w:vAlign w:val="top"/>
          </w:tcPr>
          <w:p w14:paraId="6179A26F">
            <w:pPr>
              <w:spacing w:before="105"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0.2500001</w:t>
            </w:r>
          </w:p>
        </w:tc>
        <w:tc>
          <w:tcPr>
            <w:tcW w:w="1460" w:type="dxa"/>
            <w:tcBorders>
              <w:right w:val="single" w:color="000000" w:sz="10" w:space="0"/>
            </w:tcBorders>
            <w:vAlign w:val="top"/>
          </w:tcPr>
          <w:p w14:paraId="5B8F794D">
            <w:pPr>
              <w:spacing w:before="105"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70CA9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2" w:type="dxa"/>
            <w:tcBorders>
              <w:left w:val="single" w:color="000000" w:sz="10" w:space="0"/>
            </w:tcBorders>
            <w:vAlign w:val="top"/>
          </w:tcPr>
          <w:p w14:paraId="667800A1">
            <w:pPr>
              <w:spacing w:before="106" w:line="195" w:lineRule="auto"/>
              <w:ind w:left="26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w:t>
            </w:r>
          </w:p>
        </w:tc>
        <w:tc>
          <w:tcPr>
            <w:tcW w:w="1606" w:type="dxa"/>
            <w:vAlign w:val="top"/>
          </w:tcPr>
          <w:p w14:paraId="7717852C">
            <w:pPr>
              <w:spacing w:before="106" w:line="195" w:lineRule="auto"/>
              <w:ind w:left="5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2.539</w:t>
            </w:r>
          </w:p>
        </w:tc>
        <w:tc>
          <w:tcPr>
            <w:tcW w:w="1607" w:type="dxa"/>
            <w:vAlign w:val="top"/>
          </w:tcPr>
          <w:p w14:paraId="47CA13BD">
            <w:pPr>
              <w:spacing w:before="106" w:line="195"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2.484</w:t>
            </w:r>
          </w:p>
        </w:tc>
        <w:tc>
          <w:tcPr>
            <w:tcW w:w="1449" w:type="dxa"/>
            <w:vAlign w:val="top"/>
          </w:tcPr>
          <w:p w14:paraId="7C6A924A">
            <w:pPr>
              <w:spacing w:before="106"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2.390</w:t>
            </w:r>
          </w:p>
        </w:tc>
        <w:tc>
          <w:tcPr>
            <w:tcW w:w="1448" w:type="dxa"/>
            <w:vAlign w:val="top"/>
          </w:tcPr>
          <w:p w14:paraId="3950B209">
            <w:pPr>
              <w:spacing w:before="106"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1.9981042</w:t>
            </w:r>
          </w:p>
        </w:tc>
        <w:tc>
          <w:tcPr>
            <w:tcW w:w="1449" w:type="dxa"/>
            <w:vAlign w:val="top"/>
          </w:tcPr>
          <w:p w14:paraId="4E004D08">
            <w:pPr>
              <w:spacing w:before="106"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1.0285823</w:t>
            </w:r>
          </w:p>
        </w:tc>
        <w:tc>
          <w:tcPr>
            <w:tcW w:w="1448" w:type="dxa"/>
            <w:vAlign w:val="top"/>
          </w:tcPr>
          <w:p w14:paraId="5E960395">
            <w:pPr>
              <w:spacing w:before="106"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0.4522397</w:t>
            </w:r>
          </w:p>
        </w:tc>
        <w:tc>
          <w:tcPr>
            <w:tcW w:w="1448" w:type="dxa"/>
            <w:vAlign w:val="top"/>
          </w:tcPr>
          <w:p w14:paraId="5518EE6A">
            <w:pPr>
              <w:spacing w:before="106"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0.2527069</w:t>
            </w:r>
          </w:p>
        </w:tc>
        <w:tc>
          <w:tcPr>
            <w:tcW w:w="1448" w:type="dxa"/>
            <w:vAlign w:val="top"/>
          </w:tcPr>
          <w:p w14:paraId="706BF031">
            <w:pPr>
              <w:spacing w:before="106"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0.2500042</w:t>
            </w:r>
          </w:p>
        </w:tc>
        <w:tc>
          <w:tcPr>
            <w:tcW w:w="1460" w:type="dxa"/>
            <w:tcBorders>
              <w:right w:val="single" w:color="000000" w:sz="10" w:space="0"/>
            </w:tcBorders>
            <w:vAlign w:val="top"/>
          </w:tcPr>
          <w:p w14:paraId="2FBE6C85">
            <w:pPr>
              <w:spacing w:before="106"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0.2500000</w:t>
            </w:r>
          </w:p>
        </w:tc>
      </w:tr>
      <w:tr w14:paraId="7040F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862" w:type="dxa"/>
            <w:tcBorders>
              <w:left w:val="single" w:color="000000" w:sz="10" w:space="0"/>
            </w:tcBorders>
            <w:vAlign w:val="top"/>
          </w:tcPr>
          <w:p w14:paraId="70F3487A">
            <w:pPr>
              <w:spacing w:before="108" w:line="195"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606" w:type="dxa"/>
            <w:vAlign w:val="top"/>
          </w:tcPr>
          <w:p w14:paraId="47EA305A">
            <w:pPr>
              <w:spacing w:before="108" w:line="195" w:lineRule="auto"/>
              <w:ind w:left="5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2.296</w:t>
            </w:r>
          </w:p>
        </w:tc>
        <w:tc>
          <w:tcPr>
            <w:tcW w:w="1607" w:type="dxa"/>
            <w:vAlign w:val="top"/>
          </w:tcPr>
          <w:p w14:paraId="17FE2E5E">
            <w:pPr>
              <w:spacing w:before="108" w:line="195"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2.257</w:t>
            </w:r>
          </w:p>
        </w:tc>
        <w:tc>
          <w:tcPr>
            <w:tcW w:w="1449" w:type="dxa"/>
            <w:vAlign w:val="top"/>
          </w:tcPr>
          <w:p w14:paraId="529E1984">
            <w:pPr>
              <w:spacing w:before="108"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2.189</w:t>
            </w:r>
          </w:p>
        </w:tc>
        <w:tc>
          <w:tcPr>
            <w:tcW w:w="1448" w:type="dxa"/>
            <w:vAlign w:val="top"/>
          </w:tcPr>
          <w:p w14:paraId="5BB6547B">
            <w:pPr>
              <w:spacing w:before="108"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1.8992197</w:t>
            </w:r>
          </w:p>
        </w:tc>
        <w:tc>
          <w:tcPr>
            <w:tcW w:w="1449" w:type="dxa"/>
            <w:vAlign w:val="top"/>
          </w:tcPr>
          <w:p w14:paraId="6A694917">
            <w:pPr>
              <w:spacing w:before="108"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1.1135118</w:t>
            </w:r>
          </w:p>
        </w:tc>
        <w:tc>
          <w:tcPr>
            <w:tcW w:w="1448" w:type="dxa"/>
            <w:vAlign w:val="top"/>
          </w:tcPr>
          <w:p w14:paraId="438C75BC">
            <w:pPr>
              <w:spacing w:before="108"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0.5437094</w:t>
            </w:r>
          </w:p>
        </w:tc>
        <w:tc>
          <w:tcPr>
            <w:tcW w:w="1448" w:type="dxa"/>
            <w:vAlign w:val="top"/>
          </w:tcPr>
          <w:p w14:paraId="11E44F51">
            <w:pPr>
              <w:spacing w:before="108"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0.2593153</w:t>
            </w:r>
          </w:p>
        </w:tc>
        <w:tc>
          <w:tcPr>
            <w:tcW w:w="1448" w:type="dxa"/>
            <w:vAlign w:val="top"/>
          </w:tcPr>
          <w:p w14:paraId="1496FE73">
            <w:pPr>
              <w:spacing w:before="108"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0.2500526</w:t>
            </w:r>
          </w:p>
        </w:tc>
        <w:tc>
          <w:tcPr>
            <w:tcW w:w="1460" w:type="dxa"/>
            <w:tcBorders>
              <w:right w:val="single" w:color="000000" w:sz="10" w:space="0"/>
            </w:tcBorders>
            <w:vAlign w:val="top"/>
          </w:tcPr>
          <w:p w14:paraId="3AF0E7B3">
            <w:pPr>
              <w:spacing w:before="108"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0.2500001</w:t>
            </w:r>
          </w:p>
        </w:tc>
      </w:tr>
      <w:tr w14:paraId="659AFB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2" w:type="dxa"/>
            <w:tcBorders>
              <w:left w:val="single" w:color="000000" w:sz="10" w:space="0"/>
            </w:tcBorders>
            <w:vAlign w:val="top"/>
          </w:tcPr>
          <w:p w14:paraId="591C9166">
            <w:pPr>
              <w:spacing w:before="110"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1606" w:type="dxa"/>
            <w:vAlign w:val="top"/>
          </w:tcPr>
          <w:p w14:paraId="6750DBDA">
            <w:pPr>
              <w:spacing w:before="110" w:line="195" w:lineRule="auto"/>
              <w:ind w:left="5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2.117</w:t>
            </w:r>
          </w:p>
        </w:tc>
        <w:tc>
          <w:tcPr>
            <w:tcW w:w="1607" w:type="dxa"/>
            <w:vAlign w:val="top"/>
          </w:tcPr>
          <w:p w14:paraId="78D434EF">
            <w:pPr>
              <w:spacing w:before="110" w:line="195" w:lineRule="auto"/>
              <w:ind w:left="5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2.087</w:t>
            </w:r>
          </w:p>
        </w:tc>
        <w:tc>
          <w:tcPr>
            <w:tcW w:w="1449" w:type="dxa"/>
            <w:vAlign w:val="top"/>
          </w:tcPr>
          <w:p w14:paraId="094C6F25">
            <w:pPr>
              <w:spacing w:before="110" w:line="195" w:lineRule="auto"/>
              <w:ind w:left="4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2.035</w:t>
            </w:r>
          </w:p>
        </w:tc>
        <w:tc>
          <w:tcPr>
            <w:tcW w:w="1448" w:type="dxa"/>
            <w:vAlign w:val="top"/>
          </w:tcPr>
          <w:p w14:paraId="0CD3A886">
            <w:pPr>
              <w:spacing w:before="110"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1.8097257</w:t>
            </w:r>
          </w:p>
        </w:tc>
        <w:tc>
          <w:tcPr>
            <w:tcW w:w="1449" w:type="dxa"/>
            <w:vAlign w:val="top"/>
          </w:tcPr>
          <w:p w14:paraId="11BB1D1C">
            <w:pPr>
              <w:spacing w:before="110"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1.1596473</w:t>
            </w:r>
          </w:p>
        </w:tc>
        <w:tc>
          <w:tcPr>
            <w:tcW w:w="1448" w:type="dxa"/>
            <w:vAlign w:val="top"/>
          </w:tcPr>
          <w:p w14:paraId="448F3093">
            <w:pPr>
              <w:spacing w:before="110"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0.6203233</w:t>
            </w:r>
          </w:p>
        </w:tc>
        <w:tc>
          <w:tcPr>
            <w:tcW w:w="1448" w:type="dxa"/>
            <w:vAlign w:val="top"/>
          </w:tcPr>
          <w:p w14:paraId="36503F96">
            <w:pPr>
              <w:spacing w:before="110"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0.2708760</w:t>
            </w:r>
          </w:p>
        </w:tc>
        <w:tc>
          <w:tcPr>
            <w:tcW w:w="1448" w:type="dxa"/>
            <w:vAlign w:val="top"/>
          </w:tcPr>
          <w:p w14:paraId="4CC0BA32">
            <w:pPr>
              <w:spacing w:before="110"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0.2502794</w:t>
            </w:r>
          </w:p>
        </w:tc>
        <w:tc>
          <w:tcPr>
            <w:tcW w:w="1460" w:type="dxa"/>
            <w:tcBorders>
              <w:right w:val="single" w:color="000000" w:sz="10" w:space="0"/>
            </w:tcBorders>
            <w:vAlign w:val="top"/>
          </w:tcPr>
          <w:p w14:paraId="51517539">
            <w:pPr>
              <w:spacing w:before="110"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0.2500009</w:t>
            </w:r>
          </w:p>
        </w:tc>
      </w:tr>
      <w:tr w14:paraId="2C4D6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862" w:type="dxa"/>
            <w:tcBorders>
              <w:left w:val="single" w:color="000000" w:sz="10" w:space="0"/>
            </w:tcBorders>
            <w:vAlign w:val="top"/>
          </w:tcPr>
          <w:p w14:paraId="18F38925">
            <w:pPr>
              <w:spacing w:before="111"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700</w:t>
            </w:r>
          </w:p>
        </w:tc>
        <w:tc>
          <w:tcPr>
            <w:tcW w:w="1606" w:type="dxa"/>
            <w:vAlign w:val="top"/>
          </w:tcPr>
          <w:p w14:paraId="2E9D9E5E">
            <w:pPr>
              <w:spacing w:before="111" w:line="195" w:lineRule="auto"/>
              <w:ind w:left="5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1.977</w:t>
            </w:r>
          </w:p>
        </w:tc>
        <w:tc>
          <w:tcPr>
            <w:tcW w:w="1607" w:type="dxa"/>
            <w:vAlign w:val="top"/>
          </w:tcPr>
          <w:p w14:paraId="191C6461">
            <w:pPr>
              <w:spacing w:before="111" w:line="195" w:lineRule="auto"/>
              <w:ind w:left="5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1.954</w:t>
            </w:r>
          </w:p>
        </w:tc>
        <w:tc>
          <w:tcPr>
            <w:tcW w:w="1449" w:type="dxa"/>
            <w:vAlign w:val="top"/>
          </w:tcPr>
          <w:p w14:paraId="4182B420">
            <w:pPr>
              <w:spacing w:before="111" w:line="195"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1.912</w:t>
            </w:r>
          </w:p>
        </w:tc>
        <w:tc>
          <w:tcPr>
            <w:tcW w:w="1448" w:type="dxa"/>
            <w:vAlign w:val="top"/>
          </w:tcPr>
          <w:p w14:paraId="6F169810">
            <w:pPr>
              <w:spacing w:before="111"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1.7307261</w:t>
            </w:r>
          </w:p>
        </w:tc>
        <w:tc>
          <w:tcPr>
            <w:tcW w:w="1449" w:type="dxa"/>
            <w:vAlign w:val="top"/>
          </w:tcPr>
          <w:p w14:paraId="4EC58E53">
            <w:pPr>
              <w:spacing w:before="111"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1.1827239</w:t>
            </w:r>
          </w:p>
        </w:tc>
        <w:tc>
          <w:tcPr>
            <w:tcW w:w="1448" w:type="dxa"/>
            <w:vAlign w:val="top"/>
          </w:tcPr>
          <w:p w14:paraId="60D999C5">
            <w:pPr>
              <w:spacing w:before="111"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0.6817349</w:t>
            </w:r>
          </w:p>
        </w:tc>
        <w:tc>
          <w:tcPr>
            <w:tcW w:w="1448" w:type="dxa"/>
            <w:vAlign w:val="top"/>
          </w:tcPr>
          <w:p w14:paraId="11EFC078">
            <w:pPr>
              <w:spacing w:before="111"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0.2867030</w:t>
            </w:r>
          </w:p>
        </w:tc>
        <w:tc>
          <w:tcPr>
            <w:tcW w:w="1448" w:type="dxa"/>
            <w:vAlign w:val="top"/>
          </w:tcPr>
          <w:p w14:paraId="4DF714CB">
            <w:pPr>
              <w:spacing w:before="111"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0.2509098</w:t>
            </w:r>
          </w:p>
        </w:tc>
        <w:tc>
          <w:tcPr>
            <w:tcW w:w="1460" w:type="dxa"/>
            <w:tcBorders>
              <w:right w:val="single" w:color="000000" w:sz="10" w:space="0"/>
            </w:tcBorders>
            <w:vAlign w:val="top"/>
          </w:tcPr>
          <w:p w14:paraId="4A1C83C8">
            <w:pPr>
              <w:spacing w:before="111"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0.2500066</w:t>
            </w:r>
          </w:p>
        </w:tc>
      </w:tr>
      <w:tr w14:paraId="3D9F11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2" w:type="dxa"/>
            <w:tcBorders>
              <w:left w:val="single" w:color="000000" w:sz="10" w:space="0"/>
            </w:tcBorders>
            <w:vAlign w:val="top"/>
          </w:tcPr>
          <w:p w14:paraId="7C58F427">
            <w:pPr>
              <w:spacing w:before="113" w:line="195" w:lineRule="auto"/>
              <w:ind w:left="269"/>
              <w:rPr>
                <w:rFonts w:ascii="Times New Roman" w:hAnsi="Times New Roman" w:eastAsia="Times New Roman" w:cs="Times New Roman"/>
                <w:sz w:val="20"/>
                <w:szCs w:val="20"/>
              </w:rPr>
            </w:pPr>
            <w:r>
              <w:rPr>
                <w:rFonts w:ascii="Times New Roman" w:hAnsi="Times New Roman" w:eastAsia="Times New Roman" w:cs="Times New Roman"/>
                <w:sz w:val="20"/>
                <w:szCs w:val="20"/>
              </w:rPr>
              <w:t>800</w:t>
            </w:r>
          </w:p>
        </w:tc>
        <w:tc>
          <w:tcPr>
            <w:tcW w:w="1606" w:type="dxa"/>
            <w:vAlign w:val="top"/>
          </w:tcPr>
          <w:p w14:paraId="62368960">
            <w:pPr>
              <w:spacing w:before="113" w:line="195" w:lineRule="auto"/>
              <w:ind w:left="5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1.865</w:t>
            </w:r>
          </w:p>
        </w:tc>
        <w:tc>
          <w:tcPr>
            <w:tcW w:w="1607" w:type="dxa"/>
            <w:vAlign w:val="top"/>
          </w:tcPr>
          <w:p w14:paraId="72843A8C">
            <w:pPr>
              <w:spacing w:before="113" w:line="195" w:lineRule="auto"/>
              <w:ind w:left="5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1.845</w:t>
            </w:r>
          </w:p>
        </w:tc>
        <w:tc>
          <w:tcPr>
            <w:tcW w:w="1449" w:type="dxa"/>
            <w:vAlign w:val="top"/>
          </w:tcPr>
          <w:p w14:paraId="7EEA495C">
            <w:pPr>
              <w:spacing w:before="113" w:line="195"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1.811</w:t>
            </w:r>
          </w:p>
        </w:tc>
        <w:tc>
          <w:tcPr>
            <w:tcW w:w="1448" w:type="dxa"/>
            <w:vAlign w:val="top"/>
          </w:tcPr>
          <w:p w14:paraId="1B7CC97A">
            <w:pPr>
              <w:spacing w:before="113"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1.6612073</w:t>
            </w:r>
          </w:p>
        </w:tc>
        <w:tc>
          <w:tcPr>
            <w:tcW w:w="1449" w:type="dxa"/>
            <w:vAlign w:val="top"/>
          </w:tcPr>
          <w:p w14:paraId="4E8A2A0D">
            <w:pPr>
              <w:spacing w:before="113"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1.1918016</w:t>
            </w:r>
          </w:p>
        </w:tc>
        <w:tc>
          <w:tcPr>
            <w:tcW w:w="1448" w:type="dxa"/>
            <w:vAlign w:val="top"/>
          </w:tcPr>
          <w:p w14:paraId="3B7B4262">
            <w:pPr>
              <w:spacing w:before="113"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0.7299991</w:t>
            </w:r>
          </w:p>
        </w:tc>
        <w:tc>
          <w:tcPr>
            <w:tcW w:w="1448" w:type="dxa"/>
            <w:vAlign w:val="top"/>
          </w:tcPr>
          <w:p w14:paraId="735C69F8">
            <w:pPr>
              <w:spacing w:before="113"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0.3055315</w:t>
            </w:r>
          </w:p>
        </w:tc>
        <w:tc>
          <w:tcPr>
            <w:tcW w:w="1448" w:type="dxa"/>
            <w:vAlign w:val="top"/>
          </w:tcPr>
          <w:p w14:paraId="52741AAC">
            <w:pPr>
              <w:spacing w:before="113"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0.2521852</w:t>
            </w:r>
          </w:p>
        </w:tc>
        <w:tc>
          <w:tcPr>
            <w:tcW w:w="1460" w:type="dxa"/>
            <w:tcBorders>
              <w:right w:val="single" w:color="000000" w:sz="10" w:space="0"/>
            </w:tcBorders>
            <w:vAlign w:val="top"/>
          </w:tcPr>
          <w:p w14:paraId="781576FB">
            <w:pPr>
              <w:spacing w:before="113"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0.2500292</w:t>
            </w:r>
          </w:p>
        </w:tc>
      </w:tr>
      <w:tr w14:paraId="145B5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862" w:type="dxa"/>
            <w:tcBorders>
              <w:left w:val="single" w:color="000000" w:sz="10" w:space="0"/>
            </w:tcBorders>
            <w:vAlign w:val="top"/>
          </w:tcPr>
          <w:p w14:paraId="1D9C09B3">
            <w:pPr>
              <w:spacing w:before="114" w:line="195" w:lineRule="auto"/>
              <w:ind w:left="2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900</w:t>
            </w:r>
          </w:p>
        </w:tc>
        <w:tc>
          <w:tcPr>
            <w:tcW w:w="1606" w:type="dxa"/>
            <w:vAlign w:val="top"/>
          </w:tcPr>
          <w:p w14:paraId="44B12A0F">
            <w:pPr>
              <w:spacing w:before="114" w:line="195" w:lineRule="auto"/>
              <w:ind w:left="5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1.772</w:t>
            </w:r>
          </w:p>
        </w:tc>
        <w:tc>
          <w:tcPr>
            <w:tcW w:w="1607" w:type="dxa"/>
            <w:vAlign w:val="top"/>
          </w:tcPr>
          <w:p w14:paraId="53F3F286">
            <w:pPr>
              <w:spacing w:before="114" w:line="195" w:lineRule="auto"/>
              <w:ind w:left="5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1.755</w:t>
            </w:r>
          </w:p>
        </w:tc>
        <w:tc>
          <w:tcPr>
            <w:tcW w:w="1449" w:type="dxa"/>
            <w:vAlign w:val="top"/>
          </w:tcPr>
          <w:p w14:paraId="33172C7D">
            <w:pPr>
              <w:spacing w:before="114" w:line="195"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1.727</w:t>
            </w:r>
          </w:p>
        </w:tc>
        <w:tc>
          <w:tcPr>
            <w:tcW w:w="1448" w:type="dxa"/>
            <w:vAlign w:val="top"/>
          </w:tcPr>
          <w:p w14:paraId="5C49104F">
            <w:pPr>
              <w:spacing w:before="114"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1.5997959</w:t>
            </w:r>
          </w:p>
        </w:tc>
        <w:tc>
          <w:tcPr>
            <w:tcW w:w="1449" w:type="dxa"/>
            <w:vAlign w:val="top"/>
          </w:tcPr>
          <w:p w14:paraId="78611C78">
            <w:pPr>
              <w:spacing w:before="114"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1.1922178</w:t>
            </w:r>
          </w:p>
        </w:tc>
        <w:tc>
          <w:tcPr>
            <w:tcW w:w="1448" w:type="dxa"/>
            <w:vAlign w:val="top"/>
          </w:tcPr>
          <w:p w14:paraId="036F6B8B">
            <w:pPr>
              <w:spacing w:before="114"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0.7675551</w:t>
            </w:r>
          </w:p>
        </w:tc>
        <w:tc>
          <w:tcPr>
            <w:tcW w:w="1448" w:type="dxa"/>
            <w:vAlign w:val="top"/>
          </w:tcPr>
          <w:p w14:paraId="4BC7B792">
            <w:pPr>
              <w:spacing w:before="114"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0.3260911</w:t>
            </w:r>
          </w:p>
        </w:tc>
        <w:tc>
          <w:tcPr>
            <w:tcW w:w="1448" w:type="dxa"/>
            <w:vAlign w:val="top"/>
          </w:tcPr>
          <w:p w14:paraId="712576CD">
            <w:pPr>
              <w:spacing w:before="114"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0.2542894</w:t>
            </w:r>
          </w:p>
        </w:tc>
        <w:tc>
          <w:tcPr>
            <w:tcW w:w="1460" w:type="dxa"/>
            <w:tcBorders>
              <w:right w:val="single" w:color="000000" w:sz="10" w:space="0"/>
            </w:tcBorders>
            <w:vAlign w:val="top"/>
          </w:tcPr>
          <w:p w14:paraId="52959D1B">
            <w:pPr>
              <w:spacing w:before="114"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0.2500927</w:t>
            </w:r>
          </w:p>
        </w:tc>
      </w:tr>
      <w:tr w14:paraId="46FBB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2" w:type="dxa"/>
            <w:tcBorders>
              <w:left w:val="single" w:color="000000" w:sz="10" w:space="0"/>
            </w:tcBorders>
            <w:vAlign w:val="top"/>
          </w:tcPr>
          <w:p w14:paraId="445A1726">
            <w:pPr>
              <w:spacing w:before="117"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1000</w:t>
            </w:r>
          </w:p>
        </w:tc>
        <w:tc>
          <w:tcPr>
            <w:tcW w:w="1606" w:type="dxa"/>
            <w:vAlign w:val="top"/>
          </w:tcPr>
          <w:p w14:paraId="3187170D">
            <w:pPr>
              <w:spacing w:before="117" w:line="195" w:lineRule="auto"/>
              <w:ind w:left="5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1.693</w:t>
            </w:r>
          </w:p>
        </w:tc>
        <w:tc>
          <w:tcPr>
            <w:tcW w:w="1607" w:type="dxa"/>
            <w:vAlign w:val="top"/>
          </w:tcPr>
          <w:p w14:paraId="7196D757">
            <w:pPr>
              <w:spacing w:before="117" w:line="195" w:lineRule="auto"/>
              <w:ind w:left="5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1.679</w:t>
            </w:r>
          </w:p>
        </w:tc>
        <w:tc>
          <w:tcPr>
            <w:tcW w:w="1449" w:type="dxa"/>
            <w:vAlign w:val="top"/>
          </w:tcPr>
          <w:p w14:paraId="69EF6757">
            <w:pPr>
              <w:spacing w:before="117" w:line="195"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1.654</w:t>
            </w:r>
          </w:p>
        </w:tc>
        <w:tc>
          <w:tcPr>
            <w:tcW w:w="1448" w:type="dxa"/>
            <w:vAlign w:val="top"/>
          </w:tcPr>
          <w:p w14:paraId="11B91D57">
            <w:pPr>
              <w:spacing w:before="117"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1.5452151</w:t>
            </w:r>
          </w:p>
        </w:tc>
        <w:tc>
          <w:tcPr>
            <w:tcW w:w="1449" w:type="dxa"/>
            <w:vAlign w:val="top"/>
          </w:tcPr>
          <w:p w14:paraId="0C89FFA4">
            <w:pPr>
              <w:spacing w:before="117"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1.1872097</w:t>
            </w:r>
          </w:p>
        </w:tc>
        <w:tc>
          <w:tcPr>
            <w:tcW w:w="1448" w:type="dxa"/>
            <w:vAlign w:val="top"/>
          </w:tcPr>
          <w:p w14:paraId="7F134AE6">
            <w:pPr>
              <w:spacing w:before="117"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0.7965899</w:t>
            </w:r>
          </w:p>
        </w:tc>
        <w:tc>
          <w:tcPr>
            <w:tcW w:w="1448" w:type="dxa"/>
            <w:vAlign w:val="top"/>
          </w:tcPr>
          <w:p w14:paraId="45F1B027">
            <w:pPr>
              <w:spacing w:before="117"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0.3473421</w:t>
            </w:r>
          </w:p>
        </w:tc>
        <w:tc>
          <w:tcPr>
            <w:tcW w:w="1448" w:type="dxa"/>
            <w:vAlign w:val="top"/>
          </w:tcPr>
          <w:p w14:paraId="19CEEE39">
            <w:pPr>
              <w:spacing w:before="117"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0.2573158</w:t>
            </w:r>
          </w:p>
        </w:tc>
        <w:tc>
          <w:tcPr>
            <w:tcW w:w="1460" w:type="dxa"/>
            <w:tcBorders>
              <w:right w:val="single" w:color="000000" w:sz="10" w:space="0"/>
            </w:tcBorders>
            <w:vAlign w:val="top"/>
          </w:tcPr>
          <w:p w14:paraId="48875995">
            <w:pPr>
              <w:spacing w:before="117"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0.2502320</w:t>
            </w:r>
          </w:p>
        </w:tc>
      </w:tr>
      <w:tr w14:paraId="72A3A9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862" w:type="dxa"/>
            <w:tcBorders>
              <w:left w:val="single" w:color="000000" w:sz="10" w:space="0"/>
            </w:tcBorders>
            <w:vAlign w:val="top"/>
          </w:tcPr>
          <w:p w14:paraId="3F410820">
            <w:pPr>
              <w:spacing w:before="118"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1500</w:t>
            </w:r>
          </w:p>
        </w:tc>
        <w:tc>
          <w:tcPr>
            <w:tcW w:w="1606" w:type="dxa"/>
            <w:vAlign w:val="top"/>
          </w:tcPr>
          <w:p w14:paraId="721D73E3">
            <w:pPr>
              <w:spacing w:before="118" w:line="195" w:lineRule="auto"/>
              <w:ind w:left="5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1.425</w:t>
            </w:r>
          </w:p>
        </w:tc>
        <w:tc>
          <w:tcPr>
            <w:tcW w:w="1607" w:type="dxa"/>
            <w:vAlign w:val="top"/>
          </w:tcPr>
          <w:p w14:paraId="65A95F47">
            <w:pPr>
              <w:spacing w:before="118" w:line="195" w:lineRule="auto"/>
              <w:ind w:left="5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1.417</w:t>
            </w:r>
          </w:p>
        </w:tc>
        <w:tc>
          <w:tcPr>
            <w:tcW w:w="1449" w:type="dxa"/>
            <w:vAlign w:val="top"/>
          </w:tcPr>
          <w:p w14:paraId="05A5C907">
            <w:pPr>
              <w:spacing w:before="118" w:line="195"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1.404</w:t>
            </w:r>
          </w:p>
        </w:tc>
        <w:tc>
          <w:tcPr>
            <w:tcW w:w="1448" w:type="dxa"/>
            <w:vAlign w:val="top"/>
          </w:tcPr>
          <w:p w14:paraId="13F441FF">
            <w:pPr>
              <w:spacing w:before="118"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1.3430784</w:t>
            </w:r>
          </w:p>
        </w:tc>
        <w:tc>
          <w:tcPr>
            <w:tcW w:w="1449" w:type="dxa"/>
            <w:vAlign w:val="top"/>
          </w:tcPr>
          <w:p w14:paraId="01607FB2">
            <w:pPr>
              <w:spacing w:before="118"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1.1310108</w:t>
            </w:r>
          </w:p>
        </w:tc>
        <w:tc>
          <w:tcPr>
            <w:tcW w:w="1448" w:type="dxa"/>
            <w:vAlign w:val="top"/>
          </w:tcPr>
          <w:p w14:paraId="491BDA9A">
            <w:pPr>
              <w:spacing w:before="118"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0.8649849</w:t>
            </w:r>
          </w:p>
        </w:tc>
        <w:tc>
          <w:tcPr>
            <w:tcW w:w="1448" w:type="dxa"/>
            <w:vAlign w:val="top"/>
          </w:tcPr>
          <w:p w14:paraId="28ED3996">
            <w:pPr>
              <w:spacing w:before="118"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0.4446663</w:t>
            </w:r>
          </w:p>
        </w:tc>
        <w:tc>
          <w:tcPr>
            <w:tcW w:w="1448" w:type="dxa"/>
            <w:vAlign w:val="top"/>
          </w:tcPr>
          <w:p w14:paraId="53E8038F">
            <w:pPr>
              <w:spacing w:before="118"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0.2846681</w:t>
            </w:r>
          </w:p>
        </w:tc>
        <w:tc>
          <w:tcPr>
            <w:tcW w:w="1460" w:type="dxa"/>
            <w:tcBorders>
              <w:right w:val="single" w:color="000000" w:sz="10" w:space="0"/>
            </w:tcBorders>
            <w:vAlign w:val="top"/>
          </w:tcPr>
          <w:p w14:paraId="770A9EDD">
            <w:pPr>
              <w:spacing w:before="118"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0.2534736</w:t>
            </w:r>
          </w:p>
        </w:tc>
      </w:tr>
      <w:tr w14:paraId="6066CF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2" w:type="dxa"/>
            <w:tcBorders>
              <w:left w:val="single" w:color="000000" w:sz="10" w:space="0"/>
            </w:tcBorders>
            <w:vAlign w:val="top"/>
          </w:tcPr>
          <w:p w14:paraId="7AA45F08">
            <w:pPr>
              <w:spacing w:before="118" w:line="195" w:lineRule="auto"/>
              <w:ind w:left="2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2000</w:t>
            </w:r>
          </w:p>
        </w:tc>
        <w:tc>
          <w:tcPr>
            <w:tcW w:w="1606" w:type="dxa"/>
            <w:vAlign w:val="top"/>
          </w:tcPr>
          <w:p w14:paraId="764792A3">
            <w:pPr>
              <w:spacing w:before="118" w:line="195" w:lineRule="auto"/>
              <w:ind w:left="5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1.264</w:t>
            </w:r>
          </w:p>
        </w:tc>
        <w:tc>
          <w:tcPr>
            <w:tcW w:w="1607" w:type="dxa"/>
            <w:vAlign w:val="top"/>
          </w:tcPr>
          <w:p w14:paraId="3521B5E4">
            <w:pPr>
              <w:spacing w:before="118" w:line="195" w:lineRule="auto"/>
              <w:ind w:left="5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1.259</w:t>
            </w:r>
          </w:p>
        </w:tc>
        <w:tc>
          <w:tcPr>
            <w:tcW w:w="1449" w:type="dxa"/>
            <w:vAlign w:val="top"/>
          </w:tcPr>
          <w:p w14:paraId="0F96C279">
            <w:pPr>
              <w:spacing w:before="118" w:line="195"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1.251</w:t>
            </w:r>
          </w:p>
        </w:tc>
        <w:tc>
          <w:tcPr>
            <w:tcW w:w="1448" w:type="dxa"/>
            <w:vAlign w:val="top"/>
          </w:tcPr>
          <w:p w14:paraId="37A2FC2C">
            <w:pPr>
              <w:spacing w:before="118"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1.2110172</w:t>
            </w:r>
          </w:p>
        </w:tc>
        <w:tc>
          <w:tcPr>
            <w:tcW w:w="1449" w:type="dxa"/>
            <w:vAlign w:val="top"/>
          </w:tcPr>
          <w:p w14:paraId="4CBDD29B">
            <w:pPr>
              <w:spacing w:before="118"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1.0674828</w:t>
            </w:r>
          </w:p>
        </w:tc>
        <w:tc>
          <w:tcPr>
            <w:tcW w:w="1448" w:type="dxa"/>
            <w:vAlign w:val="top"/>
          </w:tcPr>
          <w:p w14:paraId="7AEED655">
            <w:pPr>
              <w:spacing w:before="118"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0.8742966</w:t>
            </w:r>
          </w:p>
        </w:tc>
        <w:tc>
          <w:tcPr>
            <w:tcW w:w="1448" w:type="dxa"/>
            <w:vAlign w:val="top"/>
          </w:tcPr>
          <w:p w14:paraId="28A888F2">
            <w:pPr>
              <w:spacing w:before="118"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0.5134576</w:t>
            </w:r>
          </w:p>
        </w:tc>
        <w:tc>
          <w:tcPr>
            <w:tcW w:w="1448" w:type="dxa"/>
            <w:vAlign w:val="top"/>
          </w:tcPr>
          <w:p w14:paraId="44F74D66">
            <w:pPr>
              <w:spacing w:before="118"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0.3222254</w:t>
            </w:r>
          </w:p>
        </w:tc>
        <w:tc>
          <w:tcPr>
            <w:tcW w:w="1460" w:type="dxa"/>
            <w:tcBorders>
              <w:right w:val="single" w:color="000000" w:sz="10" w:space="0"/>
            </w:tcBorders>
            <w:vAlign w:val="top"/>
          </w:tcPr>
          <w:p w14:paraId="7DF6A067">
            <w:pPr>
              <w:spacing w:before="118"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0.2628626</w:t>
            </w:r>
          </w:p>
        </w:tc>
      </w:tr>
      <w:tr w14:paraId="282A1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2" w:type="dxa"/>
            <w:tcBorders>
              <w:left w:val="single" w:color="000000" w:sz="10" w:space="0"/>
            </w:tcBorders>
            <w:vAlign w:val="top"/>
          </w:tcPr>
          <w:p w14:paraId="027DEDA7">
            <w:pPr>
              <w:spacing w:before="119"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3000</w:t>
            </w:r>
          </w:p>
        </w:tc>
        <w:tc>
          <w:tcPr>
            <w:tcW w:w="1606" w:type="dxa"/>
            <w:vAlign w:val="top"/>
          </w:tcPr>
          <w:p w14:paraId="273D1552">
            <w:pPr>
              <w:spacing w:before="119" w:line="195" w:lineRule="auto"/>
              <w:ind w:left="5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1.073</w:t>
            </w:r>
          </w:p>
        </w:tc>
        <w:tc>
          <w:tcPr>
            <w:tcW w:w="1607" w:type="dxa"/>
            <w:vAlign w:val="top"/>
          </w:tcPr>
          <w:p w14:paraId="4E095086">
            <w:pPr>
              <w:spacing w:before="119" w:line="195" w:lineRule="auto"/>
              <w:ind w:left="5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1.071</w:t>
            </w:r>
          </w:p>
        </w:tc>
        <w:tc>
          <w:tcPr>
            <w:tcW w:w="1449" w:type="dxa"/>
            <w:vAlign w:val="top"/>
          </w:tcPr>
          <w:p w14:paraId="343AC97D">
            <w:pPr>
              <w:spacing w:before="119" w:line="195" w:lineRule="auto"/>
              <w:ind w:left="50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1.066</w:t>
            </w:r>
          </w:p>
        </w:tc>
        <w:tc>
          <w:tcPr>
            <w:tcW w:w="1448" w:type="dxa"/>
            <w:vAlign w:val="top"/>
          </w:tcPr>
          <w:p w14:paraId="5984164A">
            <w:pPr>
              <w:spacing w:before="119" w:line="195" w:lineRule="auto"/>
              <w:ind w:left="2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1.0442882</w:t>
            </w:r>
          </w:p>
        </w:tc>
        <w:tc>
          <w:tcPr>
            <w:tcW w:w="1449" w:type="dxa"/>
            <w:vAlign w:val="top"/>
          </w:tcPr>
          <w:p w14:paraId="06DA750D">
            <w:pPr>
              <w:spacing w:before="119"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0.9630879</w:t>
            </w:r>
          </w:p>
        </w:tc>
        <w:tc>
          <w:tcPr>
            <w:tcW w:w="1448" w:type="dxa"/>
            <w:vAlign w:val="top"/>
          </w:tcPr>
          <w:p w14:paraId="3293FBE5">
            <w:pPr>
              <w:spacing w:before="119"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0.8457783</w:t>
            </w:r>
          </w:p>
        </w:tc>
        <w:tc>
          <w:tcPr>
            <w:tcW w:w="1448" w:type="dxa"/>
            <w:vAlign w:val="top"/>
          </w:tcPr>
          <w:p w14:paraId="0BCA8245">
            <w:pPr>
              <w:spacing w:before="119"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0.5851952</w:t>
            </w:r>
          </w:p>
        </w:tc>
        <w:tc>
          <w:tcPr>
            <w:tcW w:w="1448" w:type="dxa"/>
            <w:vAlign w:val="top"/>
          </w:tcPr>
          <w:p w14:paraId="6F5C5530">
            <w:pPr>
              <w:spacing w:before="119"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0.3914547</w:t>
            </w:r>
          </w:p>
        </w:tc>
        <w:tc>
          <w:tcPr>
            <w:tcW w:w="1460" w:type="dxa"/>
            <w:tcBorders>
              <w:right w:val="single" w:color="000000" w:sz="10" w:space="0"/>
            </w:tcBorders>
            <w:vAlign w:val="top"/>
          </w:tcPr>
          <w:p w14:paraId="6C0033BD">
            <w:pPr>
              <w:spacing w:before="119"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0.2947758</w:t>
            </w:r>
          </w:p>
        </w:tc>
      </w:tr>
      <w:tr w14:paraId="1A6D8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862" w:type="dxa"/>
            <w:tcBorders>
              <w:left w:val="single" w:color="000000" w:sz="10" w:space="0"/>
            </w:tcBorders>
            <w:vAlign w:val="top"/>
          </w:tcPr>
          <w:p w14:paraId="349FC01F">
            <w:pPr>
              <w:spacing w:before="120"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4000</w:t>
            </w:r>
          </w:p>
        </w:tc>
        <w:tc>
          <w:tcPr>
            <w:tcW w:w="1606" w:type="dxa"/>
            <w:vAlign w:val="top"/>
          </w:tcPr>
          <w:p w14:paraId="0CA735B2">
            <w:pPr>
              <w:spacing w:before="120" w:line="195" w:lineRule="auto"/>
              <w:ind w:left="5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0.959</w:t>
            </w:r>
          </w:p>
        </w:tc>
        <w:tc>
          <w:tcPr>
            <w:tcW w:w="1607" w:type="dxa"/>
            <w:vAlign w:val="top"/>
          </w:tcPr>
          <w:p w14:paraId="32AB2762">
            <w:pPr>
              <w:spacing w:before="120"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0.957</w:t>
            </w:r>
          </w:p>
        </w:tc>
        <w:tc>
          <w:tcPr>
            <w:tcW w:w="1449" w:type="dxa"/>
            <w:vAlign w:val="top"/>
          </w:tcPr>
          <w:p w14:paraId="02FC83DA">
            <w:pPr>
              <w:spacing w:before="120"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0.954</w:t>
            </w:r>
          </w:p>
        </w:tc>
        <w:tc>
          <w:tcPr>
            <w:tcW w:w="1448" w:type="dxa"/>
            <w:vAlign w:val="top"/>
          </w:tcPr>
          <w:p w14:paraId="17B41A52">
            <w:pPr>
              <w:spacing w:before="120"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0.9400783</w:t>
            </w:r>
          </w:p>
        </w:tc>
        <w:tc>
          <w:tcPr>
            <w:tcW w:w="1449" w:type="dxa"/>
            <w:vAlign w:val="top"/>
          </w:tcPr>
          <w:p w14:paraId="5375A5CB">
            <w:pPr>
              <w:spacing w:before="120"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0.8864614</w:t>
            </w:r>
          </w:p>
        </w:tc>
        <w:tc>
          <w:tcPr>
            <w:tcW w:w="1448" w:type="dxa"/>
            <w:vAlign w:val="top"/>
          </w:tcPr>
          <w:p w14:paraId="00F60D92">
            <w:pPr>
              <w:spacing w:before="120"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0.8061965</w:t>
            </w:r>
          </w:p>
        </w:tc>
        <w:tc>
          <w:tcPr>
            <w:tcW w:w="1448" w:type="dxa"/>
            <w:vAlign w:val="top"/>
          </w:tcPr>
          <w:p w14:paraId="098B3480">
            <w:pPr>
              <w:spacing w:before="120"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0.6113168</w:t>
            </w:r>
          </w:p>
        </w:tc>
        <w:tc>
          <w:tcPr>
            <w:tcW w:w="1448" w:type="dxa"/>
            <w:vAlign w:val="top"/>
          </w:tcPr>
          <w:p w14:paraId="2B1ACD89">
            <w:pPr>
              <w:spacing w:before="120"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0.4391812</w:t>
            </w:r>
          </w:p>
        </w:tc>
        <w:tc>
          <w:tcPr>
            <w:tcW w:w="1460" w:type="dxa"/>
            <w:tcBorders>
              <w:right w:val="single" w:color="000000" w:sz="10" w:space="0"/>
            </w:tcBorders>
            <w:vAlign w:val="top"/>
          </w:tcPr>
          <w:p w14:paraId="4B251C42">
            <w:pPr>
              <w:spacing w:before="120"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0.3298358</w:t>
            </w:r>
          </w:p>
        </w:tc>
      </w:tr>
      <w:tr w14:paraId="45CB31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862" w:type="dxa"/>
            <w:tcBorders>
              <w:left w:val="single" w:color="000000" w:sz="10" w:space="0"/>
              <w:bottom w:val="single" w:color="000000" w:sz="10" w:space="0"/>
            </w:tcBorders>
            <w:vAlign w:val="top"/>
          </w:tcPr>
          <w:p w14:paraId="3F037FA4">
            <w:pPr>
              <w:spacing w:before="121" w:line="195" w:lineRule="auto"/>
              <w:ind w:left="2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9000</w:t>
            </w:r>
          </w:p>
        </w:tc>
        <w:tc>
          <w:tcPr>
            <w:tcW w:w="1606" w:type="dxa"/>
            <w:tcBorders>
              <w:bottom w:val="single" w:color="000000" w:sz="10" w:space="0"/>
            </w:tcBorders>
            <w:vAlign w:val="top"/>
          </w:tcPr>
          <w:p w14:paraId="06A50474">
            <w:pPr>
              <w:spacing w:before="121" w:line="195" w:lineRule="auto"/>
              <w:ind w:left="5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0.709</w:t>
            </w:r>
          </w:p>
        </w:tc>
        <w:tc>
          <w:tcPr>
            <w:tcW w:w="1607" w:type="dxa"/>
            <w:tcBorders>
              <w:bottom w:val="single" w:color="000000" w:sz="10" w:space="0"/>
            </w:tcBorders>
            <w:vAlign w:val="top"/>
          </w:tcPr>
          <w:p w14:paraId="14F6D260">
            <w:pPr>
              <w:spacing w:before="121" w:line="195" w:lineRule="auto"/>
              <w:ind w:left="56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0.709</w:t>
            </w:r>
          </w:p>
        </w:tc>
        <w:tc>
          <w:tcPr>
            <w:tcW w:w="1449" w:type="dxa"/>
            <w:tcBorders>
              <w:bottom w:val="single" w:color="000000" w:sz="10" w:space="0"/>
            </w:tcBorders>
            <w:vAlign w:val="top"/>
          </w:tcPr>
          <w:p w14:paraId="09FCBE8B">
            <w:pPr>
              <w:spacing w:before="121" w:line="195" w:lineRule="auto"/>
              <w:ind w:left="48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0.708</w:t>
            </w:r>
          </w:p>
        </w:tc>
        <w:tc>
          <w:tcPr>
            <w:tcW w:w="1448" w:type="dxa"/>
            <w:tcBorders>
              <w:bottom w:val="single" w:color="000000" w:sz="10" w:space="0"/>
            </w:tcBorders>
            <w:vAlign w:val="top"/>
          </w:tcPr>
          <w:p w14:paraId="63F54AF1">
            <w:pPr>
              <w:spacing w:before="121" w:line="195" w:lineRule="auto"/>
              <w:ind w:left="27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0.7036758</w:t>
            </w:r>
          </w:p>
        </w:tc>
        <w:tc>
          <w:tcPr>
            <w:tcW w:w="1449" w:type="dxa"/>
            <w:tcBorders>
              <w:bottom w:val="single" w:color="000000" w:sz="10" w:space="0"/>
            </w:tcBorders>
            <w:vAlign w:val="top"/>
          </w:tcPr>
          <w:p w14:paraId="7FB21651">
            <w:pPr>
              <w:spacing w:before="121" w:line="195" w:lineRule="auto"/>
              <w:ind w:left="2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0.6876570</w:t>
            </w:r>
          </w:p>
        </w:tc>
        <w:tc>
          <w:tcPr>
            <w:tcW w:w="1448" w:type="dxa"/>
            <w:tcBorders>
              <w:bottom w:val="single" w:color="000000" w:sz="10" w:space="0"/>
            </w:tcBorders>
            <w:vAlign w:val="top"/>
          </w:tcPr>
          <w:p w14:paraId="6367273F">
            <w:pPr>
              <w:spacing w:before="121" w:line="195" w:lineRule="auto"/>
              <w:ind w:left="28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0.6622061</w:t>
            </w:r>
          </w:p>
        </w:tc>
        <w:tc>
          <w:tcPr>
            <w:tcW w:w="1448" w:type="dxa"/>
            <w:tcBorders>
              <w:bottom w:val="single" w:color="000000" w:sz="10" w:space="0"/>
            </w:tcBorders>
            <w:vAlign w:val="top"/>
          </w:tcPr>
          <w:p w14:paraId="61A79948">
            <w:pPr>
              <w:spacing w:before="121"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0.5902923</w:t>
            </w:r>
          </w:p>
        </w:tc>
        <w:tc>
          <w:tcPr>
            <w:tcW w:w="1448" w:type="dxa"/>
            <w:tcBorders>
              <w:bottom w:val="single" w:color="000000" w:sz="10" w:space="0"/>
            </w:tcBorders>
            <w:vAlign w:val="top"/>
          </w:tcPr>
          <w:p w14:paraId="4A32EE4F">
            <w:pPr>
              <w:spacing w:before="121" w:line="195" w:lineRule="auto"/>
              <w:ind w:left="2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0.5052459</w:t>
            </w:r>
          </w:p>
        </w:tc>
        <w:tc>
          <w:tcPr>
            <w:tcW w:w="1460" w:type="dxa"/>
            <w:tcBorders>
              <w:bottom w:val="single" w:color="000000" w:sz="10" w:space="0"/>
              <w:right w:val="single" w:color="000000" w:sz="10" w:space="0"/>
            </w:tcBorders>
            <w:vAlign w:val="top"/>
          </w:tcPr>
          <w:p w14:paraId="1C592454">
            <w:pPr>
              <w:spacing w:before="121" w:line="195" w:lineRule="auto"/>
              <w:ind w:left="2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0.4239539</w:t>
            </w:r>
          </w:p>
        </w:tc>
      </w:tr>
    </w:tbl>
    <w:p w14:paraId="05EA9546">
      <w:pPr>
        <w:pStyle w:val="2"/>
      </w:pPr>
    </w:p>
    <w:p w14:paraId="55F4C3CB">
      <w:pPr>
        <w:sectPr>
          <w:headerReference r:id="rId140" w:type="default"/>
          <w:footerReference r:id="rId141" w:type="default"/>
          <w:pgSz w:w="16840" w:h="11907"/>
          <w:pgMar w:top="1132" w:right="1294" w:bottom="1258" w:left="1294" w:header="829" w:footer="1096" w:gutter="0"/>
          <w:cols w:space="720" w:num="1"/>
        </w:sectPr>
      </w:pPr>
    </w:p>
    <w:p w14:paraId="100AA7E8">
      <w:pPr>
        <w:pStyle w:val="2"/>
      </w:pPr>
    </w:p>
    <w:p w14:paraId="4E6DDA52">
      <w:pPr>
        <w:spacing w:before="78" w:line="219" w:lineRule="auto"/>
        <w:ind w:left="490"/>
        <w:rPr>
          <w:rFonts w:ascii="宋体" w:hAnsi="宋体" w:eastAsia="宋体" w:cs="宋体"/>
          <w:sz w:val="24"/>
          <w:szCs w:val="24"/>
        </w:rPr>
      </w:pPr>
      <w:r>
        <w:rPr>
          <w:rFonts w:ascii="宋体" w:hAnsi="宋体" w:eastAsia="宋体" w:cs="宋体"/>
          <w:spacing w:val="-1"/>
          <w:sz w:val="24"/>
          <w:szCs w:val="24"/>
        </w:rPr>
        <w:t>本次预测取最不利水文情况，由预测结果可知：</w:t>
      </w:r>
    </w:p>
    <w:p w14:paraId="07D92C53">
      <w:pPr>
        <w:spacing w:before="181" w:line="219" w:lineRule="auto"/>
        <w:ind w:left="501"/>
        <w:rPr>
          <w:rFonts w:ascii="宋体" w:hAnsi="宋体" w:eastAsia="宋体" w:cs="宋体"/>
          <w:sz w:val="24"/>
          <w:szCs w:val="24"/>
        </w:rPr>
      </w:pPr>
      <w:r>
        <w:rPr>
          <w:rFonts w:ascii="宋体" w:hAnsi="宋体" w:eastAsia="宋体" w:cs="宋体"/>
          <w:b/>
          <w:bCs/>
          <w:spacing w:val="-6"/>
          <w:sz w:val="24"/>
          <w:szCs w:val="24"/>
        </w:rPr>
        <w:t>（</w:t>
      </w:r>
      <w:r>
        <w:rPr>
          <w:rFonts w:ascii="Times New Roman" w:hAnsi="Times New Roman" w:eastAsia="Times New Roman" w:cs="Times New Roman"/>
          <w:b/>
          <w:bCs/>
          <w:spacing w:val="-6"/>
          <w:sz w:val="24"/>
          <w:szCs w:val="24"/>
        </w:rPr>
        <w:t>1</w:t>
      </w:r>
      <w:r>
        <w:rPr>
          <w:rFonts w:ascii="宋体" w:hAnsi="宋体" w:eastAsia="宋体" w:cs="宋体"/>
          <w:b/>
          <w:bCs/>
          <w:spacing w:val="-6"/>
          <w:sz w:val="24"/>
          <w:szCs w:val="24"/>
        </w:rPr>
        <w:t>）枯水期</w:t>
      </w:r>
    </w:p>
    <w:p w14:paraId="145EF374">
      <w:pPr>
        <w:spacing w:before="183" w:line="359" w:lineRule="auto"/>
        <w:ind w:left="8" w:right="78" w:firstLine="480"/>
        <w:jc w:val="both"/>
        <w:rPr>
          <w:rFonts w:ascii="宋体" w:hAnsi="宋体" w:eastAsia="宋体" w:cs="宋体"/>
          <w:sz w:val="24"/>
          <w:szCs w:val="24"/>
        </w:rPr>
      </w:pPr>
      <w:r>
        <w:rPr>
          <w:rFonts w:ascii="宋体" w:hAnsi="宋体" w:eastAsia="宋体" w:cs="宋体"/>
          <w:spacing w:val="-4"/>
          <w:sz w:val="24"/>
          <w:szCs w:val="24"/>
        </w:rPr>
        <w:t>达标排放的情况下，</w:t>
      </w:r>
      <w:r>
        <w:rPr>
          <w:rFonts w:ascii="Times New Roman" w:hAnsi="Times New Roman" w:eastAsia="Times New Roman" w:cs="Times New Roman"/>
          <w:spacing w:val="-4"/>
          <w:sz w:val="24"/>
          <w:szCs w:val="24"/>
        </w:rPr>
        <w:t>COD</w:t>
      </w:r>
      <w:r>
        <w:rPr>
          <w:rFonts w:ascii="宋体" w:hAnsi="宋体" w:eastAsia="宋体" w:cs="宋体"/>
          <w:spacing w:val="-4"/>
          <w:sz w:val="24"/>
          <w:szCs w:val="24"/>
        </w:rPr>
        <w:t>约有</w:t>
      </w:r>
      <w:r>
        <w:rPr>
          <w:rFonts w:ascii="Times New Roman" w:hAnsi="Times New Roman" w:eastAsia="Times New Roman" w:cs="Times New Roman"/>
          <w:spacing w:val="-4"/>
          <w:sz w:val="24"/>
          <w:szCs w:val="24"/>
        </w:rPr>
        <w:t>30m</w:t>
      </w:r>
      <w:r>
        <w:rPr>
          <w:rFonts w:ascii="宋体" w:hAnsi="宋体" w:eastAsia="宋体" w:cs="宋体"/>
          <w:spacing w:val="-4"/>
          <w:sz w:val="24"/>
          <w:szCs w:val="24"/>
        </w:rPr>
        <w:t>的超标带，经</w:t>
      </w:r>
      <w:r>
        <w:rPr>
          <w:rFonts w:ascii="Times New Roman" w:hAnsi="Times New Roman" w:eastAsia="Times New Roman" w:cs="Times New Roman"/>
          <w:spacing w:val="-4"/>
          <w:sz w:val="24"/>
          <w:szCs w:val="24"/>
        </w:rPr>
        <w:t>9km</w:t>
      </w:r>
      <w:r>
        <w:rPr>
          <w:rFonts w:ascii="宋体" w:hAnsi="宋体" w:eastAsia="宋体" w:cs="宋体"/>
          <w:spacing w:val="-4"/>
          <w:sz w:val="24"/>
          <w:szCs w:val="24"/>
        </w:rPr>
        <w:t>衰减，混合浓度趋近背</w:t>
      </w:r>
      <w:r>
        <w:rPr>
          <w:rFonts w:ascii="宋体" w:hAnsi="宋体" w:eastAsia="宋体" w:cs="宋体"/>
          <w:spacing w:val="-2"/>
          <w:sz w:val="24"/>
          <w:szCs w:val="24"/>
        </w:rPr>
        <w:t>景值；</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sz w:val="15"/>
          <w:szCs w:val="15"/>
        </w:rPr>
        <w:t>3</w:t>
      </w:r>
      <w:r>
        <w:rPr>
          <w:rFonts w:ascii="Times New Roman" w:hAnsi="Times New Roman" w:eastAsia="Times New Roman" w:cs="Times New Roman"/>
          <w:spacing w:val="-2"/>
          <w:sz w:val="24"/>
          <w:szCs w:val="24"/>
        </w:rPr>
        <w:t>-N</w:t>
      </w:r>
      <w:r>
        <w:rPr>
          <w:rFonts w:ascii="宋体" w:hAnsi="宋体" w:eastAsia="宋体" w:cs="宋体"/>
          <w:spacing w:val="-2"/>
          <w:sz w:val="24"/>
          <w:szCs w:val="24"/>
        </w:rPr>
        <w:t>约有</w:t>
      </w:r>
      <w:r>
        <w:rPr>
          <w:rFonts w:ascii="Times New Roman" w:hAnsi="Times New Roman" w:eastAsia="Times New Roman" w:cs="Times New Roman"/>
          <w:spacing w:val="-2"/>
          <w:sz w:val="24"/>
          <w:szCs w:val="24"/>
        </w:rPr>
        <w:t>65m</w:t>
      </w:r>
      <w:r>
        <w:rPr>
          <w:rFonts w:ascii="宋体" w:hAnsi="宋体" w:eastAsia="宋体" w:cs="宋体"/>
          <w:spacing w:val="-2"/>
          <w:sz w:val="24"/>
          <w:szCs w:val="24"/>
        </w:rPr>
        <w:t>的超标带，经</w:t>
      </w:r>
      <w:r>
        <w:rPr>
          <w:rFonts w:ascii="Times New Roman" w:hAnsi="Times New Roman" w:eastAsia="Times New Roman" w:cs="Times New Roman"/>
          <w:spacing w:val="-2"/>
          <w:sz w:val="24"/>
          <w:szCs w:val="24"/>
        </w:rPr>
        <w:t>3km</w:t>
      </w:r>
      <w:r>
        <w:rPr>
          <w:rFonts w:ascii="宋体" w:hAnsi="宋体" w:eastAsia="宋体" w:cs="宋体"/>
          <w:spacing w:val="-2"/>
          <w:sz w:val="24"/>
          <w:szCs w:val="24"/>
        </w:rPr>
        <w:t>衰减，浓度降到比较低的状态。根据工</w:t>
      </w:r>
      <w:r>
        <w:rPr>
          <w:rFonts w:ascii="宋体" w:hAnsi="宋体" w:eastAsia="宋体" w:cs="宋体"/>
          <w:sz w:val="24"/>
          <w:szCs w:val="24"/>
        </w:rPr>
        <w:t>业污水厂（一期）排水口在线监测数据，</w:t>
      </w:r>
      <w:r>
        <w:rPr>
          <w:rFonts w:ascii="Times New Roman" w:hAnsi="Times New Roman" w:eastAsia="Times New Roman" w:cs="Times New Roman"/>
          <w:sz w:val="24"/>
          <w:szCs w:val="24"/>
        </w:rPr>
        <w:t>COD</w:t>
      </w:r>
      <w:r>
        <w:rPr>
          <w:rFonts w:ascii="宋体" w:hAnsi="宋体" w:eastAsia="宋体" w:cs="宋体"/>
          <w:sz w:val="24"/>
          <w:szCs w:val="24"/>
        </w:rPr>
        <w:t>、</w:t>
      </w:r>
      <w:r>
        <w:rPr>
          <w:rFonts w:ascii="Times New Roman" w:hAnsi="Times New Roman" w:eastAsia="Times New Roman" w:cs="Times New Roman"/>
          <w:sz w:val="24"/>
          <w:szCs w:val="24"/>
        </w:rPr>
        <w:t>NH</w:t>
      </w:r>
      <w:r>
        <w:rPr>
          <w:rFonts w:ascii="Times New Roman" w:hAnsi="Times New Roman" w:eastAsia="Times New Roman" w:cs="Times New Roman"/>
          <w:sz w:val="15"/>
          <w:szCs w:val="15"/>
        </w:rPr>
        <w:t>3</w:t>
      </w:r>
      <w:r>
        <w:rPr>
          <w:rFonts w:ascii="Times New Roman" w:hAnsi="Times New Roman" w:eastAsia="Times New Roman" w:cs="Times New Roman"/>
          <w:sz w:val="24"/>
          <w:szCs w:val="24"/>
        </w:rPr>
        <w:t>-N</w:t>
      </w:r>
      <w:r>
        <w:rPr>
          <w:rFonts w:ascii="宋体" w:hAnsi="宋体" w:eastAsia="宋体" w:cs="宋体"/>
          <w:sz w:val="24"/>
          <w:szCs w:val="24"/>
        </w:rPr>
        <w:t>实际排放浓度远低于预测</w:t>
      </w:r>
      <w:r>
        <w:rPr>
          <w:rFonts w:ascii="宋体" w:hAnsi="宋体" w:eastAsia="宋体" w:cs="宋体"/>
          <w:spacing w:val="3"/>
          <w:sz w:val="24"/>
          <w:szCs w:val="24"/>
        </w:rPr>
        <w:t>选取的排放标准值，实际影响低于预测值。项目尾水达标</w:t>
      </w:r>
      <w:r>
        <w:rPr>
          <w:rFonts w:ascii="宋体" w:hAnsi="宋体" w:eastAsia="宋体" w:cs="宋体"/>
          <w:spacing w:val="2"/>
          <w:sz w:val="24"/>
          <w:szCs w:val="24"/>
        </w:rPr>
        <w:t>排放经入河排污口进入</w:t>
      </w:r>
      <w:r>
        <w:rPr>
          <w:rFonts w:ascii="宋体" w:hAnsi="宋体" w:eastAsia="宋体" w:cs="宋体"/>
          <w:sz w:val="24"/>
          <w:szCs w:val="24"/>
        </w:rPr>
        <w:t>赧水后，除混合区外均满足《地表水环境质量标准》</w:t>
      </w:r>
      <w:r>
        <w:rPr>
          <w:rFonts w:ascii="Times New Roman" w:hAnsi="Times New Roman" w:eastAsia="Times New Roman" w:cs="Times New Roman"/>
          <w:sz w:val="24"/>
          <w:szCs w:val="24"/>
        </w:rPr>
        <w:t>(GB3838-2002)</w:t>
      </w:r>
      <w:r>
        <w:rPr>
          <w:rFonts w:ascii="宋体" w:hAnsi="宋体" w:eastAsia="宋体" w:cs="宋体"/>
          <w:sz w:val="24"/>
          <w:szCs w:val="24"/>
        </w:rPr>
        <w:t>的Ⅱ类标准，因此正常排放下，本项目不会改变受纳水体资水（赧水）隆回</w:t>
      </w:r>
      <w:r>
        <w:rPr>
          <w:rFonts w:ascii="Times New Roman" w:hAnsi="Times New Roman" w:eastAsia="Times New Roman" w:cs="Times New Roman"/>
          <w:sz w:val="24"/>
          <w:szCs w:val="24"/>
        </w:rPr>
        <w:t>-</w:t>
      </w:r>
      <w:r>
        <w:rPr>
          <w:rFonts w:ascii="宋体" w:hAnsi="宋体" w:eastAsia="宋体" w:cs="宋体"/>
          <w:sz w:val="24"/>
          <w:szCs w:val="24"/>
        </w:rPr>
        <w:t>邵阳保留区水质类</w:t>
      </w:r>
      <w:r>
        <w:rPr>
          <w:rFonts w:ascii="宋体" w:hAnsi="宋体" w:eastAsia="宋体" w:cs="宋体"/>
          <w:spacing w:val="3"/>
          <w:sz w:val="24"/>
          <w:szCs w:val="24"/>
        </w:rPr>
        <w:t>别，对受纳水体水质影响较小。本项目为隆回高新区污水</w:t>
      </w:r>
      <w:r>
        <w:rPr>
          <w:rFonts w:ascii="宋体" w:hAnsi="宋体" w:eastAsia="宋体" w:cs="宋体"/>
          <w:spacing w:val="2"/>
          <w:sz w:val="24"/>
          <w:szCs w:val="24"/>
        </w:rPr>
        <w:t>集中处理工程，可大幅</w:t>
      </w:r>
      <w:r>
        <w:rPr>
          <w:rFonts w:ascii="宋体" w:hAnsi="宋体" w:eastAsia="宋体" w:cs="宋体"/>
          <w:spacing w:val="-1"/>
          <w:sz w:val="24"/>
          <w:szCs w:val="24"/>
        </w:rPr>
        <w:t>削减隆回高新区工业污水和生活污水对赧水的影响。</w:t>
      </w:r>
    </w:p>
    <w:p w14:paraId="7FB767A4">
      <w:pPr>
        <w:spacing w:before="1" w:line="359" w:lineRule="auto"/>
        <w:ind w:left="9" w:firstLine="480"/>
        <w:jc w:val="both"/>
        <w:rPr>
          <w:rFonts w:ascii="宋体" w:hAnsi="宋体" w:eastAsia="宋体" w:cs="宋体"/>
          <w:sz w:val="24"/>
          <w:szCs w:val="24"/>
        </w:rPr>
      </w:pPr>
      <w:r>
        <w:rPr>
          <w:rFonts w:ascii="宋体" w:hAnsi="宋体" w:eastAsia="宋体" w:cs="宋体"/>
          <w:sz w:val="24"/>
          <w:szCs w:val="24"/>
        </w:rPr>
        <w:t>事故排放下，</w:t>
      </w:r>
      <w:r>
        <w:rPr>
          <w:rFonts w:ascii="Times New Roman" w:hAnsi="Times New Roman" w:eastAsia="Times New Roman" w:cs="Times New Roman"/>
          <w:sz w:val="24"/>
          <w:szCs w:val="24"/>
        </w:rPr>
        <w:t>COD</w:t>
      </w:r>
      <w:r>
        <w:rPr>
          <w:rFonts w:ascii="宋体" w:hAnsi="宋体" w:eastAsia="宋体" w:cs="宋体"/>
          <w:sz w:val="24"/>
          <w:szCs w:val="24"/>
        </w:rPr>
        <w:t>形成约</w:t>
      </w:r>
      <w:r>
        <w:rPr>
          <w:rFonts w:ascii="Times New Roman" w:hAnsi="Times New Roman" w:eastAsia="Times New Roman" w:cs="Times New Roman"/>
          <w:sz w:val="24"/>
          <w:szCs w:val="24"/>
        </w:rPr>
        <w:t>870m</w:t>
      </w:r>
      <w:r>
        <w:rPr>
          <w:rFonts w:ascii="宋体" w:hAnsi="宋体" w:eastAsia="宋体" w:cs="宋体"/>
          <w:sz w:val="24"/>
          <w:szCs w:val="24"/>
        </w:rPr>
        <w:t>的超标带，经</w:t>
      </w:r>
      <w:r>
        <w:rPr>
          <w:rFonts w:ascii="Times New Roman" w:hAnsi="Times New Roman" w:eastAsia="Times New Roman" w:cs="Times New Roman"/>
          <w:sz w:val="24"/>
          <w:szCs w:val="24"/>
        </w:rPr>
        <w:t>9km</w:t>
      </w:r>
      <w:r>
        <w:rPr>
          <w:rFonts w:ascii="宋体" w:hAnsi="宋体" w:eastAsia="宋体" w:cs="宋体"/>
          <w:sz w:val="24"/>
          <w:szCs w:val="24"/>
        </w:rPr>
        <w:t>衰减，混合浓度仍略</w:t>
      </w:r>
      <w:r>
        <w:rPr>
          <w:rFonts w:ascii="宋体" w:hAnsi="宋体" w:eastAsia="宋体" w:cs="宋体"/>
          <w:spacing w:val="-1"/>
          <w:sz w:val="24"/>
          <w:szCs w:val="24"/>
        </w:rPr>
        <w:t>高于</w:t>
      </w:r>
      <w:r>
        <w:rPr>
          <w:rFonts w:ascii="宋体" w:hAnsi="宋体" w:eastAsia="宋体" w:cs="宋体"/>
          <w:spacing w:val="-5"/>
          <w:sz w:val="24"/>
          <w:szCs w:val="24"/>
        </w:rPr>
        <w:t>背景值；</w:t>
      </w:r>
      <w:r>
        <w:rPr>
          <w:rFonts w:ascii="Times New Roman" w:hAnsi="Times New Roman" w:eastAsia="Times New Roman" w:cs="Times New Roman"/>
          <w:spacing w:val="-5"/>
          <w:sz w:val="24"/>
          <w:szCs w:val="24"/>
        </w:rPr>
        <w:t>NH</w:t>
      </w:r>
      <w:r>
        <w:rPr>
          <w:rFonts w:ascii="Times New Roman" w:hAnsi="Times New Roman" w:eastAsia="Times New Roman" w:cs="Times New Roman"/>
          <w:spacing w:val="-5"/>
          <w:sz w:val="15"/>
          <w:szCs w:val="15"/>
        </w:rPr>
        <w:t>3</w:t>
      </w:r>
      <w:r>
        <w:rPr>
          <w:rFonts w:ascii="Times New Roman" w:hAnsi="Times New Roman" w:eastAsia="Times New Roman" w:cs="Times New Roman"/>
          <w:spacing w:val="-5"/>
          <w:sz w:val="24"/>
          <w:szCs w:val="24"/>
        </w:rPr>
        <w:t>-N</w:t>
      </w:r>
      <w:r>
        <w:rPr>
          <w:rFonts w:ascii="宋体" w:hAnsi="宋体" w:eastAsia="宋体" w:cs="宋体"/>
          <w:spacing w:val="-5"/>
          <w:sz w:val="24"/>
          <w:szCs w:val="24"/>
        </w:rPr>
        <w:t>形成约</w:t>
      </w:r>
      <w:r>
        <w:rPr>
          <w:rFonts w:ascii="Times New Roman" w:hAnsi="Times New Roman" w:eastAsia="Times New Roman" w:cs="Times New Roman"/>
          <w:spacing w:val="-5"/>
          <w:sz w:val="24"/>
          <w:szCs w:val="24"/>
        </w:rPr>
        <w:t>4900m</w:t>
      </w:r>
      <w:r>
        <w:rPr>
          <w:rFonts w:ascii="宋体" w:hAnsi="宋体" w:eastAsia="宋体" w:cs="宋体"/>
          <w:spacing w:val="-5"/>
          <w:sz w:val="24"/>
          <w:szCs w:val="24"/>
        </w:rPr>
        <w:t>的超标带，经</w:t>
      </w:r>
      <w:r>
        <w:rPr>
          <w:rFonts w:ascii="Times New Roman" w:hAnsi="Times New Roman" w:eastAsia="Times New Roman" w:cs="Times New Roman"/>
          <w:spacing w:val="-5"/>
          <w:sz w:val="24"/>
          <w:szCs w:val="24"/>
        </w:rPr>
        <w:t>9km</w:t>
      </w:r>
      <w:r>
        <w:rPr>
          <w:rFonts w:ascii="宋体" w:hAnsi="宋体" w:eastAsia="宋体" w:cs="宋体"/>
          <w:spacing w:val="-5"/>
          <w:sz w:val="24"/>
          <w:szCs w:val="24"/>
        </w:rPr>
        <w:t>衰减，混合浓度仍略</w:t>
      </w:r>
      <w:r>
        <w:rPr>
          <w:rFonts w:ascii="宋体" w:hAnsi="宋体" w:eastAsia="宋体" w:cs="宋体"/>
          <w:spacing w:val="-6"/>
          <w:sz w:val="24"/>
          <w:szCs w:val="24"/>
        </w:rPr>
        <w:t>高于背景值。</w:t>
      </w:r>
      <w:r>
        <w:rPr>
          <w:rFonts w:ascii="宋体" w:hAnsi="宋体" w:eastAsia="宋体" w:cs="宋体"/>
          <w:spacing w:val="3"/>
          <w:sz w:val="24"/>
          <w:szCs w:val="24"/>
        </w:rPr>
        <w:t>可见在事故排放下，废水在赧水形成较长的超标带，造</w:t>
      </w:r>
      <w:r>
        <w:rPr>
          <w:rFonts w:ascii="宋体" w:hAnsi="宋体" w:eastAsia="宋体" w:cs="宋体"/>
          <w:spacing w:val="2"/>
          <w:sz w:val="24"/>
          <w:szCs w:val="24"/>
        </w:rPr>
        <w:t>成严重污染，对赧水水质</w:t>
      </w:r>
      <w:r>
        <w:rPr>
          <w:rFonts w:ascii="宋体" w:hAnsi="宋体" w:eastAsia="宋体" w:cs="宋体"/>
          <w:spacing w:val="3"/>
          <w:sz w:val="24"/>
          <w:szCs w:val="24"/>
        </w:rPr>
        <w:t>有较大影响。应做好日常巡查管理，完善在线监测系统</w:t>
      </w:r>
      <w:r>
        <w:rPr>
          <w:rFonts w:ascii="宋体" w:hAnsi="宋体" w:eastAsia="宋体" w:cs="宋体"/>
          <w:spacing w:val="2"/>
          <w:sz w:val="24"/>
          <w:szCs w:val="24"/>
        </w:rPr>
        <w:t>，完善水风险防范措施和</w:t>
      </w:r>
      <w:r>
        <w:rPr>
          <w:rFonts w:ascii="宋体" w:hAnsi="宋体" w:eastAsia="宋体" w:cs="宋体"/>
          <w:spacing w:val="-1"/>
          <w:sz w:val="24"/>
          <w:szCs w:val="24"/>
        </w:rPr>
        <w:t>应急措施，杜绝废水的事故排放。</w:t>
      </w:r>
    </w:p>
    <w:p w14:paraId="4612079A">
      <w:pPr>
        <w:spacing w:before="1" w:line="222" w:lineRule="auto"/>
        <w:ind w:left="501"/>
        <w:rPr>
          <w:rFonts w:ascii="宋体" w:hAnsi="宋体" w:eastAsia="宋体" w:cs="宋体"/>
          <w:sz w:val="24"/>
          <w:szCs w:val="24"/>
        </w:rPr>
      </w:pPr>
      <w:r>
        <w:rPr>
          <w:rFonts w:ascii="宋体" w:hAnsi="宋体" w:eastAsia="宋体" w:cs="宋体"/>
          <w:b/>
          <w:bCs/>
          <w:spacing w:val="-5"/>
          <w:sz w:val="24"/>
          <w:szCs w:val="24"/>
        </w:rPr>
        <w:t>（</w:t>
      </w:r>
      <w:r>
        <w:rPr>
          <w:rFonts w:ascii="Times New Roman" w:hAnsi="Times New Roman" w:eastAsia="Times New Roman" w:cs="Times New Roman"/>
          <w:b/>
          <w:bCs/>
          <w:spacing w:val="-5"/>
          <w:sz w:val="24"/>
          <w:szCs w:val="24"/>
        </w:rPr>
        <w:t>2</w:t>
      </w:r>
      <w:r>
        <w:rPr>
          <w:rFonts w:ascii="宋体" w:hAnsi="宋体" w:eastAsia="宋体" w:cs="宋体"/>
          <w:b/>
          <w:bCs/>
          <w:spacing w:val="-5"/>
          <w:sz w:val="24"/>
          <w:szCs w:val="24"/>
        </w:rPr>
        <w:t>）生态基流</w:t>
      </w:r>
    </w:p>
    <w:p w14:paraId="03129A67">
      <w:pPr>
        <w:spacing w:before="177" w:line="359" w:lineRule="auto"/>
        <w:ind w:left="10" w:firstLine="478"/>
        <w:jc w:val="both"/>
        <w:rPr>
          <w:rFonts w:ascii="宋体" w:hAnsi="宋体" w:eastAsia="宋体" w:cs="宋体"/>
          <w:sz w:val="24"/>
          <w:szCs w:val="24"/>
        </w:rPr>
      </w:pPr>
      <w:r>
        <w:rPr>
          <w:rFonts w:ascii="宋体" w:hAnsi="宋体" w:eastAsia="宋体" w:cs="宋体"/>
          <w:sz w:val="24"/>
          <w:szCs w:val="24"/>
        </w:rPr>
        <w:t>达标排放时，</w:t>
      </w:r>
      <w:r>
        <w:rPr>
          <w:rFonts w:ascii="Times New Roman" w:hAnsi="Times New Roman" w:eastAsia="Times New Roman" w:cs="Times New Roman"/>
          <w:sz w:val="24"/>
          <w:szCs w:val="24"/>
        </w:rPr>
        <w:t>COD</w:t>
      </w:r>
      <w:r>
        <w:rPr>
          <w:rFonts w:ascii="宋体" w:hAnsi="宋体" w:eastAsia="宋体" w:cs="宋体"/>
          <w:sz w:val="24"/>
          <w:szCs w:val="24"/>
        </w:rPr>
        <w:t>形成约</w:t>
      </w:r>
      <w:r>
        <w:rPr>
          <w:rFonts w:ascii="Times New Roman" w:hAnsi="Times New Roman" w:eastAsia="Times New Roman" w:cs="Times New Roman"/>
          <w:sz w:val="24"/>
          <w:szCs w:val="24"/>
        </w:rPr>
        <w:t>195m</w:t>
      </w:r>
      <w:r>
        <w:rPr>
          <w:rFonts w:ascii="宋体" w:hAnsi="宋体" w:eastAsia="宋体" w:cs="宋体"/>
          <w:sz w:val="24"/>
          <w:szCs w:val="24"/>
        </w:rPr>
        <w:t>超标带，经</w:t>
      </w:r>
      <w:r>
        <w:rPr>
          <w:rFonts w:ascii="Times New Roman" w:hAnsi="Times New Roman" w:eastAsia="Times New Roman" w:cs="Times New Roman"/>
          <w:sz w:val="24"/>
          <w:szCs w:val="24"/>
        </w:rPr>
        <w:t>9km</w:t>
      </w:r>
      <w:r>
        <w:rPr>
          <w:rFonts w:ascii="宋体" w:hAnsi="宋体" w:eastAsia="宋体" w:cs="宋体"/>
          <w:sz w:val="24"/>
          <w:szCs w:val="24"/>
        </w:rPr>
        <w:t>衰减，混合浓度仍略高于背</w:t>
      </w:r>
      <w:r>
        <w:rPr>
          <w:rFonts w:ascii="宋体" w:hAnsi="宋体" w:eastAsia="宋体" w:cs="宋体"/>
          <w:spacing w:val="-2"/>
          <w:sz w:val="24"/>
          <w:szCs w:val="24"/>
        </w:rPr>
        <w:t>景值；</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sz w:val="15"/>
          <w:szCs w:val="15"/>
        </w:rPr>
        <w:t>3</w:t>
      </w:r>
      <w:r>
        <w:rPr>
          <w:rFonts w:ascii="Times New Roman" w:hAnsi="Times New Roman" w:eastAsia="Times New Roman" w:cs="Times New Roman"/>
          <w:spacing w:val="-2"/>
          <w:sz w:val="24"/>
          <w:szCs w:val="24"/>
        </w:rPr>
        <w:t>-N</w:t>
      </w:r>
      <w:r>
        <w:rPr>
          <w:rFonts w:ascii="宋体" w:hAnsi="宋体" w:eastAsia="宋体" w:cs="宋体"/>
          <w:spacing w:val="-2"/>
          <w:sz w:val="24"/>
          <w:szCs w:val="24"/>
        </w:rPr>
        <w:t>形成约</w:t>
      </w:r>
      <w:r>
        <w:rPr>
          <w:rFonts w:ascii="Times New Roman" w:hAnsi="Times New Roman" w:eastAsia="Times New Roman" w:cs="Times New Roman"/>
          <w:spacing w:val="-2"/>
          <w:sz w:val="24"/>
          <w:szCs w:val="24"/>
        </w:rPr>
        <w:t>415m</w:t>
      </w:r>
      <w:r>
        <w:rPr>
          <w:rFonts w:ascii="宋体" w:hAnsi="宋体" w:eastAsia="宋体" w:cs="宋体"/>
          <w:spacing w:val="-2"/>
          <w:sz w:val="24"/>
          <w:szCs w:val="24"/>
        </w:rPr>
        <w:t>的超标带，经</w:t>
      </w:r>
      <w:r>
        <w:rPr>
          <w:rFonts w:ascii="Times New Roman" w:hAnsi="Times New Roman" w:eastAsia="Times New Roman" w:cs="Times New Roman"/>
          <w:spacing w:val="-2"/>
          <w:sz w:val="24"/>
          <w:szCs w:val="24"/>
        </w:rPr>
        <w:t>9km</w:t>
      </w:r>
      <w:r>
        <w:rPr>
          <w:rFonts w:ascii="宋体" w:hAnsi="宋体" w:eastAsia="宋体" w:cs="宋体"/>
          <w:spacing w:val="-2"/>
          <w:sz w:val="24"/>
          <w:szCs w:val="24"/>
        </w:rPr>
        <w:t>衰减，混合浓度仍高于现状背景值。</w:t>
      </w:r>
      <w:r>
        <w:rPr>
          <w:rFonts w:ascii="宋体" w:hAnsi="宋体" w:eastAsia="宋体" w:cs="宋体"/>
          <w:spacing w:val="3"/>
          <w:sz w:val="24"/>
          <w:szCs w:val="24"/>
        </w:rPr>
        <w:t>因此，在仅保证生态基流的情况下，达标排放时，也有</w:t>
      </w:r>
      <w:r>
        <w:rPr>
          <w:rFonts w:ascii="宋体" w:hAnsi="宋体" w:eastAsia="宋体" w:cs="宋体"/>
          <w:spacing w:val="2"/>
          <w:sz w:val="24"/>
          <w:szCs w:val="24"/>
        </w:rPr>
        <w:t>可能会造成赧水河出现超</w:t>
      </w:r>
      <w:r>
        <w:rPr>
          <w:rFonts w:ascii="宋体" w:hAnsi="宋体" w:eastAsia="宋体" w:cs="宋体"/>
          <w:spacing w:val="-3"/>
          <w:sz w:val="24"/>
          <w:szCs w:val="24"/>
        </w:rPr>
        <w:t>标现象。</w:t>
      </w:r>
    </w:p>
    <w:p w14:paraId="45E20B29">
      <w:pPr>
        <w:spacing w:before="2" w:line="360" w:lineRule="auto"/>
        <w:ind w:left="8" w:right="18" w:firstLine="480"/>
        <w:jc w:val="both"/>
        <w:rPr>
          <w:rFonts w:ascii="宋体" w:hAnsi="宋体" w:eastAsia="宋体" w:cs="宋体"/>
          <w:sz w:val="24"/>
          <w:szCs w:val="24"/>
        </w:rPr>
      </w:pPr>
      <w:r>
        <w:rPr>
          <w:rFonts w:ascii="宋体" w:hAnsi="宋体" w:eastAsia="宋体" w:cs="宋体"/>
          <w:spacing w:val="-3"/>
          <w:sz w:val="24"/>
          <w:szCs w:val="24"/>
        </w:rPr>
        <w:t>事故排放下，</w:t>
      </w:r>
      <w:r>
        <w:rPr>
          <w:rFonts w:ascii="Times New Roman" w:hAnsi="Times New Roman" w:eastAsia="Times New Roman" w:cs="Times New Roman"/>
          <w:spacing w:val="-3"/>
          <w:sz w:val="24"/>
          <w:szCs w:val="24"/>
        </w:rPr>
        <w:t>COD</w:t>
      </w:r>
      <w:r>
        <w:rPr>
          <w:rFonts w:ascii="宋体" w:hAnsi="宋体" w:eastAsia="宋体" w:cs="宋体"/>
          <w:spacing w:val="-3"/>
          <w:sz w:val="24"/>
          <w:szCs w:val="24"/>
        </w:rPr>
        <w:t>形成约</w:t>
      </w:r>
      <w:r>
        <w:rPr>
          <w:rFonts w:ascii="Times New Roman" w:hAnsi="Times New Roman" w:eastAsia="Times New Roman" w:cs="Times New Roman"/>
          <w:spacing w:val="-3"/>
          <w:sz w:val="24"/>
          <w:szCs w:val="24"/>
        </w:rPr>
        <w:t>5.2km</w:t>
      </w:r>
      <w:r>
        <w:rPr>
          <w:rFonts w:ascii="宋体" w:hAnsi="宋体" w:eastAsia="宋体" w:cs="宋体"/>
          <w:spacing w:val="-3"/>
          <w:sz w:val="24"/>
          <w:szCs w:val="24"/>
        </w:rPr>
        <w:t>的</w:t>
      </w:r>
      <w:r>
        <w:rPr>
          <w:rFonts w:ascii="宋体" w:hAnsi="宋体" w:eastAsia="宋体" w:cs="宋体"/>
          <w:spacing w:val="-4"/>
          <w:sz w:val="24"/>
          <w:szCs w:val="24"/>
        </w:rPr>
        <w:t>超标带，经</w:t>
      </w:r>
      <w:r>
        <w:rPr>
          <w:rFonts w:ascii="Times New Roman" w:hAnsi="Times New Roman" w:eastAsia="Times New Roman" w:cs="Times New Roman"/>
          <w:spacing w:val="-4"/>
          <w:sz w:val="24"/>
          <w:szCs w:val="24"/>
        </w:rPr>
        <w:t>9km</w:t>
      </w:r>
      <w:r>
        <w:rPr>
          <w:rFonts w:ascii="宋体" w:hAnsi="宋体" w:eastAsia="宋体" w:cs="宋体"/>
          <w:spacing w:val="-4"/>
          <w:sz w:val="24"/>
          <w:szCs w:val="24"/>
        </w:rPr>
        <w:t>衰减，混合浓度仍略高于</w:t>
      </w:r>
      <w:r>
        <w:rPr>
          <w:rFonts w:ascii="宋体" w:hAnsi="宋体" w:eastAsia="宋体" w:cs="宋体"/>
          <w:spacing w:val="-3"/>
          <w:sz w:val="24"/>
          <w:szCs w:val="24"/>
        </w:rPr>
        <w:t>背景值；</w:t>
      </w:r>
      <w:r>
        <w:rPr>
          <w:rFonts w:ascii="Times New Roman" w:hAnsi="Times New Roman" w:eastAsia="Times New Roman" w:cs="Times New Roman"/>
          <w:spacing w:val="-3"/>
          <w:sz w:val="24"/>
          <w:szCs w:val="24"/>
        </w:rPr>
        <w:t>NH</w:t>
      </w:r>
      <w:r>
        <w:rPr>
          <w:rFonts w:ascii="Times New Roman" w:hAnsi="Times New Roman" w:eastAsia="Times New Roman" w:cs="Times New Roman"/>
          <w:spacing w:val="-3"/>
          <w:sz w:val="15"/>
          <w:szCs w:val="15"/>
        </w:rPr>
        <w:t>3</w:t>
      </w:r>
      <w:r>
        <w:rPr>
          <w:rFonts w:ascii="Times New Roman" w:hAnsi="Times New Roman" w:eastAsia="Times New Roman" w:cs="Times New Roman"/>
          <w:spacing w:val="-3"/>
          <w:sz w:val="24"/>
          <w:szCs w:val="24"/>
        </w:rPr>
        <w:t>-N</w:t>
      </w:r>
      <w:r>
        <w:rPr>
          <w:rFonts w:ascii="宋体" w:hAnsi="宋体" w:eastAsia="宋体" w:cs="宋体"/>
          <w:spacing w:val="-3"/>
          <w:sz w:val="24"/>
          <w:szCs w:val="24"/>
        </w:rPr>
        <w:t>形成超过</w:t>
      </w:r>
      <w:r>
        <w:rPr>
          <w:rFonts w:ascii="Times New Roman" w:hAnsi="Times New Roman" w:eastAsia="Times New Roman" w:cs="Times New Roman"/>
          <w:spacing w:val="-3"/>
          <w:sz w:val="24"/>
          <w:szCs w:val="24"/>
        </w:rPr>
        <w:t>9km</w:t>
      </w:r>
      <w:r>
        <w:rPr>
          <w:rFonts w:ascii="宋体" w:hAnsi="宋体" w:eastAsia="宋体" w:cs="宋体"/>
          <w:spacing w:val="-3"/>
          <w:sz w:val="24"/>
          <w:szCs w:val="24"/>
        </w:rPr>
        <w:t>的超标带，在</w:t>
      </w:r>
      <w:r>
        <w:rPr>
          <w:rFonts w:ascii="Times New Roman" w:hAnsi="Times New Roman" w:eastAsia="Times New Roman" w:cs="Times New Roman"/>
          <w:spacing w:val="-3"/>
          <w:sz w:val="24"/>
          <w:szCs w:val="24"/>
        </w:rPr>
        <w:t>9km</w:t>
      </w:r>
      <w:r>
        <w:rPr>
          <w:rFonts w:ascii="宋体" w:hAnsi="宋体" w:eastAsia="宋体" w:cs="宋体"/>
          <w:spacing w:val="-4"/>
          <w:sz w:val="24"/>
          <w:szCs w:val="24"/>
        </w:rPr>
        <w:t>处，混合浓度仍为水质标准浓度的</w:t>
      </w:r>
      <w:r>
        <w:rPr>
          <w:rFonts w:ascii="Times New Roman" w:hAnsi="Times New Roman" w:eastAsia="Times New Roman" w:cs="Times New Roman"/>
          <w:spacing w:val="-4"/>
          <w:sz w:val="24"/>
          <w:szCs w:val="24"/>
        </w:rPr>
        <w:t>1.42</w:t>
      </w:r>
      <w:r>
        <w:rPr>
          <w:rFonts w:ascii="宋体" w:hAnsi="宋体" w:eastAsia="宋体" w:cs="宋体"/>
          <w:spacing w:val="-4"/>
          <w:sz w:val="24"/>
          <w:szCs w:val="24"/>
        </w:rPr>
        <w:t>倍。超标现象严重，可见，在仅保持</w:t>
      </w:r>
      <w:r>
        <w:rPr>
          <w:rFonts w:ascii="宋体" w:hAnsi="宋体" w:eastAsia="宋体" w:cs="宋体"/>
          <w:spacing w:val="-5"/>
          <w:sz w:val="24"/>
          <w:szCs w:val="24"/>
        </w:rPr>
        <w:t>生态基流的情况下，若出现事故排放，</w:t>
      </w:r>
      <w:r>
        <w:rPr>
          <w:rFonts w:ascii="宋体" w:hAnsi="宋体" w:eastAsia="宋体" w:cs="宋体"/>
          <w:spacing w:val="-2"/>
          <w:sz w:val="24"/>
          <w:szCs w:val="24"/>
        </w:rPr>
        <w:t>对赧水河的水质造成严重影响，污水厂应做好日常巡</w:t>
      </w:r>
      <w:r>
        <w:rPr>
          <w:rFonts w:ascii="宋体" w:hAnsi="宋体" w:eastAsia="宋体" w:cs="宋体"/>
          <w:spacing w:val="-3"/>
          <w:sz w:val="24"/>
          <w:szCs w:val="24"/>
        </w:rPr>
        <w:t>查管理，完善在线监测系统，</w:t>
      </w:r>
      <w:r>
        <w:rPr>
          <w:rFonts w:ascii="宋体" w:hAnsi="宋体" w:eastAsia="宋体" w:cs="宋体"/>
          <w:spacing w:val="-1"/>
          <w:sz w:val="24"/>
          <w:szCs w:val="24"/>
        </w:rPr>
        <w:t>完善水风险防范措施和应急措施，杜绝废水的事故排放。</w:t>
      </w:r>
    </w:p>
    <w:p w14:paraId="6874D164">
      <w:pPr>
        <w:spacing w:line="360" w:lineRule="auto"/>
        <w:rPr>
          <w:rFonts w:ascii="宋体" w:hAnsi="宋体" w:eastAsia="宋体" w:cs="宋体"/>
          <w:sz w:val="24"/>
          <w:szCs w:val="24"/>
        </w:rPr>
        <w:sectPr>
          <w:headerReference r:id="rId142" w:type="default"/>
          <w:footerReference r:id="rId143" w:type="default"/>
          <w:pgSz w:w="11907" w:h="16840"/>
          <w:pgMar w:top="1132" w:right="1621" w:bottom="1259" w:left="1701" w:header="829" w:footer="1097" w:gutter="0"/>
          <w:cols w:space="720" w:num="1"/>
        </w:sectPr>
      </w:pPr>
    </w:p>
    <w:p w14:paraId="143D99C7">
      <w:pPr>
        <w:pStyle w:val="2"/>
        <w:spacing w:line="334" w:lineRule="auto"/>
      </w:pPr>
    </w:p>
    <w:p w14:paraId="2875C65C">
      <w:pPr>
        <w:spacing w:before="100" w:line="225" w:lineRule="auto"/>
        <w:ind w:left="1893"/>
        <w:outlineLvl w:val="0"/>
        <w:rPr>
          <w:rFonts w:ascii="宋体" w:hAnsi="宋体" w:eastAsia="宋体" w:cs="宋体"/>
          <w:sz w:val="31"/>
          <w:szCs w:val="31"/>
        </w:rPr>
      </w:pPr>
      <w:bookmarkStart w:id="35" w:name="bookmark32"/>
      <w:bookmarkEnd w:id="35"/>
      <w:r>
        <w:rPr>
          <w:rFonts w:ascii="Times New Roman" w:hAnsi="Times New Roman" w:eastAsia="Times New Roman" w:cs="Times New Roman"/>
          <w:b/>
          <w:bCs/>
          <w:spacing w:val="6"/>
          <w:sz w:val="31"/>
          <w:szCs w:val="31"/>
        </w:rPr>
        <w:t>7</w:t>
      </w:r>
      <w:r>
        <w:rPr>
          <w:rFonts w:ascii="宋体" w:hAnsi="宋体" w:eastAsia="宋体" w:cs="宋体"/>
          <w:b/>
          <w:bCs/>
          <w:spacing w:val="6"/>
          <w:sz w:val="31"/>
          <w:szCs w:val="31"/>
        </w:rPr>
        <w:t>入河排污口设置水生态影响分析</w:t>
      </w:r>
    </w:p>
    <w:p w14:paraId="7F9EB130">
      <w:pPr>
        <w:pStyle w:val="2"/>
        <w:spacing w:line="295" w:lineRule="auto"/>
      </w:pPr>
    </w:p>
    <w:p w14:paraId="749630E1">
      <w:pPr>
        <w:spacing w:before="97" w:line="221" w:lineRule="auto"/>
        <w:ind w:left="10"/>
        <w:outlineLvl w:val="1"/>
        <w:rPr>
          <w:rFonts w:ascii="黑体" w:hAnsi="黑体" w:eastAsia="黑体" w:cs="黑体"/>
          <w:sz w:val="30"/>
          <w:szCs w:val="30"/>
        </w:rPr>
      </w:pPr>
      <w:bookmarkStart w:id="36" w:name="bookmark33"/>
      <w:bookmarkEnd w:id="36"/>
      <w:r>
        <w:rPr>
          <w:rFonts w:ascii="Times New Roman" w:hAnsi="Times New Roman" w:eastAsia="Times New Roman" w:cs="Times New Roman"/>
          <w:b/>
          <w:bCs/>
          <w:spacing w:val="-3"/>
          <w:sz w:val="30"/>
          <w:szCs w:val="30"/>
        </w:rPr>
        <w:t>7.1</w:t>
      </w:r>
      <w:r>
        <w:rPr>
          <w:rFonts w:ascii="黑体" w:hAnsi="黑体" w:eastAsia="黑体" w:cs="黑体"/>
          <w:b/>
          <w:bCs/>
          <w:spacing w:val="-3"/>
          <w:sz w:val="30"/>
          <w:szCs w:val="30"/>
        </w:rPr>
        <w:t>对鱼类等水生生物的影响</w:t>
      </w:r>
    </w:p>
    <w:p w14:paraId="47E9C9C4">
      <w:pPr>
        <w:pStyle w:val="2"/>
        <w:spacing w:line="322" w:lineRule="auto"/>
      </w:pPr>
    </w:p>
    <w:p w14:paraId="22A3B81C">
      <w:pPr>
        <w:spacing w:before="91" w:line="220" w:lineRule="auto"/>
        <w:ind w:left="10"/>
        <w:outlineLvl w:val="2"/>
        <w:rPr>
          <w:rFonts w:ascii="宋体" w:hAnsi="宋体" w:eastAsia="宋体" w:cs="宋体"/>
          <w:sz w:val="28"/>
          <w:szCs w:val="28"/>
        </w:rPr>
      </w:pPr>
      <w:r>
        <w:rPr>
          <w:rFonts w:ascii="Times New Roman" w:hAnsi="Times New Roman" w:eastAsia="Times New Roman" w:cs="Times New Roman"/>
          <w:b/>
          <w:bCs/>
          <w:spacing w:val="-2"/>
          <w:sz w:val="28"/>
          <w:szCs w:val="28"/>
        </w:rPr>
        <w:t>7.1.1</w:t>
      </w:r>
      <w:r>
        <w:rPr>
          <w:rFonts w:ascii="宋体" w:hAnsi="宋体" w:eastAsia="宋体" w:cs="宋体"/>
          <w:b/>
          <w:bCs/>
          <w:spacing w:val="-2"/>
          <w:sz w:val="28"/>
          <w:szCs w:val="28"/>
        </w:rPr>
        <w:t>对鱼类等水生生物区系组成的影响</w:t>
      </w:r>
    </w:p>
    <w:p w14:paraId="2CB8BE99">
      <w:pPr>
        <w:pStyle w:val="2"/>
        <w:spacing w:line="252" w:lineRule="auto"/>
      </w:pPr>
    </w:p>
    <w:p w14:paraId="3FB686AF">
      <w:pPr>
        <w:spacing w:before="79" w:line="360" w:lineRule="auto"/>
        <w:ind w:left="7" w:firstLine="482"/>
        <w:jc w:val="both"/>
        <w:rPr>
          <w:rFonts w:ascii="宋体" w:hAnsi="宋体" w:eastAsia="宋体" w:cs="宋体"/>
          <w:sz w:val="24"/>
          <w:szCs w:val="24"/>
        </w:rPr>
      </w:pPr>
      <w:r>
        <w:rPr>
          <w:rFonts w:ascii="宋体" w:hAnsi="宋体" w:eastAsia="宋体" w:cs="宋体"/>
          <w:spacing w:val="-7"/>
          <w:sz w:val="24"/>
          <w:szCs w:val="24"/>
        </w:rPr>
        <w:t>扩建后营运期尾水排放进入赧水，每年约带来</w:t>
      </w:r>
      <w:r>
        <w:rPr>
          <w:rFonts w:ascii="Times New Roman" w:hAnsi="Times New Roman" w:eastAsia="Times New Roman" w:cs="Times New Roman"/>
          <w:spacing w:val="-7"/>
          <w:sz w:val="24"/>
          <w:szCs w:val="24"/>
        </w:rPr>
        <w:t>COD273.75</w:t>
      </w:r>
      <w:r>
        <w:rPr>
          <w:rFonts w:ascii="宋体" w:hAnsi="宋体" w:eastAsia="宋体" w:cs="宋体"/>
          <w:spacing w:val="-7"/>
          <w:sz w:val="24"/>
          <w:szCs w:val="24"/>
        </w:rPr>
        <w:t>吨、氨氮</w:t>
      </w:r>
      <w:r>
        <w:rPr>
          <w:rFonts w:ascii="Times New Roman" w:hAnsi="Times New Roman" w:eastAsia="Times New Roman" w:cs="Times New Roman"/>
          <w:spacing w:val="-7"/>
          <w:sz w:val="24"/>
          <w:szCs w:val="24"/>
        </w:rPr>
        <w:t>27.375</w:t>
      </w:r>
      <w:r>
        <w:rPr>
          <w:rFonts w:ascii="宋体" w:hAnsi="宋体" w:eastAsia="宋体" w:cs="宋体"/>
          <w:spacing w:val="-7"/>
          <w:sz w:val="24"/>
          <w:szCs w:val="24"/>
        </w:rPr>
        <w:t>吨，</w:t>
      </w:r>
      <w:r>
        <w:rPr>
          <w:rFonts w:ascii="Times New Roman" w:hAnsi="Times New Roman" w:eastAsia="Times New Roman" w:cs="Times New Roman"/>
          <w:spacing w:val="-1"/>
          <w:sz w:val="24"/>
          <w:szCs w:val="24"/>
        </w:rPr>
        <w:t>TN82.125</w:t>
      </w:r>
      <w:r>
        <w:rPr>
          <w:rFonts w:ascii="宋体" w:hAnsi="宋体" w:eastAsia="宋体" w:cs="宋体"/>
          <w:spacing w:val="-1"/>
          <w:sz w:val="24"/>
          <w:szCs w:val="24"/>
        </w:rPr>
        <w:t>吨，</w:t>
      </w:r>
      <w:r>
        <w:rPr>
          <w:rFonts w:ascii="Times New Roman" w:hAnsi="Times New Roman" w:eastAsia="Times New Roman" w:cs="Times New Roman"/>
          <w:spacing w:val="-1"/>
          <w:sz w:val="24"/>
          <w:szCs w:val="24"/>
        </w:rPr>
        <w:t>TP2.7375</w:t>
      </w:r>
      <w:r>
        <w:rPr>
          <w:rFonts w:ascii="宋体" w:hAnsi="宋体" w:eastAsia="宋体" w:cs="宋体"/>
          <w:spacing w:val="-1"/>
          <w:sz w:val="24"/>
          <w:szCs w:val="24"/>
        </w:rPr>
        <w:t>吨</w:t>
      </w:r>
      <w:r>
        <w:rPr>
          <w:rFonts w:ascii="宋体" w:hAnsi="宋体" w:eastAsia="宋体" w:cs="宋体"/>
          <w:spacing w:val="-2"/>
          <w:sz w:val="24"/>
          <w:szCs w:val="24"/>
        </w:rPr>
        <w:t>，导致水体营养物质增加、耗氧量增加，引起水体富营</w:t>
      </w:r>
      <w:r>
        <w:rPr>
          <w:rFonts w:ascii="宋体" w:hAnsi="宋体" w:eastAsia="宋体" w:cs="宋体"/>
          <w:spacing w:val="-3"/>
          <w:sz w:val="24"/>
          <w:szCs w:val="24"/>
        </w:rPr>
        <w:t>养化，水体氧含量下降。排水口附近局部区域氨氮、</w:t>
      </w:r>
      <w:r>
        <w:rPr>
          <w:rFonts w:ascii="Times New Roman" w:hAnsi="Times New Roman" w:eastAsia="Times New Roman" w:cs="Times New Roman"/>
          <w:spacing w:val="-3"/>
          <w:sz w:val="24"/>
          <w:szCs w:val="24"/>
        </w:rPr>
        <w:t>TN</w:t>
      </w:r>
      <w:r>
        <w:rPr>
          <w:rFonts w:ascii="宋体" w:hAnsi="宋体" w:eastAsia="宋体" w:cs="宋体"/>
          <w:spacing w:val="-3"/>
          <w:sz w:val="24"/>
          <w:szCs w:val="24"/>
        </w:rPr>
        <w:t>、</w:t>
      </w:r>
      <w:r>
        <w:rPr>
          <w:rFonts w:ascii="Times New Roman" w:hAnsi="Times New Roman" w:eastAsia="Times New Roman" w:cs="Times New Roman"/>
          <w:spacing w:val="-3"/>
          <w:sz w:val="24"/>
          <w:szCs w:val="24"/>
        </w:rPr>
        <w:t>TP</w:t>
      </w:r>
      <w:r>
        <w:rPr>
          <w:rFonts w:ascii="宋体" w:hAnsi="宋体" w:eastAsia="宋体" w:cs="宋体"/>
          <w:spacing w:val="-3"/>
          <w:sz w:val="24"/>
          <w:szCs w:val="24"/>
        </w:rPr>
        <w:t>较高，将对鱼类等水</w:t>
      </w:r>
      <w:r>
        <w:rPr>
          <w:rFonts w:ascii="宋体" w:hAnsi="宋体" w:eastAsia="宋体" w:cs="宋体"/>
          <w:spacing w:val="2"/>
          <w:sz w:val="24"/>
          <w:szCs w:val="24"/>
        </w:rPr>
        <w:t>生生物产生一定的毒副作用。非离子氨浓度在</w:t>
      </w:r>
      <w:r>
        <w:rPr>
          <w:rFonts w:ascii="Times New Roman" w:hAnsi="Times New Roman" w:eastAsia="Times New Roman" w:cs="Times New Roman"/>
          <w:spacing w:val="2"/>
          <w:sz w:val="24"/>
          <w:szCs w:val="24"/>
        </w:rPr>
        <w:t>0.2~2</w:t>
      </w:r>
      <w:r>
        <w:rPr>
          <w:rFonts w:ascii="Times New Roman" w:hAnsi="Times New Roman" w:eastAsia="Times New Roman" w:cs="Times New Roman"/>
          <w:sz w:val="24"/>
          <w:szCs w:val="24"/>
        </w:rPr>
        <w:t>mg</w:t>
      </w:r>
      <w:r>
        <w:rPr>
          <w:rFonts w:ascii="Times New Roman" w:hAnsi="Times New Roman" w:eastAsia="Times New Roman" w:cs="Times New Roman"/>
          <w:spacing w:val="2"/>
          <w:sz w:val="24"/>
          <w:szCs w:val="24"/>
        </w:rPr>
        <w:t>/L</w:t>
      </w:r>
      <w:r>
        <w:rPr>
          <w:rFonts w:ascii="宋体" w:hAnsi="宋体" w:eastAsia="宋体" w:cs="宋体"/>
          <w:spacing w:val="2"/>
          <w:sz w:val="24"/>
          <w:szCs w:val="24"/>
        </w:rPr>
        <w:t>范围内对某些淡</w:t>
      </w:r>
      <w:r>
        <w:rPr>
          <w:rFonts w:ascii="宋体" w:hAnsi="宋体" w:eastAsia="宋体" w:cs="宋体"/>
          <w:spacing w:val="1"/>
          <w:sz w:val="24"/>
          <w:szCs w:val="24"/>
        </w:rPr>
        <w:t>水水生</w:t>
      </w:r>
      <w:r>
        <w:rPr>
          <w:rFonts w:ascii="宋体" w:hAnsi="宋体" w:eastAsia="宋体" w:cs="宋体"/>
          <w:spacing w:val="-5"/>
          <w:sz w:val="24"/>
          <w:szCs w:val="24"/>
        </w:rPr>
        <w:t>生物是有毒的，氨氮浓度在</w:t>
      </w:r>
      <w:r>
        <w:rPr>
          <w:rFonts w:ascii="Times New Roman" w:hAnsi="Times New Roman" w:eastAsia="Times New Roman" w:cs="Times New Roman"/>
          <w:spacing w:val="-5"/>
          <w:sz w:val="24"/>
          <w:szCs w:val="24"/>
        </w:rPr>
        <w:t>0.27mg/L</w:t>
      </w:r>
      <w:r>
        <w:rPr>
          <w:rFonts w:ascii="宋体" w:hAnsi="宋体" w:eastAsia="宋体" w:cs="宋体"/>
          <w:spacing w:val="-5"/>
          <w:sz w:val="24"/>
          <w:szCs w:val="24"/>
        </w:rPr>
        <w:t>时，会造成鱼类鳃增生，同时，水中氮、磷、</w:t>
      </w:r>
      <w:r>
        <w:rPr>
          <w:rFonts w:ascii="Times New Roman" w:hAnsi="Times New Roman" w:eastAsia="Times New Roman" w:cs="Times New Roman"/>
          <w:sz w:val="24"/>
          <w:szCs w:val="24"/>
        </w:rPr>
        <w:t>COD</w:t>
      </w:r>
      <w:r>
        <w:rPr>
          <w:rFonts w:ascii="宋体" w:hAnsi="宋体" w:eastAsia="宋体" w:cs="宋体"/>
          <w:sz w:val="24"/>
          <w:szCs w:val="24"/>
        </w:rPr>
        <w:t>含量的增加将导致水体富营养化、缺氧等现象，沉水性植物消失，天气巨变</w:t>
      </w:r>
      <w:r>
        <w:rPr>
          <w:rFonts w:ascii="宋体" w:hAnsi="宋体" w:eastAsia="宋体" w:cs="宋体"/>
          <w:spacing w:val="3"/>
          <w:sz w:val="24"/>
          <w:szCs w:val="24"/>
        </w:rPr>
        <w:t>会引起浮游植物大量死亡。藻类死亡会进一步加剧水体缺氧，同时释放藻毒素，对鱼类具有较大危害。运营期尾水排放将导致排水口附近氮磷营养盐含量升高，水体富营养化程度加剧，导致浮游生物种群数量发生改</w:t>
      </w:r>
      <w:r>
        <w:rPr>
          <w:rFonts w:ascii="宋体" w:hAnsi="宋体" w:eastAsia="宋体" w:cs="宋体"/>
          <w:spacing w:val="2"/>
          <w:sz w:val="24"/>
          <w:szCs w:val="24"/>
        </w:rPr>
        <w:t>变，排污口附近水域沉水</w:t>
      </w:r>
      <w:r>
        <w:rPr>
          <w:rFonts w:ascii="宋体" w:hAnsi="宋体" w:eastAsia="宋体" w:cs="宋体"/>
          <w:spacing w:val="3"/>
          <w:sz w:val="24"/>
          <w:szCs w:val="24"/>
        </w:rPr>
        <w:t>性植物生物量下降，底栖动物多样性降低。如果发生尾</w:t>
      </w:r>
      <w:r>
        <w:rPr>
          <w:rFonts w:ascii="宋体" w:hAnsi="宋体" w:eastAsia="宋体" w:cs="宋体"/>
          <w:spacing w:val="2"/>
          <w:sz w:val="24"/>
          <w:szCs w:val="24"/>
        </w:rPr>
        <w:t>水的非正常排放，容易引</w:t>
      </w:r>
      <w:r>
        <w:rPr>
          <w:rFonts w:ascii="宋体" w:hAnsi="宋体" w:eastAsia="宋体" w:cs="宋体"/>
          <w:spacing w:val="-4"/>
          <w:sz w:val="24"/>
          <w:szCs w:val="24"/>
        </w:rPr>
        <w:t>起急性污染事故。正常排放时，</w:t>
      </w:r>
      <w:r>
        <w:rPr>
          <w:rFonts w:ascii="Times New Roman" w:hAnsi="Times New Roman" w:eastAsia="Times New Roman" w:cs="Times New Roman"/>
          <w:spacing w:val="-4"/>
          <w:sz w:val="24"/>
          <w:szCs w:val="24"/>
        </w:rPr>
        <w:t>COD</w:t>
      </w:r>
      <w:r>
        <w:rPr>
          <w:rFonts w:ascii="宋体" w:hAnsi="宋体" w:eastAsia="宋体" w:cs="宋体"/>
          <w:spacing w:val="-4"/>
          <w:sz w:val="24"/>
          <w:szCs w:val="24"/>
        </w:rPr>
        <w:t>、氨氮、</w:t>
      </w:r>
      <w:r>
        <w:rPr>
          <w:rFonts w:ascii="Times New Roman" w:hAnsi="Times New Roman" w:eastAsia="Times New Roman" w:cs="Times New Roman"/>
          <w:spacing w:val="-4"/>
          <w:sz w:val="24"/>
          <w:szCs w:val="24"/>
        </w:rPr>
        <w:t>TN</w:t>
      </w:r>
      <w:r>
        <w:rPr>
          <w:rFonts w:ascii="宋体" w:hAnsi="宋体" w:eastAsia="宋体" w:cs="宋体"/>
          <w:spacing w:val="-4"/>
          <w:sz w:val="24"/>
          <w:szCs w:val="24"/>
        </w:rPr>
        <w:t>、</w:t>
      </w:r>
      <w:r>
        <w:rPr>
          <w:rFonts w:ascii="Times New Roman" w:hAnsi="Times New Roman" w:eastAsia="Times New Roman" w:cs="Times New Roman"/>
          <w:spacing w:val="-4"/>
          <w:sz w:val="24"/>
          <w:szCs w:val="24"/>
        </w:rPr>
        <w:t>TP</w:t>
      </w:r>
      <w:r>
        <w:rPr>
          <w:rFonts w:ascii="宋体" w:hAnsi="宋体" w:eastAsia="宋体" w:cs="宋体"/>
          <w:spacing w:val="-4"/>
          <w:sz w:val="24"/>
          <w:szCs w:val="24"/>
        </w:rPr>
        <w:t>浓度变化不大，影响范围较</w:t>
      </w:r>
      <w:r>
        <w:rPr>
          <w:rFonts w:ascii="宋体" w:hAnsi="宋体" w:eastAsia="宋体" w:cs="宋体"/>
          <w:spacing w:val="-1"/>
          <w:sz w:val="24"/>
          <w:szCs w:val="24"/>
        </w:rPr>
        <w:t>小，对保护区鱼类区系组成的直接影响有限。</w:t>
      </w:r>
    </w:p>
    <w:p w14:paraId="1A8530A2">
      <w:pPr>
        <w:spacing w:before="157" w:line="220" w:lineRule="auto"/>
        <w:ind w:left="10"/>
        <w:outlineLvl w:val="2"/>
        <w:rPr>
          <w:rFonts w:ascii="宋体" w:hAnsi="宋体" w:eastAsia="宋体" w:cs="宋体"/>
          <w:sz w:val="28"/>
          <w:szCs w:val="28"/>
        </w:rPr>
      </w:pPr>
      <w:r>
        <w:rPr>
          <w:rFonts w:ascii="Times New Roman" w:hAnsi="Times New Roman" w:eastAsia="Times New Roman" w:cs="Times New Roman"/>
          <w:b/>
          <w:bCs/>
          <w:spacing w:val="-2"/>
          <w:sz w:val="28"/>
          <w:szCs w:val="28"/>
        </w:rPr>
        <w:t>7.1.2</w:t>
      </w:r>
      <w:r>
        <w:rPr>
          <w:rFonts w:ascii="宋体" w:hAnsi="宋体" w:eastAsia="宋体" w:cs="宋体"/>
          <w:b/>
          <w:bCs/>
          <w:spacing w:val="-2"/>
          <w:sz w:val="28"/>
          <w:szCs w:val="28"/>
        </w:rPr>
        <w:t>对鱼类等水生生物种群结构的影响</w:t>
      </w:r>
    </w:p>
    <w:p w14:paraId="2B240D46">
      <w:pPr>
        <w:pStyle w:val="2"/>
        <w:spacing w:line="250" w:lineRule="auto"/>
      </w:pPr>
    </w:p>
    <w:p w14:paraId="39467D1C">
      <w:pPr>
        <w:spacing w:before="79" w:line="361" w:lineRule="auto"/>
        <w:ind w:left="8" w:right="80" w:firstLine="488"/>
        <w:jc w:val="both"/>
        <w:rPr>
          <w:rFonts w:ascii="宋体" w:hAnsi="宋体" w:eastAsia="宋体" w:cs="宋体"/>
          <w:sz w:val="24"/>
          <w:szCs w:val="24"/>
        </w:rPr>
      </w:pPr>
      <w:r>
        <w:rPr>
          <w:rFonts w:ascii="宋体" w:hAnsi="宋体" w:eastAsia="宋体" w:cs="宋体"/>
          <w:spacing w:val="3"/>
          <w:sz w:val="24"/>
          <w:szCs w:val="24"/>
        </w:rPr>
        <w:t>营运期尾水排放将导致水体营养元素的增加</w:t>
      </w:r>
      <w:r>
        <w:rPr>
          <w:rFonts w:ascii="宋体" w:hAnsi="宋体" w:eastAsia="宋体" w:cs="宋体"/>
          <w:spacing w:val="2"/>
          <w:sz w:val="24"/>
          <w:szCs w:val="24"/>
        </w:rPr>
        <w:t>，富营养化风险增加。排水口附</w:t>
      </w:r>
      <w:r>
        <w:rPr>
          <w:rFonts w:ascii="宋体" w:hAnsi="宋体" w:eastAsia="宋体" w:cs="宋体"/>
          <w:spacing w:val="3"/>
          <w:sz w:val="24"/>
          <w:szCs w:val="24"/>
        </w:rPr>
        <w:t>近浮游生物、底栖动物耐污性种类比例升高，寡污性</w:t>
      </w:r>
      <w:r>
        <w:rPr>
          <w:rFonts w:ascii="宋体" w:hAnsi="宋体" w:eastAsia="宋体" w:cs="宋体"/>
          <w:spacing w:val="2"/>
          <w:sz w:val="24"/>
          <w:szCs w:val="24"/>
        </w:rPr>
        <w:t>种类减少或消失，种群结构</w:t>
      </w:r>
      <w:r>
        <w:rPr>
          <w:rFonts w:ascii="宋体" w:hAnsi="宋体" w:eastAsia="宋体" w:cs="宋体"/>
          <w:spacing w:val="3"/>
          <w:sz w:val="24"/>
          <w:szCs w:val="24"/>
        </w:rPr>
        <w:t>发生改变。尾水排放对鱼类的影响主要是通过饵料基</w:t>
      </w:r>
      <w:r>
        <w:rPr>
          <w:rFonts w:ascii="宋体" w:hAnsi="宋体" w:eastAsia="宋体" w:cs="宋体"/>
          <w:spacing w:val="2"/>
          <w:sz w:val="24"/>
          <w:szCs w:val="24"/>
        </w:rPr>
        <w:t>础产生的间接影响，浮游生</w:t>
      </w:r>
      <w:r>
        <w:rPr>
          <w:rFonts w:ascii="宋体" w:hAnsi="宋体" w:eastAsia="宋体" w:cs="宋体"/>
          <w:spacing w:val="3"/>
          <w:sz w:val="24"/>
          <w:szCs w:val="24"/>
        </w:rPr>
        <w:t>物的增加将导致滤食性种类比例升高，而杂食性、草</w:t>
      </w:r>
      <w:r>
        <w:rPr>
          <w:rFonts w:ascii="宋体" w:hAnsi="宋体" w:eastAsia="宋体" w:cs="宋体"/>
          <w:spacing w:val="2"/>
          <w:sz w:val="24"/>
          <w:szCs w:val="24"/>
        </w:rPr>
        <w:t>食性鱼类的比例将下降。由</w:t>
      </w:r>
      <w:r>
        <w:rPr>
          <w:rFonts w:ascii="宋体" w:hAnsi="宋体" w:eastAsia="宋体" w:cs="宋体"/>
          <w:spacing w:val="3"/>
          <w:sz w:val="24"/>
          <w:szCs w:val="24"/>
        </w:rPr>
        <w:t>于尾水排放量占赧水水体体量比例很小，污染物进入</w:t>
      </w:r>
      <w:r>
        <w:rPr>
          <w:rFonts w:ascii="宋体" w:hAnsi="宋体" w:eastAsia="宋体" w:cs="宋体"/>
          <w:spacing w:val="2"/>
          <w:sz w:val="24"/>
          <w:szCs w:val="24"/>
        </w:rPr>
        <w:t>水体后迅速扩散稀释，接近</w:t>
      </w:r>
      <w:r>
        <w:rPr>
          <w:rFonts w:ascii="宋体" w:hAnsi="宋体" w:eastAsia="宋体" w:cs="宋体"/>
          <w:spacing w:val="3"/>
          <w:sz w:val="24"/>
          <w:szCs w:val="24"/>
        </w:rPr>
        <w:t>本底值，影响范围主要是排污口附近水域，因此，运</w:t>
      </w:r>
      <w:r>
        <w:rPr>
          <w:rFonts w:ascii="宋体" w:hAnsi="宋体" w:eastAsia="宋体" w:cs="宋体"/>
          <w:spacing w:val="2"/>
          <w:sz w:val="24"/>
          <w:szCs w:val="24"/>
        </w:rPr>
        <w:t>营期对鱼类等水生生物种群</w:t>
      </w:r>
      <w:r>
        <w:rPr>
          <w:rFonts w:ascii="宋体" w:hAnsi="宋体" w:eastAsia="宋体" w:cs="宋体"/>
          <w:spacing w:val="-2"/>
          <w:sz w:val="24"/>
          <w:szCs w:val="24"/>
        </w:rPr>
        <w:t>结构影响可控。</w:t>
      </w:r>
    </w:p>
    <w:p w14:paraId="76A48167">
      <w:pPr>
        <w:spacing w:before="150" w:line="220" w:lineRule="auto"/>
        <w:ind w:left="10"/>
        <w:outlineLvl w:val="2"/>
        <w:rPr>
          <w:rFonts w:ascii="宋体" w:hAnsi="宋体" w:eastAsia="宋体" w:cs="宋体"/>
          <w:sz w:val="28"/>
          <w:szCs w:val="28"/>
        </w:rPr>
      </w:pPr>
      <w:r>
        <w:rPr>
          <w:rFonts w:ascii="Times New Roman" w:hAnsi="Times New Roman" w:eastAsia="Times New Roman" w:cs="Times New Roman"/>
          <w:b/>
          <w:bCs/>
          <w:spacing w:val="-2"/>
          <w:sz w:val="28"/>
          <w:szCs w:val="28"/>
        </w:rPr>
        <w:t>7.1.3</w:t>
      </w:r>
      <w:r>
        <w:rPr>
          <w:rFonts w:ascii="宋体" w:hAnsi="宋体" w:eastAsia="宋体" w:cs="宋体"/>
          <w:b/>
          <w:bCs/>
          <w:spacing w:val="-2"/>
          <w:sz w:val="28"/>
          <w:szCs w:val="28"/>
        </w:rPr>
        <w:t>对鱼类等水生生物资源的影响</w:t>
      </w:r>
    </w:p>
    <w:p w14:paraId="4B462758">
      <w:pPr>
        <w:pStyle w:val="2"/>
        <w:spacing w:line="256" w:lineRule="auto"/>
      </w:pPr>
    </w:p>
    <w:p w14:paraId="4FFF4BE2">
      <w:pPr>
        <w:spacing w:before="79" w:line="362" w:lineRule="auto"/>
        <w:ind w:left="11" w:right="80" w:firstLine="478"/>
        <w:rPr>
          <w:rFonts w:ascii="宋体" w:hAnsi="宋体" w:eastAsia="宋体" w:cs="宋体"/>
          <w:sz w:val="24"/>
          <w:szCs w:val="24"/>
        </w:rPr>
      </w:pPr>
      <w:r>
        <w:rPr>
          <w:rFonts w:ascii="宋体" w:hAnsi="宋体" w:eastAsia="宋体" w:cs="宋体"/>
          <w:spacing w:val="3"/>
          <w:sz w:val="24"/>
          <w:szCs w:val="24"/>
        </w:rPr>
        <w:t>尾水排入河流后，将导致局部水体各项指标发生改变，对鱼</w:t>
      </w:r>
      <w:r>
        <w:rPr>
          <w:rFonts w:ascii="宋体" w:hAnsi="宋体" w:eastAsia="宋体" w:cs="宋体"/>
          <w:spacing w:val="2"/>
          <w:sz w:val="24"/>
          <w:szCs w:val="24"/>
        </w:rPr>
        <w:t>类等水生生物产</w:t>
      </w:r>
      <w:r>
        <w:rPr>
          <w:rFonts w:ascii="宋体" w:hAnsi="宋体" w:eastAsia="宋体" w:cs="宋体"/>
          <w:spacing w:val="-2"/>
          <w:sz w:val="24"/>
          <w:szCs w:val="24"/>
        </w:rPr>
        <w:t>生不同程度的影响。</w:t>
      </w:r>
    </w:p>
    <w:p w14:paraId="581D1503">
      <w:pPr>
        <w:spacing w:line="362" w:lineRule="auto"/>
        <w:rPr>
          <w:rFonts w:ascii="宋体" w:hAnsi="宋体" w:eastAsia="宋体" w:cs="宋体"/>
          <w:sz w:val="24"/>
          <w:szCs w:val="24"/>
        </w:rPr>
        <w:sectPr>
          <w:headerReference r:id="rId144" w:type="default"/>
          <w:footerReference r:id="rId145" w:type="default"/>
          <w:pgSz w:w="11906" w:h="16839"/>
          <w:pgMar w:top="1132" w:right="1620" w:bottom="1259" w:left="1701" w:header="829" w:footer="1097" w:gutter="0"/>
          <w:cols w:space="720" w:num="1"/>
        </w:sectPr>
      </w:pPr>
    </w:p>
    <w:p w14:paraId="378F6DEA">
      <w:pPr>
        <w:pStyle w:val="2"/>
        <w:spacing w:line="320" w:lineRule="auto"/>
      </w:pPr>
    </w:p>
    <w:p w14:paraId="70E97AFE">
      <w:pPr>
        <w:spacing w:before="78" w:line="219" w:lineRule="auto"/>
        <w:ind w:left="501"/>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）鱼类</w:t>
      </w:r>
    </w:p>
    <w:p w14:paraId="495F7C03">
      <w:pPr>
        <w:spacing w:before="182" w:line="360" w:lineRule="auto"/>
        <w:ind w:left="8" w:right="18" w:firstLine="480"/>
        <w:rPr>
          <w:rFonts w:ascii="宋体" w:hAnsi="宋体" w:eastAsia="宋体" w:cs="宋体"/>
          <w:sz w:val="24"/>
          <w:szCs w:val="24"/>
        </w:rPr>
      </w:pPr>
      <w:r>
        <w:rPr>
          <w:rFonts w:ascii="Times New Roman" w:hAnsi="Times New Roman" w:eastAsia="Times New Roman" w:cs="Times New Roman"/>
          <w:spacing w:val="-1"/>
          <w:sz w:val="24"/>
          <w:szCs w:val="24"/>
        </w:rPr>
        <w:t>COD</w:t>
      </w:r>
      <w:r>
        <w:rPr>
          <w:rFonts w:ascii="宋体" w:hAnsi="宋体" w:eastAsia="宋体" w:cs="宋体"/>
          <w:spacing w:val="-1"/>
          <w:sz w:val="24"/>
          <w:szCs w:val="24"/>
        </w:rPr>
        <w:t>的增加导致部分水域出现缺氧现象，尤其是高温季节，引起鱼类等水生</w:t>
      </w:r>
      <w:r>
        <w:rPr>
          <w:rFonts w:ascii="宋体" w:hAnsi="宋体" w:eastAsia="宋体" w:cs="宋体"/>
          <w:spacing w:val="3"/>
          <w:sz w:val="24"/>
          <w:szCs w:val="24"/>
        </w:rPr>
        <w:t>生物的缺氧死亡。总磷、总氮、氨氮等污染因子对鱼</w:t>
      </w:r>
      <w:r>
        <w:rPr>
          <w:rFonts w:ascii="宋体" w:hAnsi="宋体" w:eastAsia="宋体" w:cs="宋体"/>
          <w:spacing w:val="2"/>
          <w:sz w:val="24"/>
          <w:szCs w:val="24"/>
        </w:rPr>
        <w:t>类影响最大的是氨氮。水体</w:t>
      </w:r>
      <w:r>
        <w:rPr>
          <w:rFonts w:ascii="宋体" w:hAnsi="宋体" w:eastAsia="宋体" w:cs="宋体"/>
          <w:spacing w:val="-2"/>
          <w:sz w:val="24"/>
          <w:szCs w:val="24"/>
        </w:rPr>
        <w:t>中氮素是一个动态平衡的循环过程，氨氮在转化成硝</w:t>
      </w:r>
      <w:r>
        <w:rPr>
          <w:rFonts w:ascii="宋体" w:hAnsi="宋体" w:eastAsia="宋体" w:cs="宋体"/>
          <w:spacing w:val="-3"/>
          <w:sz w:val="24"/>
          <w:szCs w:val="24"/>
        </w:rPr>
        <w:t>酸盐的过程是一个耗氧过程，</w:t>
      </w:r>
      <w:r>
        <w:rPr>
          <w:rFonts w:ascii="宋体" w:hAnsi="宋体" w:eastAsia="宋体" w:cs="宋体"/>
          <w:spacing w:val="3"/>
          <w:sz w:val="24"/>
          <w:szCs w:val="24"/>
        </w:rPr>
        <w:t>降低水体溶解氧含量。同时，非离子态的氨氮对鱼类</w:t>
      </w:r>
      <w:r>
        <w:rPr>
          <w:rFonts w:ascii="宋体" w:hAnsi="宋体" w:eastAsia="宋体" w:cs="宋体"/>
          <w:spacing w:val="2"/>
          <w:sz w:val="24"/>
          <w:szCs w:val="24"/>
        </w:rPr>
        <w:t>有较强的毒性，通过鳃和皮</w:t>
      </w:r>
      <w:r>
        <w:rPr>
          <w:rFonts w:ascii="宋体" w:hAnsi="宋体" w:eastAsia="宋体" w:cs="宋体"/>
          <w:spacing w:val="3"/>
          <w:sz w:val="24"/>
          <w:szCs w:val="24"/>
        </w:rPr>
        <w:t>膜进入鱼体，损伤鳃表皮细胞，使血液和组织中氨的</w:t>
      </w:r>
      <w:r>
        <w:rPr>
          <w:rFonts w:ascii="宋体" w:hAnsi="宋体" w:eastAsia="宋体" w:cs="宋体"/>
          <w:spacing w:val="2"/>
          <w:sz w:val="24"/>
          <w:szCs w:val="24"/>
        </w:rPr>
        <w:t>浓度升高，降低血液的载氧</w:t>
      </w:r>
      <w:r>
        <w:rPr>
          <w:rFonts w:ascii="宋体" w:hAnsi="宋体" w:eastAsia="宋体" w:cs="宋体"/>
          <w:spacing w:val="3"/>
          <w:sz w:val="24"/>
          <w:szCs w:val="24"/>
        </w:rPr>
        <w:t>能力，反映为机体代谢功能失常或组织机能损伤，鱼</w:t>
      </w:r>
      <w:r>
        <w:rPr>
          <w:rFonts w:ascii="宋体" w:hAnsi="宋体" w:eastAsia="宋体" w:cs="宋体"/>
          <w:spacing w:val="2"/>
          <w:sz w:val="24"/>
          <w:szCs w:val="24"/>
        </w:rPr>
        <w:t>体不能正常反应，甚至降低</w:t>
      </w:r>
      <w:r>
        <w:rPr>
          <w:rFonts w:ascii="宋体" w:hAnsi="宋体" w:eastAsia="宋体" w:cs="宋体"/>
          <w:spacing w:val="-1"/>
          <w:sz w:val="24"/>
          <w:szCs w:val="24"/>
        </w:rPr>
        <w:t>鱼体的免疫力，影响鱼类生长。</w:t>
      </w:r>
    </w:p>
    <w:p w14:paraId="5F02F0DE">
      <w:pPr>
        <w:spacing w:before="4" w:line="358" w:lineRule="auto"/>
        <w:ind w:left="8" w:right="80" w:firstLine="482"/>
        <w:jc w:val="both"/>
        <w:rPr>
          <w:rFonts w:ascii="宋体" w:hAnsi="宋体" w:eastAsia="宋体" w:cs="宋体"/>
          <w:sz w:val="24"/>
          <w:szCs w:val="24"/>
        </w:rPr>
      </w:pPr>
      <w:r>
        <w:rPr>
          <w:rFonts w:ascii="宋体" w:hAnsi="宋体" w:eastAsia="宋体" w:cs="宋体"/>
          <w:spacing w:val="10"/>
          <w:sz w:val="24"/>
          <w:szCs w:val="24"/>
        </w:rPr>
        <w:t>李波的研究表明氨氮对黄颡鱼具有毒性、胁迫生长摄食等影响，在高溶氧</w:t>
      </w:r>
      <w:r>
        <w:rPr>
          <w:rFonts w:ascii="Times New Roman" w:hAnsi="Times New Roman" w:eastAsia="Times New Roman" w:cs="Times New Roman"/>
          <w:spacing w:val="11"/>
          <w:sz w:val="24"/>
          <w:szCs w:val="24"/>
        </w:rPr>
        <w:t>(10.77</w:t>
      </w:r>
      <w:r>
        <w:rPr>
          <w:rFonts w:ascii="宋体" w:hAnsi="宋体" w:eastAsia="宋体" w:cs="宋体"/>
          <w:spacing w:val="11"/>
          <w:sz w:val="24"/>
          <w:szCs w:val="24"/>
        </w:rPr>
        <w:t>±</w:t>
      </w:r>
      <w:r>
        <w:rPr>
          <w:rFonts w:ascii="Times New Roman" w:hAnsi="Times New Roman" w:eastAsia="Times New Roman" w:cs="Times New Roman"/>
          <w:spacing w:val="11"/>
          <w:sz w:val="24"/>
          <w:szCs w:val="24"/>
        </w:rPr>
        <w:t>0.4</w:t>
      </w:r>
      <w:r>
        <w:rPr>
          <w:rFonts w:ascii="Times New Roman" w:hAnsi="Times New Roman" w:eastAsia="Times New Roman" w:cs="Times New Roman"/>
          <w:sz w:val="24"/>
          <w:szCs w:val="24"/>
        </w:rPr>
        <w:t>mg</w:t>
      </w:r>
      <w:r>
        <w:rPr>
          <w:rFonts w:ascii="Times New Roman" w:hAnsi="Times New Roman" w:eastAsia="Times New Roman" w:cs="Times New Roman"/>
          <w:spacing w:val="11"/>
          <w:sz w:val="24"/>
          <w:szCs w:val="24"/>
        </w:rPr>
        <w:t>/L)</w:t>
      </w:r>
      <w:r>
        <w:rPr>
          <w:rFonts w:ascii="宋体" w:hAnsi="宋体" w:eastAsia="宋体" w:cs="宋体"/>
          <w:spacing w:val="11"/>
          <w:sz w:val="24"/>
          <w:szCs w:val="24"/>
        </w:rPr>
        <w:t>条件下，非离子氨和亚硝酸盐对黄颡鱼的</w:t>
      </w:r>
      <w:r>
        <w:rPr>
          <w:rFonts w:ascii="Times New Roman" w:hAnsi="Times New Roman" w:eastAsia="Times New Roman" w:cs="Times New Roman"/>
          <w:spacing w:val="11"/>
          <w:sz w:val="24"/>
          <w:szCs w:val="24"/>
        </w:rPr>
        <w:t>96</w:t>
      </w:r>
      <w:r>
        <w:rPr>
          <w:rFonts w:ascii="Times New Roman" w:hAnsi="Times New Roman" w:eastAsia="Times New Roman" w:cs="Times New Roman"/>
          <w:sz w:val="24"/>
          <w:szCs w:val="24"/>
        </w:rPr>
        <w:t>hLC</w:t>
      </w:r>
      <w:r>
        <w:rPr>
          <w:rFonts w:ascii="Times New Roman" w:hAnsi="Times New Roman" w:eastAsia="Times New Roman" w:cs="Times New Roman"/>
          <w:spacing w:val="11"/>
          <w:sz w:val="24"/>
          <w:szCs w:val="24"/>
        </w:rPr>
        <w:t>5o</w:t>
      </w:r>
      <w:r>
        <w:rPr>
          <w:rFonts w:ascii="宋体" w:hAnsi="宋体" w:eastAsia="宋体" w:cs="宋体"/>
          <w:spacing w:val="11"/>
          <w:sz w:val="24"/>
          <w:szCs w:val="24"/>
        </w:rPr>
        <w:t>分别为</w:t>
      </w:r>
      <w:r>
        <w:rPr>
          <w:rFonts w:ascii="Times New Roman" w:hAnsi="Times New Roman" w:eastAsia="Times New Roman" w:cs="Times New Roman"/>
          <w:spacing w:val="1"/>
          <w:sz w:val="24"/>
          <w:szCs w:val="24"/>
        </w:rPr>
        <w:t>0.74</w:t>
      </w:r>
      <w:r>
        <w:rPr>
          <w:rFonts w:ascii="Times New Roman" w:hAnsi="Times New Roman" w:eastAsia="Times New Roman" w:cs="Times New Roman"/>
          <w:sz w:val="24"/>
          <w:szCs w:val="24"/>
        </w:rPr>
        <w:t>mg</w:t>
      </w:r>
      <w:r>
        <w:rPr>
          <w:rFonts w:ascii="Times New Roman" w:hAnsi="Times New Roman" w:eastAsia="Times New Roman" w:cs="Times New Roman"/>
          <w:spacing w:val="1"/>
          <w:sz w:val="24"/>
          <w:szCs w:val="24"/>
        </w:rPr>
        <w:t>/L</w:t>
      </w:r>
      <w:r>
        <w:rPr>
          <w:rFonts w:ascii="宋体" w:hAnsi="宋体" w:eastAsia="宋体" w:cs="宋体"/>
          <w:spacing w:val="1"/>
          <w:sz w:val="24"/>
          <w:szCs w:val="24"/>
        </w:rPr>
        <w:t>和</w:t>
      </w:r>
      <w:r>
        <w:rPr>
          <w:rFonts w:ascii="Times New Roman" w:hAnsi="Times New Roman" w:eastAsia="Times New Roman" w:cs="Times New Roman"/>
          <w:spacing w:val="1"/>
          <w:sz w:val="24"/>
          <w:szCs w:val="24"/>
        </w:rPr>
        <w:t>137.69</w:t>
      </w:r>
      <w:r>
        <w:rPr>
          <w:rFonts w:ascii="Times New Roman" w:hAnsi="Times New Roman" w:eastAsia="Times New Roman" w:cs="Times New Roman"/>
          <w:sz w:val="24"/>
          <w:szCs w:val="24"/>
        </w:rPr>
        <w:t>mg</w:t>
      </w:r>
      <w:r>
        <w:rPr>
          <w:rFonts w:ascii="Times New Roman" w:hAnsi="Times New Roman" w:eastAsia="Times New Roman" w:cs="Times New Roman"/>
          <w:spacing w:val="1"/>
          <w:sz w:val="24"/>
          <w:szCs w:val="24"/>
        </w:rPr>
        <w:t>/L</w:t>
      </w:r>
      <w:r>
        <w:rPr>
          <w:rFonts w:ascii="宋体" w:hAnsi="宋体" w:eastAsia="宋体" w:cs="宋体"/>
          <w:spacing w:val="1"/>
          <w:sz w:val="24"/>
          <w:szCs w:val="24"/>
        </w:rPr>
        <w:t>；在中等溶氧</w:t>
      </w:r>
      <w:r>
        <w:rPr>
          <w:rFonts w:ascii="Times New Roman" w:hAnsi="Times New Roman" w:eastAsia="Times New Roman" w:cs="Times New Roman"/>
          <w:spacing w:val="1"/>
          <w:sz w:val="24"/>
          <w:szCs w:val="24"/>
        </w:rPr>
        <w:t>(6.89</w:t>
      </w:r>
      <w:r>
        <w:rPr>
          <w:rFonts w:ascii="宋体" w:hAnsi="宋体" w:eastAsia="宋体" w:cs="宋体"/>
          <w:spacing w:val="1"/>
          <w:sz w:val="24"/>
          <w:szCs w:val="24"/>
        </w:rPr>
        <w:t>±</w:t>
      </w:r>
      <w:r>
        <w:rPr>
          <w:rFonts w:ascii="Times New Roman" w:hAnsi="Times New Roman" w:eastAsia="Times New Roman" w:cs="Times New Roman"/>
          <w:spacing w:val="1"/>
          <w:sz w:val="24"/>
          <w:szCs w:val="24"/>
        </w:rPr>
        <w:t>0.33</w:t>
      </w:r>
      <w:r>
        <w:rPr>
          <w:rFonts w:ascii="Times New Roman" w:hAnsi="Times New Roman" w:eastAsia="Times New Roman" w:cs="Times New Roman"/>
          <w:sz w:val="24"/>
          <w:szCs w:val="24"/>
        </w:rPr>
        <w:t>mg</w:t>
      </w:r>
      <w:r>
        <w:rPr>
          <w:rFonts w:ascii="Times New Roman" w:hAnsi="Times New Roman" w:eastAsia="Times New Roman" w:cs="Times New Roman"/>
          <w:spacing w:val="1"/>
          <w:sz w:val="24"/>
          <w:szCs w:val="24"/>
        </w:rPr>
        <w:t>/L)</w:t>
      </w:r>
      <w:r>
        <w:rPr>
          <w:rFonts w:ascii="宋体" w:hAnsi="宋体" w:eastAsia="宋体" w:cs="宋体"/>
          <w:spacing w:val="1"/>
          <w:sz w:val="24"/>
          <w:szCs w:val="24"/>
        </w:rPr>
        <w:t>条件下，</w:t>
      </w:r>
      <w:r>
        <w:rPr>
          <w:rFonts w:ascii="Times New Roman" w:hAnsi="Times New Roman" w:eastAsia="Times New Roman" w:cs="Times New Roman"/>
          <w:spacing w:val="1"/>
          <w:sz w:val="24"/>
          <w:szCs w:val="24"/>
        </w:rPr>
        <w:t>96</w:t>
      </w:r>
      <w:r>
        <w:rPr>
          <w:rFonts w:ascii="Times New Roman" w:hAnsi="Times New Roman" w:eastAsia="Times New Roman" w:cs="Times New Roman"/>
          <w:sz w:val="24"/>
          <w:szCs w:val="24"/>
        </w:rPr>
        <w:t>hLC</w:t>
      </w:r>
      <w:r>
        <w:rPr>
          <w:rFonts w:ascii="Times New Roman" w:hAnsi="Times New Roman" w:eastAsia="Times New Roman" w:cs="Times New Roman"/>
          <w:spacing w:val="1"/>
          <w:sz w:val="24"/>
          <w:szCs w:val="24"/>
        </w:rPr>
        <w:t>50</w:t>
      </w:r>
      <w:r>
        <w:rPr>
          <w:rFonts w:ascii="宋体" w:hAnsi="宋体" w:eastAsia="宋体" w:cs="宋体"/>
          <w:spacing w:val="1"/>
          <w:sz w:val="24"/>
          <w:szCs w:val="24"/>
        </w:rPr>
        <w:t>分别为</w:t>
      </w:r>
      <w:r>
        <w:rPr>
          <w:rFonts w:ascii="Times New Roman" w:hAnsi="Times New Roman" w:eastAsia="Times New Roman" w:cs="Times New Roman"/>
          <w:spacing w:val="3"/>
          <w:sz w:val="24"/>
          <w:szCs w:val="24"/>
        </w:rPr>
        <w:t>0.54</w:t>
      </w:r>
      <w:r>
        <w:rPr>
          <w:rFonts w:ascii="Times New Roman" w:hAnsi="Times New Roman" w:eastAsia="Times New Roman" w:cs="Times New Roman"/>
          <w:sz w:val="24"/>
          <w:szCs w:val="24"/>
        </w:rPr>
        <w:t>mg</w:t>
      </w:r>
      <w:r>
        <w:rPr>
          <w:rFonts w:ascii="Times New Roman" w:hAnsi="Times New Roman" w:eastAsia="Times New Roman" w:cs="Times New Roman"/>
          <w:spacing w:val="3"/>
          <w:sz w:val="24"/>
          <w:szCs w:val="24"/>
        </w:rPr>
        <w:t>/L</w:t>
      </w:r>
      <w:r>
        <w:rPr>
          <w:rFonts w:ascii="宋体" w:hAnsi="宋体" w:eastAsia="宋体" w:cs="宋体"/>
          <w:spacing w:val="3"/>
          <w:sz w:val="24"/>
          <w:szCs w:val="24"/>
        </w:rPr>
        <w:t>和</w:t>
      </w:r>
      <w:r>
        <w:rPr>
          <w:rFonts w:ascii="Times New Roman" w:hAnsi="Times New Roman" w:eastAsia="Times New Roman" w:cs="Times New Roman"/>
          <w:spacing w:val="3"/>
          <w:sz w:val="24"/>
          <w:szCs w:val="24"/>
        </w:rPr>
        <w:t>97.18</w:t>
      </w:r>
      <w:r>
        <w:rPr>
          <w:rFonts w:ascii="Times New Roman" w:hAnsi="Times New Roman" w:eastAsia="Times New Roman" w:cs="Times New Roman"/>
          <w:sz w:val="24"/>
          <w:szCs w:val="24"/>
        </w:rPr>
        <w:t>mg</w:t>
      </w:r>
      <w:r>
        <w:rPr>
          <w:rFonts w:ascii="Times New Roman" w:hAnsi="Times New Roman" w:eastAsia="Times New Roman" w:cs="Times New Roman"/>
          <w:spacing w:val="3"/>
          <w:sz w:val="24"/>
          <w:szCs w:val="24"/>
        </w:rPr>
        <w:t>/L</w:t>
      </w:r>
      <w:r>
        <w:rPr>
          <w:rFonts w:ascii="宋体" w:hAnsi="宋体" w:eastAsia="宋体" w:cs="宋体"/>
          <w:spacing w:val="3"/>
          <w:sz w:val="24"/>
          <w:szCs w:val="24"/>
        </w:rPr>
        <w:t>；在低等溶氧</w:t>
      </w:r>
      <w:r>
        <w:rPr>
          <w:rFonts w:ascii="Times New Roman" w:hAnsi="Times New Roman" w:eastAsia="Times New Roman" w:cs="Times New Roman"/>
          <w:spacing w:val="3"/>
          <w:sz w:val="24"/>
          <w:szCs w:val="24"/>
        </w:rPr>
        <w:t>(3.45</w:t>
      </w:r>
      <w:r>
        <w:rPr>
          <w:rFonts w:ascii="宋体" w:hAnsi="宋体" w:eastAsia="宋体" w:cs="宋体"/>
          <w:spacing w:val="3"/>
          <w:sz w:val="24"/>
          <w:szCs w:val="24"/>
        </w:rPr>
        <w:t>±</w:t>
      </w:r>
      <w:r>
        <w:rPr>
          <w:rFonts w:ascii="Times New Roman" w:hAnsi="Times New Roman" w:eastAsia="Times New Roman" w:cs="Times New Roman"/>
          <w:spacing w:val="3"/>
          <w:sz w:val="24"/>
          <w:szCs w:val="24"/>
        </w:rPr>
        <w:t>0.54</w:t>
      </w:r>
      <w:r>
        <w:rPr>
          <w:rFonts w:ascii="Times New Roman" w:hAnsi="Times New Roman" w:eastAsia="Times New Roman" w:cs="Times New Roman"/>
          <w:sz w:val="24"/>
          <w:szCs w:val="24"/>
        </w:rPr>
        <w:t>mg</w:t>
      </w:r>
      <w:r>
        <w:rPr>
          <w:rFonts w:ascii="Times New Roman" w:hAnsi="Times New Roman" w:eastAsia="Times New Roman" w:cs="Times New Roman"/>
          <w:spacing w:val="3"/>
          <w:sz w:val="24"/>
          <w:szCs w:val="24"/>
        </w:rPr>
        <w:t>/L)</w:t>
      </w:r>
      <w:r>
        <w:rPr>
          <w:rFonts w:ascii="宋体" w:hAnsi="宋体" w:eastAsia="宋体" w:cs="宋体"/>
          <w:spacing w:val="3"/>
          <w:sz w:val="24"/>
          <w:szCs w:val="24"/>
        </w:rPr>
        <w:t>条件下，</w:t>
      </w:r>
      <w:r>
        <w:rPr>
          <w:rFonts w:ascii="Times New Roman" w:hAnsi="Times New Roman" w:eastAsia="Times New Roman" w:cs="Times New Roman"/>
          <w:spacing w:val="3"/>
          <w:sz w:val="24"/>
          <w:szCs w:val="24"/>
        </w:rPr>
        <w:t>96</w:t>
      </w:r>
      <w:r>
        <w:rPr>
          <w:rFonts w:ascii="Times New Roman" w:hAnsi="Times New Roman" w:eastAsia="Times New Roman" w:cs="Times New Roman"/>
          <w:sz w:val="24"/>
          <w:szCs w:val="24"/>
        </w:rPr>
        <w:t>hLC</w:t>
      </w:r>
      <w:r>
        <w:rPr>
          <w:rFonts w:ascii="Times New Roman" w:hAnsi="Times New Roman" w:eastAsia="Times New Roman" w:cs="Times New Roman"/>
          <w:spacing w:val="3"/>
          <w:sz w:val="24"/>
          <w:szCs w:val="24"/>
        </w:rPr>
        <w:t>50</w:t>
      </w:r>
      <w:r>
        <w:rPr>
          <w:rFonts w:ascii="宋体" w:hAnsi="宋体" w:eastAsia="宋体" w:cs="宋体"/>
          <w:spacing w:val="3"/>
          <w:sz w:val="24"/>
          <w:szCs w:val="24"/>
        </w:rPr>
        <w:t>分别为</w:t>
      </w:r>
      <w:r>
        <w:rPr>
          <w:rFonts w:ascii="Times New Roman" w:hAnsi="Times New Roman" w:eastAsia="Times New Roman" w:cs="Times New Roman"/>
          <w:spacing w:val="-3"/>
          <w:sz w:val="24"/>
          <w:szCs w:val="24"/>
        </w:rPr>
        <w:t>0.34mg/L</w:t>
      </w:r>
      <w:r>
        <w:rPr>
          <w:rFonts w:ascii="宋体" w:hAnsi="宋体" w:eastAsia="宋体" w:cs="宋体"/>
          <w:spacing w:val="-3"/>
          <w:sz w:val="24"/>
          <w:szCs w:val="24"/>
        </w:rPr>
        <w:t>和</w:t>
      </w:r>
      <w:r>
        <w:rPr>
          <w:rFonts w:ascii="Times New Roman" w:hAnsi="Times New Roman" w:eastAsia="Times New Roman" w:cs="Times New Roman"/>
          <w:spacing w:val="-3"/>
          <w:sz w:val="24"/>
          <w:szCs w:val="24"/>
        </w:rPr>
        <w:t>54.22mg/L</w:t>
      </w:r>
      <w:r>
        <w:rPr>
          <w:rFonts w:ascii="宋体" w:hAnsi="宋体" w:eastAsia="宋体" w:cs="宋体"/>
          <w:spacing w:val="-3"/>
          <w:sz w:val="24"/>
          <w:szCs w:val="24"/>
        </w:rPr>
        <w:t>。非离子氨的毒性明显大于亚硝酸盐的毒性。吴国平指出水</w:t>
      </w:r>
      <w:r>
        <w:rPr>
          <w:rFonts w:ascii="宋体" w:hAnsi="宋体" w:eastAsia="宋体" w:cs="宋体"/>
          <w:sz w:val="24"/>
          <w:szCs w:val="24"/>
        </w:rPr>
        <w:t>样中的非离子氨浓度与水温、</w:t>
      </w:r>
      <w:r>
        <w:rPr>
          <w:rFonts w:ascii="Times New Roman" w:hAnsi="Times New Roman" w:eastAsia="Times New Roman" w:cs="Times New Roman"/>
          <w:sz w:val="24"/>
          <w:szCs w:val="24"/>
        </w:rPr>
        <w:t>pH</w:t>
      </w:r>
      <w:r>
        <w:rPr>
          <w:rFonts w:ascii="宋体" w:hAnsi="宋体" w:eastAsia="宋体" w:cs="宋体"/>
          <w:sz w:val="24"/>
          <w:szCs w:val="24"/>
        </w:rPr>
        <w:t>有重要关系，随水温和</w:t>
      </w:r>
      <w:r>
        <w:rPr>
          <w:rFonts w:ascii="Times New Roman" w:hAnsi="Times New Roman" w:eastAsia="Times New Roman" w:cs="Times New Roman"/>
          <w:sz w:val="24"/>
          <w:szCs w:val="24"/>
        </w:rPr>
        <w:t>pH</w:t>
      </w:r>
      <w:r>
        <w:rPr>
          <w:rFonts w:ascii="宋体" w:hAnsi="宋体" w:eastAsia="宋体" w:cs="宋体"/>
          <w:sz w:val="24"/>
          <w:szCs w:val="24"/>
        </w:rPr>
        <w:t>的增大，水体中非离</w:t>
      </w:r>
      <w:r>
        <w:rPr>
          <w:rFonts w:ascii="宋体" w:hAnsi="宋体" w:eastAsia="宋体" w:cs="宋体"/>
          <w:spacing w:val="-1"/>
          <w:sz w:val="24"/>
          <w:szCs w:val="24"/>
        </w:rPr>
        <w:t>子氨的浓度升高。根据赧水平均水温、</w:t>
      </w:r>
      <w:r>
        <w:rPr>
          <w:rFonts w:ascii="Times New Roman" w:hAnsi="Times New Roman" w:eastAsia="Times New Roman" w:cs="Times New Roman"/>
          <w:spacing w:val="-1"/>
          <w:sz w:val="24"/>
          <w:szCs w:val="24"/>
        </w:rPr>
        <w:t>pH</w:t>
      </w:r>
      <w:r>
        <w:rPr>
          <w:rFonts w:ascii="宋体" w:hAnsi="宋体" w:eastAsia="宋体" w:cs="宋体"/>
          <w:spacing w:val="-1"/>
          <w:sz w:val="24"/>
          <w:szCs w:val="24"/>
        </w:rPr>
        <w:t>，推测水体中非离子氨浓度约为</w:t>
      </w:r>
      <w:r>
        <w:rPr>
          <w:rFonts w:ascii="宋体" w:hAnsi="宋体" w:eastAsia="宋体" w:cs="宋体"/>
          <w:spacing w:val="-2"/>
          <w:sz w:val="24"/>
          <w:szCs w:val="24"/>
        </w:rPr>
        <w:t>总氨的</w:t>
      </w:r>
      <w:r>
        <w:rPr>
          <w:rFonts w:ascii="Times New Roman" w:hAnsi="Times New Roman" w:eastAsia="Times New Roman" w:cs="Times New Roman"/>
          <w:spacing w:val="-3"/>
          <w:sz w:val="24"/>
          <w:szCs w:val="24"/>
        </w:rPr>
        <w:t>1.2%</w:t>
      </w:r>
      <w:r>
        <w:rPr>
          <w:rFonts w:ascii="宋体" w:hAnsi="宋体" w:eastAsia="宋体" w:cs="宋体"/>
          <w:spacing w:val="-3"/>
          <w:sz w:val="24"/>
          <w:szCs w:val="24"/>
        </w:rPr>
        <w:t>，正常排放情况下排水口附近的非离子氨浓度小于</w:t>
      </w:r>
      <w:r>
        <w:rPr>
          <w:rFonts w:ascii="Times New Roman" w:hAnsi="Times New Roman" w:eastAsia="Times New Roman" w:cs="Times New Roman"/>
          <w:spacing w:val="-3"/>
          <w:sz w:val="24"/>
          <w:szCs w:val="24"/>
        </w:rPr>
        <w:t>0.1mg/L</w:t>
      </w:r>
      <w:r>
        <w:rPr>
          <w:rFonts w:ascii="宋体" w:hAnsi="宋体" w:eastAsia="宋体" w:cs="宋体"/>
          <w:spacing w:val="-3"/>
          <w:sz w:val="24"/>
          <w:szCs w:val="24"/>
        </w:rPr>
        <w:t>。因此尾水排放对</w:t>
      </w:r>
      <w:r>
        <w:rPr>
          <w:rFonts w:ascii="宋体" w:hAnsi="宋体" w:eastAsia="宋体" w:cs="宋体"/>
          <w:spacing w:val="-1"/>
          <w:sz w:val="24"/>
          <w:szCs w:val="24"/>
        </w:rPr>
        <w:t>鱼类的毒性相对较小，在可控范围内。</w:t>
      </w:r>
    </w:p>
    <w:p w14:paraId="0039B0B0">
      <w:pPr>
        <w:spacing w:before="19" w:line="220" w:lineRule="auto"/>
        <w:ind w:left="501"/>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）浮游生物</w:t>
      </w:r>
    </w:p>
    <w:p w14:paraId="06F2C989">
      <w:pPr>
        <w:spacing w:before="177" w:line="360" w:lineRule="auto"/>
        <w:ind w:left="9" w:firstLine="482"/>
        <w:rPr>
          <w:rFonts w:ascii="宋体" w:hAnsi="宋体" w:eastAsia="宋体" w:cs="宋体"/>
          <w:sz w:val="24"/>
          <w:szCs w:val="24"/>
        </w:rPr>
      </w:pPr>
      <w:r>
        <w:rPr>
          <w:rFonts w:ascii="宋体" w:hAnsi="宋体" w:eastAsia="宋体" w:cs="宋体"/>
          <w:spacing w:val="3"/>
          <w:sz w:val="24"/>
          <w:szCs w:val="24"/>
        </w:rPr>
        <w:t>水体中营养物质的富集导致浮游植物大量繁殖，造成</w:t>
      </w:r>
      <w:r>
        <w:rPr>
          <w:rFonts w:ascii="宋体" w:hAnsi="宋体" w:eastAsia="宋体" w:cs="宋体"/>
          <w:spacing w:val="2"/>
          <w:sz w:val="24"/>
          <w:szCs w:val="24"/>
        </w:rPr>
        <w:t>水体富营养化。氮是水</w:t>
      </w:r>
      <w:r>
        <w:rPr>
          <w:rFonts w:ascii="宋体" w:hAnsi="宋体" w:eastAsia="宋体" w:cs="宋体"/>
          <w:spacing w:val="3"/>
          <w:sz w:val="24"/>
          <w:szCs w:val="24"/>
        </w:rPr>
        <w:t>生生物的重要营养元素，也是富营养化成因的主要</w:t>
      </w:r>
      <w:r>
        <w:rPr>
          <w:rFonts w:ascii="宋体" w:hAnsi="宋体" w:eastAsia="宋体" w:cs="宋体"/>
          <w:spacing w:val="2"/>
          <w:sz w:val="24"/>
          <w:szCs w:val="24"/>
        </w:rPr>
        <w:t>限制性元素之一；磷是生命活</w:t>
      </w:r>
      <w:r>
        <w:rPr>
          <w:rFonts w:ascii="宋体" w:hAnsi="宋体" w:eastAsia="宋体" w:cs="宋体"/>
          <w:spacing w:val="3"/>
          <w:sz w:val="24"/>
          <w:szCs w:val="24"/>
        </w:rPr>
        <w:t>动的必需元素，对水体系统的初级生产力有着重要</w:t>
      </w:r>
      <w:r>
        <w:rPr>
          <w:rFonts w:ascii="宋体" w:hAnsi="宋体" w:eastAsia="宋体" w:cs="宋体"/>
          <w:spacing w:val="2"/>
          <w:sz w:val="24"/>
          <w:szCs w:val="24"/>
        </w:rPr>
        <w:t>影响，是引起水体富营养化的</w:t>
      </w:r>
      <w:r>
        <w:rPr>
          <w:rFonts w:ascii="宋体" w:hAnsi="宋体" w:eastAsia="宋体" w:cs="宋体"/>
          <w:spacing w:val="3"/>
          <w:sz w:val="24"/>
          <w:szCs w:val="24"/>
        </w:rPr>
        <w:t>关键性限制因素。水体中氮磷含量的升高将导致浮</w:t>
      </w:r>
      <w:r>
        <w:rPr>
          <w:rFonts w:ascii="宋体" w:hAnsi="宋体" w:eastAsia="宋体" w:cs="宋体"/>
          <w:spacing w:val="2"/>
          <w:sz w:val="24"/>
          <w:szCs w:val="24"/>
        </w:rPr>
        <w:t>游植物大量繁殖，影响水体透</w:t>
      </w:r>
      <w:r>
        <w:rPr>
          <w:rFonts w:ascii="宋体" w:hAnsi="宋体" w:eastAsia="宋体" w:cs="宋体"/>
          <w:spacing w:val="3"/>
          <w:sz w:val="24"/>
          <w:szCs w:val="24"/>
        </w:rPr>
        <w:t>明度和水体溶解氧含量。汪星等研究表明总氮是影</w:t>
      </w:r>
      <w:r>
        <w:rPr>
          <w:rFonts w:ascii="宋体" w:hAnsi="宋体" w:eastAsia="宋体" w:cs="宋体"/>
          <w:spacing w:val="2"/>
          <w:sz w:val="24"/>
          <w:szCs w:val="24"/>
        </w:rPr>
        <w:t>响洞庭湖典型断面藻类物种分</w:t>
      </w:r>
      <w:r>
        <w:rPr>
          <w:rFonts w:ascii="宋体" w:hAnsi="宋体" w:eastAsia="宋体" w:cs="宋体"/>
          <w:spacing w:val="-2"/>
          <w:sz w:val="24"/>
          <w:szCs w:val="24"/>
        </w:rPr>
        <w:t>布格局的主要因素之一，受污染程度小、水质好的断面浮游植物多样性指数较高。</w:t>
      </w:r>
      <w:r>
        <w:rPr>
          <w:rFonts w:ascii="宋体" w:hAnsi="宋体" w:eastAsia="宋体" w:cs="宋体"/>
          <w:spacing w:val="3"/>
          <w:sz w:val="24"/>
          <w:szCs w:val="24"/>
        </w:rPr>
        <w:t>王丑明指出总磷是影响洞庭湖藻类分布的主要影响</w:t>
      </w:r>
      <w:r>
        <w:rPr>
          <w:rFonts w:ascii="宋体" w:hAnsi="宋体" w:eastAsia="宋体" w:cs="宋体"/>
          <w:spacing w:val="2"/>
          <w:sz w:val="24"/>
          <w:szCs w:val="24"/>
        </w:rPr>
        <w:t>因素之一。随着水体营养盐的</w:t>
      </w:r>
      <w:r>
        <w:rPr>
          <w:rFonts w:ascii="宋体" w:hAnsi="宋体" w:eastAsia="宋体" w:cs="宋体"/>
          <w:spacing w:val="3"/>
          <w:sz w:val="24"/>
          <w:szCs w:val="24"/>
        </w:rPr>
        <w:t>增加和富营养化的发展，浮游植物的优势种将会发</w:t>
      </w:r>
      <w:r>
        <w:rPr>
          <w:rFonts w:ascii="宋体" w:hAnsi="宋体" w:eastAsia="宋体" w:cs="宋体"/>
          <w:spacing w:val="2"/>
          <w:sz w:val="24"/>
          <w:szCs w:val="24"/>
        </w:rPr>
        <w:t>生变化，如太湖浮游植物优势</w:t>
      </w:r>
      <w:r>
        <w:rPr>
          <w:rFonts w:ascii="宋体" w:hAnsi="宋体" w:eastAsia="宋体" w:cs="宋体"/>
          <w:spacing w:val="-4"/>
          <w:sz w:val="24"/>
          <w:szCs w:val="24"/>
        </w:rPr>
        <w:t>种从</w:t>
      </w:r>
      <w:r>
        <w:rPr>
          <w:rFonts w:ascii="Times New Roman" w:hAnsi="Times New Roman" w:eastAsia="Times New Roman" w:cs="Times New Roman"/>
          <w:spacing w:val="-4"/>
          <w:sz w:val="24"/>
          <w:szCs w:val="24"/>
        </w:rPr>
        <w:t>1960</w:t>
      </w:r>
      <w:r>
        <w:rPr>
          <w:rFonts w:ascii="宋体" w:hAnsi="宋体" w:eastAsia="宋体" w:cs="宋体"/>
          <w:spacing w:val="-4"/>
          <w:sz w:val="24"/>
          <w:szCs w:val="24"/>
        </w:rPr>
        <w:t>年的绿藻转变为</w:t>
      </w:r>
      <w:r>
        <w:rPr>
          <w:rFonts w:ascii="Times New Roman" w:hAnsi="Times New Roman" w:eastAsia="Times New Roman" w:cs="Times New Roman"/>
          <w:spacing w:val="-4"/>
          <w:sz w:val="24"/>
          <w:szCs w:val="24"/>
        </w:rPr>
        <w:t>1981</w:t>
      </w:r>
      <w:r>
        <w:rPr>
          <w:rFonts w:ascii="宋体" w:hAnsi="宋体" w:eastAsia="宋体" w:cs="宋体"/>
          <w:spacing w:val="-4"/>
          <w:sz w:val="24"/>
          <w:szCs w:val="24"/>
        </w:rPr>
        <w:t>年的硅藻直至</w:t>
      </w:r>
      <w:r>
        <w:rPr>
          <w:rFonts w:ascii="Times New Roman" w:hAnsi="Times New Roman" w:eastAsia="Times New Roman" w:cs="Times New Roman"/>
          <w:spacing w:val="-4"/>
          <w:sz w:val="24"/>
          <w:szCs w:val="24"/>
        </w:rPr>
        <w:t>1988</w:t>
      </w:r>
      <w:r>
        <w:rPr>
          <w:rFonts w:ascii="宋体" w:hAnsi="宋体" w:eastAsia="宋体" w:cs="宋体"/>
          <w:spacing w:val="-4"/>
          <w:sz w:val="24"/>
          <w:szCs w:val="24"/>
        </w:rPr>
        <w:t>年的蓝藻。林青等研究表明</w:t>
      </w:r>
      <w:r>
        <w:rPr>
          <w:rFonts w:ascii="宋体" w:hAnsi="宋体" w:eastAsia="宋体" w:cs="宋体"/>
          <w:spacing w:val="3"/>
          <w:sz w:val="24"/>
          <w:szCs w:val="24"/>
        </w:rPr>
        <w:t>总磷、总氮等是影响浮游动物群落变化的重要因素</w:t>
      </w:r>
      <w:r>
        <w:rPr>
          <w:rFonts w:ascii="宋体" w:hAnsi="宋体" w:eastAsia="宋体" w:cs="宋体"/>
          <w:spacing w:val="2"/>
          <w:sz w:val="24"/>
          <w:szCs w:val="24"/>
        </w:rPr>
        <w:t>，随着富营养化程度增加，浮</w:t>
      </w:r>
      <w:r>
        <w:rPr>
          <w:rFonts w:ascii="宋体" w:hAnsi="宋体" w:eastAsia="宋体" w:cs="宋体"/>
          <w:spacing w:val="3"/>
          <w:sz w:val="24"/>
          <w:szCs w:val="24"/>
        </w:rPr>
        <w:t>游动物密度将升高，中污型和耐污型种类将逐渐成</w:t>
      </w:r>
      <w:r>
        <w:rPr>
          <w:rFonts w:ascii="宋体" w:hAnsi="宋体" w:eastAsia="宋体" w:cs="宋体"/>
          <w:spacing w:val="2"/>
          <w:sz w:val="24"/>
          <w:szCs w:val="24"/>
        </w:rPr>
        <w:t>为优势种，寡污型种类比例下</w:t>
      </w:r>
      <w:r>
        <w:rPr>
          <w:rFonts w:ascii="宋体" w:hAnsi="宋体" w:eastAsia="宋体" w:cs="宋体"/>
          <w:spacing w:val="3"/>
          <w:sz w:val="24"/>
          <w:szCs w:val="24"/>
        </w:rPr>
        <w:t>降或消失。因此，运营期应加强污水处理厂的管理</w:t>
      </w:r>
      <w:r>
        <w:rPr>
          <w:rFonts w:ascii="宋体" w:hAnsi="宋体" w:eastAsia="宋体" w:cs="宋体"/>
          <w:spacing w:val="2"/>
          <w:sz w:val="24"/>
          <w:szCs w:val="24"/>
        </w:rPr>
        <w:t>，防止非正常运转。加强污水</w:t>
      </w:r>
    </w:p>
    <w:p w14:paraId="51A1D7BF">
      <w:pPr>
        <w:spacing w:line="360" w:lineRule="auto"/>
        <w:rPr>
          <w:rFonts w:ascii="宋体" w:hAnsi="宋体" w:eastAsia="宋体" w:cs="宋体"/>
          <w:sz w:val="24"/>
          <w:szCs w:val="24"/>
        </w:rPr>
        <w:sectPr>
          <w:footerReference r:id="rId146" w:type="default"/>
          <w:pgSz w:w="11906" w:h="16839"/>
          <w:pgMar w:top="1132" w:right="1620" w:bottom="1259" w:left="1701" w:header="829" w:footer="1097" w:gutter="0"/>
          <w:cols w:space="720" w:num="1"/>
        </w:sectPr>
      </w:pPr>
    </w:p>
    <w:p w14:paraId="2E18B8F2">
      <w:pPr>
        <w:pStyle w:val="2"/>
        <w:spacing w:line="320" w:lineRule="auto"/>
      </w:pPr>
    </w:p>
    <w:p w14:paraId="7C98857B">
      <w:pPr>
        <w:spacing w:before="78" w:line="219" w:lineRule="auto"/>
        <w:ind w:left="14"/>
        <w:rPr>
          <w:rFonts w:ascii="宋体" w:hAnsi="宋体" w:eastAsia="宋体" w:cs="宋体"/>
          <w:sz w:val="24"/>
          <w:szCs w:val="24"/>
        </w:rPr>
      </w:pPr>
      <w:r>
        <w:rPr>
          <w:rFonts w:ascii="宋体" w:hAnsi="宋体" w:eastAsia="宋体" w:cs="宋体"/>
          <w:spacing w:val="-1"/>
          <w:sz w:val="24"/>
          <w:szCs w:val="24"/>
        </w:rPr>
        <w:t>处理厂的尾水进行实时监测，积极改工艺，减少污染物排放。</w:t>
      </w:r>
    </w:p>
    <w:p w14:paraId="57F5726A">
      <w:pPr>
        <w:spacing w:before="182" w:line="220" w:lineRule="auto"/>
        <w:ind w:left="501"/>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）底栖动物</w:t>
      </w:r>
    </w:p>
    <w:p w14:paraId="72EA4D73">
      <w:pPr>
        <w:spacing w:before="181" w:line="360" w:lineRule="auto"/>
        <w:ind w:left="8" w:right="18" w:firstLine="480"/>
        <w:rPr>
          <w:rFonts w:ascii="宋体" w:hAnsi="宋体" w:eastAsia="宋体" w:cs="宋体"/>
          <w:sz w:val="24"/>
          <w:szCs w:val="24"/>
        </w:rPr>
      </w:pPr>
      <w:r>
        <w:rPr>
          <w:rFonts w:ascii="宋体" w:hAnsi="宋体" w:eastAsia="宋体" w:cs="宋体"/>
          <w:spacing w:val="3"/>
          <w:sz w:val="24"/>
          <w:szCs w:val="24"/>
        </w:rPr>
        <w:t>底栖动物是水域生态系统中的重要组成部分，在水域生态系统</w:t>
      </w:r>
      <w:r>
        <w:rPr>
          <w:rFonts w:ascii="宋体" w:hAnsi="宋体" w:eastAsia="宋体" w:cs="宋体"/>
          <w:spacing w:val="2"/>
          <w:sz w:val="24"/>
          <w:szCs w:val="24"/>
        </w:rPr>
        <w:t>中起着重要作</w:t>
      </w:r>
      <w:r>
        <w:rPr>
          <w:rFonts w:ascii="宋体" w:hAnsi="宋体" w:eastAsia="宋体" w:cs="宋体"/>
          <w:spacing w:val="-2"/>
          <w:sz w:val="24"/>
          <w:szCs w:val="24"/>
        </w:rPr>
        <w:t>用。在水体净化方面，底栖动物可加速分别腐殖质，</w:t>
      </w:r>
      <w:r>
        <w:rPr>
          <w:rFonts w:ascii="宋体" w:hAnsi="宋体" w:eastAsia="宋体" w:cs="宋体"/>
          <w:spacing w:val="-3"/>
          <w:sz w:val="24"/>
          <w:szCs w:val="24"/>
        </w:rPr>
        <w:t>促进水体自净；在渔业方面，</w:t>
      </w:r>
      <w:r>
        <w:rPr>
          <w:rFonts w:ascii="宋体" w:hAnsi="宋体" w:eastAsia="宋体" w:cs="宋体"/>
          <w:spacing w:val="3"/>
          <w:sz w:val="24"/>
          <w:szCs w:val="24"/>
        </w:rPr>
        <w:t>底栖动物是鱼类的优良饵料；在水质生物评价方面，</w:t>
      </w:r>
      <w:r>
        <w:rPr>
          <w:rFonts w:ascii="宋体" w:hAnsi="宋体" w:eastAsia="宋体" w:cs="宋体"/>
          <w:spacing w:val="2"/>
          <w:sz w:val="24"/>
          <w:szCs w:val="24"/>
        </w:rPr>
        <w:t>由于其具有种类多、生活周</w:t>
      </w:r>
      <w:r>
        <w:rPr>
          <w:rFonts w:ascii="宋体" w:hAnsi="宋体" w:eastAsia="宋体" w:cs="宋体"/>
          <w:spacing w:val="3"/>
          <w:sz w:val="24"/>
          <w:szCs w:val="24"/>
        </w:rPr>
        <w:t>期长、活动场所比较固定、易于采集，且不同种类对</w:t>
      </w:r>
      <w:r>
        <w:rPr>
          <w:rFonts w:ascii="宋体" w:hAnsi="宋体" w:eastAsia="宋体" w:cs="宋体"/>
          <w:spacing w:val="2"/>
          <w:sz w:val="24"/>
          <w:szCs w:val="24"/>
        </w:rPr>
        <w:t>水质的敏感性差异大、受外</w:t>
      </w:r>
      <w:r>
        <w:rPr>
          <w:rFonts w:ascii="宋体" w:hAnsi="宋体" w:eastAsia="宋体" w:cs="宋体"/>
          <w:spacing w:val="3"/>
          <w:sz w:val="24"/>
          <w:szCs w:val="24"/>
        </w:rPr>
        <w:t>界干扰后群落结构的变化趋势经常可以预测等一系列</w:t>
      </w:r>
      <w:r>
        <w:rPr>
          <w:rFonts w:ascii="宋体" w:hAnsi="宋体" w:eastAsia="宋体" w:cs="宋体"/>
          <w:spacing w:val="2"/>
          <w:sz w:val="24"/>
          <w:szCs w:val="24"/>
        </w:rPr>
        <w:t>优点。因此，底栖动物一直</w:t>
      </w:r>
      <w:r>
        <w:rPr>
          <w:rFonts w:ascii="宋体" w:hAnsi="宋体" w:eastAsia="宋体" w:cs="宋体"/>
          <w:spacing w:val="3"/>
          <w:sz w:val="24"/>
          <w:szCs w:val="24"/>
        </w:rPr>
        <w:t>是了解水生生态系统结构功能及健康状况的关键类群</w:t>
      </w:r>
      <w:r>
        <w:rPr>
          <w:rFonts w:ascii="宋体" w:hAnsi="宋体" w:eastAsia="宋体" w:cs="宋体"/>
          <w:spacing w:val="2"/>
          <w:sz w:val="24"/>
          <w:szCs w:val="24"/>
        </w:rPr>
        <w:t>。王丑明等在进行洞庭湖大</w:t>
      </w:r>
      <w:r>
        <w:rPr>
          <w:rFonts w:ascii="宋体" w:hAnsi="宋体" w:eastAsia="宋体" w:cs="宋体"/>
          <w:spacing w:val="-1"/>
          <w:sz w:val="24"/>
          <w:szCs w:val="24"/>
        </w:rPr>
        <w:t>型底栖动物群落结构与水质评价中指出，水质较好的水体</w:t>
      </w:r>
      <w:r>
        <w:rPr>
          <w:rFonts w:ascii="Times New Roman" w:hAnsi="Times New Roman" w:eastAsia="Times New Roman" w:cs="Times New Roman"/>
          <w:spacing w:val="-1"/>
          <w:sz w:val="24"/>
          <w:szCs w:val="24"/>
        </w:rPr>
        <w:t>Shannon</w:t>
      </w:r>
      <w:r>
        <w:rPr>
          <w:rFonts w:ascii="宋体" w:hAnsi="宋体" w:eastAsia="宋体" w:cs="宋体"/>
          <w:spacing w:val="-1"/>
          <w:sz w:val="24"/>
          <w:szCs w:val="24"/>
        </w:rPr>
        <w:t>多样性指数较高，</w:t>
      </w:r>
      <w:r>
        <w:rPr>
          <w:rFonts w:ascii="Times New Roman" w:hAnsi="Times New Roman" w:eastAsia="Times New Roman" w:cs="Times New Roman"/>
          <w:spacing w:val="-1"/>
          <w:sz w:val="24"/>
          <w:szCs w:val="24"/>
        </w:rPr>
        <w:t>BI</w:t>
      </w:r>
      <w:r>
        <w:rPr>
          <w:rFonts w:ascii="宋体" w:hAnsi="宋体" w:eastAsia="宋体" w:cs="宋体"/>
          <w:spacing w:val="-1"/>
          <w:sz w:val="24"/>
          <w:szCs w:val="24"/>
        </w:rPr>
        <w:t>生物指数较低，反之则多样性指数下降。</w:t>
      </w:r>
    </w:p>
    <w:p w14:paraId="779E0304">
      <w:pPr>
        <w:spacing w:before="6" w:line="359" w:lineRule="auto"/>
        <w:ind w:left="9" w:right="80" w:firstLine="493"/>
        <w:jc w:val="both"/>
        <w:rPr>
          <w:rFonts w:ascii="宋体" w:hAnsi="宋体" w:eastAsia="宋体" w:cs="宋体"/>
          <w:sz w:val="24"/>
          <w:szCs w:val="24"/>
        </w:rPr>
      </w:pPr>
      <w:r>
        <w:rPr>
          <w:rFonts w:ascii="宋体" w:hAnsi="宋体" w:eastAsia="宋体" w:cs="宋体"/>
          <w:spacing w:val="2"/>
          <w:sz w:val="24"/>
          <w:szCs w:val="24"/>
        </w:rPr>
        <w:t>陈小华等指出底栖动物群落结构的空间分布特征与水质理化指标的空间分布</w:t>
      </w:r>
      <w:r>
        <w:rPr>
          <w:rFonts w:ascii="宋体" w:hAnsi="宋体" w:eastAsia="宋体" w:cs="宋体"/>
          <w:spacing w:val="3"/>
          <w:sz w:val="24"/>
          <w:szCs w:val="24"/>
        </w:rPr>
        <w:t>特征具有良好的对应性，水质空间变化导致环节动</w:t>
      </w:r>
      <w:r>
        <w:rPr>
          <w:rFonts w:ascii="宋体" w:hAnsi="宋体" w:eastAsia="宋体" w:cs="宋体"/>
          <w:spacing w:val="2"/>
          <w:sz w:val="24"/>
          <w:szCs w:val="24"/>
        </w:rPr>
        <w:t>物和软体动物、节肢动物的空</w:t>
      </w:r>
      <w:r>
        <w:rPr>
          <w:rFonts w:ascii="宋体" w:hAnsi="宋体" w:eastAsia="宋体" w:cs="宋体"/>
          <w:spacing w:val="3"/>
          <w:sz w:val="24"/>
          <w:szCs w:val="24"/>
        </w:rPr>
        <w:t>间分布存在一定的交错性，耐污性较强的环节动物</w:t>
      </w:r>
      <w:r>
        <w:rPr>
          <w:rFonts w:ascii="宋体" w:hAnsi="宋体" w:eastAsia="宋体" w:cs="宋体"/>
          <w:spacing w:val="2"/>
          <w:sz w:val="24"/>
          <w:szCs w:val="24"/>
        </w:rPr>
        <w:t>主要分布在有机污染重、溶解</w:t>
      </w:r>
      <w:r>
        <w:rPr>
          <w:rFonts w:ascii="宋体" w:hAnsi="宋体" w:eastAsia="宋体" w:cs="宋体"/>
          <w:spacing w:val="3"/>
          <w:sz w:val="24"/>
          <w:szCs w:val="24"/>
        </w:rPr>
        <w:t>氧低的河道断面，而喜清洁环境的软体动物和节肢</w:t>
      </w:r>
      <w:r>
        <w:rPr>
          <w:rFonts w:ascii="宋体" w:hAnsi="宋体" w:eastAsia="宋体" w:cs="宋体"/>
          <w:spacing w:val="2"/>
          <w:sz w:val="24"/>
          <w:szCs w:val="24"/>
        </w:rPr>
        <w:t>动物主要分布在水质较好的断</w:t>
      </w:r>
      <w:r>
        <w:rPr>
          <w:rFonts w:ascii="宋体" w:hAnsi="宋体" w:eastAsia="宋体" w:cs="宋体"/>
          <w:spacing w:val="-1"/>
          <w:sz w:val="24"/>
          <w:szCs w:val="24"/>
        </w:rPr>
        <w:t>面。寡毛刚物种的栖息密度与溶解氧质量浓度呈显著负相关性。</w:t>
      </w:r>
    </w:p>
    <w:p w14:paraId="07915D4E">
      <w:pPr>
        <w:spacing w:line="360" w:lineRule="auto"/>
        <w:ind w:left="12" w:right="80" w:firstLine="490"/>
        <w:jc w:val="both"/>
        <w:rPr>
          <w:rFonts w:ascii="宋体" w:hAnsi="宋体" w:eastAsia="宋体" w:cs="宋体"/>
          <w:sz w:val="24"/>
          <w:szCs w:val="24"/>
        </w:rPr>
      </w:pPr>
      <w:r>
        <w:rPr>
          <w:rFonts w:ascii="宋体" w:hAnsi="宋体" w:eastAsia="宋体" w:cs="宋体"/>
          <w:spacing w:val="2"/>
          <w:sz w:val="24"/>
          <w:szCs w:val="24"/>
        </w:rPr>
        <w:t>随着尾水排放进入赧水水域，排水口附近水域底栖动物群落结构发生改变，</w:t>
      </w:r>
      <w:r>
        <w:rPr>
          <w:rFonts w:ascii="宋体" w:hAnsi="宋体" w:eastAsia="宋体" w:cs="宋体"/>
          <w:spacing w:val="3"/>
          <w:sz w:val="24"/>
          <w:szCs w:val="24"/>
        </w:rPr>
        <w:t>耐污型较强的物种比例增加，而软体动物比</w:t>
      </w:r>
      <w:r>
        <w:rPr>
          <w:rFonts w:ascii="宋体" w:hAnsi="宋体" w:eastAsia="宋体" w:cs="宋体"/>
          <w:spacing w:val="2"/>
          <w:sz w:val="24"/>
          <w:szCs w:val="24"/>
        </w:rPr>
        <w:t>例将下降，其影响范围主要在排水口</w:t>
      </w:r>
      <w:r>
        <w:rPr>
          <w:rFonts w:ascii="宋体" w:hAnsi="宋体" w:eastAsia="宋体" w:cs="宋体"/>
          <w:spacing w:val="-3"/>
          <w:sz w:val="24"/>
          <w:szCs w:val="24"/>
        </w:rPr>
        <w:t>附近水域。</w:t>
      </w:r>
    </w:p>
    <w:p w14:paraId="131B671E">
      <w:pPr>
        <w:spacing w:line="219" w:lineRule="auto"/>
        <w:ind w:left="501"/>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）水生生物</w:t>
      </w:r>
    </w:p>
    <w:p w14:paraId="0225CDF5">
      <w:pPr>
        <w:spacing w:before="183" w:line="360" w:lineRule="auto"/>
        <w:ind w:left="8" w:right="4" w:firstLine="484"/>
        <w:rPr>
          <w:rFonts w:ascii="宋体" w:hAnsi="宋体" w:eastAsia="宋体" w:cs="宋体"/>
          <w:sz w:val="24"/>
          <w:szCs w:val="24"/>
        </w:rPr>
      </w:pPr>
      <w:r>
        <w:rPr>
          <w:rFonts w:ascii="宋体" w:hAnsi="宋体" w:eastAsia="宋体" w:cs="宋体"/>
          <w:spacing w:val="3"/>
          <w:sz w:val="24"/>
          <w:szCs w:val="24"/>
        </w:rPr>
        <w:t>不同种类、生活类型的水生植物对污染的净化能力</w:t>
      </w:r>
      <w:r>
        <w:rPr>
          <w:rFonts w:ascii="宋体" w:hAnsi="宋体" w:eastAsia="宋体" w:cs="宋体"/>
          <w:spacing w:val="2"/>
          <w:sz w:val="24"/>
          <w:szCs w:val="24"/>
        </w:rPr>
        <w:t>不同。就水生高等植物对</w:t>
      </w:r>
      <w:r>
        <w:rPr>
          <w:rFonts w:ascii="宋体" w:hAnsi="宋体" w:eastAsia="宋体" w:cs="宋体"/>
          <w:spacing w:val="-2"/>
          <w:sz w:val="24"/>
          <w:szCs w:val="24"/>
        </w:rPr>
        <w:t>矿物营养或重金属元素的吸收富集能力而言，一般规律为：沉水植物〉浮水植物〉</w:t>
      </w:r>
      <w:r>
        <w:rPr>
          <w:rFonts w:ascii="宋体" w:hAnsi="宋体" w:eastAsia="宋体" w:cs="宋体"/>
          <w:spacing w:val="3"/>
          <w:sz w:val="24"/>
          <w:szCs w:val="24"/>
        </w:rPr>
        <w:t>挺水植物；在同一生态类型中，一般为：根系发</w:t>
      </w:r>
      <w:r>
        <w:rPr>
          <w:rFonts w:ascii="宋体" w:hAnsi="宋体" w:eastAsia="宋体" w:cs="宋体"/>
          <w:spacing w:val="2"/>
          <w:sz w:val="24"/>
          <w:szCs w:val="24"/>
        </w:rPr>
        <w:t>达的植物〉根系不发达的植物；</w:t>
      </w:r>
      <w:r>
        <w:rPr>
          <w:rFonts w:ascii="宋体" w:hAnsi="宋体" w:eastAsia="宋体" w:cs="宋体"/>
          <w:spacing w:val="3"/>
          <w:sz w:val="24"/>
          <w:szCs w:val="24"/>
        </w:rPr>
        <w:t>对污染的抵抗能力一般为挺水植物〉浮水沉水植物，</w:t>
      </w:r>
      <w:r>
        <w:rPr>
          <w:rFonts w:ascii="宋体" w:hAnsi="宋体" w:eastAsia="宋体" w:cs="宋体"/>
          <w:spacing w:val="2"/>
          <w:sz w:val="24"/>
          <w:szCs w:val="24"/>
        </w:rPr>
        <w:t>即如果水体污染加剧，最先</w:t>
      </w:r>
      <w:r>
        <w:rPr>
          <w:rFonts w:ascii="宋体" w:hAnsi="宋体" w:eastAsia="宋体" w:cs="宋体"/>
          <w:spacing w:val="-1"/>
          <w:sz w:val="24"/>
          <w:szCs w:val="24"/>
        </w:rPr>
        <w:t>消失的是沉水植物，其次是浮水植物，最后是挺水植物。</w:t>
      </w:r>
    </w:p>
    <w:p w14:paraId="5DA74F58">
      <w:pPr>
        <w:spacing w:before="4" w:line="359" w:lineRule="auto"/>
        <w:ind w:left="4" w:firstLine="486"/>
        <w:jc w:val="both"/>
        <w:rPr>
          <w:rFonts w:ascii="宋体" w:hAnsi="宋体" w:eastAsia="宋体" w:cs="宋体"/>
          <w:sz w:val="24"/>
          <w:szCs w:val="24"/>
        </w:rPr>
      </w:pPr>
      <w:r>
        <w:rPr>
          <w:rFonts w:ascii="宋体" w:hAnsi="宋体" w:eastAsia="宋体" w:cs="宋体"/>
          <w:spacing w:val="2"/>
          <w:sz w:val="24"/>
          <w:szCs w:val="24"/>
        </w:rPr>
        <w:t>孔祥虹等研究了长江下游</w:t>
      </w:r>
      <w:r>
        <w:rPr>
          <w:rFonts w:ascii="Times New Roman" w:hAnsi="Times New Roman" w:eastAsia="Times New Roman" w:cs="Times New Roman"/>
          <w:spacing w:val="2"/>
          <w:sz w:val="24"/>
          <w:szCs w:val="24"/>
        </w:rPr>
        <w:t>10</w:t>
      </w:r>
      <w:r>
        <w:rPr>
          <w:rFonts w:ascii="宋体" w:hAnsi="宋体" w:eastAsia="宋体" w:cs="宋体"/>
          <w:spacing w:val="2"/>
          <w:sz w:val="24"/>
          <w:szCs w:val="24"/>
        </w:rPr>
        <w:t>个湖泊水生植物现</w:t>
      </w:r>
      <w:r>
        <w:rPr>
          <w:rFonts w:ascii="宋体" w:hAnsi="宋体" w:eastAsia="宋体" w:cs="宋体"/>
          <w:spacing w:val="1"/>
          <w:sz w:val="24"/>
          <w:szCs w:val="24"/>
        </w:rPr>
        <w:t>状，指出总氮是显著影响不</w:t>
      </w:r>
      <w:r>
        <w:rPr>
          <w:rFonts w:ascii="宋体" w:hAnsi="宋体" w:eastAsia="宋体" w:cs="宋体"/>
          <w:spacing w:val="3"/>
          <w:sz w:val="24"/>
          <w:szCs w:val="24"/>
        </w:rPr>
        <w:t>同营养水平湖泊水生植物分布的主导因子。一般而言，轻度富</w:t>
      </w:r>
      <w:r>
        <w:rPr>
          <w:rFonts w:ascii="宋体" w:hAnsi="宋体" w:eastAsia="宋体" w:cs="宋体"/>
          <w:spacing w:val="2"/>
          <w:sz w:val="24"/>
          <w:szCs w:val="24"/>
        </w:rPr>
        <w:t>营养湖泊中水生植</w:t>
      </w:r>
      <w:r>
        <w:rPr>
          <w:rFonts w:ascii="宋体" w:hAnsi="宋体" w:eastAsia="宋体" w:cs="宋体"/>
          <w:spacing w:val="3"/>
          <w:sz w:val="24"/>
          <w:szCs w:val="24"/>
        </w:rPr>
        <w:t>物单位面积平均生物量最高，其次是中度富营养湖泊，中营养</w:t>
      </w:r>
      <w:r>
        <w:rPr>
          <w:rFonts w:ascii="宋体" w:hAnsi="宋体" w:eastAsia="宋体" w:cs="宋体"/>
          <w:spacing w:val="2"/>
          <w:sz w:val="24"/>
          <w:szCs w:val="24"/>
        </w:rPr>
        <w:t>水平湖泊单位面积</w:t>
      </w:r>
      <w:r>
        <w:rPr>
          <w:rFonts w:ascii="宋体" w:hAnsi="宋体" w:eastAsia="宋体" w:cs="宋体"/>
          <w:spacing w:val="3"/>
          <w:sz w:val="24"/>
          <w:szCs w:val="24"/>
        </w:rPr>
        <w:t>水生植物的平均生物量最低。金鱼藻和穗状狐尾藻生物量与总</w:t>
      </w:r>
      <w:r>
        <w:rPr>
          <w:rFonts w:ascii="宋体" w:hAnsi="宋体" w:eastAsia="宋体" w:cs="宋体"/>
          <w:spacing w:val="2"/>
          <w:sz w:val="24"/>
          <w:szCs w:val="24"/>
        </w:rPr>
        <w:t>氮含量呈显著负相</w:t>
      </w:r>
      <w:r>
        <w:rPr>
          <w:rFonts w:ascii="宋体" w:hAnsi="宋体" w:eastAsia="宋体" w:cs="宋体"/>
          <w:spacing w:val="-9"/>
          <w:sz w:val="24"/>
          <w:szCs w:val="24"/>
        </w:rPr>
        <w:t>关性。熊汉锋和姚志煌的研究表明氮、磷浓度对金鱼藻</w:t>
      </w:r>
      <w:r>
        <w:rPr>
          <w:rFonts w:ascii="宋体" w:hAnsi="宋体" w:eastAsia="宋体" w:cs="宋体"/>
          <w:spacing w:val="-10"/>
          <w:sz w:val="24"/>
          <w:szCs w:val="24"/>
        </w:rPr>
        <w:t>生理具有显著影响：随着</w:t>
      </w:r>
      <w:r>
        <w:rPr>
          <w:rFonts w:ascii="Times New Roman" w:hAnsi="Times New Roman" w:eastAsia="Times New Roman" w:cs="Times New Roman"/>
          <w:spacing w:val="-10"/>
          <w:sz w:val="24"/>
          <w:szCs w:val="24"/>
        </w:rPr>
        <w:t>N</w:t>
      </w:r>
      <w:r>
        <w:rPr>
          <w:rFonts w:ascii="宋体" w:hAnsi="宋体" w:eastAsia="宋体" w:cs="宋体"/>
          <w:spacing w:val="-10"/>
          <w:sz w:val="24"/>
          <w:szCs w:val="24"/>
        </w:rPr>
        <w:t>、</w:t>
      </w:r>
      <w:r>
        <w:rPr>
          <w:rFonts w:ascii="Times New Roman" w:hAnsi="Times New Roman" w:eastAsia="Times New Roman" w:cs="Times New Roman"/>
          <w:spacing w:val="2"/>
          <w:sz w:val="24"/>
          <w:szCs w:val="24"/>
        </w:rPr>
        <w:t>P</w:t>
      </w:r>
      <w:r>
        <w:rPr>
          <w:rFonts w:ascii="宋体" w:hAnsi="宋体" w:eastAsia="宋体" w:cs="宋体"/>
          <w:spacing w:val="2"/>
          <w:sz w:val="24"/>
          <w:szCs w:val="24"/>
        </w:rPr>
        <w:t>浓度的增加，金鱼藻茎的组织结构变化明显，贫营养处理的茎组织排列整齐，</w:t>
      </w:r>
    </w:p>
    <w:p w14:paraId="1AF9C720">
      <w:pPr>
        <w:spacing w:line="359" w:lineRule="auto"/>
        <w:rPr>
          <w:rFonts w:ascii="宋体" w:hAnsi="宋体" w:eastAsia="宋体" w:cs="宋体"/>
          <w:sz w:val="24"/>
          <w:szCs w:val="24"/>
        </w:rPr>
        <w:sectPr>
          <w:footerReference r:id="rId147" w:type="default"/>
          <w:pgSz w:w="11906" w:h="16839"/>
          <w:pgMar w:top="1132" w:right="1620" w:bottom="1259" w:left="1701" w:header="829" w:footer="1097" w:gutter="0"/>
          <w:cols w:space="720" w:num="1"/>
        </w:sectPr>
      </w:pPr>
    </w:p>
    <w:p w14:paraId="6E8F3FB2">
      <w:pPr>
        <w:pStyle w:val="2"/>
        <w:spacing w:line="319" w:lineRule="auto"/>
      </w:pPr>
    </w:p>
    <w:p w14:paraId="1FD0497E">
      <w:pPr>
        <w:spacing w:before="78" w:line="219" w:lineRule="auto"/>
        <w:ind w:left="32"/>
        <w:rPr>
          <w:rFonts w:ascii="宋体" w:hAnsi="宋体" w:eastAsia="宋体" w:cs="宋体"/>
          <w:sz w:val="24"/>
          <w:szCs w:val="24"/>
        </w:rPr>
      </w:pPr>
      <w:r>
        <w:rPr>
          <w:rFonts w:ascii="宋体" w:hAnsi="宋体" w:eastAsia="宋体" w:cs="宋体"/>
          <w:spacing w:val="-1"/>
          <w:sz w:val="24"/>
          <w:szCs w:val="24"/>
        </w:rPr>
        <w:t>中营养处理茎组织开始紊乱，富营养和重营养处理的茎组织中出现空洞。</w:t>
      </w:r>
    </w:p>
    <w:p w14:paraId="24E295CE">
      <w:pPr>
        <w:spacing w:before="183" w:line="219" w:lineRule="auto"/>
        <w:ind w:left="508"/>
        <w:rPr>
          <w:rFonts w:ascii="宋体" w:hAnsi="宋体" w:eastAsia="宋体" w:cs="宋体"/>
          <w:sz w:val="24"/>
          <w:szCs w:val="24"/>
        </w:rPr>
      </w:pPr>
      <w:r>
        <w:rPr>
          <w:rFonts w:ascii="宋体" w:hAnsi="宋体" w:eastAsia="宋体" w:cs="宋体"/>
          <w:spacing w:val="-1"/>
          <w:sz w:val="24"/>
          <w:szCs w:val="24"/>
        </w:rPr>
        <w:t>因此，尾水排入赧水可能对排水口附近水生植物产生一定影</w:t>
      </w:r>
      <w:r>
        <w:rPr>
          <w:rFonts w:ascii="宋体" w:hAnsi="宋体" w:eastAsia="宋体" w:cs="宋体"/>
          <w:spacing w:val="-2"/>
          <w:sz w:val="24"/>
          <w:szCs w:val="24"/>
        </w:rPr>
        <w:t>响。</w:t>
      </w:r>
    </w:p>
    <w:p w14:paraId="2BA14F77">
      <w:pPr>
        <w:pStyle w:val="2"/>
        <w:spacing w:line="248" w:lineRule="auto"/>
      </w:pPr>
    </w:p>
    <w:p w14:paraId="33DEF1E9">
      <w:pPr>
        <w:spacing w:before="91" w:line="220" w:lineRule="auto"/>
        <w:ind w:left="10"/>
        <w:outlineLvl w:val="2"/>
        <w:rPr>
          <w:rFonts w:ascii="宋体" w:hAnsi="宋体" w:eastAsia="宋体" w:cs="宋体"/>
          <w:sz w:val="28"/>
          <w:szCs w:val="28"/>
        </w:rPr>
      </w:pPr>
      <w:r>
        <w:rPr>
          <w:rFonts w:ascii="Times New Roman" w:hAnsi="Times New Roman" w:eastAsia="Times New Roman" w:cs="Times New Roman"/>
          <w:b/>
          <w:bCs/>
          <w:spacing w:val="-2"/>
          <w:sz w:val="28"/>
          <w:szCs w:val="28"/>
        </w:rPr>
        <w:t>7.1.4</w:t>
      </w:r>
      <w:r>
        <w:rPr>
          <w:rFonts w:ascii="宋体" w:hAnsi="宋体" w:eastAsia="宋体" w:cs="宋体"/>
          <w:b/>
          <w:bCs/>
          <w:spacing w:val="-2"/>
          <w:sz w:val="28"/>
          <w:szCs w:val="28"/>
        </w:rPr>
        <w:t>对鱼类等水生生物繁殖的影响</w:t>
      </w:r>
    </w:p>
    <w:p w14:paraId="0D09DC02">
      <w:pPr>
        <w:pStyle w:val="2"/>
        <w:spacing w:line="253" w:lineRule="auto"/>
      </w:pPr>
    </w:p>
    <w:p w14:paraId="3F9C9421">
      <w:pPr>
        <w:spacing w:before="78" w:line="360" w:lineRule="auto"/>
        <w:ind w:left="8" w:firstLine="485"/>
        <w:jc w:val="both"/>
        <w:rPr>
          <w:rFonts w:ascii="宋体" w:hAnsi="宋体" w:eastAsia="宋体" w:cs="宋体"/>
          <w:sz w:val="24"/>
          <w:szCs w:val="24"/>
        </w:rPr>
      </w:pPr>
      <w:r>
        <w:rPr>
          <w:rFonts w:ascii="宋体" w:hAnsi="宋体" w:eastAsia="宋体" w:cs="宋体"/>
          <w:spacing w:val="3"/>
          <w:sz w:val="24"/>
          <w:szCs w:val="24"/>
        </w:rPr>
        <w:t>一般水污染物对鱼类的生理活动会产生一定影响，</w:t>
      </w:r>
      <w:r>
        <w:rPr>
          <w:rFonts w:ascii="宋体" w:hAnsi="宋体" w:eastAsia="宋体" w:cs="宋体"/>
          <w:spacing w:val="2"/>
          <w:sz w:val="24"/>
          <w:szCs w:val="24"/>
        </w:rPr>
        <w:t>一般分为急性毒性、亚急</w:t>
      </w:r>
      <w:r>
        <w:rPr>
          <w:rFonts w:ascii="宋体" w:hAnsi="宋体" w:eastAsia="宋体" w:cs="宋体"/>
          <w:spacing w:val="-2"/>
          <w:sz w:val="24"/>
          <w:szCs w:val="24"/>
        </w:rPr>
        <w:t>性毒性、慢性毒性。在</w:t>
      </w:r>
      <w:r>
        <w:rPr>
          <w:rFonts w:ascii="Times New Roman" w:hAnsi="Times New Roman" w:eastAsia="Times New Roman" w:cs="Times New Roman"/>
          <w:spacing w:val="-2"/>
          <w:sz w:val="24"/>
          <w:szCs w:val="24"/>
        </w:rPr>
        <w:t>COD</w:t>
      </w:r>
      <w:r>
        <w:rPr>
          <w:rFonts w:ascii="宋体" w:hAnsi="宋体" w:eastAsia="宋体" w:cs="宋体"/>
          <w:spacing w:val="-2"/>
          <w:sz w:val="24"/>
          <w:szCs w:val="24"/>
        </w:rPr>
        <w:t>、总氮、氨氮、总磷这几个指标中，</w:t>
      </w:r>
      <w:r>
        <w:rPr>
          <w:rFonts w:ascii="宋体" w:hAnsi="宋体" w:eastAsia="宋体" w:cs="宋体"/>
          <w:spacing w:val="-3"/>
          <w:sz w:val="24"/>
          <w:szCs w:val="24"/>
        </w:rPr>
        <w:t>对鱼卵孵化和仔</w:t>
      </w:r>
      <w:r>
        <w:rPr>
          <w:rFonts w:ascii="宋体" w:hAnsi="宋体" w:eastAsia="宋体" w:cs="宋体"/>
          <w:spacing w:val="3"/>
          <w:sz w:val="24"/>
          <w:szCs w:val="24"/>
        </w:rPr>
        <w:t>稚鱼早期发育毒性最大的是氨氮。黄杰斯研究了氨氮对</w:t>
      </w:r>
      <w:r>
        <w:rPr>
          <w:rFonts w:ascii="宋体" w:hAnsi="宋体" w:eastAsia="宋体" w:cs="宋体"/>
          <w:spacing w:val="2"/>
          <w:sz w:val="24"/>
          <w:szCs w:val="24"/>
        </w:rPr>
        <w:t>花鲈孵化的影响，指出氨</w:t>
      </w:r>
      <w:r>
        <w:rPr>
          <w:rFonts w:ascii="宋体" w:hAnsi="宋体" w:eastAsia="宋体" w:cs="宋体"/>
          <w:spacing w:val="3"/>
          <w:sz w:val="24"/>
          <w:szCs w:val="24"/>
        </w:rPr>
        <w:t>氮浓度对花鲈幼鱼的耗氧率、排氨率有显著影响。鲁增</w:t>
      </w:r>
      <w:r>
        <w:rPr>
          <w:rFonts w:ascii="宋体" w:hAnsi="宋体" w:eastAsia="宋体" w:cs="宋体"/>
          <w:spacing w:val="2"/>
          <w:sz w:val="24"/>
          <w:szCs w:val="24"/>
        </w:rPr>
        <w:t>辉研究了氨氮对稀有鮑鲫</w:t>
      </w:r>
      <w:r>
        <w:rPr>
          <w:rFonts w:ascii="宋体" w:hAnsi="宋体" w:eastAsia="宋体" w:cs="宋体"/>
          <w:spacing w:val="3"/>
          <w:sz w:val="24"/>
          <w:szCs w:val="24"/>
        </w:rPr>
        <w:t>胚胎和卵黄囊期仔鱼的毒性效应：低剂量的氨氮溶液暴</w:t>
      </w:r>
      <w:r>
        <w:rPr>
          <w:rFonts w:ascii="宋体" w:hAnsi="宋体" w:eastAsia="宋体" w:cs="宋体"/>
          <w:spacing w:val="2"/>
          <w:sz w:val="24"/>
          <w:szCs w:val="24"/>
        </w:rPr>
        <w:t>露能引起仔鱼的死亡、心</w:t>
      </w:r>
      <w:r>
        <w:rPr>
          <w:rFonts w:ascii="宋体" w:hAnsi="宋体" w:eastAsia="宋体" w:cs="宋体"/>
          <w:spacing w:val="3"/>
          <w:sz w:val="24"/>
          <w:szCs w:val="24"/>
        </w:rPr>
        <w:t>率减缓和心律不齐、未形成功能性的鳔、体长体重降低</w:t>
      </w:r>
      <w:r>
        <w:rPr>
          <w:rFonts w:ascii="宋体" w:hAnsi="宋体" w:eastAsia="宋体" w:cs="宋体"/>
          <w:spacing w:val="2"/>
          <w:sz w:val="24"/>
          <w:szCs w:val="24"/>
        </w:rPr>
        <w:t>以及心包、卵黄囊水肿等</w:t>
      </w:r>
      <w:r>
        <w:rPr>
          <w:rFonts w:ascii="宋体" w:hAnsi="宋体" w:eastAsia="宋体" w:cs="宋体"/>
          <w:spacing w:val="3"/>
          <w:sz w:val="24"/>
          <w:szCs w:val="24"/>
        </w:rPr>
        <w:t>多种毒性效应。彭俊的研究指出罗非鱼随着氨氮与亚硝</w:t>
      </w:r>
      <w:r>
        <w:rPr>
          <w:rFonts w:ascii="宋体" w:hAnsi="宋体" w:eastAsia="宋体" w:cs="宋体"/>
          <w:spacing w:val="2"/>
          <w:sz w:val="24"/>
          <w:szCs w:val="24"/>
        </w:rPr>
        <w:t>酸盐浓度的升高孵化与仔</w:t>
      </w:r>
      <w:r>
        <w:rPr>
          <w:rFonts w:ascii="宋体" w:hAnsi="宋体" w:eastAsia="宋体" w:cs="宋体"/>
          <w:spacing w:val="-1"/>
          <w:sz w:val="24"/>
          <w:szCs w:val="24"/>
        </w:rPr>
        <w:t>鱼活力随之降低，生长速度减缓。</w:t>
      </w:r>
    </w:p>
    <w:p w14:paraId="3019324F">
      <w:pPr>
        <w:spacing w:line="218" w:lineRule="auto"/>
        <w:ind w:left="508"/>
        <w:rPr>
          <w:rFonts w:ascii="宋体" w:hAnsi="宋体" w:eastAsia="宋体" w:cs="宋体"/>
          <w:sz w:val="24"/>
          <w:szCs w:val="24"/>
        </w:rPr>
      </w:pPr>
      <w:r>
        <w:rPr>
          <w:rFonts w:ascii="宋体" w:hAnsi="宋体" w:eastAsia="宋体" w:cs="宋体"/>
          <w:spacing w:val="-1"/>
          <w:sz w:val="24"/>
          <w:szCs w:val="24"/>
        </w:rPr>
        <w:t>因此，尾水排放进入赧水干流水域，对产粘性卵鱼类繁殖影响有限。</w:t>
      </w:r>
    </w:p>
    <w:p w14:paraId="2A81509E">
      <w:pPr>
        <w:pStyle w:val="2"/>
        <w:spacing w:line="272" w:lineRule="auto"/>
      </w:pPr>
    </w:p>
    <w:p w14:paraId="2B8FF15B">
      <w:pPr>
        <w:spacing w:before="97" w:line="222" w:lineRule="auto"/>
        <w:ind w:left="10"/>
        <w:outlineLvl w:val="1"/>
        <w:rPr>
          <w:rFonts w:ascii="黑体" w:hAnsi="黑体" w:eastAsia="黑体" w:cs="黑体"/>
          <w:sz w:val="30"/>
          <w:szCs w:val="30"/>
        </w:rPr>
      </w:pPr>
      <w:bookmarkStart w:id="37" w:name="bookmark34"/>
      <w:bookmarkEnd w:id="37"/>
      <w:r>
        <w:rPr>
          <w:rFonts w:ascii="Times New Roman" w:hAnsi="Times New Roman" w:eastAsia="Times New Roman" w:cs="Times New Roman"/>
          <w:b/>
          <w:bCs/>
          <w:spacing w:val="-3"/>
          <w:sz w:val="30"/>
          <w:szCs w:val="30"/>
        </w:rPr>
        <w:t>7.2</w:t>
      </w:r>
      <w:r>
        <w:rPr>
          <w:rFonts w:ascii="黑体" w:hAnsi="黑体" w:eastAsia="黑体" w:cs="黑体"/>
          <w:b/>
          <w:bCs/>
          <w:spacing w:val="-3"/>
          <w:sz w:val="30"/>
          <w:szCs w:val="30"/>
        </w:rPr>
        <w:t>对水生生物多样性的影响</w:t>
      </w:r>
    </w:p>
    <w:p w14:paraId="68DDD71D">
      <w:pPr>
        <w:pStyle w:val="2"/>
        <w:spacing w:line="276" w:lineRule="auto"/>
      </w:pPr>
    </w:p>
    <w:p w14:paraId="260505E1">
      <w:pPr>
        <w:spacing w:before="78" w:line="361" w:lineRule="auto"/>
        <w:ind w:left="9" w:firstLine="480"/>
        <w:jc w:val="both"/>
        <w:rPr>
          <w:rFonts w:ascii="宋体" w:hAnsi="宋体" w:eastAsia="宋体" w:cs="宋体"/>
          <w:sz w:val="24"/>
          <w:szCs w:val="24"/>
        </w:rPr>
      </w:pPr>
      <w:r>
        <w:rPr>
          <w:rFonts w:ascii="宋体" w:hAnsi="宋体" w:eastAsia="宋体" w:cs="宋体"/>
          <w:spacing w:val="3"/>
          <w:sz w:val="24"/>
          <w:szCs w:val="24"/>
        </w:rPr>
        <w:t>运营期尾水进入赧水后被迅速稀释，其影响范围主要在排污</w:t>
      </w:r>
      <w:r>
        <w:rPr>
          <w:rFonts w:ascii="宋体" w:hAnsi="宋体" w:eastAsia="宋体" w:cs="宋体"/>
          <w:spacing w:val="2"/>
          <w:sz w:val="24"/>
          <w:szCs w:val="24"/>
        </w:rPr>
        <w:t>口邻近水域，导</w:t>
      </w:r>
      <w:r>
        <w:rPr>
          <w:rFonts w:ascii="宋体" w:hAnsi="宋体" w:eastAsia="宋体" w:cs="宋体"/>
          <w:spacing w:val="3"/>
          <w:sz w:val="24"/>
          <w:szCs w:val="24"/>
        </w:rPr>
        <w:t>致该区域营养物质增加，引起浮游生物、底栖动物</w:t>
      </w:r>
      <w:r>
        <w:rPr>
          <w:rFonts w:ascii="宋体" w:hAnsi="宋体" w:eastAsia="宋体" w:cs="宋体"/>
          <w:spacing w:val="2"/>
          <w:sz w:val="24"/>
          <w:szCs w:val="24"/>
        </w:rPr>
        <w:t>生物量增大，但是多样性将下</w:t>
      </w:r>
      <w:r>
        <w:rPr>
          <w:rFonts w:ascii="宋体" w:hAnsi="宋体" w:eastAsia="宋体" w:cs="宋体"/>
          <w:spacing w:val="3"/>
          <w:sz w:val="24"/>
          <w:szCs w:val="24"/>
        </w:rPr>
        <w:t>降。鱼类中滤食性种类增加，杂食性和草食性比例</w:t>
      </w:r>
      <w:r>
        <w:rPr>
          <w:rFonts w:ascii="宋体" w:hAnsi="宋体" w:eastAsia="宋体" w:cs="宋体"/>
          <w:spacing w:val="2"/>
          <w:sz w:val="24"/>
          <w:szCs w:val="24"/>
        </w:rPr>
        <w:t>将降低，多样性有所下降。总</w:t>
      </w:r>
      <w:r>
        <w:rPr>
          <w:rFonts w:ascii="宋体" w:hAnsi="宋体" w:eastAsia="宋体" w:cs="宋体"/>
          <w:spacing w:val="3"/>
          <w:sz w:val="24"/>
          <w:szCs w:val="24"/>
        </w:rPr>
        <w:t>体来说，排污口附近水域水生生物多样性下降，但</w:t>
      </w:r>
      <w:r>
        <w:rPr>
          <w:rFonts w:ascii="宋体" w:hAnsi="宋体" w:eastAsia="宋体" w:cs="宋体"/>
          <w:spacing w:val="2"/>
          <w:sz w:val="24"/>
          <w:szCs w:val="24"/>
        </w:rPr>
        <w:t>对整个保护区的生物多样性影</w:t>
      </w:r>
      <w:r>
        <w:rPr>
          <w:rFonts w:ascii="宋体" w:hAnsi="宋体" w:eastAsia="宋体" w:cs="宋体"/>
          <w:spacing w:val="-3"/>
          <w:sz w:val="24"/>
          <w:szCs w:val="24"/>
        </w:rPr>
        <w:t>响有限。</w:t>
      </w:r>
    </w:p>
    <w:p w14:paraId="002FE162">
      <w:pPr>
        <w:spacing w:before="179" w:line="222" w:lineRule="auto"/>
        <w:ind w:left="10"/>
        <w:outlineLvl w:val="1"/>
        <w:rPr>
          <w:rFonts w:ascii="黑体" w:hAnsi="黑体" w:eastAsia="黑体" w:cs="黑体"/>
          <w:sz w:val="30"/>
          <w:szCs w:val="30"/>
        </w:rPr>
      </w:pPr>
      <w:bookmarkStart w:id="38" w:name="bookmark35"/>
      <w:bookmarkEnd w:id="38"/>
      <w:r>
        <w:rPr>
          <w:rFonts w:ascii="Times New Roman" w:hAnsi="Times New Roman" w:eastAsia="Times New Roman" w:cs="Times New Roman"/>
          <w:b/>
          <w:bCs/>
          <w:spacing w:val="-3"/>
          <w:sz w:val="30"/>
          <w:szCs w:val="30"/>
        </w:rPr>
        <w:t>7.3</w:t>
      </w:r>
      <w:r>
        <w:rPr>
          <w:rFonts w:ascii="黑体" w:hAnsi="黑体" w:eastAsia="黑体" w:cs="黑体"/>
          <w:b/>
          <w:bCs/>
          <w:spacing w:val="-3"/>
          <w:sz w:val="30"/>
          <w:szCs w:val="30"/>
        </w:rPr>
        <w:t>对赧水结构和功能的影响</w:t>
      </w:r>
    </w:p>
    <w:p w14:paraId="7E942C44">
      <w:pPr>
        <w:pStyle w:val="2"/>
        <w:spacing w:line="276" w:lineRule="auto"/>
      </w:pPr>
    </w:p>
    <w:p w14:paraId="04FD5D12">
      <w:pPr>
        <w:spacing w:before="78" w:line="359" w:lineRule="auto"/>
        <w:ind w:left="9" w:firstLine="480"/>
        <w:jc w:val="both"/>
        <w:rPr>
          <w:rFonts w:ascii="宋体" w:hAnsi="宋体" w:eastAsia="宋体" w:cs="宋体"/>
          <w:sz w:val="24"/>
          <w:szCs w:val="24"/>
        </w:rPr>
      </w:pPr>
      <w:r>
        <w:rPr>
          <w:rFonts w:ascii="宋体" w:hAnsi="宋体" w:eastAsia="宋体" w:cs="宋体"/>
          <w:spacing w:val="3"/>
          <w:sz w:val="24"/>
          <w:szCs w:val="24"/>
        </w:rPr>
        <w:t>尾水排放将导致赧水水体中氨氮、总氮、总磷的增加。根据</w:t>
      </w:r>
      <w:r>
        <w:rPr>
          <w:rFonts w:ascii="宋体" w:hAnsi="宋体" w:eastAsia="宋体" w:cs="宋体"/>
          <w:spacing w:val="2"/>
          <w:sz w:val="24"/>
          <w:szCs w:val="24"/>
        </w:rPr>
        <w:t>污水处理厂排污</w:t>
      </w:r>
      <w:r>
        <w:rPr>
          <w:rFonts w:ascii="宋体" w:hAnsi="宋体" w:eastAsia="宋体" w:cs="宋体"/>
          <w:spacing w:val="3"/>
          <w:sz w:val="24"/>
          <w:szCs w:val="24"/>
        </w:rPr>
        <w:t>口水质在线监测系统的监测数据，各指标均达到《城</w:t>
      </w:r>
      <w:r>
        <w:rPr>
          <w:rFonts w:ascii="宋体" w:hAnsi="宋体" w:eastAsia="宋体" w:cs="宋体"/>
          <w:spacing w:val="2"/>
          <w:sz w:val="24"/>
          <w:szCs w:val="24"/>
        </w:rPr>
        <w:t>镇污水处理厂污染物排放标</w:t>
      </w:r>
      <w:r>
        <w:rPr>
          <w:rFonts w:ascii="宋体" w:hAnsi="宋体" w:eastAsia="宋体" w:cs="宋体"/>
          <w:spacing w:val="9"/>
          <w:sz w:val="24"/>
          <w:szCs w:val="24"/>
        </w:rPr>
        <w:t>准》</w:t>
      </w:r>
      <w:r>
        <w:rPr>
          <w:rFonts w:ascii="Times New Roman" w:hAnsi="Times New Roman" w:eastAsia="Times New Roman" w:cs="Times New Roman"/>
          <w:spacing w:val="9"/>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9"/>
          <w:sz w:val="24"/>
          <w:szCs w:val="24"/>
        </w:rPr>
        <w:t>18918-2002)</w:t>
      </w:r>
      <w:r>
        <w:rPr>
          <w:rFonts w:ascii="宋体" w:hAnsi="宋体" w:eastAsia="宋体" w:cs="宋体"/>
          <w:spacing w:val="9"/>
          <w:sz w:val="24"/>
          <w:szCs w:val="24"/>
        </w:rPr>
        <w:t>一级</w:t>
      </w:r>
      <w:r>
        <w:rPr>
          <w:rFonts w:ascii="Times New Roman" w:hAnsi="Times New Roman" w:eastAsia="Times New Roman" w:cs="Times New Roman"/>
          <w:spacing w:val="9"/>
          <w:sz w:val="24"/>
          <w:szCs w:val="24"/>
        </w:rPr>
        <w:t>A</w:t>
      </w:r>
      <w:r>
        <w:rPr>
          <w:rFonts w:ascii="宋体" w:hAnsi="宋体" w:eastAsia="宋体" w:cs="宋体"/>
          <w:spacing w:val="9"/>
          <w:sz w:val="24"/>
          <w:szCs w:val="24"/>
        </w:rPr>
        <w:t>排放标准。扩建后最大排放量为</w:t>
      </w:r>
      <w:r>
        <w:rPr>
          <w:rFonts w:ascii="Times New Roman" w:hAnsi="Times New Roman" w:eastAsia="Times New Roman" w:cs="Times New Roman"/>
          <w:spacing w:val="9"/>
          <w:sz w:val="24"/>
          <w:szCs w:val="24"/>
        </w:rPr>
        <w:t>30000m</w:t>
      </w:r>
      <w:r>
        <w:rPr>
          <w:rFonts w:ascii="Times New Roman" w:hAnsi="Times New Roman" w:eastAsia="Times New Roman" w:cs="Times New Roman"/>
          <w:spacing w:val="9"/>
          <w:position w:val="7"/>
          <w:sz w:val="15"/>
          <w:szCs w:val="15"/>
        </w:rPr>
        <w:t>3</w:t>
      </w:r>
      <w:r>
        <w:rPr>
          <w:rFonts w:ascii="Times New Roman" w:hAnsi="Times New Roman" w:eastAsia="Times New Roman" w:cs="Times New Roman"/>
          <w:spacing w:val="9"/>
          <w:sz w:val="24"/>
          <w:szCs w:val="24"/>
        </w:rPr>
        <w:t>/d(</w:t>
      </w:r>
      <w:r>
        <w:rPr>
          <w:rFonts w:ascii="宋体" w:hAnsi="宋体" w:eastAsia="宋体" w:cs="宋体"/>
          <w:spacing w:val="9"/>
          <w:sz w:val="24"/>
          <w:szCs w:val="24"/>
        </w:rPr>
        <w:t>约</w:t>
      </w:r>
      <w:r>
        <w:rPr>
          <w:rFonts w:ascii="Times New Roman" w:hAnsi="Times New Roman" w:eastAsia="Times New Roman" w:cs="Times New Roman"/>
          <w:spacing w:val="-1"/>
          <w:sz w:val="24"/>
          <w:szCs w:val="24"/>
        </w:rPr>
        <w:t>0.347m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/s)</w:t>
      </w:r>
      <w:r>
        <w:rPr>
          <w:rFonts w:ascii="宋体" w:hAnsi="宋体" w:eastAsia="宋体" w:cs="宋体"/>
          <w:spacing w:val="-1"/>
          <w:sz w:val="24"/>
          <w:szCs w:val="24"/>
        </w:rPr>
        <w:t>，而赧水枯水期平均流量大于</w:t>
      </w:r>
      <w:r>
        <w:rPr>
          <w:rFonts w:ascii="Times New Roman" w:hAnsi="Times New Roman" w:eastAsia="Times New Roman" w:cs="Times New Roman"/>
          <w:spacing w:val="-1"/>
          <w:sz w:val="24"/>
          <w:szCs w:val="24"/>
        </w:rPr>
        <w:t>66m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/s</w:t>
      </w:r>
      <w:r>
        <w:rPr>
          <w:rFonts w:ascii="宋体" w:hAnsi="宋体" w:eastAsia="宋体" w:cs="宋体"/>
          <w:spacing w:val="-1"/>
          <w:sz w:val="24"/>
          <w:szCs w:val="24"/>
        </w:rPr>
        <w:t>，推算污水处理厂排水</w:t>
      </w:r>
      <w:r>
        <w:rPr>
          <w:rFonts w:ascii="宋体" w:hAnsi="宋体" w:eastAsia="宋体" w:cs="宋体"/>
          <w:spacing w:val="-2"/>
          <w:sz w:val="24"/>
          <w:szCs w:val="24"/>
        </w:rPr>
        <w:t>量约占赧水</w:t>
      </w:r>
      <w:r>
        <w:rPr>
          <w:rFonts w:ascii="宋体" w:hAnsi="宋体" w:eastAsia="宋体" w:cs="宋体"/>
          <w:spacing w:val="-3"/>
          <w:sz w:val="24"/>
          <w:szCs w:val="24"/>
        </w:rPr>
        <w:t>隆回段径流量的</w:t>
      </w:r>
      <w:r>
        <w:rPr>
          <w:rFonts w:ascii="Times New Roman" w:hAnsi="Times New Roman" w:eastAsia="Times New Roman" w:cs="Times New Roman"/>
          <w:spacing w:val="-3"/>
          <w:sz w:val="24"/>
          <w:szCs w:val="24"/>
        </w:rPr>
        <w:t>0.52%</w:t>
      </w:r>
      <w:r>
        <w:rPr>
          <w:rFonts w:ascii="宋体" w:hAnsi="宋体" w:eastAsia="宋体" w:cs="宋体"/>
          <w:spacing w:val="-3"/>
          <w:sz w:val="24"/>
          <w:szCs w:val="24"/>
        </w:rPr>
        <w:t>。因此，赧水有足够的受纳能力，排水不会对赧水水质</w:t>
      </w:r>
      <w:r>
        <w:rPr>
          <w:rFonts w:ascii="宋体" w:hAnsi="宋体" w:eastAsia="宋体" w:cs="宋体"/>
          <w:spacing w:val="-4"/>
          <w:sz w:val="24"/>
          <w:szCs w:val="24"/>
        </w:rPr>
        <w:t>产生</w:t>
      </w:r>
      <w:r>
        <w:rPr>
          <w:rFonts w:ascii="宋体" w:hAnsi="宋体" w:eastAsia="宋体" w:cs="宋体"/>
          <w:spacing w:val="3"/>
          <w:sz w:val="24"/>
          <w:szCs w:val="24"/>
        </w:rPr>
        <w:t>明显影响。受影响的水域主要在排污口附近，对</w:t>
      </w:r>
      <w:r>
        <w:rPr>
          <w:rFonts w:ascii="宋体" w:hAnsi="宋体" w:eastAsia="宋体" w:cs="宋体"/>
          <w:spacing w:val="2"/>
          <w:sz w:val="24"/>
          <w:szCs w:val="24"/>
        </w:rPr>
        <w:t>整个赧水水质和鱼类等水生生物</w:t>
      </w:r>
    </w:p>
    <w:p w14:paraId="75F65C46">
      <w:pPr>
        <w:spacing w:before="102" w:line="196" w:lineRule="auto"/>
        <w:ind w:left="10"/>
        <w:outlineLvl w:val="0"/>
        <w:rPr>
          <w:rFonts w:ascii="宋体" w:hAnsi="宋体" w:eastAsia="宋体" w:cs="宋体"/>
          <w:sz w:val="28"/>
          <w:szCs w:val="28"/>
        </w:rPr>
      </w:pPr>
      <w:r>
        <w:rPr>
          <w:rFonts w:ascii="宋体" w:hAnsi="宋体" w:eastAsia="宋体" w:cs="宋体"/>
          <w:spacing w:val="-1"/>
          <w:sz w:val="24"/>
          <w:szCs w:val="24"/>
        </w:rPr>
        <w:t>栖息生境影响较小。因此，该项目对赧水结构和功能的影响可控</w:t>
      </w:r>
      <w:r>
        <w:rPr>
          <w:rFonts w:ascii="宋体" w:hAnsi="宋体" w:eastAsia="宋体" w:cs="宋体"/>
          <w:spacing w:val="-1"/>
          <w:sz w:val="28"/>
          <w:szCs w:val="28"/>
        </w:rPr>
        <w:t>。</w:t>
      </w:r>
    </w:p>
    <w:p w14:paraId="0A227E5F">
      <w:pPr>
        <w:spacing w:line="196" w:lineRule="auto"/>
        <w:rPr>
          <w:rFonts w:ascii="宋体" w:hAnsi="宋体" w:eastAsia="宋体" w:cs="宋体"/>
          <w:sz w:val="28"/>
          <w:szCs w:val="28"/>
        </w:rPr>
        <w:sectPr>
          <w:footerReference r:id="rId148" w:type="default"/>
          <w:pgSz w:w="11906" w:h="16839"/>
          <w:pgMar w:top="1132" w:right="1700" w:bottom="1259" w:left="1701" w:header="829" w:footer="1097" w:gutter="0"/>
          <w:cols w:space="720" w:num="1"/>
        </w:sectPr>
      </w:pPr>
    </w:p>
    <w:p w14:paraId="186C2EC2">
      <w:pPr>
        <w:pStyle w:val="2"/>
        <w:spacing w:line="256" w:lineRule="auto"/>
      </w:pPr>
    </w:p>
    <w:p w14:paraId="0784697A">
      <w:pPr>
        <w:pStyle w:val="2"/>
        <w:spacing w:line="256" w:lineRule="auto"/>
      </w:pPr>
    </w:p>
    <w:p w14:paraId="6FD109B0">
      <w:pPr>
        <w:spacing w:before="101" w:line="225" w:lineRule="auto"/>
        <w:ind w:left="1893"/>
        <w:rPr>
          <w:rFonts w:ascii="宋体" w:hAnsi="宋体" w:eastAsia="宋体" w:cs="宋体"/>
          <w:sz w:val="31"/>
          <w:szCs w:val="31"/>
        </w:rPr>
      </w:pPr>
      <w:bookmarkStart w:id="39" w:name="bookmark36"/>
      <w:bookmarkEnd w:id="39"/>
      <w:r>
        <w:rPr>
          <w:rFonts w:ascii="Times New Roman" w:hAnsi="Times New Roman" w:eastAsia="Times New Roman" w:cs="Times New Roman"/>
          <w:b/>
          <w:bCs/>
          <w:spacing w:val="6"/>
          <w:sz w:val="31"/>
          <w:szCs w:val="31"/>
        </w:rPr>
        <w:t>8</w:t>
      </w:r>
      <w:r>
        <w:rPr>
          <w:rFonts w:ascii="宋体" w:hAnsi="宋体" w:eastAsia="宋体" w:cs="宋体"/>
          <w:b/>
          <w:bCs/>
          <w:spacing w:val="6"/>
          <w:sz w:val="31"/>
          <w:szCs w:val="31"/>
        </w:rPr>
        <w:t>入河排污口设置水环境风险影响分析</w:t>
      </w:r>
    </w:p>
    <w:p w14:paraId="7DC4AA45">
      <w:pPr>
        <w:pStyle w:val="2"/>
        <w:spacing w:line="335" w:lineRule="auto"/>
      </w:pPr>
    </w:p>
    <w:p w14:paraId="03709112">
      <w:pPr>
        <w:spacing w:before="98" w:line="222" w:lineRule="auto"/>
        <w:ind w:left="11"/>
        <w:outlineLvl w:val="1"/>
        <w:rPr>
          <w:rFonts w:ascii="黑体" w:hAnsi="黑体" w:eastAsia="黑体" w:cs="黑体"/>
          <w:sz w:val="30"/>
          <w:szCs w:val="30"/>
        </w:rPr>
      </w:pPr>
      <w:bookmarkStart w:id="40" w:name="bookmark37"/>
      <w:bookmarkEnd w:id="40"/>
      <w:r>
        <w:rPr>
          <w:rFonts w:ascii="Times New Roman" w:hAnsi="Times New Roman" w:eastAsia="Times New Roman" w:cs="Times New Roman"/>
          <w:b/>
          <w:bCs/>
          <w:spacing w:val="-3"/>
          <w:sz w:val="30"/>
          <w:szCs w:val="30"/>
        </w:rPr>
        <w:t>8.1.</w:t>
      </w:r>
      <w:r>
        <w:rPr>
          <w:rFonts w:ascii="黑体" w:hAnsi="黑体" w:eastAsia="黑体" w:cs="黑体"/>
          <w:b/>
          <w:bCs/>
          <w:spacing w:val="-3"/>
          <w:sz w:val="30"/>
          <w:szCs w:val="30"/>
        </w:rPr>
        <w:t>水环境风险分析</w:t>
      </w:r>
    </w:p>
    <w:p w14:paraId="030E55D5">
      <w:pPr>
        <w:pStyle w:val="2"/>
        <w:spacing w:line="276" w:lineRule="auto"/>
      </w:pPr>
    </w:p>
    <w:p w14:paraId="4052B7C7">
      <w:pPr>
        <w:spacing w:before="78" w:line="360" w:lineRule="auto"/>
        <w:ind w:left="8" w:right="61" w:firstLine="497"/>
        <w:jc w:val="both"/>
        <w:rPr>
          <w:rFonts w:ascii="宋体" w:hAnsi="宋体" w:eastAsia="宋体" w:cs="宋体"/>
          <w:sz w:val="24"/>
          <w:szCs w:val="24"/>
        </w:rPr>
      </w:pPr>
      <w:r>
        <w:rPr>
          <w:rFonts w:ascii="宋体" w:hAnsi="宋体" w:eastAsia="宋体" w:cs="宋体"/>
          <w:spacing w:val="2"/>
          <w:sz w:val="24"/>
          <w:szCs w:val="24"/>
        </w:rPr>
        <w:t>隆回工业污水处理扩建工程建成后对下游水体水质的改善作用是很明显的，</w:t>
      </w:r>
      <w:r>
        <w:rPr>
          <w:rFonts w:ascii="宋体" w:hAnsi="宋体" w:eastAsia="宋体" w:cs="宋体"/>
          <w:spacing w:val="3"/>
          <w:sz w:val="24"/>
          <w:szCs w:val="24"/>
        </w:rPr>
        <w:t>但在事故排放时，可能在短时间内造成下游水质局部恶</w:t>
      </w:r>
      <w:r>
        <w:rPr>
          <w:rFonts w:ascii="宋体" w:hAnsi="宋体" w:eastAsia="宋体" w:cs="宋体"/>
          <w:spacing w:val="2"/>
          <w:sz w:val="24"/>
          <w:szCs w:val="24"/>
        </w:rPr>
        <w:t>化。污水处理厂因各种原</w:t>
      </w:r>
      <w:r>
        <w:rPr>
          <w:rFonts w:ascii="宋体" w:hAnsi="宋体" w:eastAsia="宋体" w:cs="宋体"/>
          <w:spacing w:val="3"/>
          <w:sz w:val="24"/>
          <w:szCs w:val="24"/>
        </w:rPr>
        <w:t>因不能正常运行时，原污水如果直接排放进入赧水，将</w:t>
      </w:r>
      <w:r>
        <w:rPr>
          <w:rFonts w:ascii="宋体" w:hAnsi="宋体" w:eastAsia="宋体" w:cs="宋体"/>
          <w:spacing w:val="2"/>
          <w:sz w:val="24"/>
          <w:szCs w:val="24"/>
        </w:rPr>
        <w:t>使下游水体受到污染，对</w:t>
      </w:r>
      <w:r>
        <w:rPr>
          <w:rFonts w:ascii="宋体" w:hAnsi="宋体" w:eastAsia="宋体" w:cs="宋体"/>
          <w:spacing w:val="-1"/>
          <w:sz w:val="24"/>
          <w:szCs w:val="24"/>
        </w:rPr>
        <w:t>河道水质造成影响。</w:t>
      </w:r>
    </w:p>
    <w:p w14:paraId="47AE13D3">
      <w:pPr>
        <w:spacing w:line="361" w:lineRule="auto"/>
        <w:ind w:left="9" w:right="61" w:firstLine="480"/>
        <w:jc w:val="both"/>
        <w:rPr>
          <w:rFonts w:ascii="宋体" w:hAnsi="宋体" w:eastAsia="宋体" w:cs="宋体"/>
          <w:sz w:val="24"/>
          <w:szCs w:val="24"/>
        </w:rPr>
      </w:pPr>
      <w:r>
        <w:rPr>
          <w:rFonts w:ascii="宋体" w:hAnsi="宋体" w:eastAsia="宋体" w:cs="宋体"/>
          <w:spacing w:val="3"/>
          <w:sz w:val="24"/>
          <w:szCs w:val="24"/>
        </w:rPr>
        <w:t>通过对隆回工业污水处理工程选用的工艺及工程设施的分析</w:t>
      </w:r>
      <w:r>
        <w:rPr>
          <w:rFonts w:ascii="宋体" w:hAnsi="宋体" w:eastAsia="宋体" w:cs="宋体"/>
          <w:spacing w:val="2"/>
          <w:sz w:val="24"/>
          <w:szCs w:val="24"/>
        </w:rPr>
        <w:t>，其污水排放事</w:t>
      </w:r>
      <w:r>
        <w:rPr>
          <w:rFonts w:ascii="宋体" w:hAnsi="宋体" w:eastAsia="宋体" w:cs="宋体"/>
          <w:spacing w:val="3"/>
          <w:sz w:val="24"/>
          <w:szCs w:val="24"/>
        </w:rPr>
        <w:t>故风险的类型主要包括进水水质波动较大、系统设</w:t>
      </w:r>
      <w:r>
        <w:rPr>
          <w:rFonts w:ascii="宋体" w:hAnsi="宋体" w:eastAsia="宋体" w:cs="宋体"/>
          <w:spacing w:val="2"/>
          <w:sz w:val="24"/>
          <w:szCs w:val="24"/>
        </w:rPr>
        <w:t>备故障、员工操作不当、停电</w:t>
      </w:r>
      <w:r>
        <w:rPr>
          <w:rFonts w:ascii="宋体" w:hAnsi="宋体" w:eastAsia="宋体" w:cs="宋体"/>
          <w:spacing w:val="-1"/>
          <w:sz w:val="24"/>
          <w:szCs w:val="24"/>
        </w:rPr>
        <w:t>事故、管网破损、暴雨期进水以及突发性外部事故等方面。</w:t>
      </w:r>
    </w:p>
    <w:p w14:paraId="4243250F">
      <w:pPr>
        <w:spacing w:before="183" w:line="221" w:lineRule="auto"/>
        <w:ind w:left="11"/>
        <w:outlineLvl w:val="1"/>
        <w:rPr>
          <w:rFonts w:ascii="黑体" w:hAnsi="黑体" w:eastAsia="黑体" w:cs="黑体"/>
          <w:sz w:val="30"/>
          <w:szCs w:val="30"/>
        </w:rPr>
      </w:pPr>
      <w:bookmarkStart w:id="41" w:name="bookmark38"/>
      <w:bookmarkEnd w:id="41"/>
      <w:r>
        <w:rPr>
          <w:rFonts w:ascii="Times New Roman" w:hAnsi="Times New Roman" w:eastAsia="Times New Roman" w:cs="Times New Roman"/>
          <w:b/>
          <w:bCs/>
          <w:spacing w:val="-3"/>
          <w:sz w:val="30"/>
          <w:szCs w:val="30"/>
        </w:rPr>
        <w:t>8.2.</w:t>
      </w:r>
      <w:r>
        <w:rPr>
          <w:rFonts w:ascii="黑体" w:hAnsi="黑体" w:eastAsia="黑体" w:cs="黑体"/>
          <w:b/>
          <w:bCs/>
          <w:spacing w:val="-3"/>
          <w:sz w:val="30"/>
          <w:szCs w:val="30"/>
        </w:rPr>
        <w:t>风险防范措施</w:t>
      </w:r>
    </w:p>
    <w:p w14:paraId="4AB80142">
      <w:pPr>
        <w:pStyle w:val="2"/>
        <w:spacing w:line="320" w:lineRule="auto"/>
      </w:pPr>
    </w:p>
    <w:p w14:paraId="4A0D152D">
      <w:pPr>
        <w:spacing w:before="91" w:line="221" w:lineRule="auto"/>
        <w:ind w:left="10"/>
        <w:outlineLvl w:val="2"/>
        <w:rPr>
          <w:rFonts w:ascii="宋体" w:hAnsi="宋体" w:eastAsia="宋体" w:cs="宋体"/>
          <w:sz w:val="28"/>
          <w:szCs w:val="28"/>
        </w:rPr>
      </w:pPr>
      <w:r>
        <w:rPr>
          <w:rFonts w:ascii="Times New Roman" w:hAnsi="Times New Roman" w:eastAsia="Times New Roman" w:cs="Times New Roman"/>
          <w:b/>
          <w:bCs/>
          <w:spacing w:val="-2"/>
          <w:sz w:val="28"/>
          <w:szCs w:val="28"/>
        </w:rPr>
        <w:t>8.2.1.</w:t>
      </w:r>
      <w:r>
        <w:rPr>
          <w:rFonts w:ascii="宋体" w:hAnsi="宋体" w:eastAsia="宋体" w:cs="宋体"/>
          <w:b/>
          <w:bCs/>
          <w:spacing w:val="-2"/>
          <w:sz w:val="28"/>
          <w:szCs w:val="28"/>
        </w:rPr>
        <w:t>风险防范措施</w:t>
      </w:r>
    </w:p>
    <w:p w14:paraId="7DDC2768">
      <w:pPr>
        <w:pStyle w:val="2"/>
        <w:spacing w:line="252" w:lineRule="auto"/>
      </w:pPr>
    </w:p>
    <w:p w14:paraId="681BB061">
      <w:pPr>
        <w:spacing w:before="78" w:line="360" w:lineRule="auto"/>
        <w:ind w:left="15" w:right="61" w:firstLine="489"/>
        <w:rPr>
          <w:rFonts w:ascii="宋体" w:hAnsi="宋体" w:eastAsia="宋体" w:cs="宋体"/>
          <w:sz w:val="24"/>
          <w:szCs w:val="24"/>
        </w:rPr>
      </w:pPr>
      <w:r>
        <w:rPr>
          <w:rFonts w:ascii="宋体" w:hAnsi="宋体" w:eastAsia="宋体" w:cs="宋体"/>
          <w:spacing w:val="2"/>
          <w:sz w:val="24"/>
          <w:szCs w:val="24"/>
        </w:rPr>
        <w:t>隆回工业污水处理工程的事故主要来源于设计、设备、管理等环节，主要防</w:t>
      </w:r>
      <w:r>
        <w:rPr>
          <w:rFonts w:ascii="宋体" w:hAnsi="宋体" w:eastAsia="宋体" w:cs="宋体"/>
          <w:spacing w:val="-4"/>
          <w:sz w:val="24"/>
          <w:szCs w:val="24"/>
        </w:rPr>
        <w:t>治施如下：</w:t>
      </w:r>
    </w:p>
    <w:p w14:paraId="3D3AE542">
      <w:pPr>
        <w:spacing w:before="1" w:line="289" w:lineRule="auto"/>
        <w:ind w:left="8" w:firstLine="492"/>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）污水处理厂厂区采用了备用电源供电，水泵等污水处理</w:t>
      </w:r>
      <w:r>
        <w:rPr>
          <w:rFonts w:ascii="宋体" w:hAnsi="宋体" w:eastAsia="宋体" w:cs="宋体"/>
          <w:spacing w:val="-7"/>
          <w:sz w:val="24"/>
          <w:szCs w:val="24"/>
        </w:rPr>
        <w:t>设施考虑了备用，</w:t>
      </w:r>
      <w:r>
        <w:rPr>
          <w:rFonts w:ascii="宋体" w:hAnsi="宋体" w:eastAsia="宋体" w:cs="宋体"/>
          <w:spacing w:val="-1"/>
          <w:sz w:val="24"/>
          <w:szCs w:val="24"/>
        </w:rPr>
        <w:t>机械设备均采用了性能可靠的优质产品。</w:t>
      </w:r>
    </w:p>
    <w:p w14:paraId="16CF7812">
      <w:pPr>
        <w:spacing w:before="184" w:line="313" w:lineRule="auto"/>
        <w:ind w:left="9" w:right="61"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）为使在事故状态下污水处理厂能够迅速恢复正常运行，在主</w:t>
      </w:r>
      <w:r>
        <w:rPr>
          <w:rFonts w:ascii="宋体" w:hAnsi="宋体" w:eastAsia="宋体" w:cs="宋体"/>
          <w:spacing w:val="-2"/>
          <w:sz w:val="24"/>
          <w:szCs w:val="24"/>
        </w:rPr>
        <w:t>要水工建筑</w:t>
      </w:r>
      <w:r>
        <w:rPr>
          <w:rFonts w:ascii="宋体" w:hAnsi="宋体" w:eastAsia="宋体" w:cs="宋体"/>
          <w:spacing w:val="3"/>
          <w:sz w:val="24"/>
          <w:szCs w:val="24"/>
        </w:rPr>
        <w:t>物调节池的容积上留有相应的缓冲能力，并配有相</w:t>
      </w:r>
      <w:r>
        <w:rPr>
          <w:rFonts w:ascii="宋体" w:hAnsi="宋体" w:eastAsia="宋体" w:cs="宋体"/>
          <w:spacing w:val="2"/>
          <w:sz w:val="24"/>
          <w:szCs w:val="24"/>
        </w:rPr>
        <w:t>应的加药设备。可有效暂存事</w:t>
      </w:r>
      <w:r>
        <w:rPr>
          <w:rFonts w:ascii="宋体" w:hAnsi="宋体" w:eastAsia="宋体" w:cs="宋体"/>
          <w:spacing w:val="-1"/>
          <w:sz w:val="24"/>
          <w:szCs w:val="24"/>
        </w:rPr>
        <w:t>故废水，防止事故废水对污水处理工艺的冲击。</w:t>
      </w:r>
    </w:p>
    <w:p w14:paraId="112A86D6">
      <w:pPr>
        <w:spacing w:before="184" w:line="313" w:lineRule="auto"/>
        <w:ind w:left="9"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）选用了优质设备，对污水处理厂各种机械电器、仪表等设备</w:t>
      </w:r>
      <w:r>
        <w:rPr>
          <w:rFonts w:ascii="宋体" w:hAnsi="宋体" w:eastAsia="宋体" w:cs="宋体"/>
          <w:spacing w:val="-2"/>
          <w:sz w:val="24"/>
          <w:szCs w:val="24"/>
        </w:rPr>
        <w:t>，选择了质量优良、事故率低、便于维修的产品。关键设备应</w:t>
      </w:r>
      <w:r>
        <w:rPr>
          <w:rFonts w:ascii="宋体" w:hAnsi="宋体" w:eastAsia="宋体" w:cs="宋体"/>
          <w:spacing w:val="-3"/>
          <w:sz w:val="24"/>
          <w:szCs w:val="24"/>
        </w:rPr>
        <w:t>一备一用，易损部件有备用件，</w:t>
      </w:r>
      <w:r>
        <w:rPr>
          <w:rFonts w:ascii="宋体" w:hAnsi="宋体" w:eastAsia="宋体" w:cs="宋体"/>
          <w:spacing w:val="-1"/>
          <w:sz w:val="24"/>
          <w:szCs w:val="24"/>
        </w:rPr>
        <w:t>设有专门维修间，在出现事故时能及时更换。</w:t>
      </w:r>
    </w:p>
    <w:p w14:paraId="497C6C9C">
      <w:pPr>
        <w:spacing w:before="182" w:line="290" w:lineRule="auto"/>
        <w:ind w:left="25" w:right="61" w:firstLine="476"/>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）加强事故苗头监控，定期巡检、调节、保养、维修污水处理</w:t>
      </w:r>
      <w:r>
        <w:rPr>
          <w:rFonts w:ascii="宋体" w:hAnsi="宋体" w:eastAsia="宋体" w:cs="宋体"/>
          <w:spacing w:val="-2"/>
          <w:sz w:val="24"/>
          <w:szCs w:val="24"/>
        </w:rPr>
        <w:t>厂各个风险</w:t>
      </w:r>
      <w:r>
        <w:rPr>
          <w:rFonts w:ascii="宋体" w:hAnsi="宋体" w:eastAsia="宋体" w:cs="宋体"/>
          <w:spacing w:val="-1"/>
          <w:sz w:val="24"/>
          <w:szCs w:val="24"/>
        </w:rPr>
        <w:t>隐患点。及时发现有可能引起事故的异常运行苗头，消除事故隐患。</w:t>
      </w:r>
    </w:p>
    <w:p w14:paraId="602E0155">
      <w:pPr>
        <w:spacing w:before="182" w:line="313" w:lineRule="auto"/>
        <w:ind w:left="10" w:right="61" w:firstLine="49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）严格控制处理单元的水量、水质、停留时间、负荷强度等工</w:t>
      </w:r>
      <w:r>
        <w:rPr>
          <w:rFonts w:ascii="宋体" w:hAnsi="宋体" w:eastAsia="宋体" w:cs="宋体"/>
          <w:spacing w:val="-2"/>
          <w:sz w:val="24"/>
          <w:szCs w:val="24"/>
        </w:rPr>
        <w:t>艺参数，确</w:t>
      </w:r>
      <w:r>
        <w:rPr>
          <w:rFonts w:ascii="宋体" w:hAnsi="宋体" w:eastAsia="宋体" w:cs="宋体"/>
          <w:spacing w:val="3"/>
          <w:sz w:val="24"/>
          <w:szCs w:val="24"/>
        </w:rPr>
        <w:t>保处理效果的稳定性。配备流量、水质自动分析</w:t>
      </w:r>
      <w:r>
        <w:rPr>
          <w:rFonts w:ascii="宋体" w:hAnsi="宋体" w:eastAsia="宋体" w:cs="宋体"/>
          <w:spacing w:val="2"/>
          <w:sz w:val="24"/>
          <w:szCs w:val="24"/>
        </w:rPr>
        <w:t>监控仪器，定期取样监测。操作</w:t>
      </w:r>
      <w:r>
        <w:rPr>
          <w:rFonts w:ascii="宋体" w:hAnsi="宋体" w:eastAsia="宋体" w:cs="宋体"/>
          <w:spacing w:val="3"/>
          <w:sz w:val="24"/>
          <w:szCs w:val="24"/>
        </w:rPr>
        <w:t>人员及时调整，使设备处于最佳工况。如发现不</w:t>
      </w:r>
      <w:r>
        <w:rPr>
          <w:rFonts w:ascii="宋体" w:hAnsi="宋体" w:eastAsia="宋体" w:cs="宋体"/>
          <w:spacing w:val="2"/>
          <w:sz w:val="24"/>
          <w:szCs w:val="24"/>
        </w:rPr>
        <w:t>正常现象，就需立即采取预防措</w:t>
      </w:r>
    </w:p>
    <w:p w14:paraId="18C157D6">
      <w:pPr>
        <w:spacing w:line="313" w:lineRule="auto"/>
        <w:rPr>
          <w:rFonts w:ascii="宋体" w:hAnsi="宋体" w:eastAsia="宋体" w:cs="宋体"/>
          <w:sz w:val="24"/>
          <w:szCs w:val="24"/>
        </w:rPr>
        <w:sectPr>
          <w:headerReference r:id="rId149" w:type="default"/>
          <w:footerReference r:id="rId150" w:type="default"/>
          <w:pgSz w:w="11906" w:h="16839"/>
          <w:pgMar w:top="1132" w:right="1639" w:bottom="1259" w:left="1701" w:header="829" w:footer="1097" w:gutter="0"/>
          <w:cols w:space="720" w:num="1"/>
        </w:sectPr>
      </w:pPr>
    </w:p>
    <w:p w14:paraId="56B37953">
      <w:pPr>
        <w:pStyle w:val="2"/>
        <w:spacing w:line="319" w:lineRule="auto"/>
      </w:pPr>
    </w:p>
    <w:p w14:paraId="597E7604">
      <w:pPr>
        <w:spacing w:before="78" w:line="222" w:lineRule="auto"/>
        <w:ind w:left="8"/>
        <w:rPr>
          <w:rFonts w:ascii="宋体" w:hAnsi="宋体" w:eastAsia="宋体" w:cs="宋体"/>
          <w:sz w:val="24"/>
          <w:szCs w:val="24"/>
        </w:rPr>
      </w:pPr>
      <w:r>
        <w:rPr>
          <w:rFonts w:ascii="宋体" w:hAnsi="宋体" w:eastAsia="宋体" w:cs="宋体"/>
          <w:spacing w:val="-5"/>
          <w:sz w:val="24"/>
          <w:szCs w:val="24"/>
        </w:rPr>
        <w:t>施。</w:t>
      </w:r>
    </w:p>
    <w:p w14:paraId="57935DD7">
      <w:pPr>
        <w:spacing w:before="178" w:line="290" w:lineRule="auto"/>
        <w:ind w:left="12" w:right="80" w:firstLine="488"/>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6</w:t>
      </w:r>
      <w:r>
        <w:rPr>
          <w:rFonts w:ascii="宋体" w:hAnsi="宋体" w:eastAsia="宋体" w:cs="宋体"/>
          <w:spacing w:val="-1"/>
          <w:sz w:val="24"/>
          <w:szCs w:val="24"/>
        </w:rPr>
        <w:t>）建立安全操作规程，在平时严格按规程办事，定期对污水处</w:t>
      </w:r>
      <w:r>
        <w:rPr>
          <w:rFonts w:ascii="宋体" w:hAnsi="宋体" w:eastAsia="宋体" w:cs="宋体"/>
          <w:spacing w:val="-2"/>
          <w:sz w:val="24"/>
          <w:szCs w:val="24"/>
        </w:rPr>
        <w:t>理厂人员的</w:t>
      </w:r>
      <w:r>
        <w:rPr>
          <w:rFonts w:ascii="宋体" w:hAnsi="宋体" w:eastAsia="宋体" w:cs="宋体"/>
          <w:spacing w:val="-1"/>
          <w:sz w:val="24"/>
          <w:szCs w:val="24"/>
        </w:rPr>
        <w:t>理论知识和操作技能进行培训和检查。</w:t>
      </w:r>
    </w:p>
    <w:p w14:paraId="6F8E3E15">
      <w:pPr>
        <w:spacing w:before="182" w:line="290" w:lineRule="auto"/>
        <w:ind w:left="16" w:right="80" w:firstLine="48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7</w:t>
      </w:r>
      <w:r>
        <w:rPr>
          <w:rFonts w:ascii="宋体" w:hAnsi="宋体" w:eastAsia="宋体" w:cs="宋体"/>
          <w:spacing w:val="-1"/>
          <w:sz w:val="24"/>
          <w:szCs w:val="24"/>
        </w:rPr>
        <w:t>）建立安全责任制度，在日常的工作管理方面建立一套完整的</w:t>
      </w:r>
      <w:r>
        <w:rPr>
          <w:rFonts w:ascii="宋体" w:hAnsi="宋体" w:eastAsia="宋体" w:cs="宋体"/>
          <w:spacing w:val="-2"/>
          <w:sz w:val="24"/>
          <w:szCs w:val="24"/>
        </w:rPr>
        <w:t>制度，落实到人、明确职责、定期检查。</w:t>
      </w:r>
    </w:p>
    <w:p w14:paraId="4159B8AA">
      <w:pPr>
        <w:spacing w:before="182" w:line="332" w:lineRule="auto"/>
        <w:ind w:left="9" w:right="80"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8</w:t>
      </w:r>
      <w:r>
        <w:rPr>
          <w:rFonts w:ascii="宋体" w:hAnsi="宋体" w:eastAsia="宋体" w:cs="宋体"/>
          <w:spacing w:val="-1"/>
          <w:sz w:val="24"/>
          <w:szCs w:val="24"/>
        </w:rPr>
        <w:t>）污水处理厂应与纳污范围内排放工业废水企业签订排放协议</w:t>
      </w:r>
      <w:r>
        <w:rPr>
          <w:rFonts w:ascii="宋体" w:hAnsi="宋体" w:eastAsia="宋体" w:cs="宋体"/>
          <w:spacing w:val="-2"/>
          <w:sz w:val="24"/>
          <w:szCs w:val="24"/>
        </w:rPr>
        <w:t>，企业废水</w:t>
      </w:r>
      <w:r>
        <w:rPr>
          <w:rFonts w:ascii="宋体" w:hAnsi="宋体" w:eastAsia="宋体" w:cs="宋体"/>
          <w:spacing w:val="3"/>
          <w:sz w:val="24"/>
          <w:szCs w:val="24"/>
        </w:rPr>
        <w:t>排放至污水管网前应达到相应的接管要求。污水处</w:t>
      </w:r>
      <w:r>
        <w:rPr>
          <w:rFonts w:ascii="宋体" w:hAnsi="宋体" w:eastAsia="宋体" w:cs="宋体"/>
          <w:spacing w:val="2"/>
          <w:sz w:val="24"/>
          <w:szCs w:val="24"/>
        </w:rPr>
        <w:t>理厂与重要的污水排放企业之</w:t>
      </w:r>
      <w:r>
        <w:rPr>
          <w:rFonts w:ascii="宋体" w:hAnsi="宋体" w:eastAsia="宋体" w:cs="宋体"/>
          <w:spacing w:val="3"/>
          <w:sz w:val="24"/>
          <w:szCs w:val="24"/>
        </w:rPr>
        <w:t>间，要有通常的信息交流管道，建立企业的事故报</w:t>
      </w:r>
      <w:r>
        <w:rPr>
          <w:rFonts w:ascii="宋体" w:hAnsi="宋体" w:eastAsia="宋体" w:cs="宋体"/>
          <w:spacing w:val="2"/>
          <w:sz w:val="24"/>
          <w:szCs w:val="24"/>
        </w:rPr>
        <w:t>告制度。一旦排水进入污水厂</w:t>
      </w:r>
      <w:r>
        <w:rPr>
          <w:rFonts w:ascii="宋体" w:hAnsi="宋体" w:eastAsia="宋体" w:cs="宋体"/>
          <w:spacing w:val="3"/>
          <w:sz w:val="24"/>
          <w:szCs w:val="24"/>
        </w:rPr>
        <w:t>的企业发生事故，应要求企业第一时间内向污水处</w:t>
      </w:r>
      <w:r>
        <w:rPr>
          <w:rFonts w:ascii="宋体" w:hAnsi="宋体" w:eastAsia="宋体" w:cs="宋体"/>
          <w:spacing w:val="2"/>
          <w:sz w:val="24"/>
          <w:szCs w:val="24"/>
        </w:rPr>
        <w:t>理厂报告事故的类型，估计事</w:t>
      </w:r>
      <w:r>
        <w:rPr>
          <w:rFonts w:ascii="宋体" w:hAnsi="宋体" w:eastAsia="宋体" w:cs="宋体"/>
          <w:spacing w:val="-1"/>
          <w:sz w:val="24"/>
          <w:szCs w:val="24"/>
        </w:rPr>
        <w:t>故源强，并关闭出水阀，停止将废水送入污水处理厂。</w:t>
      </w:r>
    </w:p>
    <w:p w14:paraId="21E42CB3">
      <w:pPr>
        <w:spacing w:before="181" w:line="290" w:lineRule="auto"/>
        <w:ind w:left="23" w:firstLine="478"/>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9</w:t>
      </w:r>
      <w:r>
        <w:rPr>
          <w:rFonts w:ascii="宋体" w:hAnsi="宋体" w:eastAsia="宋体" w:cs="宋体"/>
          <w:spacing w:val="-1"/>
          <w:sz w:val="24"/>
          <w:szCs w:val="24"/>
        </w:rPr>
        <w:t>）污水处理厂制定了突发环境事件应急预案，明确事故发生时</w:t>
      </w:r>
      <w:r>
        <w:rPr>
          <w:rFonts w:ascii="宋体" w:hAnsi="宋体" w:eastAsia="宋体" w:cs="宋体"/>
          <w:spacing w:val="-2"/>
          <w:sz w:val="24"/>
          <w:szCs w:val="24"/>
        </w:rPr>
        <w:t>的应急、抢险操作制度。落实各项工作人员的责任，做到责任到人，并在</w:t>
      </w:r>
      <w:r>
        <w:rPr>
          <w:rFonts w:ascii="宋体" w:hAnsi="宋体" w:eastAsia="宋体" w:cs="宋体"/>
          <w:spacing w:val="-3"/>
          <w:sz w:val="24"/>
          <w:szCs w:val="24"/>
        </w:rPr>
        <w:t>平时定期进行预演。</w:t>
      </w:r>
    </w:p>
    <w:p w14:paraId="314B496A">
      <w:pPr>
        <w:pStyle w:val="2"/>
        <w:spacing w:line="247" w:lineRule="auto"/>
      </w:pPr>
    </w:p>
    <w:p w14:paraId="5C687AD7">
      <w:pPr>
        <w:spacing w:before="91" w:line="220" w:lineRule="auto"/>
        <w:ind w:left="10"/>
        <w:outlineLvl w:val="2"/>
        <w:rPr>
          <w:rFonts w:ascii="宋体" w:hAnsi="宋体" w:eastAsia="宋体" w:cs="宋体"/>
          <w:sz w:val="28"/>
          <w:szCs w:val="28"/>
        </w:rPr>
      </w:pPr>
      <w:r>
        <w:rPr>
          <w:rFonts w:ascii="Times New Roman" w:hAnsi="Times New Roman" w:eastAsia="Times New Roman" w:cs="Times New Roman"/>
          <w:b/>
          <w:bCs/>
          <w:spacing w:val="-2"/>
          <w:sz w:val="28"/>
          <w:szCs w:val="28"/>
        </w:rPr>
        <w:t>8.2.2.</w:t>
      </w:r>
      <w:r>
        <w:rPr>
          <w:rFonts w:ascii="宋体" w:hAnsi="宋体" w:eastAsia="宋体" w:cs="宋体"/>
          <w:b/>
          <w:bCs/>
          <w:spacing w:val="-2"/>
          <w:sz w:val="28"/>
          <w:szCs w:val="28"/>
        </w:rPr>
        <w:t>事故废水排放防范措施</w:t>
      </w:r>
    </w:p>
    <w:p w14:paraId="78CA6498">
      <w:pPr>
        <w:pStyle w:val="2"/>
        <w:spacing w:line="253" w:lineRule="auto"/>
      </w:pPr>
    </w:p>
    <w:p w14:paraId="4A70219A">
      <w:pPr>
        <w:spacing w:before="78" w:line="360" w:lineRule="auto"/>
        <w:ind w:left="9" w:right="80" w:firstLine="481"/>
        <w:rPr>
          <w:rFonts w:ascii="宋体" w:hAnsi="宋体" w:eastAsia="宋体" w:cs="宋体"/>
          <w:sz w:val="24"/>
          <w:szCs w:val="24"/>
        </w:rPr>
      </w:pPr>
      <w:r>
        <w:rPr>
          <w:rFonts w:ascii="宋体" w:hAnsi="宋体" w:eastAsia="宋体" w:cs="宋体"/>
          <w:spacing w:val="3"/>
          <w:sz w:val="24"/>
          <w:szCs w:val="24"/>
        </w:rPr>
        <w:t>污水处理厂的事故来源于设备故障、检修或优于工艺参</w:t>
      </w:r>
      <w:r>
        <w:rPr>
          <w:rFonts w:ascii="宋体" w:hAnsi="宋体" w:eastAsia="宋体" w:cs="宋体"/>
          <w:spacing w:val="2"/>
          <w:sz w:val="24"/>
          <w:szCs w:val="24"/>
        </w:rPr>
        <w:t>数改变而使处理效果</w:t>
      </w:r>
      <w:r>
        <w:rPr>
          <w:rFonts w:ascii="宋体" w:hAnsi="宋体" w:eastAsia="宋体" w:cs="宋体"/>
          <w:spacing w:val="-1"/>
          <w:sz w:val="24"/>
          <w:szCs w:val="24"/>
        </w:rPr>
        <w:t>变差，其防范措施有如下几点：</w:t>
      </w:r>
    </w:p>
    <w:p w14:paraId="2212D12B">
      <w:pPr>
        <w:spacing w:before="2" w:line="289" w:lineRule="auto"/>
        <w:ind w:left="19" w:right="80" w:firstLine="48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）污水处理厂采用双电路供电，所有水泵涉及考虑备用，机械</w:t>
      </w:r>
      <w:r>
        <w:rPr>
          <w:rFonts w:ascii="宋体" w:hAnsi="宋体" w:eastAsia="宋体" w:cs="宋体"/>
          <w:spacing w:val="-2"/>
          <w:sz w:val="24"/>
          <w:szCs w:val="24"/>
        </w:rPr>
        <w:t>设备采用性</w:t>
      </w:r>
      <w:r>
        <w:rPr>
          <w:rFonts w:ascii="宋体" w:hAnsi="宋体" w:eastAsia="宋体" w:cs="宋体"/>
          <w:spacing w:val="-3"/>
          <w:sz w:val="24"/>
          <w:szCs w:val="24"/>
        </w:rPr>
        <w:t>能可靠的优质产品。</w:t>
      </w:r>
    </w:p>
    <w:p w14:paraId="26BBD8B8">
      <w:pPr>
        <w:spacing w:before="183" w:line="219" w:lineRule="auto"/>
        <w:ind w:left="501"/>
        <w:rPr>
          <w:rFonts w:ascii="Times New Roman" w:hAnsi="Times New Roman" w:eastAsia="Times New Roman" w:cs="Times New Roman"/>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）加强污水管线的巡查，严禁污水偷拍、漏排，发现问题</w:t>
      </w:r>
      <w:r>
        <w:rPr>
          <w:rFonts w:ascii="宋体" w:hAnsi="宋体" w:eastAsia="宋体" w:cs="宋体"/>
          <w:spacing w:val="-1"/>
          <w:sz w:val="24"/>
          <w:szCs w:val="24"/>
        </w:rPr>
        <w:t>及时解决</w:t>
      </w:r>
      <w:r>
        <w:rPr>
          <w:rFonts w:ascii="Times New Roman" w:hAnsi="Times New Roman" w:eastAsia="Times New Roman" w:cs="Times New Roman"/>
          <w:spacing w:val="-1"/>
          <w:sz w:val="24"/>
          <w:szCs w:val="24"/>
        </w:rPr>
        <w:t>.</w:t>
      </w:r>
    </w:p>
    <w:p w14:paraId="10B3CCFD">
      <w:pPr>
        <w:spacing w:before="184" w:line="313" w:lineRule="auto"/>
        <w:ind w:left="11" w:right="80" w:firstLine="489"/>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）为使在事故状态下污水处理厂各种机械、仪表等设备正常运</w:t>
      </w:r>
      <w:r>
        <w:rPr>
          <w:rFonts w:ascii="宋体" w:hAnsi="宋体" w:eastAsia="宋体" w:cs="宋体"/>
          <w:spacing w:val="-2"/>
          <w:sz w:val="24"/>
          <w:szCs w:val="24"/>
        </w:rPr>
        <w:t>转，必须选</w:t>
      </w:r>
      <w:r>
        <w:rPr>
          <w:rFonts w:ascii="宋体" w:hAnsi="宋体" w:eastAsia="宋体" w:cs="宋体"/>
          <w:spacing w:val="3"/>
          <w:sz w:val="24"/>
          <w:szCs w:val="24"/>
        </w:rPr>
        <w:t>择质量优良、事故率低、变于维修的产品。关</w:t>
      </w:r>
      <w:r>
        <w:rPr>
          <w:rFonts w:ascii="宋体" w:hAnsi="宋体" w:eastAsia="宋体" w:cs="宋体"/>
          <w:spacing w:val="2"/>
          <w:sz w:val="24"/>
          <w:szCs w:val="24"/>
        </w:rPr>
        <w:t>键设备应有备用，易于损部件也要</w:t>
      </w:r>
      <w:r>
        <w:rPr>
          <w:rFonts w:ascii="宋体" w:hAnsi="宋体" w:eastAsia="宋体" w:cs="宋体"/>
          <w:spacing w:val="-1"/>
          <w:sz w:val="24"/>
          <w:szCs w:val="24"/>
        </w:rPr>
        <w:t>备用，在事故出现时及时更换。</w:t>
      </w:r>
    </w:p>
    <w:p w14:paraId="19FD8FF3">
      <w:pPr>
        <w:spacing w:before="182" w:line="290" w:lineRule="auto"/>
        <w:ind w:left="9" w:right="80"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）为使在事故状态下污水处理厂能够迅速恢复正常运行，设置</w:t>
      </w:r>
      <w:r>
        <w:rPr>
          <w:rFonts w:ascii="宋体" w:hAnsi="宋体" w:eastAsia="宋体" w:cs="宋体"/>
          <w:spacing w:val="-2"/>
          <w:sz w:val="24"/>
          <w:szCs w:val="24"/>
        </w:rPr>
        <w:t>事故池，并配有相应加药设备。</w:t>
      </w:r>
    </w:p>
    <w:p w14:paraId="76E790CB">
      <w:pPr>
        <w:spacing w:before="181" w:line="290" w:lineRule="auto"/>
        <w:ind w:left="9" w:right="80"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）加强事故苗头控制，定期巡检、调节、保养、维修，及时发</w:t>
      </w:r>
      <w:r>
        <w:rPr>
          <w:rFonts w:ascii="宋体" w:hAnsi="宋体" w:eastAsia="宋体" w:cs="宋体"/>
          <w:spacing w:val="-2"/>
          <w:sz w:val="24"/>
          <w:szCs w:val="24"/>
        </w:rPr>
        <w:t>现可能引起</w:t>
      </w:r>
      <w:r>
        <w:rPr>
          <w:rFonts w:ascii="宋体" w:hAnsi="宋体" w:eastAsia="宋体" w:cs="宋体"/>
          <w:spacing w:val="-1"/>
          <w:sz w:val="24"/>
          <w:szCs w:val="24"/>
        </w:rPr>
        <w:t>事故的异常运行苗头，消除事故隐患。</w:t>
      </w:r>
    </w:p>
    <w:p w14:paraId="23B27FC2">
      <w:pPr>
        <w:spacing w:before="183" w:line="286" w:lineRule="auto"/>
        <w:ind w:left="14" w:right="80" w:firstLine="486"/>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6</w:t>
      </w:r>
      <w:r>
        <w:rPr>
          <w:rFonts w:ascii="宋体" w:hAnsi="宋体" w:eastAsia="宋体" w:cs="宋体"/>
          <w:spacing w:val="-1"/>
          <w:sz w:val="24"/>
          <w:szCs w:val="24"/>
        </w:rPr>
        <w:t>）严格控制处理单元的水量、水质、停留时间，负荷强度等，</w:t>
      </w:r>
      <w:r>
        <w:rPr>
          <w:rFonts w:ascii="宋体" w:hAnsi="宋体" w:eastAsia="宋体" w:cs="宋体"/>
          <w:spacing w:val="-2"/>
          <w:sz w:val="24"/>
          <w:szCs w:val="24"/>
        </w:rPr>
        <w:t>确保处理效</w:t>
      </w:r>
      <w:r>
        <w:rPr>
          <w:rFonts w:ascii="宋体" w:hAnsi="宋体" w:eastAsia="宋体" w:cs="宋体"/>
          <w:spacing w:val="-1"/>
          <w:sz w:val="24"/>
          <w:szCs w:val="24"/>
        </w:rPr>
        <w:t>果稳定</w:t>
      </w:r>
      <w:r>
        <w:rPr>
          <w:rFonts w:ascii="Times New Roman" w:hAnsi="Times New Roman" w:eastAsia="Times New Roman" w:cs="Times New Roman"/>
          <w:spacing w:val="-1"/>
          <w:sz w:val="24"/>
          <w:szCs w:val="24"/>
        </w:rPr>
        <w:t>,</w:t>
      </w:r>
      <w:r>
        <w:rPr>
          <w:rFonts w:ascii="宋体" w:hAnsi="宋体" w:eastAsia="宋体" w:cs="宋体"/>
          <w:spacing w:val="-1"/>
          <w:sz w:val="24"/>
          <w:szCs w:val="24"/>
        </w:rPr>
        <w:t>发现不正常现象，应立即采取预防措施。</w:t>
      </w:r>
    </w:p>
    <w:p w14:paraId="594C345B">
      <w:pPr>
        <w:spacing w:before="192" w:line="290" w:lineRule="auto"/>
        <w:ind w:left="19" w:right="80" w:firstLine="48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7</w:t>
      </w:r>
      <w:r>
        <w:rPr>
          <w:rFonts w:ascii="宋体" w:hAnsi="宋体" w:eastAsia="宋体" w:cs="宋体"/>
          <w:spacing w:val="-1"/>
          <w:sz w:val="24"/>
          <w:szCs w:val="24"/>
        </w:rPr>
        <w:t>）建立污水处理厂运行管理和操作责任制度，加强污水处理厂</w:t>
      </w:r>
      <w:r>
        <w:rPr>
          <w:rFonts w:ascii="宋体" w:hAnsi="宋体" w:eastAsia="宋体" w:cs="宋体"/>
          <w:spacing w:val="-2"/>
          <w:sz w:val="24"/>
          <w:szCs w:val="24"/>
        </w:rPr>
        <w:t>人员操作技能的培训，提高操作水平。</w:t>
      </w:r>
    </w:p>
    <w:p w14:paraId="3D2CB357">
      <w:pPr>
        <w:spacing w:line="290" w:lineRule="auto"/>
        <w:rPr>
          <w:rFonts w:ascii="宋体" w:hAnsi="宋体" w:eastAsia="宋体" w:cs="宋体"/>
          <w:sz w:val="24"/>
          <w:szCs w:val="24"/>
        </w:rPr>
        <w:sectPr>
          <w:headerReference r:id="rId151" w:type="default"/>
          <w:footerReference r:id="rId152" w:type="default"/>
          <w:pgSz w:w="11906" w:h="16839"/>
          <w:pgMar w:top="1132" w:right="1620" w:bottom="1259" w:left="1701" w:header="829" w:footer="1097" w:gutter="0"/>
          <w:cols w:space="720" w:num="1"/>
        </w:sectPr>
      </w:pPr>
    </w:p>
    <w:p w14:paraId="125C80AE">
      <w:pPr>
        <w:pStyle w:val="2"/>
        <w:spacing w:line="320" w:lineRule="auto"/>
      </w:pPr>
    </w:p>
    <w:p w14:paraId="6D2994A9">
      <w:pPr>
        <w:spacing w:before="78" w:line="219" w:lineRule="auto"/>
        <w:ind w:left="50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8</w:t>
      </w:r>
      <w:r>
        <w:rPr>
          <w:rFonts w:ascii="宋体" w:hAnsi="宋体" w:eastAsia="宋体" w:cs="宋体"/>
          <w:spacing w:val="-1"/>
          <w:sz w:val="24"/>
          <w:szCs w:val="24"/>
        </w:rPr>
        <w:t>）加强运行管理和进出水的监测，未经处理达标的污水严外排。</w:t>
      </w:r>
    </w:p>
    <w:p w14:paraId="75E5B9EB">
      <w:pPr>
        <w:pStyle w:val="2"/>
        <w:spacing w:line="269" w:lineRule="auto"/>
      </w:pPr>
    </w:p>
    <w:p w14:paraId="44602F1C">
      <w:pPr>
        <w:spacing w:before="97" w:line="221" w:lineRule="auto"/>
        <w:ind w:left="11"/>
        <w:outlineLvl w:val="1"/>
        <w:rPr>
          <w:rFonts w:ascii="黑体" w:hAnsi="黑体" w:eastAsia="黑体" w:cs="黑体"/>
          <w:sz w:val="30"/>
          <w:szCs w:val="30"/>
        </w:rPr>
      </w:pPr>
      <w:bookmarkStart w:id="42" w:name="bookmark39"/>
      <w:bookmarkEnd w:id="42"/>
      <w:r>
        <w:rPr>
          <w:rFonts w:ascii="Times New Roman" w:hAnsi="Times New Roman" w:eastAsia="Times New Roman" w:cs="Times New Roman"/>
          <w:b/>
          <w:bCs/>
          <w:spacing w:val="-3"/>
          <w:sz w:val="30"/>
          <w:szCs w:val="30"/>
        </w:rPr>
        <w:t>8.3.</w:t>
      </w:r>
      <w:r>
        <w:rPr>
          <w:rFonts w:ascii="黑体" w:hAnsi="黑体" w:eastAsia="黑体" w:cs="黑体"/>
          <w:b/>
          <w:bCs/>
          <w:spacing w:val="-3"/>
          <w:sz w:val="30"/>
          <w:szCs w:val="30"/>
        </w:rPr>
        <w:t>污水处理厂突发环境事件应急措施</w:t>
      </w:r>
    </w:p>
    <w:p w14:paraId="2943C32C">
      <w:pPr>
        <w:pStyle w:val="2"/>
        <w:spacing w:line="276" w:lineRule="auto"/>
      </w:pPr>
    </w:p>
    <w:p w14:paraId="2DB53C1C">
      <w:pPr>
        <w:spacing w:before="78" w:line="361" w:lineRule="auto"/>
        <w:ind w:left="9" w:firstLine="479"/>
        <w:jc w:val="both"/>
        <w:rPr>
          <w:rFonts w:ascii="宋体" w:hAnsi="宋体" w:eastAsia="宋体" w:cs="宋体"/>
          <w:sz w:val="24"/>
          <w:szCs w:val="24"/>
        </w:rPr>
      </w:pPr>
      <w:r>
        <w:rPr>
          <w:rFonts w:ascii="宋体" w:hAnsi="宋体" w:eastAsia="宋体" w:cs="宋体"/>
          <w:spacing w:val="3"/>
          <w:sz w:val="24"/>
          <w:szCs w:val="24"/>
        </w:rPr>
        <w:t>对污水处理厂可能发生的异常情况，积极防范，在突发性污染</w:t>
      </w:r>
      <w:r>
        <w:rPr>
          <w:rFonts w:ascii="宋体" w:hAnsi="宋体" w:eastAsia="宋体" w:cs="宋体"/>
          <w:spacing w:val="2"/>
          <w:sz w:val="24"/>
          <w:szCs w:val="24"/>
        </w:rPr>
        <w:t>事故发生后，</w:t>
      </w:r>
      <w:r>
        <w:rPr>
          <w:rFonts w:ascii="宋体" w:hAnsi="宋体" w:eastAsia="宋体" w:cs="宋体"/>
          <w:spacing w:val="3"/>
          <w:sz w:val="24"/>
          <w:szCs w:val="24"/>
        </w:rPr>
        <w:t>迅速、高效、有序地开展污染事故的应急处理工作</w:t>
      </w:r>
      <w:r>
        <w:rPr>
          <w:rFonts w:ascii="宋体" w:hAnsi="宋体" w:eastAsia="宋体" w:cs="宋体"/>
          <w:spacing w:val="2"/>
          <w:sz w:val="24"/>
          <w:szCs w:val="24"/>
        </w:rPr>
        <w:t>，最大限度的避免和控制污染</w:t>
      </w:r>
      <w:r>
        <w:rPr>
          <w:rFonts w:ascii="宋体" w:hAnsi="宋体" w:eastAsia="宋体" w:cs="宋体"/>
          <w:spacing w:val="3"/>
          <w:sz w:val="24"/>
          <w:szCs w:val="24"/>
        </w:rPr>
        <w:t>的扩大；确定潜在的事故、事件或紧急情况，确保</w:t>
      </w:r>
      <w:r>
        <w:rPr>
          <w:rFonts w:ascii="宋体" w:hAnsi="宋体" w:eastAsia="宋体" w:cs="宋体"/>
          <w:spacing w:val="2"/>
          <w:sz w:val="24"/>
          <w:szCs w:val="24"/>
        </w:rPr>
        <w:t>经过处理的污水中污染物浓度</w:t>
      </w:r>
      <w:r>
        <w:rPr>
          <w:rFonts w:ascii="宋体" w:hAnsi="宋体" w:eastAsia="宋体" w:cs="宋体"/>
          <w:spacing w:val="3"/>
          <w:sz w:val="24"/>
          <w:szCs w:val="24"/>
        </w:rPr>
        <w:t>符合国家对污水排放的有关规定，并能在事故发生</w:t>
      </w:r>
      <w:r>
        <w:rPr>
          <w:rFonts w:ascii="宋体" w:hAnsi="宋体" w:eastAsia="宋体" w:cs="宋体"/>
          <w:spacing w:val="2"/>
          <w:sz w:val="24"/>
          <w:szCs w:val="24"/>
        </w:rPr>
        <w:t>后迅速有效控制处理。针对污</w:t>
      </w:r>
      <w:r>
        <w:rPr>
          <w:rFonts w:ascii="宋体" w:hAnsi="宋体" w:eastAsia="宋体" w:cs="宋体"/>
          <w:spacing w:val="3"/>
          <w:sz w:val="24"/>
          <w:szCs w:val="24"/>
        </w:rPr>
        <w:t>水处理厂可能发生突发环境事件，根据隆回工业污</w:t>
      </w:r>
      <w:r>
        <w:rPr>
          <w:rFonts w:ascii="宋体" w:hAnsi="宋体" w:eastAsia="宋体" w:cs="宋体"/>
          <w:spacing w:val="2"/>
          <w:sz w:val="24"/>
          <w:szCs w:val="24"/>
        </w:rPr>
        <w:t>水处理工程应急预案，提出如</w:t>
      </w:r>
      <w:r>
        <w:rPr>
          <w:rFonts w:ascii="宋体" w:hAnsi="宋体" w:eastAsia="宋体" w:cs="宋体"/>
          <w:spacing w:val="-2"/>
          <w:sz w:val="24"/>
          <w:szCs w:val="24"/>
        </w:rPr>
        <w:t>下应急处理措施：</w:t>
      </w:r>
    </w:p>
    <w:p w14:paraId="71B27CFC">
      <w:pPr>
        <w:spacing w:before="150" w:line="220" w:lineRule="auto"/>
        <w:ind w:left="10"/>
        <w:outlineLvl w:val="2"/>
        <w:rPr>
          <w:rFonts w:ascii="宋体" w:hAnsi="宋体" w:eastAsia="宋体" w:cs="宋体"/>
          <w:sz w:val="28"/>
          <w:szCs w:val="28"/>
        </w:rPr>
      </w:pPr>
      <w:r>
        <w:rPr>
          <w:rFonts w:ascii="Times New Roman" w:hAnsi="Times New Roman" w:eastAsia="Times New Roman" w:cs="Times New Roman"/>
          <w:b/>
          <w:bCs/>
          <w:spacing w:val="-2"/>
          <w:sz w:val="28"/>
          <w:szCs w:val="28"/>
        </w:rPr>
        <w:t>8.3.1.</w:t>
      </w:r>
      <w:r>
        <w:rPr>
          <w:rFonts w:ascii="宋体" w:hAnsi="宋体" w:eastAsia="宋体" w:cs="宋体"/>
          <w:b/>
          <w:bCs/>
          <w:spacing w:val="-2"/>
          <w:sz w:val="28"/>
          <w:szCs w:val="28"/>
        </w:rPr>
        <w:t>进水水质超标</w:t>
      </w:r>
    </w:p>
    <w:p w14:paraId="070864BB">
      <w:pPr>
        <w:pStyle w:val="2"/>
        <w:spacing w:line="254" w:lineRule="auto"/>
      </w:pPr>
    </w:p>
    <w:p w14:paraId="3FABB697">
      <w:pPr>
        <w:spacing w:before="78" w:line="325" w:lineRule="auto"/>
        <w:ind w:left="8" w:firstLine="493"/>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）污水厂应立即通知邵阳市生态环境局隆回分局进行污染源排</w:t>
      </w:r>
      <w:r>
        <w:rPr>
          <w:rFonts w:ascii="宋体" w:hAnsi="宋体" w:eastAsia="宋体" w:cs="宋体"/>
          <w:spacing w:val="-2"/>
          <w:sz w:val="24"/>
          <w:szCs w:val="24"/>
        </w:rPr>
        <w:t>查，同时化</w:t>
      </w:r>
      <w:r>
        <w:rPr>
          <w:rFonts w:ascii="宋体" w:hAnsi="宋体" w:eastAsia="宋体" w:cs="宋体"/>
          <w:spacing w:val="3"/>
          <w:sz w:val="24"/>
          <w:szCs w:val="24"/>
        </w:rPr>
        <w:t>验室立即对进水水质进行化验，针对化验出来的污染因</w:t>
      </w:r>
      <w:r>
        <w:rPr>
          <w:rFonts w:ascii="宋体" w:hAnsi="宋体" w:eastAsia="宋体" w:cs="宋体"/>
          <w:spacing w:val="2"/>
          <w:sz w:val="24"/>
          <w:szCs w:val="24"/>
        </w:rPr>
        <w:t>子投放相应的药剂，若处</w:t>
      </w:r>
      <w:r>
        <w:rPr>
          <w:rFonts w:ascii="宋体" w:hAnsi="宋体" w:eastAsia="宋体" w:cs="宋体"/>
          <w:spacing w:val="3"/>
          <w:sz w:val="24"/>
          <w:szCs w:val="24"/>
        </w:rPr>
        <w:t>置措施没有效果或者效果不佳，及时报告，并请示相关</w:t>
      </w:r>
      <w:r>
        <w:rPr>
          <w:rFonts w:ascii="宋体" w:hAnsi="宋体" w:eastAsia="宋体" w:cs="宋体"/>
          <w:spacing w:val="2"/>
          <w:sz w:val="24"/>
          <w:szCs w:val="24"/>
        </w:rPr>
        <w:t>专家协助。同时将化验单</w:t>
      </w:r>
      <w:r>
        <w:rPr>
          <w:rFonts w:ascii="宋体" w:hAnsi="宋体" w:eastAsia="宋体" w:cs="宋体"/>
          <w:sz w:val="24"/>
          <w:szCs w:val="24"/>
        </w:rPr>
        <w:t>送至邵阳市生态环境局隆回分局，便于隆回分</w:t>
      </w:r>
      <w:r>
        <w:rPr>
          <w:rFonts w:ascii="宋体" w:hAnsi="宋体" w:eastAsia="宋体" w:cs="宋体"/>
          <w:spacing w:val="-1"/>
          <w:sz w:val="24"/>
          <w:szCs w:val="24"/>
        </w:rPr>
        <w:t>局对污染源的排查。</w:t>
      </w:r>
    </w:p>
    <w:p w14:paraId="7452BA96">
      <w:pPr>
        <w:spacing w:before="183" w:line="290" w:lineRule="auto"/>
        <w:ind w:left="9"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）超出企业污水处理能力时，可向邵阳市生态环境局隆回分局</w:t>
      </w:r>
      <w:r>
        <w:rPr>
          <w:rFonts w:ascii="宋体" w:hAnsi="宋体" w:eastAsia="宋体" w:cs="宋体"/>
          <w:spacing w:val="-2"/>
          <w:sz w:val="24"/>
          <w:szCs w:val="24"/>
        </w:rPr>
        <w:t>请求外部支</w:t>
      </w:r>
      <w:r>
        <w:rPr>
          <w:rFonts w:ascii="宋体" w:hAnsi="宋体" w:eastAsia="宋体" w:cs="宋体"/>
          <w:spacing w:val="-5"/>
          <w:sz w:val="24"/>
          <w:szCs w:val="24"/>
        </w:rPr>
        <w:t>援。</w:t>
      </w:r>
    </w:p>
    <w:p w14:paraId="41421858">
      <w:pPr>
        <w:spacing w:before="181" w:line="290" w:lineRule="auto"/>
        <w:ind w:left="12" w:firstLine="488"/>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）企业平时应加强巡查力度，按照本预案要求落实责任部门、</w:t>
      </w:r>
      <w:r>
        <w:rPr>
          <w:rFonts w:ascii="宋体" w:hAnsi="宋体" w:eastAsia="宋体" w:cs="宋体"/>
          <w:spacing w:val="-2"/>
          <w:sz w:val="24"/>
          <w:szCs w:val="24"/>
        </w:rPr>
        <w:t>责任人及巡</w:t>
      </w:r>
      <w:r>
        <w:rPr>
          <w:rFonts w:ascii="宋体" w:hAnsi="宋体" w:eastAsia="宋体" w:cs="宋体"/>
          <w:spacing w:val="-1"/>
          <w:sz w:val="24"/>
          <w:szCs w:val="24"/>
        </w:rPr>
        <w:t>查频次，出现进水水质异常能及时发现、处理。</w:t>
      </w:r>
    </w:p>
    <w:p w14:paraId="55DFE295">
      <w:pPr>
        <w:pStyle w:val="2"/>
        <w:spacing w:line="247" w:lineRule="auto"/>
      </w:pPr>
    </w:p>
    <w:p w14:paraId="763EDE0A">
      <w:pPr>
        <w:spacing w:before="91" w:line="220" w:lineRule="auto"/>
        <w:ind w:left="10"/>
        <w:outlineLvl w:val="2"/>
        <w:rPr>
          <w:rFonts w:ascii="宋体" w:hAnsi="宋体" w:eastAsia="宋体" w:cs="宋体"/>
          <w:sz w:val="28"/>
          <w:szCs w:val="28"/>
        </w:rPr>
      </w:pPr>
      <w:r>
        <w:rPr>
          <w:rFonts w:ascii="Times New Roman" w:hAnsi="Times New Roman" w:eastAsia="Times New Roman" w:cs="Times New Roman"/>
          <w:b/>
          <w:bCs/>
          <w:spacing w:val="-5"/>
          <w:sz w:val="28"/>
          <w:szCs w:val="28"/>
        </w:rPr>
        <w:t>8.3.2.</w:t>
      </w:r>
      <w:r>
        <w:rPr>
          <w:rFonts w:ascii="宋体" w:hAnsi="宋体" w:eastAsia="宋体" w:cs="宋体"/>
          <w:b/>
          <w:bCs/>
          <w:spacing w:val="-5"/>
          <w:sz w:val="28"/>
          <w:szCs w:val="28"/>
        </w:rPr>
        <w:t>出水水质超标</w:t>
      </w:r>
    </w:p>
    <w:p w14:paraId="1DDB2309">
      <w:pPr>
        <w:pStyle w:val="2"/>
        <w:spacing w:line="253" w:lineRule="auto"/>
      </w:pPr>
    </w:p>
    <w:p w14:paraId="2C2FEB41">
      <w:pPr>
        <w:spacing w:before="78" w:line="218" w:lineRule="auto"/>
        <w:ind w:left="50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）现场人员立即报告污水厂应急指挥负责人，即时启动应急预案。</w:t>
      </w:r>
    </w:p>
    <w:p w14:paraId="0A51EC41">
      <w:pPr>
        <w:spacing w:before="185" w:line="313" w:lineRule="auto"/>
        <w:ind w:left="13" w:right="41" w:firstLine="487"/>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）安排人员对系统进行检修，紧急情况下安</w:t>
      </w:r>
      <w:r>
        <w:rPr>
          <w:rFonts w:ascii="宋体" w:hAnsi="宋体" w:eastAsia="宋体" w:cs="宋体"/>
          <w:spacing w:val="-3"/>
          <w:sz w:val="24"/>
          <w:szCs w:val="24"/>
        </w:rPr>
        <w:t>装备用设备，关闭出水阀门，</w:t>
      </w:r>
      <w:r>
        <w:rPr>
          <w:rFonts w:ascii="宋体" w:hAnsi="宋体" w:eastAsia="宋体" w:cs="宋体"/>
          <w:spacing w:val="1"/>
          <w:sz w:val="24"/>
          <w:szCs w:val="24"/>
        </w:rPr>
        <w:t>防止外排；确定修复时间，根据修理时间及管网情况确定能否容纳入厂的废水，</w:t>
      </w:r>
      <w:r>
        <w:rPr>
          <w:rFonts w:ascii="宋体" w:hAnsi="宋体" w:eastAsia="宋体" w:cs="宋体"/>
          <w:sz w:val="24"/>
          <w:szCs w:val="24"/>
        </w:rPr>
        <w:t>如不能，及时通报邵阳市生态环境局隆回分</w:t>
      </w:r>
      <w:r>
        <w:rPr>
          <w:rFonts w:ascii="宋体" w:hAnsi="宋体" w:eastAsia="宋体" w:cs="宋体"/>
          <w:spacing w:val="-1"/>
          <w:sz w:val="24"/>
          <w:szCs w:val="24"/>
        </w:rPr>
        <w:t>局，督促各个企业提高排污标准。</w:t>
      </w:r>
    </w:p>
    <w:p w14:paraId="733AABE8">
      <w:pPr>
        <w:spacing w:before="182" w:line="290" w:lineRule="auto"/>
        <w:ind w:left="10" w:firstLine="49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）安排监测人员对污水总排口水质进行监测，统计监测数据，</w:t>
      </w:r>
      <w:r>
        <w:rPr>
          <w:rFonts w:ascii="宋体" w:hAnsi="宋体" w:eastAsia="宋体" w:cs="宋体"/>
          <w:spacing w:val="-2"/>
          <w:sz w:val="24"/>
          <w:szCs w:val="24"/>
        </w:rPr>
        <w:t>如实汇报水</w:t>
      </w:r>
      <w:r>
        <w:rPr>
          <w:rFonts w:ascii="宋体" w:hAnsi="宋体" w:eastAsia="宋体" w:cs="宋体"/>
          <w:spacing w:val="-1"/>
          <w:sz w:val="24"/>
          <w:szCs w:val="24"/>
        </w:rPr>
        <w:t>质情况及事故发展态势。</w:t>
      </w:r>
    </w:p>
    <w:p w14:paraId="00E30134">
      <w:pPr>
        <w:spacing w:before="182" w:line="290" w:lineRule="auto"/>
        <w:ind w:left="12" w:firstLine="488"/>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）企业平时应加强巡查力度，按照本预案要求落实责任部门、</w:t>
      </w:r>
      <w:r>
        <w:rPr>
          <w:rFonts w:ascii="宋体" w:hAnsi="宋体" w:eastAsia="宋体" w:cs="宋体"/>
          <w:spacing w:val="-2"/>
          <w:sz w:val="24"/>
          <w:szCs w:val="24"/>
        </w:rPr>
        <w:t>责任人及巡</w:t>
      </w:r>
      <w:r>
        <w:rPr>
          <w:rFonts w:ascii="宋体" w:hAnsi="宋体" w:eastAsia="宋体" w:cs="宋体"/>
          <w:spacing w:val="-1"/>
          <w:sz w:val="24"/>
          <w:szCs w:val="24"/>
        </w:rPr>
        <w:t>查频次，出现排水水质异常能及时发现、处理。</w:t>
      </w:r>
    </w:p>
    <w:p w14:paraId="4CB9F5D9">
      <w:pPr>
        <w:spacing w:line="290" w:lineRule="auto"/>
        <w:rPr>
          <w:rFonts w:ascii="宋体" w:hAnsi="宋体" w:eastAsia="宋体" w:cs="宋体"/>
          <w:sz w:val="24"/>
          <w:szCs w:val="24"/>
        </w:rPr>
        <w:sectPr>
          <w:footerReference r:id="rId153" w:type="default"/>
          <w:pgSz w:w="11906" w:h="16839"/>
          <w:pgMar w:top="1132" w:right="1700" w:bottom="1259" w:left="1701" w:header="829" w:footer="1097" w:gutter="0"/>
          <w:cols w:space="720" w:num="1"/>
        </w:sectPr>
      </w:pPr>
    </w:p>
    <w:p w14:paraId="5F8175FD">
      <w:pPr>
        <w:pStyle w:val="2"/>
        <w:spacing w:line="362" w:lineRule="auto"/>
      </w:pPr>
    </w:p>
    <w:p w14:paraId="17D089D8">
      <w:pPr>
        <w:spacing w:before="91" w:line="220" w:lineRule="auto"/>
        <w:ind w:left="10"/>
        <w:outlineLvl w:val="2"/>
        <w:rPr>
          <w:rFonts w:ascii="宋体" w:hAnsi="宋体" w:eastAsia="宋体" w:cs="宋体"/>
          <w:sz w:val="28"/>
          <w:szCs w:val="28"/>
        </w:rPr>
      </w:pPr>
      <w:r>
        <w:rPr>
          <w:rFonts w:ascii="Times New Roman" w:hAnsi="Times New Roman" w:eastAsia="Times New Roman" w:cs="Times New Roman"/>
          <w:b/>
          <w:bCs/>
          <w:spacing w:val="-2"/>
          <w:sz w:val="28"/>
          <w:szCs w:val="28"/>
        </w:rPr>
        <w:t>8.3.3.</w:t>
      </w:r>
      <w:r>
        <w:rPr>
          <w:rFonts w:ascii="宋体" w:hAnsi="宋体" w:eastAsia="宋体" w:cs="宋体"/>
          <w:b/>
          <w:bCs/>
          <w:spacing w:val="-2"/>
          <w:sz w:val="28"/>
          <w:szCs w:val="28"/>
        </w:rPr>
        <w:t>污水处理厂尾水泄漏环境风险控制及防范措施</w:t>
      </w:r>
    </w:p>
    <w:p w14:paraId="5E203236">
      <w:pPr>
        <w:pStyle w:val="2"/>
        <w:spacing w:line="253" w:lineRule="auto"/>
      </w:pPr>
    </w:p>
    <w:p w14:paraId="2C45B964">
      <w:pPr>
        <w:spacing w:before="78" w:line="220" w:lineRule="auto"/>
        <w:ind w:left="501"/>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）泄露控制措施</w:t>
      </w:r>
    </w:p>
    <w:p w14:paraId="0F9A8BE6">
      <w:pPr>
        <w:spacing w:before="181" w:line="360" w:lineRule="auto"/>
        <w:ind w:left="10" w:right="61" w:firstLine="482"/>
        <w:rPr>
          <w:rFonts w:ascii="宋体" w:hAnsi="宋体" w:eastAsia="宋体" w:cs="宋体"/>
          <w:sz w:val="24"/>
          <w:szCs w:val="24"/>
        </w:rPr>
      </w:pPr>
      <w:r>
        <w:rPr>
          <w:rFonts w:ascii="宋体" w:hAnsi="宋体" w:eastAsia="宋体" w:cs="宋体"/>
          <w:spacing w:val="3"/>
          <w:sz w:val="24"/>
          <w:szCs w:val="24"/>
        </w:rPr>
        <w:t>发现尾水泄露，立即按照污水处理厂应急预案有关</w:t>
      </w:r>
      <w:r>
        <w:rPr>
          <w:rFonts w:ascii="宋体" w:hAnsi="宋体" w:eastAsia="宋体" w:cs="宋体"/>
          <w:spacing w:val="2"/>
          <w:sz w:val="24"/>
          <w:szCs w:val="24"/>
        </w:rPr>
        <w:t>规定，将情况通报隆回高</w:t>
      </w:r>
      <w:r>
        <w:rPr>
          <w:rFonts w:ascii="宋体" w:hAnsi="宋体" w:eastAsia="宋体" w:cs="宋体"/>
          <w:spacing w:val="-1"/>
          <w:sz w:val="24"/>
          <w:szCs w:val="24"/>
        </w:rPr>
        <w:t>新技术产业开发区管委会、邵阳市生态环境局隆回分局。</w:t>
      </w:r>
    </w:p>
    <w:p w14:paraId="47D0780F">
      <w:pPr>
        <w:spacing w:before="2" w:line="359" w:lineRule="auto"/>
        <w:ind w:left="8" w:right="61" w:firstLine="484"/>
        <w:rPr>
          <w:rFonts w:ascii="宋体" w:hAnsi="宋体" w:eastAsia="宋体" w:cs="宋体"/>
          <w:sz w:val="24"/>
          <w:szCs w:val="24"/>
        </w:rPr>
      </w:pPr>
      <w:r>
        <w:rPr>
          <w:rFonts w:ascii="宋体" w:hAnsi="宋体" w:eastAsia="宋体" w:cs="宋体"/>
          <w:spacing w:val="3"/>
          <w:sz w:val="24"/>
          <w:szCs w:val="24"/>
        </w:rPr>
        <w:t>一旦发现因管道破损造成的流量损失，立即组织应</w:t>
      </w:r>
      <w:r>
        <w:rPr>
          <w:rFonts w:ascii="宋体" w:hAnsi="宋体" w:eastAsia="宋体" w:cs="宋体"/>
          <w:spacing w:val="2"/>
          <w:sz w:val="24"/>
          <w:szCs w:val="24"/>
        </w:rPr>
        <w:t>急人员调查泄露位置、来</w:t>
      </w:r>
      <w:r>
        <w:rPr>
          <w:rFonts w:ascii="宋体" w:hAnsi="宋体" w:eastAsia="宋体" w:cs="宋体"/>
          <w:spacing w:val="-1"/>
          <w:sz w:val="24"/>
          <w:szCs w:val="24"/>
        </w:rPr>
        <w:t>源、水量大小等相关情况。</w:t>
      </w:r>
    </w:p>
    <w:p w14:paraId="2B60FAF3">
      <w:pPr>
        <w:spacing w:before="5" w:line="359" w:lineRule="auto"/>
        <w:ind w:left="9" w:right="61" w:firstLine="479"/>
        <w:jc w:val="both"/>
        <w:rPr>
          <w:rFonts w:ascii="宋体" w:hAnsi="宋体" w:eastAsia="宋体" w:cs="宋体"/>
          <w:sz w:val="24"/>
          <w:szCs w:val="24"/>
        </w:rPr>
      </w:pPr>
      <w:r>
        <w:rPr>
          <w:rFonts w:ascii="宋体" w:hAnsi="宋体" w:eastAsia="宋体" w:cs="宋体"/>
          <w:spacing w:val="3"/>
          <w:sz w:val="24"/>
          <w:szCs w:val="24"/>
        </w:rPr>
        <w:t>对已造成的水域污染的情况，应尽可能控制和缩小已排放污染</w:t>
      </w:r>
      <w:r>
        <w:rPr>
          <w:rFonts w:ascii="宋体" w:hAnsi="宋体" w:eastAsia="宋体" w:cs="宋体"/>
          <w:spacing w:val="2"/>
          <w:sz w:val="24"/>
          <w:szCs w:val="24"/>
        </w:rPr>
        <w:t>物的扩散、辐</w:t>
      </w:r>
      <w:r>
        <w:rPr>
          <w:rFonts w:ascii="宋体" w:hAnsi="宋体" w:eastAsia="宋体" w:cs="宋体"/>
          <w:spacing w:val="3"/>
          <w:sz w:val="24"/>
          <w:szCs w:val="24"/>
        </w:rPr>
        <w:t>射蔓延的范围，把事故危害降低到最小程度。相对</w:t>
      </w:r>
      <w:r>
        <w:rPr>
          <w:rFonts w:ascii="宋体" w:hAnsi="宋体" w:eastAsia="宋体" w:cs="宋体"/>
          <w:spacing w:val="2"/>
          <w:sz w:val="24"/>
          <w:szCs w:val="24"/>
        </w:rPr>
        <w:t>应措施如：立即关闭污水排水</w:t>
      </w:r>
      <w:r>
        <w:rPr>
          <w:rFonts w:ascii="宋体" w:hAnsi="宋体" w:eastAsia="宋体" w:cs="宋体"/>
          <w:spacing w:val="3"/>
          <w:sz w:val="24"/>
          <w:szCs w:val="24"/>
        </w:rPr>
        <w:t>闸阀，切断排污系统电源并查找原因，采取相应补</w:t>
      </w:r>
      <w:r>
        <w:rPr>
          <w:rFonts w:ascii="宋体" w:hAnsi="宋体" w:eastAsia="宋体" w:cs="宋体"/>
          <w:spacing w:val="2"/>
          <w:sz w:val="24"/>
          <w:szCs w:val="24"/>
        </w:rPr>
        <w:t>救方案；做好赧水断面水质应</w:t>
      </w:r>
      <w:r>
        <w:rPr>
          <w:rFonts w:ascii="宋体" w:hAnsi="宋体" w:eastAsia="宋体" w:cs="宋体"/>
          <w:spacing w:val="-1"/>
          <w:sz w:val="24"/>
          <w:szCs w:val="24"/>
        </w:rPr>
        <w:t>急监测，及时掌握赧水水质变化情况。</w:t>
      </w:r>
    </w:p>
    <w:p w14:paraId="198E0670">
      <w:pPr>
        <w:spacing w:line="220" w:lineRule="auto"/>
        <w:ind w:left="501"/>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）泄露防范措施</w:t>
      </w:r>
    </w:p>
    <w:p w14:paraId="020504D9">
      <w:pPr>
        <w:spacing w:before="182" w:line="360" w:lineRule="auto"/>
        <w:ind w:left="8" w:right="61" w:firstLine="480"/>
        <w:rPr>
          <w:rFonts w:ascii="宋体" w:hAnsi="宋体" w:eastAsia="宋体" w:cs="宋体"/>
          <w:sz w:val="24"/>
          <w:szCs w:val="24"/>
        </w:rPr>
      </w:pPr>
      <w:r>
        <w:rPr>
          <w:rFonts w:ascii="宋体" w:hAnsi="宋体" w:eastAsia="宋体" w:cs="宋体"/>
          <w:spacing w:val="3"/>
          <w:sz w:val="24"/>
          <w:szCs w:val="24"/>
        </w:rPr>
        <w:t>加强废污水输送管的防护工作，严防暴雨季节发生泥石流、</w:t>
      </w:r>
      <w:r>
        <w:rPr>
          <w:rFonts w:ascii="宋体" w:hAnsi="宋体" w:eastAsia="宋体" w:cs="宋体"/>
          <w:spacing w:val="2"/>
          <w:sz w:val="24"/>
          <w:szCs w:val="24"/>
        </w:rPr>
        <w:t>滑坡等地质灾害</w:t>
      </w:r>
      <w:r>
        <w:rPr>
          <w:rFonts w:ascii="宋体" w:hAnsi="宋体" w:eastAsia="宋体" w:cs="宋体"/>
          <w:spacing w:val="-1"/>
          <w:sz w:val="24"/>
          <w:szCs w:val="24"/>
        </w:rPr>
        <w:t>对管线的破坏，避免因废污水泄漏对湿地公园水质造成污染。</w:t>
      </w:r>
    </w:p>
    <w:p w14:paraId="0F95B8EB">
      <w:pPr>
        <w:spacing w:line="362" w:lineRule="auto"/>
        <w:ind w:left="12" w:right="61" w:firstLine="479"/>
        <w:rPr>
          <w:rFonts w:ascii="宋体" w:hAnsi="宋体" w:eastAsia="宋体" w:cs="宋体"/>
          <w:sz w:val="24"/>
          <w:szCs w:val="24"/>
        </w:rPr>
      </w:pPr>
      <w:r>
        <w:rPr>
          <w:rFonts w:ascii="宋体" w:hAnsi="宋体" w:eastAsia="宋体" w:cs="宋体"/>
          <w:spacing w:val="3"/>
          <w:sz w:val="24"/>
          <w:szCs w:val="24"/>
        </w:rPr>
        <w:t>成立专业抢修队伍，抢修队伍配备专业的抢修设备和适</w:t>
      </w:r>
      <w:r>
        <w:rPr>
          <w:rFonts w:ascii="宋体" w:hAnsi="宋体" w:eastAsia="宋体" w:cs="宋体"/>
          <w:spacing w:val="2"/>
          <w:sz w:val="24"/>
          <w:szCs w:val="24"/>
        </w:rPr>
        <w:t>量的管材；加强抢修</w:t>
      </w:r>
      <w:r>
        <w:rPr>
          <w:rFonts w:ascii="宋体" w:hAnsi="宋体" w:eastAsia="宋体" w:cs="宋体"/>
          <w:spacing w:val="-1"/>
          <w:sz w:val="24"/>
          <w:szCs w:val="24"/>
        </w:rPr>
        <w:t>训练，当发生抢修作业时，抢修应在</w:t>
      </w:r>
      <w:r>
        <w:rPr>
          <w:rFonts w:ascii="Times New Roman" w:hAnsi="Times New Roman" w:eastAsia="Times New Roman" w:cs="Times New Roman"/>
          <w:spacing w:val="-1"/>
          <w:sz w:val="24"/>
          <w:szCs w:val="24"/>
        </w:rPr>
        <w:t>5~6</w:t>
      </w:r>
      <w:r>
        <w:rPr>
          <w:rFonts w:ascii="宋体" w:hAnsi="宋体" w:eastAsia="宋体" w:cs="宋体"/>
          <w:spacing w:val="-1"/>
          <w:sz w:val="24"/>
          <w:szCs w:val="24"/>
        </w:rPr>
        <w:t>个小时内完成。</w:t>
      </w:r>
    </w:p>
    <w:p w14:paraId="59639D19">
      <w:pPr>
        <w:spacing w:before="151" w:line="221" w:lineRule="auto"/>
        <w:ind w:left="10"/>
        <w:outlineLvl w:val="2"/>
        <w:rPr>
          <w:rFonts w:ascii="宋体" w:hAnsi="宋体" w:eastAsia="宋体" w:cs="宋体"/>
          <w:sz w:val="28"/>
          <w:szCs w:val="28"/>
        </w:rPr>
      </w:pPr>
      <w:r>
        <w:rPr>
          <w:rFonts w:ascii="Times New Roman" w:hAnsi="Times New Roman" w:eastAsia="Times New Roman" w:cs="Times New Roman"/>
          <w:b/>
          <w:bCs/>
          <w:spacing w:val="-2"/>
          <w:sz w:val="28"/>
          <w:szCs w:val="28"/>
        </w:rPr>
        <w:t>8.3.4.</w:t>
      </w:r>
      <w:r>
        <w:rPr>
          <w:rFonts w:ascii="宋体" w:hAnsi="宋体" w:eastAsia="宋体" w:cs="宋体"/>
          <w:b/>
          <w:bCs/>
          <w:spacing w:val="-2"/>
          <w:sz w:val="28"/>
          <w:szCs w:val="28"/>
        </w:rPr>
        <w:t>其他应急处理措施</w:t>
      </w:r>
    </w:p>
    <w:p w14:paraId="3B221BE6">
      <w:pPr>
        <w:pStyle w:val="2"/>
        <w:spacing w:line="252" w:lineRule="auto"/>
      </w:pPr>
    </w:p>
    <w:p w14:paraId="2B127278">
      <w:pPr>
        <w:spacing w:before="79" w:line="360" w:lineRule="auto"/>
        <w:ind w:left="8" w:firstLine="483"/>
        <w:jc w:val="both"/>
        <w:rPr>
          <w:rFonts w:ascii="宋体" w:hAnsi="宋体" w:eastAsia="宋体" w:cs="宋体"/>
          <w:sz w:val="24"/>
          <w:szCs w:val="24"/>
        </w:rPr>
      </w:pPr>
      <w:r>
        <w:rPr>
          <w:rFonts w:ascii="宋体" w:hAnsi="宋体" w:eastAsia="宋体" w:cs="宋体"/>
          <w:spacing w:val="3"/>
          <w:sz w:val="24"/>
          <w:szCs w:val="24"/>
        </w:rPr>
        <w:t>污水处理厂设置出水水质自动监测装置及报警装置，设</w:t>
      </w:r>
      <w:r>
        <w:rPr>
          <w:rFonts w:ascii="宋体" w:hAnsi="宋体" w:eastAsia="宋体" w:cs="宋体"/>
          <w:spacing w:val="2"/>
          <w:sz w:val="24"/>
          <w:szCs w:val="24"/>
        </w:rPr>
        <w:t>置进厂、出厂污水截</w:t>
      </w:r>
      <w:r>
        <w:rPr>
          <w:rFonts w:ascii="宋体" w:hAnsi="宋体" w:eastAsia="宋体" w:cs="宋体"/>
          <w:spacing w:val="3"/>
          <w:sz w:val="24"/>
          <w:szCs w:val="24"/>
        </w:rPr>
        <w:t>断闸门，当事故发生后，立即截断污水来源和杜绝事故</w:t>
      </w:r>
      <w:r>
        <w:rPr>
          <w:rFonts w:ascii="宋体" w:hAnsi="宋体" w:eastAsia="宋体" w:cs="宋体"/>
          <w:spacing w:val="2"/>
          <w:sz w:val="24"/>
          <w:szCs w:val="24"/>
        </w:rPr>
        <w:t>排放，及时发现不良水质</w:t>
      </w:r>
      <w:r>
        <w:rPr>
          <w:rFonts w:ascii="宋体" w:hAnsi="宋体" w:eastAsia="宋体" w:cs="宋体"/>
          <w:spacing w:val="-4"/>
          <w:sz w:val="24"/>
          <w:szCs w:val="24"/>
        </w:rPr>
        <w:t>进入污水处理厂。对总排口</w:t>
      </w:r>
      <w:r>
        <w:rPr>
          <w:rFonts w:ascii="Times New Roman" w:hAnsi="Times New Roman" w:eastAsia="Times New Roman" w:cs="Times New Roman"/>
          <w:spacing w:val="-4"/>
          <w:sz w:val="24"/>
          <w:szCs w:val="24"/>
        </w:rPr>
        <w:t>pH</w:t>
      </w:r>
      <w:r>
        <w:rPr>
          <w:rFonts w:ascii="宋体" w:hAnsi="宋体" w:eastAsia="宋体" w:cs="宋体"/>
          <w:spacing w:val="-4"/>
          <w:sz w:val="24"/>
          <w:szCs w:val="24"/>
        </w:rPr>
        <w:t>、流量、</w:t>
      </w:r>
      <w:r>
        <w:rPr>
          <w:rFonts w:ascii="Times New Roman" w:hAnsi="Times New Roman" w:eastAsia="Times New Roman" w:cs="Times New Roman"/>
          <w:spacing w:val="-4"/>
          <w:sz w:val="24"/>
          <w:szCs w:val="24"/>
        </w:rPr>
        <w:t>COD</w:t>
      </w:r>
      <w:r>
        <w:rPr>
          <w:rFonts w:ascii="宋体" w:hAnsi="宋体" w:eastAsia="宋体" w:cs="宋体"/>
          <w:spacing w:val="-4"/>
          <w:sz w:val="24"/>
          <w:szCs w:val="24"/>
        </w:rPr>
        <w:t>、氨氮、总</w:t>
      </w:r>
      <w:r>
        <w:rPr>
          <w:rFonts w:ascii="宋体" w:hAnsi="宋体" w:eastAsia="宋体" w:cs="宋体"/>
          <w:spacing w:val="-5"/>
          <w:sz w:val="24"/>
          <w:szCs w:val="24"/>
        </w:rPr>
        <w:t>磷、总氮等进行在线监测，</w:t>
      </w:r>
      <w:r>
        <w:rPr>
          <w:rFonts w:ascii="宋体" w:hAnsi="宋体" w:eastAsia="宋体" w:cs="宋体"/>
          <w:spacing w:val="3"/>
          <w:sz w:val="24"/>
          <w:szCs w:val="24"/>
        </w:rPr>
        <w:t>一旦发现废水可生化性较低或总排口废水不达标立即报</w:t>
      </w:r>
      <w:r>
        <w:rPr>
          <w:rFonts w:ascii="宋体" w:hAnsi="宋体" w:eastAsia="宋体" w:cs="宋体"/>
          <w:spacing w:val="2"/>
          <w:sz w:val="24"/>
          <w:szCs w:val="24"/>
        </w:rPr>
        <w:t>警，同时截断污水来源和</w:t>
      </w:r>
      <w:r>
        <w:rPr>
          <w:rFonts w:ascii="宋体" w:hAnsi="宋体" w:eastAsia="宋体" w:cs="宋体"/>
          <w:spacing w:val="-2"/>
          <w:sz w:val="24"/>
          <w:szCs w:val="24"/>
        </w:rPr>
        <w:t>杜绝事故排放。</w:t>
      </w:r>
    </w:p>
    <w:p w14:paraId="3AFDF7F5">
      <w:pPr>
        <w:spacing w:before="187" w:line="222" w:lineRule="auto"/>
        <w:ind w:left="11"/>
        <w:outlineLvl w:val="1"/>
        <w:rPr>
          <w:rFonts w:ascii="黑体" w:hAnsi="黑体" w:eastAsia="黑体" w:cs="黑体"/>
          <w:sz w:val="30"/>
          <w:szCs w:val="30"/>
        </w:rPr>
      </w:pPr>
      <w:bookmarkStart w:id="43" w:name="bookmark40"/>
      <w:bookmarkEnd w:id="43"/>
      <w:r>
        <w:rPr>
          <w:rFonts w:ascii="Times New Roman" w:hAnsi="Times New Roman" w:eastAsia="Times New Roman" w:cs="Times New Roman"/>
          <w:b/>
          <w:bCs/>
          <w:spacing w:val="-3"/>
          <w:sz w:val="30"/>
          <w:szCs w:val="30"/>
        </w:rPr>
        <w:t>8.4.</w:t>
      </w:r>
      <w:r>
        <w:rPr>
          <w:rFonts w:ascii="黑体" w:hAnsi="黑体" w:eastAsia="黑体" w:cs="黑体"/>
          <w:b/>
          <w:bCs/>
          <w:spacing w:val="-3"/>
          <w:sz w:val="30"/>
          <w:szCs w:val="30"/>
        </w:rPr>
        <w:t>水污染事故应急处理管理措施</w:t>
      </w:r>
    </w:p>
    <w:p w14:paraId="66CC35C9">
      <w:pPr>
        <w:pStyle w:val="2"/>
        <w:spacing w:line="277" w:lineRule="auto"/>
      </w:pPr>
    </w:p>
    <w:p w14:paraId="2A7B2D64">
      <w:pPr>
        <w:spacing w:before="78" w:line="219" w:lineRule="auto"/>
        <w:ind w:left="50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）水污染事故应急监测</w:t>
      </w:r>
    </w:p>
    <w:p w14:paraId="659B52CE">
      <w:pPr>
        <w:spacing w:before="184" w:line="361" w:lineRule="auto"/>
        <w:ind w:left="10" w:right="61" w:firstLine="494"/>
        <w:rPr>
          <w:rFonts w:ascii="宋体" w:hAnsi="宋体" w:eastAsia="宋体" w:cs="宋体"/>
          <w:sz w:val="24"/>
          <w:szCs w:val="24"/>
        </w:rPr>
      </w:pPr>
      <w:r>
        <w:rPr>
          <w:rFonts w:ascii="宋体" w:hAnsi="宋体" w:eastAsia="宋体" w:cs="宋体"/>
          <w:spacing w:val="2"/>
          <w:sz w:val="24"/>
          <w:szCs w:val="24"/>
        </w:rPr>
        <w:t>当发生突发性水污染事故或者污染防治设施运行不正常时，可能产生比正常</w:t>
      </w:r>
      <w:r>
        <w:rPr>
          <w:rFonts w:ascii="宋体" w:hAnsi="宋体" w:eastAsia="宋体" w:cs="宋体"/>
          <w:spacing w:val="3"/>
          <w:sz w:val="24"/>
          <w:szCs w:val="24"/>
        </w:rPr>
        <w:t>生产情况下更加严重的水环境污染，隆回市生态</w:t>
      </w:r>
      <w:r>
        <w:rPr>
          <w:rFonts w:ascii="宋体" w:hAnsi="宋体" w:eastAsia="宋体" w:cs="宋体"/>
          <w:spacing w:val="2"/>
          <w:sz w:val="24"/>
          <w:szCs w:val="24"/>
        </w:rPr>
        <w:t>环境监测中心需马上对事故状态</w:t>
      </w:r>
      <w:r>
        <w:rPr>
          <w:rFonts w:ascii="宋体" w:hAnsi="宋体" w:eastAsia="宋体" w:cs="宋体"/>
          <w:spacing w:val="3"/>
          <w:sz w:val="24"/>
          <w:szCs w:val="24"/>
        </w:rPr>
        <w:t>可能造成的污染源及时分析，做好排污河段水质</w:t>
      </w:r>
      <w:r>
        <w:rPr>
          <w:rFonts w:ascii="宋体" w:hAnsi="宋体" w:eastAsia="宋体" w:cs="宋体"/>
          <w:spacing w:val="2"/>
          <w:sz w:val="24"/>
          <w:szCs w:val="24"/>
        </w:rPr>
        <w:t>的应急监测工作，增加监测次数</w:t>
      </w:r>
      <w:r>
        <w:rPr>
          <w:rFonts w:ascii="宋体" w:hAnsi="宋体" w:eastAsia="宋体" w:cs="宋体"/>
          <w:spacing w:val="-3"/>
          <w:sz w:val="24"/>
          <w:szCs w:val="24"/>
        </w:rPr>
        <w:t>和指标。</w:t>
      </w:r>
    </w:p>
    <w:p w14:paraId="2C3E8C83">
      <w:pPr>
        <w:spacing w:line="361" w:lineRule="auto"/>
        <w:rPr>
          <w:rFonts w:ascii="宋体" w:hAnsi="宋体" w:eastAsia="宋体" w:cs="宋体"/>
          <w:sz w:val="24"/>
          <w:szCs w:val="24"/>
        </w:rPr>
        <w:sectPr>
          <w:headerReference r:id="rId154" w:type="default"/>
          <w:footerReference r:id="rId155" w:type="default"/>
          <w:pgSz w:w="11906" w:h="16839"/>
          <w:pgMar w:top="1132" w:right="1639" w:bottom="1259" w:left="1701" w:header="829" w:footer="1097" w:gutter="0"/>
          <w:cols w:space="720" w:num="1"/>
        </w:sectPr>
      </w:pPr>
    </w:p>
    <w:p w14:paraId="311C6119">
      <w:pPr>
        <w:pStyle w:val="2"/>
        <w:spacing w:line="319" w:lineRule="auto"/>
      </w:pPr>
    </w:p>
    <w:p w14:paraId="290DEC21">
      <w:pPr>
        <w:spacing w:before="78" w:line="218" w:lineRule="auto"/>
        <w:ind w:left="50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）建立事故性排放的报告制度</w:t>
      </w:r>
    </w:p>
    <w:p w14:paraId="609E1104">
      <w:pPr>
        <w:spacing w:before="184" w:line="360" w:lineRule="auto"/>
        <w:ind w:left="8" w:firstLine="482"/>
        <w:rPr>
          <w:rFonts w:ascii="宋体" w:hAnsi="宋体" w:eastAsia="宋体" w:cs="宋体"/>
          <w:sz w:val="24"/>
          <w:szCs w:val="24"/>
        </w:rPr>
      </w:pPr>
      <w:r>
        <w:rPr>
          <w:rFonts w:ascii="宋体" w:hAnsi="宋体" w:eastAsia="宋体" w:cs="宋体"/>
          <w:spacing w:val="-3"/>
          <w:sz w:val="24"/>
          <w:szCs w:val="24"/>
        </w:rPr>
        <w:t>按照污水处理厂应急预案要求，一旦事故性排放发生，应能及时发现和处理，</w:t>
      </w:r>
      <w:r>
        <w:rPr>
          <w:rFonts w:ascii="宋体" w:hAnsi="宋体" w:eastAsia="宋体" w:cs="宋体"/>
          <w:spacing w:val="4"/>
          <w:sz w:val="24"/>
          <w:szCs w:val="24"/>
        </w:rPr>
        <w:t>并及时向当地政府和生态主管部门通报，配合当</w:t>
      </w:r>
      <w:r>
        <w:rPr>
          <w:rFonts w:ascii="宋体" w:hAnsi="宋体" w:eastAsia="宋体" w:cs="宋体"/>
          <w:spacing w:val="3"/>
          <w:sz w:val="24"/>
          <w:szCs w:val="24"/>
        </w:rPr>
        <w:t>地政府对事故性排放进行处理。及时将事故信息通知下游有关单位，告知高浓度污染</w:t>
      </w:r>
      <w:r>
        <w:rPr>
          <w:rFonts w:ascii="宋体" w:hAnsi="宋体" w:eastAsia="宋体" w:cs="宋体"/>
          <w:spacing w:val="2"/>
          <w:sz w:val="24"/>
          <w:szCs w:val="24"/>
        </w:rPr>
        <w:t>团到达的大概时间。及时发</w:t>
      </w:r>
      <w:r>
        <w:rPr>
          <w:rFonts w:ascii="宋体" w:hAnsi="宋体" w:eastAsia="宋体" w:cs="宋体"/>
          <w:spacing w:val="-1"/>
          <w:sz w:val="24"/>
          <w:szCs w:val="24"/>
        </w:rPr>
        <w:t>布污染事故相关信息，减少事故性排放的影响。</w:t>
      </w:r>
    </w:p>
    <w:p w14:paraId="5D8A6A66">
      <w:pPr>
        <w:spacing w:line="219" w:lineRule="auto"/>
        <w:ind w:left="50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）制定突发环境事件应急预案</w:t>
      </w:r>
    </w:p>
    <w:p w14:paraId="0B56F5FB">
      <w:pPr>
        <w:spacing w:before="184" w:line="361" w:lineRule="auto"/>
        <w:ind w:left="11" w:right="61" w:firstLine="493"/>
        <w:rPr>
          <w:rFonts w:ascii="宋体" w:hAnsi="宋体" w:eastAsia="宋体" w:cs="宋体"/>
          <w:sz w:val="24"/>
          <w:szCs w:val="24"/>
        </w:rPr>
      </w:pPr>
      <w:r>
        <w:rPr>
          <w:rFonts w:ascii="宋体" w:hAnsi="宋体" w:eastAsia="宋体" w:cs="宋体"/>
          <w:sz w:val="24"/>
          <w:szCs w:val="24"/>
        </w:rPr>
        <w:t>隆回工业污水处理工程已制定突发环境事件应急预案，目的是为了在发生风</w:t>
      </w:r>
      <w:r>
        <w:rPr>
          <w:rFonts w:ascii="宋体" w:hAnsi="宋体" w:eastAsia="宋体" w:cs="宋体"/>
          <w:spacing w:val="3"/>
          <w:sz w:val="24"/>
          <w:szCs w:val="24"/>
        </w:rPr>
        <w:t>险事故时，能以最快的速度发挥最大效能，有</w:t>
      </w:r>
      <w:r>
        <w:rPr>
          <w:rFonts w:ascii="宋体" w:hAnsi="宋体" w:eastAsia="宋体" w:cs="宋体"/>
          <w:spacing w:val="2"/>
          <w:sz w:val="24"/>
          <w:szCs w:val="24"/>
        </w:rPr>
        <w:t>序地实施救援，尽快控制事态的发</w:t>
      </w:r>
      <w:r>
        <w:rPr>
          <w:rFonts w:ascii="宋体" w:hAnsi="宋体" w:eastAsia="宋体" w:cs="宋体"/>
          <w:spacing w:val="-1"/>
          <w:sz w:val="24"/>
          <w:szCs w:val="24"/>
        </w:rPr>
        <w:t>展，降低事故造成的危害，减少事故造成的损失。</w:t>
      </w:r>
    </w:p>
    <w:p w14:paraId="7CCCDA1C">
      <w:pPr>
        <w:spacing w:line="361" w:lineRule="auto"/>
        <w:rPr>
          <w:rFonts w:ascii="宋体" w:hAnsi="宋体" w:eastAsia="宋体" w:cs="宋体"/>
          <w:sz w:val="24"/>
          <w:szCs w:val="24"/>
        </w:rPr>
        <w:sectPr>
          <w:footerReference r:id="rId156" w:type="default"/>
          <w:pgSz w:w="11906" w:h="16839"/>
          <w:pgMar w:top="1132" w:right="1639" w:bottom="1259" w:left="1701" w:header="829" w:footer="1097" w:gutter="0"/>
          <w:cols w:space="720" w:num="1"/>
        </w:sectPr>
      </w:pPr>
    </w:p>
    <w:p w14:paraId="4FD79BCB">
      <w:pPr>
        <w:pStyle w:val="2"/>
        <w:spacing w:line="335" w:lineRule="auto"/>
      </w:pPr>
    </w:p>
    <w:p w14:paraId="02DD3A51">
      <w:pPr>
        <w:spacing w:before="100" w:line="225" w:lineRule="auto"/>
        <w:ind w:left="2213"/>
        <w:outlineLvl w:val="0"/>
        <w:rPr>
          <w:rFonts w:ascii="宋体" w:hAnsi="宋体" w:eastAsia="宋体" w:cs="宋体"/>
          <w:sz w:val="31"/>
          <w:szCs w:val="31"/>
        </w:rPr>
      </w:pPr>
      <w:bookmarkStart w:id="44" w:name="bookmark42"/>
      <w:bookmarkEnd w:id="44"/>
      <w:bookmarkStart w:id="45" w:name="bookmark41"/>
      <w:bookmarkEnd w:id="45"/>
      <w:r>
        <w:rPr>
          <w:rFonts w:ascii="Times New Roman" w:hAnsi="Times New Roman" w:eastAsia="Times New Roman" w:cs="Times New Roman"/>
          <w:b/>
          <w:bCs/>
          <w:spacing w:val="6"/>
          <w:sz w:val="31"/>
          <w:szCs w:val="31"/>
        </w:rPr>
        <w:t>9</w:t>
      </w:r>
      <w:r>
        <w:rPr>
          <w:rFonts w:ascii="宋体" w:hAnsi="宋体" w:eastAsia="宋体" w:cs="宋体"/>
          <w:b/>
          <w:bCs/>
          <w:spacing w:val="6"/>
          <w:sz w:val="31"/>
          <w:szCs w:val="31"/>
        </w:rPr>
        <w:t>入河排污口设置合理性分析</w:t>
      </w:r>
    </w:p>
    <w:p w14:paraId="5EFA0ADA">
      <w:pPr>
        <w:spacing w:before="263" w:line="221" w:lineRule="auto"/>
        <w:ind w:left="9"/>
        <w:outlineLvl w:val="1"/>
        <w:rPr>
          <w:rFonts w:ascii="宋体" w:hAnsi="宋体" w:eastAsia="宋体" w:cs="宋体"/>
          <w:sz w:val="28"/>
          <w:szCs w:val="28"/>
        </w:rPr>
      </w:pPr>
      <w:r>
        <w:rPr>
          <w:rFonts w:ascii="Times New Roman" w:hAnsi="Times New Roman" w:eastAsia="Times New Roman" w:cs="Times New Roman"/>
          <w:b/>
          <w:bCs/>
          <w:spacing w:val="-2"/>
          <w:sz w:val="28"/>
          <w:szCs w:val="28"/>
        </w:rPr>
        <w:t>9.1</w:t>
      </w:r>
      <w:r>
        <w:rPr>
          <w:rFonts w:ascii="宋体" w:hAnsi="宋体" w:eastAsia="宋体" w:cs="宋体"/>
          <w:b/>
          <w:bCs/>
          <w:spacing w:val="-2"/>
          <w:sz w:val="28"/>
          <w:szCs w:val="28"/>
        </w:rPr>
        <w:t>位置与排放方式分析</w:t>
      </w:r>
    </w:p>
    <w:p w14:paraId="3010DA1F">
      <w:pPr>
        <w:spacing w:before="233" w:line="220" w:lineRule="auto"/>
        <w:ind w:left="8"/>
        <w:outlineLvl w:val="2"/>
        <w:rPr>
          <w:rFonts w:ascii="宋体" w:hAnsi="宋体" w:eastAsia="宋体" w:cs="宋体"/>
          <w:sz w:val="24"/>
          <w:szCs w:val="24"/>
        </w:rPr>
      </w:pPr>
      <w:r>
        <w:rPr>
          <w:rFonts w:ascii="Times New Roman" w:hAnsi="Times New Roman" w:eastAsia="Times New Roman" w:cs="Times New Roman"/>
          <w:b/>
          <w:bCs/>
          <w:spacing w:val="-2"/>
          <w:sz w:val="24"/>
          <w:szCs w:val="24"/>
        </w:rPr>
        <w:t>9.1.1</w:t>
      </w:r>
      <w:r>
        <w:rPr>
          <w:rFonts w:ascii="宋体" w:hAnsi="宋体" w:eastAsia="宋体" w:cs="宋体"/>
          <w:b/>
          <w:bCs/>
          <w:spacing w:val="-2"/>
          <w:sz w:val="24"/>
          <w:szCs w:val="24"/>
        </w:rPr>
        <w:t>位置分析</w:t>
      </w:r>
    </w:p>
    <w:p w14:paraId="36764C03">
      <w:pPr>
        <w:spacing w:before="181" w:line="360" w:lineRule="auto"/>
        <w:ind w:left="9" w:right="61" w:firstLine="495"/>
        <w:jc w:val="both"/>
        <w:rPr>
          <w:rFonts w:ascii="宋体" w:hAnsi="宋体" w:eastAsia="宋体" w:cs="宋体"/>
          <w:sz w:val="24"/>
          <w:szCs w:val="24"/>
        </w:rPr>
      </w:pPr>
      <w:r>
        <w:rPr>
          <w:rFonts w:ascii="宋体" w:hAnsi="宋体" w:eastAsia="宋体" w:cs="宋体"/>
          <w:spacing w:val="2"/>
          <w:sz w:val="24"/>
          <w:szCs w:val="24"/>
        </w:rPr>
        <w:t>隆回工业污水处理厂进行提标扩容改造（二期）工程入河排污口位于赧水左</w:t>
      </w:r>
      <w:r>
        <w:rPr>
          <w:rFonts w:ascii="宋体" w:hAnsi="宋体" w:eastAsia="宋体" w:cs="宋体"/>
          <w:spacing w:val="-1"/>
          <w:sz w:val="24"/>
          <w:szCs w:val="24"/>
        </w:rPr>
        <w:t>岸，排污口坐标为</w:t>
      </w:r>
      <w:r>
        <w:rPr>
          <w:rFonts w:ascii="Times New Roman" w:hAnsi="Times New Roman" w:eastAsia="Times New Roman" w:cs="Times New Roman"/>
          <w:spacing w:val="-1"/>
          <w:sz w:val="24"/>
          <w:szCs w:val="24"/>
        </w:rPr>
        <w:t>E111°3′22.36752″</w:t>
      </w:r>
      <w:r>
        <w:rPr>
          <w:rFonts w:ascii="宋体" w:hAnsi="宋体" w:eastAsia="宋体" w:cs="宋体"/>
          <w:spacing w:val="-1"/>
          <w:sz w:val="24"/>
          <w:szCs w:val="24"/>
        </w:rPr>
        <w:t>，</w:t>
      </w:r>
      <w:r>
        <w:rPr>
          <w:rFonts w:ascii="Times New Roman" w:hAnsi="Times New Roman" w:eastAsia="Times New Roman" w:cs="Times New Roman"/>
          <w:spacing w:val="-1"/>
          <w:sz w:val="24"/>
          <w:szCs w:val="24"/>
        </w:rPr>
        <w:t>N27°4′46.315056″</w:t>
      </w:r>
      <w:r>
        <w:rPr>
          <w:rFonts w:ascii="宋体" w:hAnsi="宋体" w:eastAsia="宋体" w:cs="宋体"/>
          <w:spacing w:val="-1"/>
          <w:sz w:val="24"/>
          <w:szCs w:val="24"/>
        </w:rPr>
        <w:t>。本排污口位于资</w:t>
      </w:r>
      <w:r>
        <w:rPr>
          <w:rFonts w:ascii="宋体" w:hAnsi="宋体" w:eastAsia="宋体" w:cs="宋体"/>
          <w:spacing w:val="-2"/>
          <w:sz w:val="24"/>
          <w:szCs w:val="24"/>
        </w:rPr>
        <w:t>水（赧</w:t>
      </w:r>
      <w:r>
        <w:rPr>
          <w:rFonts w:ascii="宋体" w:hAnsi="宋体" w:eastAsia="宋体" w:cs="宋体"/>
          <w:spacing w:val="-9"/>
          <w:sz w:val="24"/>
          <w:szCs w:val="24"/>
        </w:rPr>
        <w:t>水）隆回</w:t>
      </w:r>
      <w:r>
        <w:rPr>
          <w:rFonts w:ascii="Times New Roman" w:hAnsi="Times New Roman" w:eastAsia="Times New Roman" w:cs="Times New Roman"/>
          <w:spacing w:val="-9"/>
          <w:sz w:val="24"/>
          <w:szCs w:val="24"/>
        </w:rPr>
        <w:t>-</w:t>
      </w:r>
      <w:r>
        <w:rPr>
          <w:rFonts w:ascii="宋体" w:hAnsi="宋体" w:eastAsia="宋体" w:cs="宋体"/>
          <w:spacing w:val="-9"/>
          <w:sz w:val="24"/>
          <w:szCs w:val="24"/>
        </w:rPr>
        <w:t>邵阳保留区，根据《邵阳市水功能区划》水质目标为</w:t>
      </w:r>
      <w:r>
        <w:rPr>
          <w:rFonts w:ascii="Times New Roman" w:hAnsi="Times New Roman" w:eastAsia="Times New Roman" w:cs="Times New Roman"/>
          <w:spacing w:val="-9"/>
          <w:sz w:val="24"/>
          <w:szCs w:val="24"/>
        </w:rPr>
        <w:t>III</w:t>
      </w:r>
      <w:r>
        <w:rPr>
          <w:rFonts w:ascii="宋体" w:hAnsi="宋体" w:eastAsia="宋体" w:cs="宋体"/>
          <w:spacing w:val="-10"/>
          <w:sz w:val="24"/>
          <w:szCs w:val="24"/>
        </w:rPr>
        <w:t>类；但下游</w:t>
      </w:r>
      <w:r>
        <w:rPr>
          <w:rFonts w:ascii="Times New Roman" w:hAnsi="Times New Roman" w:eastAsia="Times New Roman" w:cs="Times New Roman"/>
          <w:spacing w:val="-10"/>
          <w:sz w:val="24"/>
          <w:szCs w:val="24"/>
        </w:rPr>
        <w:t>1050m</w:t>
      </w:r>
      <w:r>
        <w:rPr>
          <w:rFonts w:ascii="宋体" w:hAnsi="宋体" w:eastAsia="宋体" w:cs="宋体"/>
          <w:sz w:val="24"/>
          <w:szCs w:val="24"/>
        </w:rPr>
        <w:t>处的隆回县元木山断面（控制断面）、下游</w:t>
      </w:r>
      <w:r>
        <w:rPr>
          <w:rFonts w:ascii="Times New Roman" w:hAnsi="Times New Roman" w:eastAsia="Times New Roman" w:cs="Times New Roman"/>
          <w:sz w:val="24"/>
          <w:szCs w:val="24"/>
        </w:rPr>
        <w:t>9km</w:t>
      </w:r>
      <w:r>
        <w:rPr>
          <w:rFonts w:ascii="宋体" w:hAnsi="宋体" w:eastAsia="宋体" w:cs="宋体"/>
          <w:sz w:val="24"/>
          <w:szCs w:val="24"/>
        </w:rPr>
        <w:t>处的邵阳县渡头村断面（出境断</w:t>
      </w:r>
      <w:r>
        <w:rPr>
          <w:rFonts w:ascii="宋体" w:hAnsi="宋体" w:eastAsia="宋体" w:cs="宋体"/>
          <w:spacing w:val="1"/>
          <w:sz w:val="24"/>
          <w:szCs w:val="24"/>
        </w:rPr>
        <w:t>面）现状考核目标为年度平均达到</w:t>
      </w:r>
      <w:r>
        <w:rPr>
          <w:rFonts w:ascii="Times New Roman" w:hAnsi="Times New Roman" w:eastAsia="Times New Roman" w:cs="Times New Roman"/>
          <w:sz w:val="24"/>
          <w:szCs w:val="24"/>
        </w:rPr>
        <w:t>II</w:t>
      </w:r>
      <w:r>
        <w:rPr>
          <w:rFonts w:ascii="宋体" w:hAnsi="宋体" w:eastAsia="宋体" w:cs="宋体"/>
          <w:spacing w:val="1"/>
          <w:sz w:val="24"/>
          <w:szCs w:val="24"/>
        </w:rPr>
        <w:t>类。通过计算，该河段剩余环境容量可以容</w:t>
      </w:r>
      <w:r>
        <w:rPr>
          <w:rFonts w:ascii="宋体" w:hAnsi="宋体" w:eastAsia="宋体" w:cs="宋体"/>
          <w:spacing w:val="3"/>
          <w:sz w:val="24"/>
          <w:szCs w:val="24"/>
        </w:rPr>
        <w:t>纳本入河排污口正常排放下的主要污染物。因此，</w:t>
      </w:r>
      <w:r>
        <w:rPr>
          <w:rFonts w:ascii="宋体" w:hAnsi="宋体" w:eastAsia="宋体" w:cs="宋体"/>
          <w:spacing w:val="2"/>
          <w:sz w:val="24"/>
          <w:szCs w:val="24"/>
        </w:rPr>
        <w:t>本入河排污口基本满足该水功</w:t>
      </w:r>
      <w:r>
        <w:rPr>
          <w:rFonts w:ascii="宋体" w:hAnsi="宋体" w:eastAsia="宋体" w:cs="宋体"/>
          <w:spacing w:val="3"/>
          <w:sz w:val="24"/>
          <w:szCs w:val="24"/>
        </w:rPr>
        <w:t>能区水质保护目标和水域限制排污总量要求。综上</w:t>
      </w:r>
      <w:r>
        <w:rPr>
          <w:rFonts w:ascii="宋体" w:hAnsi="宋体" w:eastAsia="宋体" w:cs="宋体"/>
          <w:spacing w:val="2"/>
          <w:sz w:val="24"/>
          <w:szCs w:val="24"/>
        </w:rPr>
        <w:t>分析，本入河排污口位置设置</w:t>
      </w:r>
      <w:r>
        <w:rPr>
          <w:rFonts w:ascii="宋体" w:hAnsi="宋体" w:eastAsia="宋体" w:cs="宋体"/>
          <w:spacing w:val="-4"/>
          <w:sz w:val="24"/>
          <w:szCs w:val="24"/>
        </w:rPr>
        <w:t>合理。</w:t>
      </w:r>
    </w:p>
    <w:p w14:paraId="2AD57EAE">
      <w:pPr>
        <w:spacing w:line="220" w:lineRule="auto"/>
        <w:ind w:left="8"/>
        <w:outlineLvl w:val="2"/>
        <w:rPr>
          <w:rFonts w:ascii="宋体" w:hAnsi="宋体" w:eastAsia="宋体" w:cs="宋体"/>
          <w:sz w:val="24"/>
          <w:szCs w:val="24"/>
        </w:rPr>
      </w:pPr>
      <w:r>
        <w:rPr>
          <w:rFonts w:ascii="Times New Roman" w:hAnsi="Times New Roman" w:eastAsia="Times New Roman" w:cs="Times New Roman"/>
          <w:b/>
          <w:bCs/>
          <w:spacing w:val="-2"/>
          <w:sz w:val="24"/>
          <w:szCs w:val="24"/>
        </w:rPr>
        <w:t>9.1.2</w:t>
      </w:r>
      <w:r>
        <w:rPr>
          <w:rFonts w:ascii="宋体" w:hAnsi="宋体" w:eastAsia="宋体" w:cs="宋体"/>
          <w:b/>
          <w:bCs/>
          <w:spacing w:val="-2"/>
          <w:sz w:val="24"/>
          <w:szCs w:val="24"/>
        </w:rPr>
        <w:t>排放方式分析</w:t>
      </w:r>
    </w:p>
    <w:p w14:paraId="3AD0EECD">
      <w:pPr>
        <w:spacing w:before="182" w:line="360" w:lineRule="auto"/>
        <w:ind w:left="9" w:firstLine="480"/>
        <w:jc w:val="both"/>
        <w:rPr>
          <w:rFonts w:ascii="宋体" w:hAnsi="宋体" w:eastAsia="宋体" w:cs="宋体"/>
          <w:sz w:val="24"/>
          <w:szCs w:val="24"/>
        </w:rPr>
      </w:pPr>
      <w:r>
        <w:rPr>
          <w:rFonts w:ascii="宋体" w:hAnsi="宋体" w:eastAsia="宋体" w:cs="宋体"/>
          <w:spacing w:val="2"/>
          <w:sz w:val="24"/>
          <w:szCs w:val="24"/>
        </w:rPr>
        <w:t>根据《入河排污口管理技术导则（</w:t>
      </w:r>
      <w:r>
        <w:rPr>
          <w:rFonts w:ascii="Times New Roman" w:hAnsi="Times New Roman" w:eastAsia="Times New Roman" w:cs="Times New Roman"/>
          <w:sz w:val="24"/>
          <w:szCs w:val="24"/>
        </w:rPr>
        <w:t>SL</w:t>
      </w:r>
      <w:r>
        <w:rPr>
          <w:rFonts w:ascii="Times New Roman" w:hAnsi="Times New Roman" w:eastAsia="Times New Roman" w:cs="Times New Roman"/>
          <w:spacing w:val="2"/>
          <w:sz w:val="24"/>
          <w:szCs w:val="24"/>
        </w:rPr>
        <w:t>532-2011</w:t>
      </w:r>
      <w:r>
        <w:rPr>
          <w:rFonts w:ascii="宋体" w:hAnsi="宋体" w:eastAsia="宋体" w:cs="宋体"/>
          <w:spacing w:val="2"/>
          <w:sz w:val="24"/>
          <w:szCs w:val="24"/>
        </w:rPr>
        <w:t>）》，入河排污口应设置在洪</w:t>
      </w:r>
      <w:r>
        <w:rPr>
          <w:rFonts w:ascii="宋体" w:hAnsi="宋体" w:eastAsia="宋体" w:cs="宋体"/>
          <w:spacing w:val="3"/>
          <w:sz w:val="24"/>
          <w:szCs w:val="24"/>
        </w:rPr>
        <w:t>水淹没线之上；入河排污口应便于采集样品、便于</w:t>
      </w:r>
      <w:r>
        <w:rPr>
          <w:rFonts w:ascii="宋体" w:hAnsi="宋体" w:eastAsia="宋体" w:cs="宋体"/>
          <w:spacing w:val="2"/>
          <w:sz w:val="24"/>
          <w:szCs w:val="24"/>
        </w:rPr>
        <w:t>计量监测、便于日常现场监督</w:t>
      </w:r>
      <w:r>
        <w:rPr>
          <w:rFonts w:ascii="宋体" w:hAnsi="宋体" w:eastAsia="宋体" w:cs="宋体"/>
          <w:spacing w:val="-2"/>
          <w:sz w:val="24"/>
          <w:szCs w:val="24"/>
        </w:rPr>
        <w:t>检查；入河排污口不得设暗管通入河道或湖库底部</w:t>
      </w:r>
      <w:r>
        <w:rPr>
          <w:rFonts w:ascii="宋体" w:hAnsi="宋体" w:eastAsia="宋体" w:cs="宋体"/>
          <w:spacing w:val="-3"/>
          <w:sz w:val="24"/>
          <w:szCs w:val="24"/>
        </w:rPr>
        <w:t>，如特殊情况需要设置管道的，</w:t>
      </w:r>
      <w:r>
        <w:rPr>
          <w:rFonts w:ascii="宋体" w:hAnsi="宋体" w:eastAsia="宋体" w:cs="宋体"/>
          <w:spacing w:val="3"/>
          <w:sz w:val="24"/>
          <w:szCs w:val="24"/>
        </w:rPr>
        <w:t>必须留出观测窗口，以便于采样和监督。根据</w:t>
      </w:r>
      <w:r>
        <w:rPr>
          <w:rFonts w:ascii="宋体" w:hAnsi="宋体" w:eastAsia="宋体" w:cs="宋体"/>
          <w:spacing w:val="2"/>
          <w:sz w:val="24"/>
          <w:szCs w:val="24"/>
        </w:rPr>
        <w:t>调查，本入河排污口采用岸边管道</w:t>
      </w:r>
      <w:r>
        <w:rPr>
          <w:rFonts w:ascii="宋体" w:hAnsi="宋体" w:eastAsia="宋体" w:cs="宋体"/>
          <w:spacing w:val="3"/>
          <w:sz w:val="24"/>
          <w:szCs w:val="24"/>
        </w:rPr>
        <w:t>排放的方式，排污口位于洪水淹没线以上，出口处</w:t>
      </w:r>
      <w:r>
        <w:rPr>
          <w:rFonts w:ascii="宋体" w:hAnsi="宋体" w:eastAsia="宋体" w:cs="宋体"/>
          <w:spacing w:val="2"/>
          <w:sz w:val="24"/>
          <w:szCs w:val="24"/>
        </w:rPr>
        <w:t>方便采样、计量、监测等日常</w:t>
      </w:r>
      <w:r>
        <w:rPr>
          <w:rFonts w:ascii="宋体" w:hAnsi="宋体" w:eastAsia="宋体" w:cs="宋体"/>
          <w:spacing w:val="3"/>
          <w:sz w:val="24"/>
          <w:szCs w:val="24"/>
        </w:rPr>
        <w:t>现场监督检查。排污口未破坏防洪设施，也不影响</w:t>
      </w:r>
      <w:r>
        <w:rPr>
          <w:rFonts w:ascii="宋体" w:hAnsi="宋体" w:eastAsia="宋体" w:cs="宋体"/>
          <w:spacing w:val="2"/>
          <w:sz w:val="24"/>
          <w:szCs w:val="24"/>
        </w:rPr>
        <w:t>河道行洪。因此本入河排污口</w:t>
      </w:r>
      <w:r>
        <w:rPr>
          <w:rFonts w:ascii="宋体" w:hAnsi="宋体" w:eastAsia="宋体" w:cs="宋体"/>
          <w:spacing w:val="3"/>
          <w:sz w:val="24"/>
          <w:szCs w:val="24"/>
        </w:rPr>
        <w:t>设置基本符合防洪要求、法律法规和国家产业政策</w:t>
      </w:r>
      <w:r>
        <w:rPr>
          <w:rFonts w:ascii="宋体" w:hAnsi="宋体" w:eastAsia="宋体" w:cs="宋体"/>
          <w:spacing w:val="2"/>
          <w:sz w:val="24"/>
          <w:szCs w:val="24"/>
        </w:rPr>
        <w:t>规定以及国务院水行政主管部</w:t>
      </w:r>
      <w:r>
        <w:rPr>
          <w:rFonts w:ascii="宋体" w:hAnsi="宋体" w:eastAsia="宋体" w:cs="宋体"/>
          <w:spacing w:val="-2"/>
          <w:sz w:val="24"/>
          <w:szCs w:val="24"/>
        </w:rPr>
        <w:t>门规定条件。</w:t>
      </w:r>
    </w:p>
    <w:p w14:paraId="1A5DBB62">
      <w:pPr>
        <w:spacing w:line="220" w:lineRule="auto"/>
        <w:ind w:left="8"/>
        <w:outlineLvl w:val="2"/>
        <w:rPr>
          <w:rFonts w:ascii="宋体" w:hAnsi="宋体" w:eastAsia="宋体" w:cs="宋体"/>
          <w:sz w:val="24"/>
          <w:szCs w:val="24"/>
        </w:rPr>
      </w:pPr>
      <w:r>
        <w:rPr>
          <w:rFonts w:ascii="Times New Roman" w:hAnsi="Times New Roman" w:eastAsia="Times New Roman" w:cs="Times New Roman"/>
          <w:b/>
          <w:bCs/>
          <w:spacing w:val="-2"/>
          <w:sz w:val="24"/>
          <w:szCs w:val="24"/>
        </w:rPr>
        <w:t>9.1.3</w:t>
      </w:r>
      <w:r>
        <w:rPr>
          <w:rFonts w:ascii="宋体" w:hAnsi="宋体" w:eastAsia="宋体" w:cs="宋体"/>
          <w:b/>
          <w:bCs/>
          <w:spacing w:val="-2"/>
          <w:sz w:val="24"/>
          <w:szCs w:val="24"/>
        </w:rPr>
        <w:t>排放时期分析</w:t>
      </w:r>
    </w:p>
    <w:p w14:paraId="100A2EB4">
      <w:pPr>
        <w:spacing w:before="180" w:line="394" w:lineRule="auto"/>
        <w:ind w:left="9" w:firstLine="480"/>
        <w:jc w:val="both"/>
        <w:rPr>
          <w:rFonts w:ascii="宋体" w:hAnsi="宋体" w:eastAsia="宋体" w:cs="宋体"/>
          <w:sz w:val="24"/>
          <w:szCs w:val="24"/>
        </w:rPr>
      </w:pPr>
      <w:r>
        <w:rPr>
          <w:rFonts w:ascii="宋体" w:hAnsi="宋体" w:eastAsia="宋体" w:cs="宋体"/>
          <w:spacing w:val="3"/>
          <w:sz w:val="24"/>
          <w:szCs w:val="24"/>
        </w:rPr>
        <w:t>本入河排污口根据污水厂接纳污水的特点，采用连续排放</w:t>
      </w:r>
      <w:r>
        <w:rPr>
          <w:rFonts w:ascii="宋体" w:hAnsi="宋体" w:eastAsia="宋体" w:cs="宋体"/>
          <w:spacing w:val="2"/>
          <w:sz w:val="24"/>
          <w:szCs w:val="24"/>
        </w:rPr>
        <w:t>方式，即在赧水的</w:t>
      </w:r>
      <w:r>
        <w:rPr>
          <w:rFonts w:ascii="宋体" w:hAnsi="宋体" w:eastAsia="宋体" w:cs="宋体"/>
          <w:sz w:val="24"/>
          <w:szCs w:val="24"/>
        </w:rPr>
        <w:t>枯水期、平水期和丰水期均有排放，根据表</w:t>
      </w:r>
      <w:r>
        <w:rPr>
          <w:rFonts w:ascii="Times New Roman" w:hAnsi="Times New Roman" w:eastAsia="Times New Roman" w:cs="Times New Roman"/>
          <w:sz w:val="24"/>
          <w:szCs w:val="24"/>
        </w:rPr>
        <w:t>6.3-5</w:t>
      </w:r>
      <w:r>
        <w:rPr>
          <w:rFonts w:ascii="宋体" w:hAnsi="宋体" w:eastAsia="宋体" w:cs="宋体"/>
          <w:sz w:val="24"/>
          <w:szCs w:val="24"/>
        </w:rPr>
        <w:t>预测结果可知，在正常排放下，</w:t>
      </w:r>
      <w:r>
        <w:rPr>
          <w:rFonts w:ascii="宋体" w:hAnsi="宋体" w:eastAsia="宋体" w:cs="宋体"/>
          <w:spacing w:val="-3"/>
          <w:sz w:val="24"/>
          <w:szCs w:val="24"/>
        </w:rPr>
        <w:t>排污口下游水质均可达到《地表水环境质量标准》</w:t>
      </w:r>
      <w:r>
        <w:rPr>
          <w:rFonts w:ascii="Times New Roman" w:hAnsi="Times New Roman" w:eastAsia="Times New Roman" w:cs="Times New Roman"/>
          <w:spacing w:val="-3"/>
          <w:sz w:val="24"/>
          <w:szCs w:val="24"/>
        </w:rPr>
        <w:t>(GB3838-2002</w:t>
      </w:r>
      <w:r>
        <w:rPr>
          <w:rFonts w:ascii="宋体" w:hAnsi="宋体" w:eastAsia="宋体" w:cs="宋体"/>
          <w:spacing w:val="-3"/>
          <w:sz w:val="24"/>
          <w:szCs w:val="24"/>
        </w:rPr>
        <w:t>）</w:t>
      </w:r>
      <w:r>
        <w:rPr>
          <w:rFonts w:ascii="Times New Roman" w:hAnsi="Times New Roman" w:eastAsia="Times New Roman" w:cs="Times New Roman"/>
          <w:spacing w:val="-3"/>
          <w:sz w:val="28"/>
          <w:szCs w:val="28"/>
        </w:rPr>
        <w:t>II</w:t>
      </w:r>
      <w:r>
        <w:rPr>
          <w:rFonts w:ascii="宋体" w:hAnsi="宋体" w:eastAsia="宋体" w:cs="宋体"/>
          <w:spacing w:val="-3"/>
          <w:sz w:val="24"/>
          <w:szCs w:val="24"/>
        </w:rPr>
        <w:t>类标准要求，</w:t>
      </w:r>
      <w:r>
        <w:rPr>
          <w:rFonts w:ascii="宋体" w:hAnsi="宋体" w:eastAsia="宋体" w:cs="宋体"/>
          <w:spacing w:val="-1"/>
          <w:sz w:val="24"/>
          <w:szCs w:val="24"/>
        </w:rPr>
        <w:t>不会对受纳水体水质水质产生较大影响。</w:t>
      </w:r>
    </w:p>
    <w:p w14:paraId="64076A51">
      <w:pPr>
        <w:spacing w:before="141" w:line="222" w:lineRule="auto"/>
        <w:ind w:left="9"/>
        <w:outlineLvl w:val="1"/>
        <w:rPr>
          <w:rFonts w:ascii="黑体" w:hAnsi="黑体" w:eastAsia="黑体" w:cs="黑体"/>
          <w:sz w:val="30"/>
          <w:szCs w:val="30"/>
        </w:rPr>
      </w:pPr>
      <w:bookmarkStart w:id="46" w:name="bookmark43"/>
      <w:bookmarkEnd w:id="46"/>
      <w:r>
        <w:rPr>
          <w:rFonts w:ascii="Times New Roman" w:hAnsi="Times New Roman" w:eastAsia="Times New Roman" w:cs="Times New Roman"/>
          <w:b/>
          <w:bCs/>
          <w:spacing w:val="-3"/>
          <w:sz w:val="30"/>
          <w:szCs w:val="30"/>
        </w:rPr>
        <w:t>9.2</w:t>
      </w:r>
      <w:r>
        <w:rPr>
          <w:rFonts w:ascii="黑体" w:hAnsi="黑体" w:eastAsia="黑体" w:cs="黑体"/>
          <w:b/>
          <w:bCs/>
          <w:spacing w:val="-3"/>
          <w:sz w:val="30"/>
          <w:szCs w:val="30"/>
        </w:rPr>
        <w:t>法律法规政策的符合性</w:t>
      </w:r>
    </w:p>
    <w:p w14:paraId="57EC9710">
      <w:pPr>
        <w:pStyle w:val="2"/>
        <w:spacing w:line="277" w:lineRule="auto"/>
      </w:pPr>
    </w:p>
    <w:p w14:paraId="24A41215">
      <w:pPr>
        <w:spacing w:before="78" w:line="219" w:lineRule="auto"/>
        <w:ind w:left="8"/>
        <w:outlineLvl w:val="2"/>
        <w:rPr>
          <w:rFonts w:ascii="宋体" w:hAnsi="宋体" w:eastAsia="宋体" w:cs="宋体"/>
          <w:sz w:val="24"/>
          <w:szCs w:val="24"/>
        </w:rPr>
      </w:pPr>
      <w:r>
        <w:rPr>
          <w:rFonts w:ascii="Times New Roman" w:hAnsi="Times New Roman" w:eastAsia="Times New Roman" w:cs="Times New Roman"/>
          <w:b/>
          <w:bCs/>
          <w:spacing w:val="-2"/>
          <w:sz w:val="24"/>
          <w:szCs w:val="24"/>
        </w:rPr>
        <w:t>9.2.1</w:t>
      </w:r>
      <w:r>
        <w:rPr>
          <w:rFonts w:ascii="宋体" w:hAnsi="宋体" w:eastAsia="宋体" w:cs="宋体"/>
          <w:b/>
          <w:bCs/>
          <w:spacing w:val="-2"/>
          <w:sz w:val="24"/>
          <w:szCs w:val="24"/>
        </w:rPr>
        <w:t>与国家法律相符性分析</w:t>
      </w:r>
    </w:p>
    <w:p w14:paraId="60F5EF13">
      <w:pPr>
        <w:spacing w:line="219" w:lineRule="auto"/>
        <w:rPr>
          <w:rFonts w:ascii="宋体" w:hAnsi="宋体" w:eastAsia="宋体" w:cs="宋体"/>
          <w:sz w:val="24"/>
          <w:szCs w:val="24"/>
        </w:rPr>
        <w:sectPr>
          <w:footerReference r:id="rId157" w:type="default"/>
          <w:pgSz w:w="11906" w:h="16839"/>
          <w:pgMar w:top="1132" w:right="1639" w:bottom="1259" w:left="1701" w:header="829" w:footer="1097" w:gutter="0"/>
          <w:cols w:space="720" w:num="1"/>
        </w:sectPr>
      </w:pPr>
    </w:p>
    <w:p w14:paraId="08DBC7FF">
      <w:pPr>
        <w:pStyle w:val="2"/>
        <w:spacing w:line="320" w:lineRule="auto"/>
      </w:pPr>
    </w:p>
    <w:p w14:paraId="458B3FDF">
      <w:pPr>
        <w:spacing w:before="78" w:line="219" w:lineRule="auto"/>
        <w:ind w:left="38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）与《中华人民共和国水法》相符性分析</w:t>
      </w:r>
    </w:p>
    <w:p w14:paraId="1F12988D">
      <w:pPr>
        <w:spacing w:before="182" w:line="360" w:lineRule="auto"/>
        <w:ind w:left="10" w:right="61" w:firstLine="480"/>
        <w:rPr>
          <w:rFonts w:ascii="宋体" w:hAnsi="宋体" w:eastAsia="宋体" w:cs="宋体"/>
          <w:sz w:val="24"/>
          <w:szCs w:val="24"/>
        </w:rPr>
      </w:pPr>
      <w:r>
        <w:rPr>
          <w:rFonts w:ascii="宋体" w:hAnsi="宋体" w:eastAsia="宋体" w:cs="宋体"/>
          <w:spacing w:val="-1"/>
          <w:sz w:val="24"/>
          <w:szCs w:val="24"/>
        </w:rPr>
        <w:t>本项目排污口位于隆回县元木山电站下游</w:t>
      </w:r>
      <w:r>
        <w:rPr>
          <w:rFonts w:ascii="Times New Roman" w:hAnsi="Times New Roman" w:eastAsia="Times New Roman" w:cs="Times New Roman"/>
          <w:spacing w:val="-1"/>
          <w:sz w:val="24"/>
          <w:szCs w:val="24"/>
        </w:rPr>
        <w:t>2.8m</w:t>
      </w:r>
      <w:r>
        <w:rPr>
          <w:rFonts w:ascii="宋体" w:hAnsi="宋体" w:eastAsia="宋体" w:cs="宋体"/>
          <w:spacing w:val="-1"/>
          <w:sz w:val="24"/>
          <w:szCs w:val="24"/>
        </w:rPr>
        <w:t>处，排污口所在水域</w:t>
      </w:r>
      <w:r>
        <w:rPr>
          <w:rFonts w:ascii="宋体" w:hAnsi="宋体" w:eastAsia="宋体" w:cs="宋体"/>
          <w:spacing w:val="-2"/>
          <w:sz w:val="24"/>
          <w:szCs w:val="24"/>
        </w:rPr>
        <w:t>不属于饮</w:t>
      </w:r>
      <w:r>
        <w:rPr>
          <w:rFonts w:ascii="宋体" w:hAnsi="宋体" w:eastAsia="宋体" w:cs="宋体"/>
          <w:sz w:val="24"/>
          <w:szCs w:val="24"/>
        </w:rPr>
        <w:t>用水源保护区，不影响河道防洪，入河排污口采用岸</w:t>
      </w:r>
      <w:r>
        <w:rPr>
          <w:rFonts w:ascii="宋体" w:hAnsi="宋体" w:eastAsia="宋体" w:cs="宋体"/>
          <w:spacing w:val="-1"/>
          <w:sz w:val="24"/>
          <w:szCs w:val="24"/>
        </w:rPr>
        <w:t>边管道排放的方式，排污口</w:t>
      </w:r>
      <w:r>
        <w:rPr>
          <w:rFonts w:ascii="宋体" w:hAnsi="宋体" w:eastAsia="宋体" w:cs="宋体"/>
          <w:spacing w:val="-4"/>
          <w:sz w:val="24"/>
          <w:szCs w:val="24"/>
        </w:rPr>
        <w:t>设置不在《中华人民共和国水法》条文中禁止之列。项目入河排污口设</w:t>
      </w:r>
      <w:r>
        <w:rPr>
          <w:rFonts w:ascii="宋体" w:hAnsi="宋体" w:eastAsia="宋体" w:cs="宋体"/>
          <w:spacing w:val="-5"/>
          <w:sz w:val="24"/>
          <w:szCs w:val="24"/>
        </w:rPr>
        <w:t>置满足《中</w:t>
      </w:r>
      <w:r>
        <w:rPr>
          <w:rFonts w:ascii="宋体" w:hAnsi="宋体" w:eastAsia="宋体" w:cs="宋体"/>
          <w:spacing w:val="-1"/>
          <w:sz w:val="24"/>
          <w:szCs w:val="24"/>
        </w:rPr>
        <w:t>华人民共和国水法》规定要求。</w:t>
      </w:r>
    </w:p>
    <w:p w14:paraId="177EE708">
      <w:pPr>
        <w:spacing w:line="219" w:lineRule="auto"/>
        <w:ind w:left="38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）与《中华人民共和国环境保护法》符合性分析</w:t>
      </w:r>
    </w:p>
    <w:p w14:paraId="3A339541">
      <w:pPr>
        <w:spacing w:before="182" w:line="360" w:lineRule="auto"/>
        <w:ind w:left="8" w:right="61" w:firstLine="362"/>
        <w:rPr>
          <w:rFonts w:ascii="宋体" w:hAnsi="宋体" w:eastAsia="宋体" w:cs="宋体"/>
          <w:sz w:val="24"/>
          <w:szCs w:val="24"/>
        </w:rPr>
      </w:pPr>
      <w:r>
        <w:rPr>
          <w:rFonts w:ascii="宋体" w:hAnsi="宋体" w:eastAsia="宋体" w:cs="宋体"/>
          <w:spacing w:val="-1"/>
          <w:sz w:val="24"/>
          <w:szCs w:val="24"/>
        </w:rPr>
        <w:t>污水处理厂建设对赧水等水域水环境保护有着重要作用，是落实《中华人民共</w:t>
      </w:r>
      <w:r>
        <w:rPr>
          <w:rFonts w:ascii="宋体" w:hAnsi="宋体" w:eastAsia="宋体" w:cs="宋体"/>
          <w:sz w:val="24"/>
          <w:szCs w:val="24"/>
        </w:rPr>
        <w:t>和国环境保护法》“第二十八条地方各级人民政府应当根</w:t>
      </w:r>
      <w:r>
        <w:rPr>
          <w:rFonts w:ascii="宋体" w:hAnsi="宋体" w:eastAsia="宋体" w:cs="宋体"/>
          <w:spacing w:val="-1"/>
          <w:sz w:val="24"/>
          <w:szCs w:val="24"/>
        </w:rPr>
        <w:t>据环境保护目标和治理任务，采取有效措施，改善环境质量”的具体体现，因此项目建</w:t>
      </w:r>
      <w:r>
        <w:rPr>
          <w:rFonts w:ascii="宋体" w:hAnsi="宋体" w:eastAsia="宋体" w:cs="宋体"/>
          <w:spacing w:val="-2"/>
          <w:sz w:val="24"/>
          <w:szCs w:val="24"/>
        </w:rPr>
        <w:t>设符合《中华人</w:t>
      </w:r>
      <w:r>
        <w:rPr>
          <w:rFonts w:ascii="宋体" w:hAnsi="宋体" w:eastAsia="宋体" w:cs="宋体"/>
          <w:spacing w:val="-1"/>
          <w:sz w:val="24"/>
          <w:szCs w:val="24"/>
        </w:rPr>
        <w:t>民共和国环境保护法》规定要求。</w:t>
      </w:r>
    </w:p>
    <w:p w14:paraId="5794FBC7">
      <w:pPr>
        <w:spacing w:line="219" w:lineRule="auto"/>
        <w:ind w:left="38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）与《水污染防治行动计划》的符合性分析</w:t>
      </w:r>
    </w:p>
    <w:p w14:paraId="599DECFA">
      <w:pPr>
        <w:spacing w:before="183" w:line="360" w:lineRule="auto"/>
        <w:ind w:left="8" w:right="61" w:firstLine="366"/>
        <w:rPr>
          <w:rFonts w:ascii="宋体" w:hAnsi="宋体" w:eastAsia="宋体" w:cs="宋体"/>
          <w:sz w:val="24"/>
          <w:szCs w:val="24"/>
        </w:rPr>
      </w:pPr>
      <w:r>
        <w:rPr>
          <w:rFonts w:ascii="宋体" w:hAnsi="宋体" w:eastAsia="宋体" w:cs="宋体"/>
          <w:spacing w:val="-1"/>
          <w:sz w:val="24"/>
          <w:szCs w:val="24"/>
        </w:rPr>
        <w:t>《水污染防治行动计划》提出“强化城镇生活污染治理，加快城镇污水处理设</w:t>
      </w:r>
      <w:r>
        <w:rPr>
          <w:rFonts w:ascii="宋体" w:hAnsi="宋体" w:eastAsia="宋体" w:cs="宋体"/>
          <w:spacing w:val="-2"/>
          <w:sz w:val="24"/>
          <w:szCs w:val="24"/>
        </w:rPr>
        <w:t>施建设与改造”。隆回工业污水处理厂于</w:t>
      </w:r>
      <w:r>
        <w:rPr>
          <w:rFonts w:ascii="Times New Roman" w:hAnsi="Times New Roman" w:eastAsia="Times New Roman" w:cs="Times New Roman"/>
          <w:spacing w:val="-2"/>
          <w:sz w:val="24"/>
          <w:szCs w:val="24"/>
        </w:rPr>
        <w:t>2020</w:t>
      </w:r>
      <w:r>
        <w:rPr>
          <w:rFonts w:ascii="宋体" w:hAnsi="宋体" w:eastAsia="宋体" w:cs="宋体"/>
          <w:spacing w:val="-2"/>
          <w:sz w:val="24"/>
          <w:szCs w:val="24"/>
        </w:rPr>
        <w:t>年通过环保验收，服务范围为城东</w:t>
      </w:r>
      <w:r>
        <w:rPr>
          <w:rFonts w:ascii="宋体" w:hAnsi="宋体" w:eastAsia="宋体" w:cs="宋体"/>
          <w:sz w:val="24"/>
          <w:szCs w:val="24"/>
        </w:rPr>
        <w:t>南工业主园区的寺山片区、集南片区和北山片区的工业污</w:t>
      </w:r>
      <w:r>
        <w:rPr>
          <w:rFonts w:ascii="宋体" w:hAnsi="宋体" w:eastAsia="宋体" w:cs="宋体"/>
          <w:spacing w:val="-1"/>
          <w:sz w:val="24"/>
          <w:szCs w:val="24"/>
        </w:rPr>
        <w:t>水及城东生活小区的生</w:t>
      </w:r>
      <w:r>
        <w:rPr>
          <w:rFonts w:ascii="宋体" w:hAnsi="宋体" w:eastAsia="宋体" w:cs="宋体"/>
          <w:sz w:val="24"/>
          <w:szCs w:val="24"/>
        </w:rPr>
        <w:t>活废水，尾水达标排入赧水，减少废水直排赧水。本次隆</w:t>
      </w:r>
      <w:r>
        <w:rPr>
          <w:rFonts w:ascii="宋体" w:hAnsi="宋体" w:eastAsia="宋体" w:cs="宋体"/>
          <w:spacing w:val="-1"/>
          <w:sz w:val="24"/>
          <w:szCs w:val="24"/>
        </w:rPr>
        <w:t>回工业污水处理厂进行</w:t>
      </w:r>
      <w:r>
        <w:rPr>
          <w:rFonts w:ascii="宋体" w:hAnsi="宋体" w:eastAsia="宋体" w:cs="宋体"/>
          <w:sz w:val="24"/>
          <w:szCs w:val="24"/>
        </w:rPr>
        <w:t>提标扩容改造（二期）工程对赧水流域的环境质量改善具</w:t>
      </w:r>
      <w:r>
        <w:rPr>
          <w:rFonts w:ascii="宋体" w:hAnsi="宋体" w:eastAsia="宋体" w:cs="宋体"/>
          <w:spacing w:val="-1"/>
          <w:sz w:val="24"/>
          <w:szCs w:val="24"/>
        </w:rPr>
        <w:t>有重要意义，对促进隆</w:t>
      </w:r>
      <w:r>
        <w:rPr>
          <w:rFonts w:ascii="宋体" w:hAnsi="宋体" w:eastAsia="宋体" w:cs="宋体"/>
          <w:sz w:val="24"/>
          <w:szCs w:val="24"/>
        </w:rPr>
        <w:t>回县经济发展、提高县区人民生活质量、坚持走发展道路</w:t>
      </w:r>
      <w:r>
        <w:rPr>
          <w:rFonts w:ascii="宋体" w:hAnsi="宋体" w:eastAsia="宋体" w:cs="宋体"/>
          <w:spacing w:val="-1"/>
          <w:sz w:val="24"/>
          <w:szCs w:val="24"/>
        </w:rPr>
        <w:t>都有极其重要的意义，</w:t>
      </w:r>
    </w:p>
    <w:p w14:paraId="262A17BA">
      <w:pPr>
        <w:spacing w:before="1" w:line="219" w:lineRule="auto"/>
        <w:ind w:left="11"/>
        <w:rPr>
          <w:rFonts w:ascii="宋体" w:hAnsi="宋体" w:eastAsia="宋体" w:cs="宋体"/>
          <w:sz w:val="24"/>
          <w:szCs w:val="24"/>
        </w:rPr>
      </w:pPr>
      <w:r>
        <w:rPr>
          <w:rFonts w:ascii="宋体" w:hAnsi="宋体" w:eastAsia="宋体" w:cs="宋体"/>
          <w:spacing w:val="-4"/>
          <w:sz w:val="24"/>
          <w:szCs w:val="24"/>
        </w:rPr>
        <w:t>符合“水十条”的具体要求。</w:t>
      </w:r>
    </w:p>
    <w:p w14:paraId="1E3540CA">
      <w:pPr>
        <w:spacing w:before="183" w:line="219" w:lineRule="auto"/>
        <w:ind w:left="38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）与国务院关于实施最严格水资源管理制度意见的符合性</w:t>
      </w:r>
    </w:p>
    <w:p w14:paraId="787EDC2C">
      <w:pPr>
        <w:spacing w:before="183" w:line="360" w:lineRule="auto"/>
        <w:ind w:left="8" w:firstLine="486"/>
        <w:rPr>
          <w:rFonts w:ascii="宋体" w:hAnsi="宋体" w:eastAsia="宋体" w:cs="宋体"/>
          <w:sz w:val="24"/>
          <w:szCs w:val="24"/>
        </w:rPr>
      </w:pPr>
      <w:r>
        <w:rPr>
          <w:rFonts w:ascii="宋体" w:hAnsi="宋体" w:eastAsia="宋体" w:cs="宋体"/>
          <w:spacing w:val="-8"/>
          <w:sz w:val="24"/>
          <w:szCs w:val="24"/>
        </w:rPr>
        <w:t>《国务院关于实行最严格水资源管理制度的意见》（国发〔</w:t>
      </w:r>
      <w:r>
        <w:rPr>
          <w:rFonts w:ascii="Times New Roman" w:hAnsi="Times New Roman" w:eastAsia="Times New Roman" w:cs="Times New Roman"/>
          <w:spacing w:val="-8"/>
          <w:sz w:val="24"/>
          <w:szCs w:val="24"/>
        </w:rPr>
        <w:t>2012</w:t>
      </w:r>
      <w:r>
        <w:rPr>
          <w:rFonts w:ascii="宋体" w:hAnsi="宋体" w:eastAsia="宋体" w:cs="宋体"/>
          <w:spacing w:val="-8"/>
          <w:sz w:val="24"/>
          <w:szCs w:val="24"/>
        </w:rPr>
        <w:t>〕</w:t>
      </w:r>
      <w:r>
        <w:rPr>
          <w:rFonts w:ascii="Times New Roman" w:hAnsi="Times New Roman" w:eastAsia="Times New Roman" w:cs="Times New Roman"/>
          <w:spacing w:val="-8"/>
          <w:sz w:val="24"/>
          <w:szCs w:val="24"/>
        </w:rPr>
        <w:t>3</w:t>
      </w:r>
      <w:r>
        <w:rPr>
          <w:rFonts w:ascii="宋体" w:hAnsi="宋体" w:eastAsia="宋体" w:cs="宋体"/>
          <w:spacing w:val="-8"/>
          <w:sz w:val="24"/>
          <w:szCs w:val="24"/>
        </w:rPr>
        <w:t>号）指出，</w:t>
      </w:r>
      <w:r>
        <w:rPr>
          <w:rFonts w:ascii="宋体" w:hAnsi="宋体" w:eastAsia="宋体" w:cs="宋体"/>
          <w:sz w:val="24"/>
          <w:szCs w:val="24"/>
        </w:rPr>
        <w:t>要严格入河湖排污口监督管理，对排污量超出水功能区限</w:t>
      </w:r>
      <w:r>
        <w:rPr>
          <w:rFonts w:ascii="宋体" w:hAnsi="宋体" w:eastAsia="宋体" w:cs="宋体"/>
          <w:spacing w:val="-1"/>
          <w:sz w:val="24"/>
          <w:szCs w:val="24"/>
        </w:rPr>
        <w:t>排总量的地区，限制审</w:t>
      </w:r>
      <w:r>
        <w:rPr>
          <w:rFonts w:ascii="宋体" w:hAnsi="宋体" w:eastAsia="宋体" w:cs="宋体"/>
          <w:sz w:val="24"/>
          <w:szCs w:val="24"/>
        </w:rPr>
        <w:t>批新增取水和入河湖排污口。本工程入河排污口位于赧水</w:t>
      </w:r>
      <w:r>
        <w:rPr>
          <w:rFonts w:ascii="宋体" w:hAnsi="宋体" w:eastAsia="宋体" w:cs="宋体"/>
          <w:spacing w:val="-1"/>
          <w:sz w:val="24"/>
          <w:szCs w:val="24"/>
        </w:rPr>
        <w:t>，根据《邵阳市水功能区划》（</w:t>
      </w:r>
      <w:r>
        <w:rPr>
          <w:rFonts w:ascii="Times New Roman" w:hAnsi="Times New Roman" w:eastAsia="Times New Roman" w:cs="Times New Roman"/>
          <w:spacing w:val="-1"/>
          <w:sz w:val="24"/>
          <w:szCs w:val="24"/>
        </w:rPr>
        <w:t>2016</w:t>
      </w:r>
      <w:r>
        <w:rPr>
          <w:rFonts w:ascii="宋体" w:hAnsi="宋体" w:eastAsia="宋体" w:cs="宋体"/>
          <w:spacing w:val="-1"/>
          <w:sz w:val="24"/>
          <w:szCs w:val="24"/>
        </w:rPr>
        <w:t>年</w:t>
      </w:r>
      <w:r>
        <w:rPr>
          <w:rFonts w:ascii="宋体" w:hAnsi="宋体" w:eastAsia="宋体" w:cs="宋体"/>
          <w:spacing w:val="13"/>
          <w:sz w:val="24"/>
          <w:szCs w:val="24"/>
        </w:rPr>
        <w:t>），</w:t>
      </w:r>
      <w:r>
        <w:rPr>
          <w:rFonts w:ascii="宋体" w:hAnsi="宋体" w:eastAsia="宋体" w:cs="宋体"/>
          <w:spacing w:val="-1"/>
          <w:sz w:val="24"/>
          <w:szCs w:val="24"/>
        </w:rPr>
        <w:t>排污口所在断面属于资水（赧水）隆回——邵阳保留区，水</w:t>
      </w:r>
      <w:r>
        <w:rPr>
          <w:rFonts w:ascii="宋体" w:hAnsi="宋体" w:eastAsia="宋体" w:cs="宋体"/>
          <w:sz w:val="24"/>
          <w:szCs w:val="24"/>
        </w:rPr>
        <w:t>质管理目标为Ⅱ类，根据环境质量监测结果，常规监测断</w:t>
      </w:r>
      <w:r>
        <w:rPr>
          <w:rFonts w:ascii="宋体" w:hAnsi="宋体" w:eastAsia="宋体" w:cs="宋体"/>
          <w:spacing w:val="-1"/>
          <w:sz w:val="24"/>
          <w:szCs w:val="24"/>
        </w:rPr>
        <w:t>面与实测断面的所有指</w:t>
      </w:r>
      <w:r>
        <w:rPr>
          <w:rFonts w:ascii="宋体" w:hAnsi="宋体" w:eastAsia="宋体" w:cs="宋体"/>
          <w:spacing w:val="-6"/>
          <w:sz w:val="24"/>
          <w:szCs w:val="24"/>
        </w:rPr>
        <w:t>标均达到《地表水环境质量标准》（</w:t>
      </w:r>
      <w:r>
        <w:rPr>
          <w:rFonts w:ascii="Times New Roman" w:hAnsi="Times New Roman" w:eastAsia="Times New Roman" w:cs="Times New Roman"/>
          <w:spacing w:val="-6"/>
          <w:sz w:val="24"/>
          <w:szCs w:val="24"/>
        </w:rPr>
        <w:t>GB3838-2002</w:t>
      </w:r>
      <w:r>
        <w:rPr>
          <w:rFonts w:ascii="宋体" w:hAnsi="宋体" w:eastAsia="宋体" w:cs="宋体"/>
          <w:spacing w:val="-6"/>
          <w:sz w:val="24"/>
          <w:szCs w:val="24"/>
        </w:rPr>
        <w:t>）Ⅱ类标准限值，</w:t>
      </w:r>
      <w:r>
        <w:rPr>
          <w:rFonts w:ascii="宋体" w:hAnsi="宋体" w:eastAsia="宋体" w:cs="宋体"/>
          <w:spacing w:val="-7"/>
          <w:sz w:val="24"/>
          <w:szCs w:val="24"/>
        </w:rPr>
        <w:t>根据预测计算，</w:t>
      </w:r>
      <w:r>
        <w:rPr>
          <w:rFonts w:ascii="宋体" w:hAnsi="宋体" w:eastAsia="宋体" w:cs="宋体"/>
          <w:sz w:val="24"/>
          <w:szCs w:val="24"/>
        </w:rPr>
        <w:t>目前赧水未超过其水域纳污能力和限制排污总量。则本工</w:t>
      </w:r>
      <w:r>
        <w:rPr>
          <w:rFonts w:ascii="宋体" w:hAnsi="宋体" w:eastAsia="宋体" w:cs="宋体"/>
          <w:spacing w:val="-1"/>
          <w:sz w:val="24"/>
          <w:szCs w:val="24"/>
        </w:rPr>
        <w:t>程与《国务院关于实行最严格水资源管理制度的意见》（国发〔</w:t>
      </w:r>
      <w:r>
        <w:rPr>
          <w:rFonts w:ascii="Times New Roman" w:hAnsi="Times New Roman" w:eastAsia="Times New Roman" w:cs="Times New Roman"/>
          <w:spacing w:val="-1"/>
          <w:sz w:val="24"/>
          <w:szCs w:val="24"/>
        </w:rPr>
        <w:t>2012</w:t>
      </w: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号）相符合。</w:t>
      </w:r>
    </w:p>
    <w:p w14:paraId="497AAD43">
      <w:pPr>
        <w:spacing w:line="219" w:lineRule="auto"/>
        <w:ind w:left="38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）与《中华人民共和国渔业法》相符性分析</w:t>
      </w:r>
    </w:p>
    <w:p w14:paraId="077EC2DC">
      <w:pPr>
        <w:spacing w:before="184" w:line="358" w:lineRule="auto"/>
        <w:ind w:left="10" w:right="61" w:firstLine="359"/>
        <w:rPr>
          <w:rFonts w:ascii="宋体" w:hAnsi="宋体" w:eastAsia="宋体" w:cs="宋体"/>
          <w:sz w:val="24"/>
          <w:szCs w:val="24"/>
        </w:rPr>
      </w:pPr>
      <w:r>
        <w:rPr>
          <w:rFonts w:ascii="宋体" w:hAnsi="宋体" w:eastAsia="宋体" w:cs="宋体"/>
          <w:spacing w:val="-1"/>
          <w:sz w:val="24"/>
          <w:szCs w:val="24"/>
        </w:rPr>
        <w:t>根据《中华人民共和国渔业法》相关规定，对建设项目的限制性规定为“第三</w:t>
      </w:r>
      <w:r>
        <w:rPr>
          <w:rFonts w:ascii="宋体" w:hAnsi="宋体" w:eastAsia="宋体" w:cs="宋体"/>
          <w:sz w:val="24"/>
          <w:szCs w:val="24"/>
        </w:rPr>
        <w:t>十五条：进行水下爆破、勘探、施工作业，对渔业资</w:t>
      </w:r>
      <w:r>
        <w:rPr>
          <w:rFonts w:ascii="宋体" w:hAnsi="宋体" w:eastAsia="宋体" w:cs="宋体"/>
          <w:spacing w:val="-1"/>
          <w:sz w:val="24"/>
          <w:szCs w:val="24"/>
        </w:rPr>
        <w:t>源有严重影响的，作业单位</w:t>
      </w:r>
    </w:p>
    <w:p w14:paraId="5DE99573">
      <w:pPr>
        <w:spacing w:line="358" w:lineRule="auto"/>
        <w:rPr>
          <w:rFonts w:ascii="宋体" w:hAnsi="宋体" w:eastAsia="宋体" w:cs="宋体"/>
          <w:sz w:val="24"/>
          <w:szCs w:val="24"/>
        </w:rPr>
        <w:sectPr>
          <w:footerReference r:id="rId158" w:type="default"/>
          <w:pgSz w:w="11906" w:h="16839"/>
          <w:pgMar w:top="1132" w:right="1639" w:bottom="1259" w:left="1701" w:header="829" w:footer="1097" w:gutter="0"/>
          <w:cols w:space="720" w:num="1"/>
        </w:sectPr>
      </w:pPr>
    </w:p>
    <w:p w14:paraId="1042A135">
      <w:pPr>
        <w:pStyle w:val="2"/>
        <w:spacing w:line="319" w:lineRule="auto"/>
      </w:pPr>
    </w:p>
    <w:p w14:paraId="641C70CB">
      <w:pPr>
        <w:spacing w:before="78" w:line="360" w:lineRule="auto"/>
        <w:ind w:left="121" w:right="216"/>
        <w:jc w:val="both"/>
        <w:rPr>
          <w:rFonts w:ascii="宋体" w:hAnsi="宋体" w:eastAsia="宋体" w:cs="宋体"/>
          <w:sz w:val="24"/>
          <w:szCs w:val="24"/>
        </w:rPr>
      </w:pPr>
      <w:r>
        <w:rPr>
          <w:rFonts w:ascii="宋体" w:hAnsi="宋体" w:eastAsia="宋体" w:cs="宋体"/>
          <w:sz w:val="24"/>
          <w:szCs w:val="24"/>
        </w:rPr>
        <w:t>应当事先同有关县级以上人民政府渔业行政主管部门协</w:t>
      </w:r>
      <w:r>
        <w:rPr>
          <w:rFonts w:ascii="宋体" w:hAnsi="宋体" w:eastAsia="宋体" w:cs="宋体"/>
          <w:spacing w:val="-1"/>
          <w:sz w:val="24"/>
          <w:szCs w:val="24"/>
        </w:rPr>
        <w:t>商，采取措施，防止或者</w:t>
      </w:r>
      <w:r>
        <w:rPr>
          <w:rFonts w:ascii="宋体" w:hAnsi="宋体" w:eastAsia="宋体" w:cs="宋体"/>
          <w:sz w:val="24"/>
          <w:szCs w:val="24"/>
        </w:rPr>
        <w:t>减少对渔业资源的损害；造成渔业资源损失的，由有关县</w:t>
      </w:r>
      <w:r>
        <w:rPr>
          <w:rFonts w:ascii="宋体" w:hAnsi="宋体" w:eastAsia="宋体" w:cs="宋体"/>
          <w:spacing w:val="-1"/>
          <w:sz w:val="24"/>
          <w:szCs w:val="24"/>
        </w:rPr>
        <w:t>级以上人民政府责令赔</w:t>
      </w:r>
      <w:r>
        <w:rPr>
          <w:rFonts w:ascii="宋体" w:hAnsi="宋体" w:eastAsia="宋体" w:cs="宋体"/>
          <w:spacing w:val="-3"/>
          <w:sz w:val="24"/>
          <w:szCs w:val="24"/>
        </w:rPr>
        <w:t>偿”。</w:t>
      </w:r>
    </w:p>
    <w:p w14:paraId="61B013A9">
      <w:pPr>
        <w:spacing w:before="2" w:line="359" w:lineRule="auto"/>
        <w:ind w:left="148" w:right="112" w:firstLine="334"/>
        <w:rPr>
          <w:rFonts w:ascii="宋体" w:hAnsi="宋体" w:eastAsia="宋体" w:cs="宋体"/>
          <w:sz w:val="24"/>
          <w:szCs w:val="24"/>
        </w:rPr>
      </w:pPr>
      <w:r>
        <w:rPr>
          <w:rFonts w:ascii="宋体" w:hAnsi="宋体" w:eastAsia="宋体" w:cs="宋体"/>
          <w:spacing w:val="-1"/>
          <w:sz w:val="24"/>
          <w:szCs w:val="24"/>
        </w:rPr>
        <w:t>本项目排污口设置于赧水，本项目入河排污口沿用一期工程，无水下施工，且</w:t>
      </w:r>
      <w:r>
        <w:rPr>
          <w:rFonts w:ascii="宋体" w:hAnsi="宋体" w:eastAsia="宋体" w:cs="宋体"/>
          <w:spacing w:val="-2"/>
          <w:sz w:val="24"/>
          <w:szCs w:val="24"/>
        </w:rPr>
        <w:t>已建成多年，因此符合《中华人民共和国渔业法》相关规定。</w:t>
      </w:r>
    </w:p>
    <w:p w14:paraId="2C27FF4A">
      <w:pPr>
        <w:spacing w:line="219" w:lineRule="auto"/>
        <w:ind w:left="120"/>
        <w:outlineLvl w:val="2"/>
        <w:rPr>
          <w:rFonts w:ascii="宋体" w:hAnsi="宋体" w:eastAsia="宋体" w:cs="宋体"/>
          <w:sz w:val="24"/>
          <w:szCs w:val="24"/>
        </w:rPr>
      </w:pPr>
      <w:r>
        <w:rPr>
          <w:rFonts w:ascii="Times New Roman" w:hAnsi="Times New Roman" w:eastAsia="Times New Roman" w:cs="Times New Roman"/>
          <w:b/>
          <w:bCs/>
          <w:spacing w:val="-2"/>
          <w:sz w:val="24"/>
          <w:szCs w:val="24"/>
        </w:rPr>
        <w:t>9.2.2</w:t>
      </w:r>
      <w:r>
        <w:rPr>
          <w:rFonts w:ascii="宋体" w:hAnsi="宋体" w:eastAsia="宋体" w:cs="宋体"/>
          <w:b/>
          <w:bCs/>
          <w:spacing w:val="-2"/>
          <w:sz w:val="24"/>
          <w:szCs w:val="24"/>
        </w:rPr>
        <w:t>与国家或地方政策相符性分析</w:t>
      </w:r>
    </w:p>
    <w:p w14:paraId="016A695B">
      <w:pPr>
        <w:spacing w:before="183" w:line="219" w:lineRule="auto"/>
        <w:ind w:left="61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）国家产业政策符合性分析</w:t>
      </w:r>
    </w:p>
    <w:p w14:paraId="60D8ED50">
      <w:pPr>
        <w:spacing w:before="182" w:line="360" w:lineRule="auto"/>
        <w:ind w:left="121" w:right="112" w:firstLine="480"/>
        <w:rPr>
          <w:rFonts w:ascii="宋体" w:hAnsi="宋体" w:eastAsia="宋体" w:cs="宋体"/>
          <w:sz w:val="24"/>
          <w:szCs w:val="24"/>
        </w:rPr>
      </w:pPr>
      <w:r>
        <w:rPr>
          <w:rFonts w:ascii="宋体" w:hAnsi="宋体" w:eastAsia="宋体" w:cs="宋体"/>
          <w:spacing w:val="-3"/>
          <w:sz w:val="24"/>
          <w:szCs w:val="24"/>
        </w:rPr>
        <w:t>根据中华人民共和国国家发展和改革委员会令（</w:t>
      </w:r>
      <w:r>
        <w:rPr>
          <w:rFonts w:ascii="Times New Roman" w:hAnsi="Times New Roman" w:eastAsia="Times New Roman" w:cs="Times New Roman"/>
          <w:spacing w:val="-3"/>
          <w:sz w:val="24"/>
          <w:szCs w:val="24"/>
        </w:rPr>
        <w:t>2019</w:t>
      </w:r>
      <w:r>
        <w:rPr>
          <w:rFonts w:ascii="宋体" w:hAnsi="宋体" w:eastAsia="宋体" w:cs="宋体"/>
          <w:spacing w:val="-3"/>
          <w:sz w:val="24"/>
          <w:szCs w:val="24"/>
        </w:rPr>
        <w:t>年）第</w:t>
      </w:r>
      <w:r>
        <w:rPr>
          <w:rFonts w:ascii="Times New Roman" w:hAnsi="Times New Roman" w:eastAsia="Times New Roman" w:cs="Times New Roman"/>
          <w:spacing w:val="-3"/>
          <w:sz w:val="24"/>
          <w:szCs w:val="24"/>
        </w:rPr>
        <w:t>29</w:t>
      </w:r>
      <w:r>
        <w:rPr>
          <w:rFonts w:ascii="宋体" w:hAnsi="宋体" w:eastAsia="宋体" w:cs="宋体"/>
          <w:spacing w:val="-3"/>
          <w:sz w:val="24"/>
          <w:szCs w:val="24"/>
        </w:rPr>
        <w:t>号、发展改革</w:t>
      </w:r>
      <w:r>
        <w:rPr>
          <w:rFonts w:ascii="宋体" w:hAnsi="宋体" w:eastAsia="宋体" w:cs="宋体"/>
          <w:spacing w:val="1"/>
          <w:sz w:val="24"/>
          <w:szCs w:val="24"/>
        </w:rPr>
        <w:t>委修订发布《产业结构调整指导目录（</w:t>
      </w:r>
      <w:r>
        <w:rPr>
          <w:rFonts w:ascii="Times New Roman" w:hAnsi="Times New Roman" w:eastAsia="Times New Roman" w:cs="Times New Roman"/>
          <w:spacing w:val="1"/>
          <w:sz w:val="24"/>
          <w:szCs w:val="24"/>
        </w:rPr>
        <w:t>2019</w:t>
      </w:r>
      <w:r>
        <w:rPr>
          <w:rFonts w:ascii="宋体" w:hAnsi="宋体" w:eastAsia="宋体" w:cs="宋体"/>
          <w:spacing w:val="1"/>
          <w:sz w:val="24"/>
          <w:szCs w:val="24"/>
        </w:rPr>
        <w:t>年本）》，本项目属于第</w:t>
      </w:r>
      <w:r>
        <w:rPr>
          <w:rFonts w:ascii="宋体" w:hAnsi="宋体" w:eastAsia="宋体" w:cs="宋体"/>
          <w:sz w:val="24"/>
          <w:szCs w:val="24"/>
        </w:rPr>
        <w:t>一类鼓励类</w:t>
      </w:r>
      <w:r>
        <w:rPr>
          <w:rFonts w:ascii="Times New Roman" w:hAnsi="Times New Roman" w:eastAsia="Times New Roman" w:cs="Times New Roman"/>
          <w:spacing w:val="1"/>
          <w:sz w:val="24"/>
          <w:szCs w:val="24"/>
        </w:rPr>
        <w:t>--</w:t>
      </w:r>
      <w:r>
        <w:rPr>
          <w:rFonts w:ascii="宋体" w:hAnsi="宋体" w:eastAsia="宋体" w:cs="宋体"/>
          <w:spacing w:val="1"/>
          <w:sz w:val="24"/>
          <w:szCs w:val="24"/>
        </w:rPr>
        <w:t>第四十三项</w:t>
      </w:r>
      <w:r>
        <w:rPr>
          <w:rFonts w:ascii="Times New Roman" w:hAnsi="Times New Roman" w:eastAsia="Times New Roman" w:cs="Times New Roman"/>
          <w:spacing w:val="1"/>
          <w:sz w:val="24"/>
          <w:szCs w:val="24"/>
        </w:rPr>
        <w:t>“</w:t>
      </w:r>
      <w:r>
        <w:rPr>
          <w:rFonts w:ascii="宋体" w:hAnsi="宋体" w:eastAsia="宋体" w:cs="宋体"/>
          <w:spacing w:val="1"/>
          <w:sz w:val="24"/>
          <w:szCs w:val="24"/>
        </w:rPr>
        <w:t>环境保护与资源节约综合利用</w:t>
      </w:r>
      <w:r>
        <w:rPr>
          <w:rFonts w:ascii="Times New Roman" w:hAnsi="Times New Roman" w:eastAsia="Times New Roman" w:cs="Times New Roman"/>
          <w:spacing w:val="1"/>
          <w:sz w:val="24"/>
          <w:szCs w:val="24"/>
        </w:rPr>
        <w:t>”</w:t>
      </w:r>
      <w:r>
        <w:rPr>
          <w:rFonts w:ascii="宋体" w:hAnsi="宋体" w:eastAsia="宋体" w:cs="宋体"/>
          <w:spacing w:val="1"/>
          <w:sz w:val="24"/>
          <w:szCs w:val="24"/>
        </w:rPr>
        <w:t>第</w:t>
      </w:r>
      <w:r>
        <w:rPr>
          <w:rFonts w:ascii="Times New Roman" w:hAnsi="Times New Roman" w:eastAsia="Times New Roman" w:cs="Times New Roman"/>
          <w:spacing w:val="1"/>
          <w:sz w:val="24"/>
          <w:szCs w:val="24"/>
        </w:rPr>
        <w:t>15</w:t>
      </w:r>
      <w:r>
        <w:rPr>
          <w:rFonts w:ascii="宋体" w:hAnsi="宋体" w:eastAsia="宋体" w:cs="宋体"/>
          <w:spacing w:val="1"/>
          <w:sz w:val="24"/>
          <w:szCs w:val="24"/>
        </w:rPr>
        <w:t>小项</w:t>
      </w:r>
      <w:r>
        <w:rPr>
          <w:rFonts w:ascii="Times New Roman" w:hAnsi="Times New Roman" w:eastAsia="Times New Roman" w:cs="Times New Roman"/>
          <w:spacing w:val="1"/>
          <w:sz w:val="24"/>
          <w:szCs w:val="24"/>
        </w:rPr>
        <w:t>“</w:t>
      </w:r>
      <w:r>
        <w:rPr>
          <w:rFonts w:ascii="宋体" w:hAnsi="宋体" w:eastAsia="宋体" w:cs="宋体"/>
          <w:spacing w:val="1"/>
          <w:sz w:val="24"/>
          <w:szCs w:val="24"/>
        </w:rPr>
        <w:t>三废</w:t>
      </w:r>
      <w:r>
        <w:rPr>
          <w:rFonts w:ascii="Times New Roman" w:hAnsi="Times New Roman" w:eastAsia="Times New Roman" w:cs="Times New Roman"/>
          <w:spacing w:val="1"/>
          <w:sz w:val="24"/>
          <w:szCs w:val="24"/>
        </w:rPr>
        <w:t>”</w:t>
      </w:r>
      <w:r>
        <w:rPr>
          <w:rFonts w:ascii="宋体" w:hAnsi="宋体" w:eastAsia="宋体" w:cs="宋体"/>
          <w:spacing w:val="1"/>
          <w:sz w:val="24"/>
          <w:szCs w:val="24"/>
        </w:rPr>
        <w:t>综合利用与治理技</w:t>
      </w:r>
      <w:r>
        <w:rPr>
          <w:rFonts w:ascii="宋体" w:hAnsi="宋体" w:eastAsia="宋体" w:cs="宋体"/>
          <w:spacing w:val="-1"/>
          <w:sz w:val="24"/>
          <w:szCs w:val="24"/>
        </w:rPr>
        <w:t>术、装备和工程</w:t>
      </w:r>
      <w:r>
        <w:rPr>
          <w:rFonts w:ascii="Times New Roman" w:hAnsi="Times New Roman" w:eastAsia="Times New Roman" w:cs="Times New Roman"/>
          <w:spacing w:val="-1"/>
          <w:sz w:val="24"/>
          <w:szCs w:val="24"/>
        </w:rPr>
        <w:t>”</w:t>
      </w:r>
      <w:r>
        <w:rPr>
          <w:rFonts w:ascii="宋体" w:hAnsi="宋体" w:eastAsia="宋体" w:cs="宋体"/>
          <w:spacing w:val="-1"/>
          <w:sz w:val="24"/>
          <w:szCs w:val="24"/>
        </w:rPr>
        <w:t>类项目。因此，项目符合国家相关产业政策。</w:t>
      </w:r>
    </w:p>
    <w:p w14:paraId="4B2EE0E3">
      <w:pPr>
        <w:spacing w:before="1" w:line="219" w:lineRule="auto"/>
        <w:ind w:left="49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）与《入河排污口监督管理办法》符合性分析</w:t>
      </w:r>
    </w:p>
    <w:p w14:paraId="77DFC16C">
      <w:pPr>
        <w:spacing w:before="182" w:line="290" w:lineRule="auto"/>
        <w:ind w:left="125" w:right="113" w:firstLine="476"/>
        <w:rPr>
          <w:rFonts w:ascii="宋体" w:hAnsi="宋体" w:eastAsia="宋体" w:cs="宋体"/>
          <w:sz w:val="24"/>
          <w:szCs w:val="24"/>
        </w:rPr>
      </w:pPr>
      <w:r>
        <w:rPr>
          <w:rFonts w:ascii="宋体" w:hAnsi="宋体" w:eastAsia="宋体" w:cs="宋体"/>
          <w:spacing w:val="3"/>
          <w:sz w:val="24"/>
          <w:szCs w:val="24"/>
        </w:rPr>
        <w:t>①本项目排污口位于赧水河道左岸，受纳水体为赧水，该河段</w:t>
      </w:r>
      <w:r>
        <w:rPr>
          <w:rFonts w:ascii="宋体" w:hAnsi="宋体" w:eastAsia="宋体" w:cs="宋体"/>
          <w:spacing w:val="2"/>
          <w:sz w:val="24"/>
          <w:szCs w:val="24"/>
        </w:rPr>
        <w:t>不属于饮用水</w:t>
      </w:r>
      <w:r>
        <w:rPr>
          <w:rFonts w:ascii="宋体" w:hAnsi="宋体" w:eastAsia="宋体" w:cs="宋体"/>
          <w:spacing w:val="-3"/>
          <w:sz w:val="24"/>
          <w:szCs w:val="24"/>
        </w:rPr>
        <w:t>水源保护区。</w:t>
      </w:r>
    </w:p>
    <w:p w14:paraId="0BAF6352">
      <w:pPr>
        <w:spacing w:before="183" w:line="290" w:lineRule="auto"/>
        <w:ind w:left="123" w:right="113" w:firstLine="477"/>
        <w:rPr>
          <w:rFonts w:ascii="宋体" w:hAnsi="宋体" w:eastAsia="宋体" w:cs="宋体"/>
          <w:sz w:val="24"/>
          <w:szCs w:val="24"/>
        </w:rPr>
      </w:pPr>
      <w:r>
        <w:rPr>
          <w:rFonts w:ascii="宋体" w:hAnsi="宋体" w:eastAsia="宋体" w:cs="宋体"/>
          <w:spacing w:val="10"/>
          <w:sz w:val="24"/>
          <w:szCs w:val="24"/>
        </w:rPr>
        <w:t>②排污口及上下游水域均不属于省级以上人民政府要求削减排污总量的水</w:t>
      </w:r>
      <w:r>
        <w:rPr>
          <w:rFonts w:ascii="宋体" w:hAnsi="宋体" w:eastAsia="宋体" w:cs="宋体"/>
          <w:spacing w:val="-6"/>
          <w:sz w:val="24"/>
          <w:szCs w:val="24"/>
        </w:rPr>
        <w:t>域。</w:t>
      </w:r>
    </w:p>
    <w:p w14:paraId="73328302">
      <w:pPr>
        <w:spacing w:before="183" w:line="290" w:lineRule="auto"/>
        <w:ind w:left="124" w:right="113" w:firstLine="476"/>
        <w:rPr>
          <w:rFonts w:ascii="宋体" w:hAnsi="宋体" w:eastAsia="宋体" w:cs="宋体"/>
          <w:sz w:val="24"/>
          <w:szCs w:val="24"/>
        </w:rPr>
      </w:pPr>
      <w:r>
        <w:rPr>
          <w:rFonts w:ascii="宋体" w:hAnsi="宋体" w:eastAsia="宋体" w:cs="宋体"/>
          <w:spacing w:val="3"/>
          <w:sz w:val="24"/>
          <w:szCs w:val="24"/>
        </w:rPr>
        <w:t>③根据现状补充监测结果论证范围内现状水质较好，能够达到功</w:t>
      </w:r>
      <w:r>
        <w:rPr>
          <w:rFonts w:ascii="宋体" w:hAnsi="宋体" w:eastAsia="宋体" w:cs="宋体"/>
          <w:spacing w:val="2"/>
          <w:sz w:val="24"/>
          <w:szCs w:val="24"/>
        </w:rPr>
        <w:t>能区水质要</w:t>
      </w:r>
      <w:r>
        <w:rPr>
          <w:rFonts w:ascii="宋体" w:hAnsi="宋体" w:eastAsia="宋体" w:cs="宋体"/>
          <w:spacing w:val="-6"/>
          <w:sz w:val="24"/>
          <w:szCs w:val="24"/>
        </w:rPr>
        <w:t>求。</w:t>
      </w:r>
    </w:p>
    <w:p w14:paraId="08F562E9">
      <w:pPr>
        <w:spacing w:before="180" w:line="290" w:lineRule="auto"/>
        <w:ind w:left="124" w:right="113" w:firstLine="476"/>
        <w:rPr>
          <w:rFonts w:ascii="宋体" w:hAnsi="宋体" w:eastAsia="宋体" w:cs="宋体"/>
          <w:sz w:val="24"/>
          <w:szCs w:val="24"/>
        </w:rPr>
      </w:pPr>
      <w:r>
        <w:rPr>
          <w:rFonts w:ascii="宋体" w:hAnsi="宋体" w:eastAsia="宋体" w:cs="宋体"/>
          <w:spacing w:val="3"/>
          <w:sz w:val="24"/>
          <w:szCs w:val="24"/>
        </w:rPr>
        <w:t>④本项目拟设排污口为岸边排放，基本不会对河道防洪产生影响</w:t>
      </w:r>
      <w:r>
        <w:rPr>
          <w:rFonts w:ascii="宋体" w:hAnsi="宋体" w:eastAsia="宋体" w:cs="宋体"/>
          <w:spacing w:val="2"/>
          <w:sz w:val="24"/>
          <w:szCs w:val="24"/>
        </w:rPr>
        <w:t>，不存在不</w:t>
      </w:r>
      <w:r>
        <w:rPr>
          <w:rFonts w:ascii="宋体" w:hAnsi="宋体" w:eastAsia="宋体" w:cs="宋体"/>
          <w:spacing w:val="-2"/>
          <w:sz w:val="24"/>
          <w:szCs w:val="24"/>
        </w:rPr>
        <w:t>符合防洪要求。</w:t>
      </w:r>
    </w:p>
    <w:p w14:paraId="2106C1E3">
      <w:pPr>
        <w:spacing w:before="183" w:line="217" w:lineRule="auto"/>
        <w:jc w:val="right"/>
        <w:rPr>
          <w:rFonts w:ascii="宋体" w:hAnsi="宋体" w:eastAsia="宋体" w:cs="宋体"/>
          <w:sz w:val="24"/>
          <w:szCs w:val="24"/>
        </w:rPr>
      </w:pPr>
      <w:r>
        <w:rPr>
          <w:rFonts w:ascii="宋体" w:hAnsi="宋体" w:eastAsia="宋体" w:cs="宋体"/>
          <w:spacing w:val="-2"/>
          <w:sz w:val="24"/>
          <w:szCs w:val="24"/>
        </w:rPr>
        <w:t>⑤本项目设置的排污口不存在不符合法律、法规和国家产业政策规定的情况。</w:t>
      </w:r>
    </w:p>
    <w:p w14:paraId="4804580C">
      <w:pPr>
        <w:spacing w:before="186" w:line="291" w:lineRule="auto"/>
        <w:ind w:left="142" w:right="113" w:firstLine="458"/>
        <w:rPr>
          <w:rFonts w:ascii="宋体" w:hAnsi="宋体" w:eastAsia="宋体" w:cs="宋体"/>
          <w:sz w:val="24"/>
          <w:szCs w:val="24"/>
        </w:rPr>
      </w:pPr>
      <w:r>
        <w:rPr>
          <w:rFonts w:ascii="宋体" w:hAnsi="宋体" w:eastAsia="宋体" w:cs="宋体"/>
          <w:spacing w:val="10"/>
          <w:sz w:val="24"/>
          <w:szCs w:val="24"/>
        </w:rPr>
        <w:t>⑥本项目设置的排污口不存在其他不符合国务院水行政主管部门规定条件</w:t>
      </w:r>
      <w:r>
        <w:rPr>
          <w:rFonts w:ascii="宋体" w:hAnsi="宋体" w:eastAsia="宋体" w:cs="宋体"/>
          <w:spacing w:val="-15"/>
          <w:sz w:val="24"/>
          <w:szCs w:val="24"/>
        </w:rPr>
        <w:t>的。</w:t>
      </w:r>
    </w:p>
    <w:p w14:paraId="38805CF9">
      <w:pPr>
        <w:spacing w:before="100" w:line="212" w:lineRule="auto"/>
        <w:ind w:left="1564"/>
        <w:rPr>
          <w:rFonts w:ascii="宋体" w:hAnsi="宋体" w:eastAsia="宋体" w:cs="宋体"/>
          <w:sz w:val="24"/>
          <w:szCs w:val="24"/>
        </w:rPr>
      </w:pPr>
      <w:r>
        <w:rPr>
          <w:rFonts w:ascii="宋体" w:hAnsi="宋体" w:eastAsia="宋体" w:cs="宋体"/>
          <w:b/>
          <w:bCs/>
          <w:spacing w:val="-2"/>
          <w:sz w:val="24"/>
          <w:szCs w:val="24"/>
        </w:rPr>
        <w:t>表</w:t>
      </w:r>
      <w:r>
        <w:rPr>
          <w:rFonts w:ascii="Times New Roman" w:hAnsi="Times New Roman" w:eastAsia="Times New Roman" w:cs="Times New Roman"/>
          <w:b/>
          <w:bCs/>
          <w:spacing w:val="-2"/>
          <w:sz w:val="24"/>
          <w:szCs w:val="24"/>
        </w:rPr>
        <w:t>9.2-1</w:t>
      </w:r>
      <w:r>
        <w:rPr>
          <w:rFonts w:ascii="宋体" w:hAnsi="宋体" w:eastAsia="宋体" w:cs="宋体"/>
          <w:b/>
          <w:bCs/>
          <w:spacing w:val="-2"/>
          <w:sz w:val="24"/>
          <w:szCs w:val="24"/>
        </w:rPr>
        <w:t>与《入河排污口监督管理办法》符合性分析</w:t>
      </w:r>
    </w:p>
    <w:tbl>
      <w:tblPr>
        <w:tblStyle w:val="5"/>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2"/>
        <w:gridCol w:w="3609"/>
        <w:gridCol w:w="3422"/>
        <w:gridCol w:w="941"/>
      </w:tblGrid>
      <w:tr w14:paraId="3F141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752" w:type="dxa"/>
            <w:vAlign w:val="top"/>
          </w:tcPr>
          <w:p w14:paraId="0AC501ED">
            <w:pPr>
              <w:pStyle w:val="6"/>
              <w:spacing w:before="211" w:line="229" w:lineRule="auto"/>
              <w:ind w:left="170"/>
            </w:pPr>
            <w:r>
              <w:rPr>
                <w:b/>
                <w:bCs/>
                <w:spacing w:val="4"/>
              </w:rPr>
              <w:t>序号</w:t>
            </w:r>
          </w:p>
        </w:tc>
        <w:tc>
          <w:tcPr>
            <w:tcW w:w="3609" w:type="dxa"/>
            <w:vAlign w:val="top"/>
          </w:tcPr>
          <w:p w14:paraId="40E998CC">
            <w:pPr>
              <w:pStyle w:val="6"/>
              <w:spacing w:before="56" w:line="261" w:lineRule="auto"/>
              <w:ind w:left="386" w:right="117" w:hanging="258"/>
            </w:pPr>
            <w:r>
              <w:rPr>
                <w:b/>
                <w:bCs/>
                <w:spacing w:val="7"/>
              </w:rPr>
              <w:t>《入河排污口监督管理办法》（生态</w:t>
            </w:r>
            <w:r>
              <w:rPr>
                <w:b/>
                <w:bCs/>
                <w:spacing w:val="6"/>
              </w:rPr>
              <w:t>环境部部令第</w:t>
            </w:r>
            <w:r>
              <w:rPr>
                <w:rFonts w:ascii="Times New Roman" w:hAnsi="Times New Roman" w:eastAsia="Times New Roman" w:cs="Times New Roman"/>
                <w:b/>
                <w:bCs/>
                <w:spacing w:val="6"/>
              </w:rPr>
              <w:t>35</w:t>
            </w:r>
            <w:r>
              <w:rPr>
                <w:b/>
                <w:bCs/>
                <w:spacing w:val="6"/>
              </w:rPr>
              <w:t>号）禁止要求</w:t>
            </w:r>
          </w:p>
        </w:tc>
        <w:tc>
          <w:tcPr>
            <w:tcW w:w="3422" w:type="dxa"/>
            <w:vAlign w:val="top"/>
          </w:tcPr>
          <w:p w14:paraId="3CE1FF7D">
            <w:pPr>
              <w:pStyle w:val="6"/>
              <w:spacing w:before="211" w:line="227" w:lineRule="auto"/>
              <w:ind w:left="875"/>
            </w:pPr>
            <w:r>
              <w:rPr>
                <w:b/>
                <w:bCs/>
                <w:spacing w:val="7"/>
              </w:rPr>
              <w:t>本入河排污口情况</w:t>
            </w:r>
          </w:p>
        </w:tc>
        <w:tc>
          <w:tcPr>
            <w:tcW w:w="941" w:type="dxa"/>
            <w:vAlign w:val="top"/>
          </w:tcPr>
          <w:p w14:paraId="10FF5E18">
            <w:pPr>
              <w:pStyle w:val="6"/>
              <w:spacing w:before="55" w:line="228" w:lineRule="auto"/>
              <w:ind w:left="163"/>
            </w:pPr>
            <w:r>
              <w:rPr>
                <w:b/>
                <w:bCs/>
                <w:spacing w:val="4"/>
              </w:rPr>
              <w:t>是否有</w:t>
            </w:r>
          </w:p>
          <w:p w14:paraId="5C739D15">
            <w:pPr>
              <w:pStyle w:val="6"/>
              <w:spacing w:before="65" w:line="228" w:lineRule="auto"/>
              <w:ind w:left="163"/>
            </w:pPr>
            <w:r>
              <w:rPr>
                <w:b/>
                <w:bCs/>
                <w:spacing w:val="4"/>
              </w:rPr>
              <w:t>该情形</w:t>
            </w:r>
          </w:p>
        </w:tc>
      </w:tr>
      <w:tr w14:paraId="710B6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752" w:type="dxa"/>
            <w:vAlign w:val="top"/>
          </w:tcPr>
          <w:p w14:paraId="76BADE96">
            <w:pPr>
              <w:spacing w:line="248" w:lineRule="auto"/>
              <w:rPr>
                <w:rFonts w:ascii="Arial"/>
                <w:sz w:val="21"/>
              </w:rPr>
            </w:pPr>
          </w:p>
          <w:p w14:paraId="7E24ABC7">
            <w:pPr>
              <w:spacing w:line="249" w:lineRule="auto"/>
              <w:rPr>
                <w:rFonts w:ascii="Arial"/>
                <w:sz w:val="21"/>
              </w:rPr>
            </w:pPr>
          </w:p>
          <w:p w14:paraId="68DD1105">
            <w:pPr>
              <w:spacing w:before="58" w:line="195" w:lineRule="auto"/>
              <w:ind w:left="34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609" w:type="dxa"/>
            <w:vAlign w:val="top"/>
          </w:tcPr>
          <w:p w14:paraId="5BD84B6F">
            <w:pPr>
              <w:spacing w:line="299" w:lineRule="auto"/>
              <w:rPr>
                <w:rFonts w:ascii="Arial"/>
                <w:sz w:val="21"/>
              </w:rPr>
            </w:pPr>
          </w:p>
          <w:p w14:paraId="56FBB083">
            <w:pPr>
              <w:pStyle w:val="6"/>
              <w:spacing w:before="65" w:line="228" w:lineRule="auto"/>
              <w:ind w:left="126"/>
            </w:pPr>
            <w:r>
              <w:rPr>
                <w:spacing w:val="9"/>
              </w:rPr>
              <w:t>在饮用水水源保护区内设置入河排污</w:t>
            </w:r>
          </w:p>
          <w:p w14:paraId="4CE53729">
            <w:pPr>
              <w:pStyle w:val="6"/>
              <w:spacing w:before="64" w:line="231" w:lineRule="auto"/>
              <w:ind w:left="1630"/>
            </w:pPr>
            <w:r>
              <w:rPr>
                <w:spacing w:val="-12"/>
              </w:rPr>
              <w:t>口的</w:t>
            </w:r>
          </w:p>
        </w:tc>
        <w:tc>
          <w:tcPr>
            <w:tcW w:w="3422" w:type="dxa"/>
            <w:vAlign w:val="top"/>
          </w:tcPr>
          <w:p w14:paraId="2075E76A">
            <w:pPr>
              <w:pStyle w:val="6"/>
              <w:spacing w:before="53" w:line="274" w:lineRule="auto"/>
              <w:ind w:left="115" w:right="50" w:firstLine="40"/>
              <w:jc w:val="both"/>
            </w:pPr>
            <w:r>
              <w:rPr>
                <w:spacing w:val="8"/>
              </w:rPr>
              <w:t>隆回工业污水处理厂排污口位于赧</w:t>
            </w:r>
            <w:r>
              <w:rPr>
                <w:spacing w:val="7"/>
              </w:rPr>
              <w:t>水隆回县元木山电站下游</w:t>
            </w:r>
            <w:r>
              <w:rPr>
                <w:rFonts w:ascii="Times New Roman" w:hAnsi="Times New Roman" w:eastAsia="Times New Roman" w:cs="Times New Roman"/>
                <w:spacing w:val="7"/>
              </w:rPr>
              <w:t>2.8m</w:t>
            </w:r>
            <w:r>
              <w:rPr>
                <w:spacing w:val="7"/>
              </w:rPr>
              <w:t>处，</w:t>
            </w:r>
            <w:r>
              <w:rPr>
                <w:spacing w:val="-1"/>
              </w:rPr>
              <w:t>属于资水（赧水）隆回</w:t>
            </w:r>
            <w:r>
              <w:rPr>
                <w:rFonts w:ascii="Times New Roman" w:hAnsi="Times New Roman" w:eastAsia="Times New Roman" w:cs="Times New Roman"/>
                <w:spacing w:val="-1"/>
              </w:rPr>
              <w:t>-</w:t>
            </w:r>
            <w:r>
              <w:rPr>
                <w:spacing w:val="-1"/>
              </w:rPr>
              <w:t>邵阳保留区，</w:t>
            </w:r>
            <w:r>
              <w:rPr>
                <w:spacing w:val="11"/>
              </w:rPr>
              <w:t>排污口不在饮用水源保护区范围内</w:t>
            </w:r>
          </w:p>
        </w:tc>
        <w:tc>
          <w:tcPr>
            <w:tcW w:w="941" w:type="dxa"/>
            <w:vAlign w:val="top"/>
          </w:tcPr>
          <w:p w14:paraId="3AB44CD8">
            <w:pPr>
              <w:spacing w:line="455" w:lineRule="auto"/>
              <w:rPr>
                <w:rFonts w:ascii="Arial"/>
                <w:sz w:val="21"/>
              </w:rPr>
            </w:pPr>
          </w:p>
          <w:p w14:paraId="04A1BC1D">
            <w:pPr>
              <w:pStyle w:val="6"/>
              <w:spacing w:before="65" w:line="228" w:lineRule="auto"/>
              <w:ind w:left="372"/>
            </w:pPr>
            <w:r>
              <w:t>无</w:t>
            </w:r>
          </w:p>
        </w:tc>
      </w:tr>
      <w:tr w14:paraId="2F32ED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752" w:type="dxa"/>
            <w:vAlign w:val="top"/>
          </w:tcPr>
          <w:p w14:paraId="077AD250">
            <w:pPr>
              <w:spacing w:line="344" w:lineRule="auto"/>
              <w:rPr>
                <w:rFonts w:ascii="Arial"/>
                <w:sz w:val="21"/>
              </w:rPr>
            </w:pPr>
          </w:p>
          <w:p w14:paraId="2BA4C188">
            <w:pPr>
              <w:spacing w:before="57" w:line="195" w:lineRule="auto"/>
              <w:ind w:left="32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609" w:type="dxa"/>
            <w:vAlign w:val="top"/>
          </w:tcPr>
          <w:p w14:paraId="0887BF09">
            <w:pPr>
              <w:pStyle w:val="6"/>
              <w:spacing w:before="55" w:line="228" w:lineRule="auto"/>
              <w:ind w:left="126"/>
            </w:pPr>
            <w:r>
              <w:rPr>
                <w:spacing w:val="9"/>
              </w:rPr>
              <w:t>在风景名胜区水体、重要渔业水体和</w:t>
            </w:r>
          </w:p>
          <w:p w14:paraId="64361002">
            <w:pPr>
              <w:pStyle w:val="6"/>
              <w:spacing w:before="65" w:line="226" w:lineRule="auto"/>
              <w:ind w:left="128"/>
            </w:pPr>
            <w:r>
              <w:rPr>
                <w:spacing w:val="9"/>
              </w:rPr>
              <w:t>其他具有特殊经济文化价值的水体的</w:t>
            </w:r>
          </w:p>
          <w:p w14:paraId="5EDA40D9">
            <w:pPr>
              <w:pStyle w:val="6"/>
              <w:spacing w:before="66" w:line="228" w:lineRule="auto"/>
              <w:ind w:left="1388"/>
            </w:pPr>
            <w:r>
              <w:rPr>
                <w:spacing w:val="7"/>
              </w:rPr>
              <w:t>保护区内</w:t>
            </w:r>
          </w:p>
        </w:tc>
        <w:tc>
          <w:tcPr>
            <w:tcW w:w="3422" w:type="dxa"/>
            <w:vAlign w:val="top"/>
          </w:tcPr>
          <w:p w14:paraId="2F8378C5">
            <w:pPr>
              <w:pStyle w:val="6"/>
              <w:spacing w:before="54" w:line="270" w:lineRule="auto"/>
              <w:ind w:left="141" w:right="133"/>
              <w:jc w:val="both"/>
            </w:pPr>
            <w:r>
              <w:rPr>
                <w:spacing w:val="9"/>
              </w:rPr>
              <w:t>入河排污口设置于赧水，不位于风景名胜区水体、重要渔业水体和其他具有特殊经济文化价值的水体的</w:t>
            </w:r>
          </w:p>
        </w:tc>
        <w:tc>
          <w:tcPr>
            <w:tcW w:w="941" w:type="dxa"/>
            <w:vAlign w:val="top"/>
          </w:tcPr>
          <w:p w14:paraId="044BD66C">
            <w:pPr>
              <w:spacing w:line="301" w:lineRule="auto"/>
              <w:rPr>
                <w:rFonts w:ascii="Arial"/>
                <w:sz w:val="21"/>
              </w:rPr>
            </w:pPr>
          </w:p>
          <w:p w14:paraId="0F142DE8">
            <w:pPr>
              <w:pStyle w:val="6"/>
              <w:spacing w:before="65" w:line="228" w:lineRule="auto"/>
              <w:ind w:left="372"/>
            </w:pPr>
            <w:r>
              <w:t>无</w:t>
            </w:r>
          </w:p>
        </w:tc>
      </w:tr>
    </w:tbl>
    <w:p w14:paraId="203D10E4">
      <w:pPr>
        <w:pStyle w:val="2"/>
        <w:spacing w:line="230" w:lineRule="exact"/>
        <w:rPr>
          <w:sz w:val="19"/>
        </w:rPr>
      </w:pPr>
    </w:p>
    <w:p w14:paraId="27107F7F">
      <w:pPr>
        <w:spacing w:line="230" w:lineRule="exact"/>
        <w:rPr>
          <w:sz w:val="19"/>
          <w:szCs w:val="19"/>
        </w:rPr>
        <w:sectPr>
          <w:headerReference r:id="rId159" w:type="default"/>
          <w:footerReference r:id="rId160" w:type="default"/>
          <w:pgSz w:w="11906" w:h="16839"/>
          <w:pgMar w:top="1132" w:right="1588" w:bottom="1259" w:left="1588" w:header="829" w:footer="1097" w:gutter="0"/>
          <w:cols w:space="720" w:num="1"/>
        </w:sectPr>
      </w:pPr>
    </w:p>
    <w:p w14:paraId="0AA42713">
      <w:pPr>
        <w:spacing w:before="42"/>
      </w:pPr>
    </w:p>
    <w:tbl>
      <w:tblPr>
        <w:tblStyle w:val="5"/>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2"/>
        <w:gridCol w:w="3609"/>
        <w:gridCol w:w="3422"/>
        <w:gridCol w:w="941"/>
      </w:tblGrid>
      <w:tr w14:paraId="4C9015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52" w:type="dxa"/>
            <w:vAlign w:val="top"/>
          </w:tcPr>
          <w:p w14:paraId="3DE8A7E5">
            <w:pPr>
              <w:pStyle w:val="6"/>
              <w:spacing w:before="211" w:line="229" w:lineRule="auto"/>
              <w:ind w:left="170"/>
            </w:pPr>
            <w:r>
              <w:rPr>
                <w:b/>
                <w:bCs/>
                <w:spacing w:val="4"/>
              </w:rPr>
              <w:t>序号</w:t>
            </w:r>
          </w:p>
        </w:tc>
        <w:tc>
          <w:tcPr>
            <w:tcW w:w="3609" w:type="dxa"/>
            <w:vAlign w:val="top"/>
          </w:tcPr>
          <w:p w14:paraId="0481F47F">
            <w:pPr>
              <w:pStyle w:val="6"/>
              <w:spacing w:before="55" w:line="261" w:lineRule="auto"/>
              <w:ind w:left="386" w:right="117" w:hanging="258"/>
            </w:pPr>
            <w:r>
              <w:rPr>
                <w:b/>
                <w:bCs/>
                <w:spacing w:val="7"/>
              </w:rPr>
              <w:t>《入河排污口监督管理办法》（生态</w:t>
            </w:r>
            <w:r>
              <w:rPr>
                <w:b/>
                <w:bCs/>
                <w:spacing w:val="6"/>
              </w:rPr>
              <w:t>环境部部令第</w:t>
            </w:r>
            <w:r>
              <w:rPr>
                <w:rFonts w:ascii="Times New Roman" w:hAnsi="Times New Roman" w:eastAsia="Times New Roman" w:cs="Times New Roman"/>
                <w:b/>
                <w:bCs/>
                <w:spacing w:val="6"/>
              </w:rPr>
              <w:t>35</w:t>
            </w:r>
            <w:r>
              <w:rPr>
                <w:b/>
                <w:bCs/>
                <w:spacing w:val="6"/>
              </w:rPr>
              <w:t>号）禁止要求</w:t>
            </w:r>
          </w:p>
        </w:tc>
        <w:tc>
          <w:tcPr>
            <w:tcW w:w="3422" w:type="dxa"/>
            <w:vAlign w:val="top"/>
          </w:tcPr>
          <w:p w14:paraId="6ECD6875">
            <w:pPr>
              <w:pStyle w:val="6"/>
              <w:spacing w:before="211" w:line="227" w:lineRule="auto"/>
              <w:ind w:left="875"/>
            </w:pPr>
            <w:r>
              <w:rPr>
                <w:b/>
                <w:bCs/>
                <w:spacing w:val="7"/>
              </w:rPr>
              <w:t>本入河排污口情况</w:t>
            </w:r>
          </w:p>
        </w:tc>
        <w:tc>
          <w:tcPr>
            <w:tcW w:w="941" w:type="dxa"/>
            <w:vAlign w:val="top"/>
          </w:tcPr>
          <w:p w14:paraId="48A5ACC9">
            <w:pPr>
              <w:pStyle w:val="6"/>
              <w:spacing w:before="55" w:line="228" w:lineRule="auto"/>
              <w:ind w:left="163"/>
            </w:pPr>
            <w:r>
              <w:rPr>
                <w:b/>
                <w:bCs/>
                <w:spacing w:val="4"/>
              </w:rPr>
              <w:t>是否有</w:t>
            </w:r>
          </w:p>
          <w:p w14:paraId="46ECD6CF">
            <w:pPr>
              <w:pStyle w:val="6"/>
              <w:spacing w:before="65" w:line="228" w:lineRule="auto"/>
              <w:ind w:left="163"/>
            </w:pPr>
            <w:r>
              <w:rPr>
                <w:b/>
                <w:bCs/>
                <w:spacing w:val="4"/>
              </w:rPr>
              <w:t>该情形</w:t>
            </w:r>
          </w:p>
        </w:tc>
      </w:tr>
      <w:tr w14:paraId="0F595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52" w:type="dxa"/>
            <w:vAlign w:val="top"/>
          </w:tcPr>
          <w:p w14:paraId="31AFDB85">
            <w:pPr>
              <w:rPr>
                <w:rFonts w:ascii="Arial"/>
                <w:sz w:val="21"/>
              </w:rPr>
            </w:pPr>
          </w:p>
        </w:tc>
        <w:tc>
          <w:tcPr>
            <w:tcW w:w="3609" w:type="dxa"/>
            <w:vAlign w:val="top"/>
          </w:tcPr>
          <w:p w14:paraId="444B8260">
            <w:pPr>
              <w:rPr>
                <w:rFonts w:ascii="Arial"/>
                <w:sz w:val="21"/>
              </w:rPr>
            </w:pPr>
          </w:p>
        </w:tc>
        <w:tc>
          <w:tcPr>
            <w:tcW w:w="3422" w:type="dxa"/>
            <w:vAlign w:val="top"/>
          </w:tcPr>
          <w:p w14:paraId="539E0030">
            <w:pPr>
              <w:pStyle w:val="6"/>
              <w:spacing w:before="55" w:line="228" w:lineRule="auto"/>
              <w:ind w:left="1297"/>
            </w:pPr>
            <w:r>
              <w:rPr>
                <w:spacing w:val="7"/>
              </w:rPr>
              <w:t>保护区内</w:t>
            </w:r>
          </w:p>
        </w:tc>
        <w:tc>
          <w:tcPr>
            <w:tcW w:w="941" w:type="dxa"/>
            <w:vAlign w:val="top"/>
          </w:tcPr>
          <w:p w14:paraId="0E1BE35A">
            <w:pPr>
              <w:rPr>
                <w:rFonts w:ascii="Arial"/>
                <w:sz w:val="21"/>
              </w:rPr>
            </w:pPr>
          </w:p>
        </w:tc>
      </w:tr>
      <w:tr w14:paraId="727AB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752" w:type="dxa"/>
            <w:vAlign w:val="top"/>
          </w:tcPr>
          <w:p w14:paraId="4FE4542F">
            <w:pPr>
              <w:spacing w:before="246" w:line="195" w:lineRule="auto"/>
              <w:ind w:left="32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609" w:type="dxa"/>
            <w:vAlign w:val="top"/>
          </w:tcPr>
          <w:p w14:paraId="13BBA9D8">
            <w:pPr>
              <w:pStyle w:val="6"/>
              <w:spacing w:before="54" w:line="228" w:lineRule="auto"/>
              <w:ind w:left="236"/>
            </w:pPr>
            <w:r>
              <w:rPr>
                <w:spacing w:val="9"/>
              </w:rPr>
              <w:t>不符合法律、行政法规规定的其他</w:t>
            </w:r>
          </w:p>
          <w:p w14:paraId="2D9FF4BA">
            <w:pPr>
              <w:pStyle w:val="6"/>
              <w:spacing w:before="65" w:line="228" w:lineRule="auto"/>
              <w:ind w:left="1599"/>
            </w:pPr>
            <w:r>
              <w:rPr>
                <w:spacing w:val="4"/>
              </w:rPr>
              <w:t>情形</w:t>
            </w:r>
          </w:p>
        </w:tc>
        <w:tc>
          <w:tcPr>
            <w:tcW w:w="3422" w:type="dxa"/>
            <w:vAlign w:val="top"/>
          </w:tcPr>
          <w:p w14:paraId="1B4D2D19">
            <w:pPr>
              <w:pStyle w:val="6"/>
              <w:spacing w:before="54" w:line="262" w:lineRule="auto"/>
              <w:ind w:left="774" w:right="133" w:hanging="631"/>
            </w:pPr>
            <w:r>
              <w:rPr>
                <w:spacing w:val="9"/>
              </w:rPr>
              <w:t>本入河排污口设置符合法律、法规</w:t>
            </w:r>
            <w:r>
              <w:rPr>
                <w:spacing w:val="8"/>
              </w:rPr>
              <w:t>和国家产业政策规定</w:t>
            </w:r>
          </w:p>
        </w:tc>
        <w:tc>
          <w:tcPr>
            <w:tcW w:w="941" w:type="dxa"/>
            <w:vAlign w:val="top"/>
          </w:tcPr>
          <w:p w14:paraId="7982DDE2">
            <w:pPr>
              <w:pStyle w:val="6"/>
              <w:spacing w:before="210" w:line="228" w:lineRule="auto"/>
              <w:ind w:left="372"/>
            </w:pPr>
            <w:r>
              <w:t>无</w:t>
            </w:r>
          </w:p>
        </w:tc>
      </w:tr>
    </w:tbl>
    <w:p w14:paraId="20423B64">
      <w:pPr>
        <w:spacing w:before="271" w:line="219" w:lineRule="auto"/>
        <w:ind w:left="49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）与《湖南省入河排污口监督管理办法》的符合性分析</w:t>
      </w:r>
    </w:p>
    <w:p w14:paraId="4799010A">
      <w:pPr>
        <w:spacing w:before="182" w:line="360" w:lineRule="auto"/>
        <w:ind w:left="124" w:right="156" w:firstLine="478"/>
        <w:rPr>
          <w:rFonts w:ascii="宋体" w:hAnsi="宋体" w:eastAsia="宋体" w:cs="宋体"/>
          <w:sz w:val="24"/>
          <w:szCs w:val="24"/>
        </w:rPr>
      </w:pPr>
      <w:r>
        <w:rPr>
          <w:rFonts w:ascii="宋体" w:hAnsi="宋体" w:eastAsia="宋体" w:cs="宋体"/>
          <w:spacing w:val="-1"/>
          <w:sz w:val="24"/>
          <w:szCs w:val="24"/>
        </w:rPr>
        <w:t>根据《湖南省入河排污口监督管理办法》（湘政办发〔</w:t>
      </w:r>
      <w:r>
        <w:rPr>
          <w:rFonts w:ascii="Times New Roman" w:hAnsi="Times New Roman" w:eastAsia="Times New Roman" w:cs="Times New Roman"/>
          <w:spacing w:val="-1"/>
          <w:sz w:val="24"/>
          <w:szCs w:val="24"/>
        </w:rPr>
        <w:t>2018</w:t>
      </w:r>
      <w:r>
        <w:rPr>
          <w:rFonts w:ascii="宋体" w:hAnsi="宋体" w:eastAsia="宋体" w:cs="宋体"/>
          <w:spacing w:val="-1"/>
          <w:sz w:val="24"/>
          <w:szCs w:val="24"/>
        </w:rPr>
        <w:t>〕</w:t>
      </w:r>
      <w:r>
        <w:rPr>
          <w:rFonts w:ascii="Times New Roman" w:hAnsi="Times New Roman" w:eastAsia="Times New Roman" w:cs="Times New Roman"/>
          <w:spacing w:val="-1"/>
          <w:sz w:val="24"/>
          <w:szCs w:val="24"/>
        </w:rPr>
        <w:t>44</w:t>
      </w:r>
      <w:r>
        <w:rPr>
          <w:rFonts w:ascii="宋体" w:hAnsi="宋体" w:eastAsia="宋体" w:cs="宋体"/>
          <w:spacing w:val="-1"/>
          <w:sz w:val="24"/>
          <w:szCs w:val="24"/>
        </w:rPr>
        <w:t>号）第十五条，有下列情形之一的，不予同意设置入河排污口：</w:t>
      </w:r>
    </w:p>
    <w:p w14:paraId="3B0FDBE5">
      <w:pPr>
        <w:spacing w:line="217" w:lineRule="auto"/>
        <w:ind w:left="601"/>
        <w:rPr>
          <w:rFonts w:ascii="宋体" w:hAnsi="宋体" w:eastAsia="宋体" w:cs="宋体"/>
          <w:sz w:val="24"/>
          <w:szCs w:val="24"/>
        </w:rPr>
      </w:pPr>
      <w:r>
        <w:rPr>
          <w:rFonts w:ascii="宋体" w:hAnsi="宋体" w:eastAsia="宋体" w:cs="宋体"/>
          <w:spacing w:val="-1"/>
          <w:sz w:val="24"/>
          <w:szCs w:val="24"/>
        </w:rPr>
        <w:t>①饮用水水源一级、二级保护区内。</w:t>
      </w:r>
    </w:p>
    <w:p w14:paraId="469ADD3A">
      <w:pPr>
        <w:spacing w:before="186" w:line="217" w:lineRule="auto"/>
        <w:ind w:left="600"/>
        <w:rPr>
          <w:rFonts w:ascii="宋体" w:hAnsi="宋体" w:eastAsia="宋体" w:cs="宋体"/>
          <w:sz w:val="24"/>
          <w:szCs w:val="24"/>
        </w:rPr>
      </w:pPr>
      <w:r>
        <w:rPr>
          <w:rFonts w:ascii="宋体" w:hAnsi="宋体" w:eastAsia="宋体" w:cs="宋体"/>
          <w:spacing w:val="-1"/>
          <w:sz w:val="24"/>
          <w:szCs w:val="24"/>
        </w:rPr>
        <w:t>②自然保护区核心区、缓冲区内。</w:t>
      </w:r>
    </w:p>
    <w:p w14:paraId="5026E46C">
      <w:pPr>
        <w:spacing w:before="186" w:line="217" w:lineRule="auto"/>
        <w:ind w:left="600"/>
        <w:rPr>
          <w:rFonts w:ascii="宋体" w:hAnsi="宋体" w:eastAsia="宋体" w:cs="宋体"/>
          <w:sz w:val="24"/>
          <w:szCs w:val="24"/>
        </w:rPr>
      </w:pPr>
      <w:r>
        <w:rPr>
          <w:rFonts w:ascii="宋体" w:hAnsi="宋体" w:eastAsia="宋体" w:cs="宋体"/>
          <w:spacing w:val="-1"/>
          <w:sz w:val="24"/>
          <w:szCs w:val="24"/>
        </w:rPr>
        <w:t>③水产种质资源保护区内。</w:t>
      </w:r>
    </w:p>
    <w:p w14:paraId="48D271FC">
      <w:pPr>
        <w:spacing w:before="185" w:line="217" w:lineRule="auto"/>
        <w:ind w:left="600"/>
        <w:rPr>
          <w:rFonts w:ascii="宋体" w:hAnsi="宋体" w:eastAsia="宋体" w:cs="宋体"/>
          <w:sz w:val="24"/>
          <w:szCs w:val="24"/>
        </w:rPr>
      </w:pPr>
      <w:r>
        <w:rPr>
          <w:rFonts w:ascii="宋体" w:hAnsi="宋体" w:eastAsia="宋体" w:cs="宋体"/>
          <w:spacing w:val="-1"/>
          <w:sz w:val="24"/>
          <w:szCs w:val="24"/>
        </w:rPr>
        <w:t>④省级以上湿地公园保育区、恢复重建区内。</w:t>
      </w:r>
    </w:p>
    <w:p w14:paraId="72D2D195">
      <w:pPr>
        <w:spacing w:before="186" w:line="217" w:lineRule="auto"/>
        <w:ind w:left="600"/>
        <w:rPr>
          <w:rFonts w:ascii="宋体" w:hAnsi="宋体" w:eastAsia="宋体" w:cs="宋体"/>
          <w:sz w:val="24"/>
          <w:szCs w:val="24"/>
        </w:rPr>
      </w:pPr>
      <w:r>
        <w:rPr>
          <w:rFonts w:ascii="宋体" w:hAnsi="宋体" w:eastAsia="宋体" w:cs="宋体"/>
          <w:spacing w:val="-1"/>
          <w:sz w:val="24"/>
          <w:szCs w:val="24"/>
        </w:rPr>
        <w:t>⑤能够由污水系统接纳但拒不接入的。</w:t>
      </w:r>
    </w:p>
    <w:p w14:paraId="3DE83157">
      <w:pPr>
        <w:spacing w:before="186" w:line="217" w:lineRule="auto"/>
        <w:ind w:left="600"/>
        <w:rPr>
          <w:rFonts w:ascii="宋体" w:hAnsi="宋体" w:eastAsia="宋体" w:cs="宋体"/>
          <w:sz w:val="24"/>
          <w:szCs w:val="24"/>
        </w:rPr>
      </w:pPr>
      <w:r>
        <w:rPr>
          <w:rFonts w:ascii="宋体" w:hAnsi="宋体" w:eastAsia="宋体" w:cs="宋体"/>
          <w:spacing w:val="-1"/>
          <w:sz w:val="24"/>
          <w:szCs w:val="24"/>
        </w:rPr>
        <w:t>⑥经论证不符合设置要求的。</w:t>
      </w:r>
    </w:p>
    <w:p w14:paraId="389E1AEE">
      <w:pPr>
        <w:spacing w:before="186" w:line="217" w:lineRule="auto"/>
        <w:ind w:left="600"/>
        <w:rPr>
          <w:rFonts w:ascii="宋体" w:hAnsi="宋体" w:eastAsia="宋体" w:cs="宋体"/>
          <w:sz w:val="24"/>
          <w:szCs w:val="24"/>
        </w:rPr>
      </w:pPr>
      <w:r>
        <w:rPr>
          <w:rFonts w:ascii="宋体" w:hAnsi="宋体" w:eastAsia="宋体" w:cs="宋体"/>
          <w:spacing w:val="-1"/>
          <w:sz w:val="24"/>
          <w:szCs w:val="24"/>
        </w:rPr>
        <w:t>⑦设置可能使水域水质达不到水功能区要求的。</w:t>
      </w:r>
    </w:p>
    <w:p w14:paraId="7060D41D">
      <w:pPr>
        <w:spacing w:before="186" w:line="217" w:lineRule="auto"/>
        <w:ind w:left="600"/>
        <w:rPr>
          <w:rFonts w:ascii="宋体" w:hAnsi="宋体" w:eastAsia="宋体" w:cs="宋体"/>
          <w:sz w:val="24"/>
          <w:szCs w:val="24"/>
        </w:rPr>
      </w:pPr>
      <w:r>
        <w:rPr>
          <w:rFonts w:ascii="宋体" w:hAnsi="宋体" w:eastAsia="宋体" w:cs="宋体"/>
          <w:spacing w:val="-1"/>
          <w:sz w:val="24"/>
          <w:szCs w:val="24"/>
        </w:rPr>
        <w:t>⑧其他不符合法律、法规以及国家和地方有关规定的。</w:t>
      </w:r>
    </w:p>
    <w:p w14:paraId="1A17624E">
      <w:pPr>
        <w:spacing w:before="186" w:line="362" w:lineRule="auto"/>
        <w:ind w:left="123" w:right="156" w:firstLine="480"/>
        <w:rPr>
          <w:rFonts w:ascii="宋体" w:hAnsi="宋体" w:eastAsia="宋体" w:cs="宋体"/>
          <w:sz w:val="24"/>
          <w:szCs w:val="24"/>
        </w:rPr>
      </w:pPr>
      <w:r>
        <w:rPr>
          <w:rFonts w:ascii="宋体" w:hAnsi="宋体" w:eastAsia="宋体" w:cs="宋体"/>
          <w:spacing w:val="-1"/>
          <w:sz w:val="24"/>
          <w:szCs w:val="24"/>
        </w:rPr>
        <w:t>本工程与《湖南省入河排污口监督管理办法》（湘政办发〔</w:t>
      </w:r>
      <w:r>
        <w:rPr>
          <w:rFonts w:ascii="Times New Roman" w:hAnsi="Times New Roman" w:eastAsia="Times New Roman" w:cs="Times New Roman"/>
          <w:spacing w:val="-1"/>
          <w:sz w:val="24"/>
          <w:szCs w:val="24"/>
        </w:rPr>
        <w:t>2018</w:t>
      </w:r>
      <w:r>
        <w:rPr>
          <w:rFonts w:ascii="宋体" w:hAnsi="宋体" w:eastAsia="宋体" w:cs="宋体"/>
          <w:spacing w:val="-1"/>
          <w:sz w:val="24"/>
          <w:szCs w:val="24"/>
        </w:rPr>
        <w:t>〕</w:t>
      </w:r>
      <w:r>
        <w:rPr>
          <w:rFonts w:ascii="Times New Roman" w:hAnsi="Times New Roman" w:eastAsia="Times New Roman" w:cs="Times New Roman"/>
          <w:spacing w:val="-1"/>
          <w:sz w:val="24"/>
          <w:szCs w:val="24"/>
        </w:rPr>
        <w:t>44</w:t>
      </w:r>
      <w:r>
        <w:rPr>
          <w:rFonts w:ascii="宋体" w:hAnsi="宋体" w:eastAsia="宋体" w:cs="宋体"/>
          <w:spacing w:val="-1"/>
          <w:sz w:val="24"/>
          <w:szCs w:val="24"/>
        </w:rPr>
        <w:t>号）第</w:t>
      </w:r>
      <w:r>
        <w:rPr>
          <w:rFonts w:ascii="宋体" w:hAnsi="宋体" w:eastAsia="宋体" w:cs="宋体"/>
          <w:spacing w:val="-2"/>
          <w:sz w:val="24"/>
          <w:szCs w:val="24"/>
        </w:rPr>
        <w:t>十五条情形分析如下：</w:t>
      </w:r>
    </w:p>
    <w:p w14:paraId="6ECA99A5">
      <w:pPr>
        <w:spacing w:before="9" w:line="228" w:lineRule="auto"/>
        <w:ind w:left="1071"/>
        <w:rPr>
          <w:rFonts w:ascii="宋体" w:hAnsi="宋体" w:eastAsia="宋体" w:cs="宋体"/>
          <w:sz w:val="20"/>
          <w:szCs w:val="20"/>
        </w:rPr>
      </w:pPr>
      <w:r>
        <w:rPr>
          <w:rFonts w:ascii="宋体" w:hAnsi="宋体" w:eastAsia="宋体" w:cs="宋体"/>
          <w:b/>
          <w:bCs/>
          <w:spacing w:val="7"/>
          <w:sz w:val="20"/>
          <w:szCs w:val="20"/>
        </w:rPr>
        <w:t>表</w:t>
      </w:r>
      <w:r>
        <w:rPr>
          <w:rFonts w:ascii="Times New Roman" w:hAnsi="Times New Roman" w:eastAsia="Times New Roman" w:cs="Times New Roman"/>
          <w:b/>
          <w:bCs/>
          <w:spacing w:val="7"/>
          <w:sz w:val="20"/>
          <w:szCs w:val="20"/>
        </w:rPr>
        <w:t>9.2-2</w:t>
      </w:r>
      <w:r>
        <w:rPr>
          <w:rFonts w:ascii="宋体" w:hAnsi="宋体" w:eastAsia="宋体" w:cs="宋体"/>
          <w:b/>
          <w:bCs/>
          <w:spacing w:val="7"/>
          <w:sz w:val="20"/>
          <w:szCs w:val="20"/>
        </w:rPr>
        <w:t>与《湖南省入河排污口监督管理办法》第十五条的符合性</w:t>
      </w:r>
      <w:r>
        <w:rPr>
          <w:rFonts w:ascii="宋体" w:hAnsi="宋体" w:eastAsia="宋体" w:cs="宋体"/>
          <w:b/>
          <w:bCs/>
          <w:spacing w:val="6"/>
          <w:sz w:val="20"/>
          <w:szCs w:val="20"/>
        </w:rPr>
        <w:t>分析</w:t>
      </w:r>
    </w:p>
    <w:p w14:paraId="28E3DD37">
      <w:pPr>
        <w:spacing w:line="92" w:lineRule="exact"/>
      </w:pPr>
    </w:p>
    <w:tbl>
      <w:tblPr>
        <w:tblStyle w:val="5"/>
        <w:tblW w:w="8621" w:type="dxa"/>
        <w:tblInd w:w="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8"/>
        <w:gridCol w:w="2741"/>
        <w:gridCol w:w="4486"/>
        <w:gridCol w:w="786"/>
      </w:tblGrid>
      <w:tr w14:paraId="0393A1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608" w:type="dxa"/>
            <w:tcBorders>
              <w:top w:val="single" w:color="000000" w:sz="10" w:space="0"/>
              <w:left w:val="single" w:color="000000" w:sz="10" w:space="0"/>
            </w:tcBorders>
            <w:vAlign w:val="top"/>
          </w:tcPr>
          <w:p w14:paraId="72B6D3FE">
            <w:pPr>
              <w:pStyle w:val="6"/>
              <w:spacing w:before="212" w:line="229" w:lineRule="auto"/>
              <w:ind w:left="83"/>
            </w:pPr>
            <w:r>
              <w:rPr>
                <w:b/>
                <w:bCs/>
                <w:spacing w:val="4"/>
              </w:rPr>
              <w:t>序号</w:t>
            </w:r>
          </w:p>
        </w:tc>
        <w:tc>
          <w:tcPr>
            <w:tcW w:w="2741" w:type="dxa"/>
            <w:tcBorders>
              <w:top w:val="single" w:color="000000" w:sz="10" w:space="0"/>
            </w:tcBorders>
            <w:vAlign w:val="top"/>
          </w:tcPr>
          <w:p w14:paraId="00ADD176">
            <w:pPr>
              <w:pStyle w:val="6"/>
              <w:spacing w:before="55" w:line="228" w:lineRule="auto"/>
              <w:ind w:left="107"/>
            </w:pPr>
            <w:r>
              <w:rPr>
                <w:b/>
                <w:bCs/>
                <w:spacing w:val="7"/>
              </w:rPr>
              <w:t>《湖南省入河排污口监督管</w:t>
            </w:r>
          </w:p>
          <w:p w14:paraId="4F80970E">
            <w:pPr>
              <w:pStyle w:val="6"/>
              <w:spacing w:before="65" w:line="228" w:lineRule="auto"/>
              <w:ind w:left="947"/>
            </w:pPr>
            <w:r>
              <w:rPr>
                <w:b/>
                <w:bCs/>
                <w:spacing w:val="3"/>
              </w:rPr>
              <w:t>理办法》</w:t>
            </w:r>
          </w:p>
        </w:tc>
        <w:tc>
          <w:tcPr>
            <w:tcW w:w="4486" w:type="dxa"/>
            <w:tcBorders>
              <w:top w:val="single" w:color="000000" w:sz="10" w:space="0"/>
            </w:tcBorders>
            <w:vAlign w:val="top"/>
          </w:tcPr>
          <w:p w14:paraId="4C376E28">
            <w:pPr>
              <w:pStyle w:val="6"/>
              <w:spacing w:before="212" w:line="227" w:lineRule="auto"/>
              <w:ind w:left="1408"/>
            </w:pPr>
            <w:r>
              <w:rPr>
                <w:b/>
                <w:bCs/>
                <w:spacing w:val="7"/>
              </w:rPr>
              <w:t>本入河排污口情况</w:t>
            </w:r>
          </w:p>
        </w:tc>
        <w:tc>
          <w:tcPr>
            <w:tcW w:w="786" w:type="dxa"/>
            <w:tcBorders>
              <w:top w:val="single" w:color="000000" w:sz="10" w:space="0"/>
              <w:right w:val="single" w:color="000000" w:sz="10" w:space="0"/>
            </w:tcBorders>
            <w:vAlign w:val="top"/>
          </w:tcPr>
          <w:p w14:paraId="6CC1B42A">
            <w:pPr>
              <w:pStyle w:val="6"/>
              <w:spacing w:before="56" w:line="228" w:lineRule="auto"/>
              <w:ind w:left="88"/>
            </w:pPr>
            <w:r>
              <w:rPr>
                <w:b/>
                <w:bCs/>
                <w:spacing w:val="4"/>
              </w:rPr>
              <w:t>是否有</w:t>
            </w:r>
          </w:p>
          <w:p w14:paraId="1772B481">
            <w:pPr>
              <w:pStyle w:val="6"/>
              <w:spacing w:before="65" w:line="228" w:lineRule="auto"/>
              <w:ind w:left="88"/>
            </w:pPr>
            <w:r>
              <w:rPr>
                <w:b/>
                <w:bCs/>
                <w:spacing w:val="4"/>
              </w:rPr>
              <w:t>该情形</w:t>
            </w:r>
          </w:p>
        </w:tc>
      </w:tr>
      <w:tr w14:paraId="3B5156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608" w:type="dxa"/>
            <w:tcBorders>
              <w:left w:val="single" w:color="000000" w:sz="10" w:space="0"/>
            </w:tcBorders>
            <w:vAlign w:val="top"/>
          </w:tcPr>
          <w:p w14:paraId="568B73F6">
            <w:pPr>
              <w:spacing w:before="243" w:line="195" w:lineRule="auto"/>
              <w:ind w:left="25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741" w:type="dxa"/>
            <w:vAlign w:val="top"/>
          </w:tcPr>
          <w:p w14:paraId="2505C504">
            <w:pPr>
              <w:pStyle w:val="6"/>
              <w:spacing w:before="51" w:line="228" w:lineRule="auto"/>
              <w:ind w:left="49"/>
            </w:pPr>
            <w:r>
              <w:rPr>
                <w:spacing w:val="1"/>
              </w:rPr>
              <w:t>饮用水水源一级、二级保护区</w:t>
            </w:r>
          </w:p>
          <w:p w14:paraId="3FBE8CF9">
            <w:pPr>
              <w:pStyle w:val="6"/>
              <w:spacing w:before="65" w:line="228" w:lineRule="auto"/>
              <w:ind w:left="1287"/>
            </w:pPr>
            <w:r>
              <w:t>内</w:t>
            </w:r>
          </w:p>
        </w:tc>
        <w:tc>
          <w:tcPr>
            <w:tcW w:w="4486" w:type="dxa"/>
            <w:vAlign w:val="top"/>
          </w:tcPr>
          <w:p w14:paraId="1A7E97D0">
            <w:pPr>
              <w:pStyle w:val="6"/>
              <w:spacing w:before="207" w:line="228" w:lineRule="auto"/>
              <w:ind w:left="464"/>
            </w:pPr>
            <w:r>
              <w:rPr>
                <w:spacing w:val="8"/>
              </w:rPr>
              <w:t>入河排污口不在饮用水水源保护区内。</w:t>
            </w:r>
          </w:p>
        </w:tc>
        <w:tc>
          <w:tcPr>
            <w:tcW w:w="786" w:type="dxa"/>
            <w:tcBorders>
              <w:right w:val="single" w:color="000000" w:sz="10" w:space="0"/>
            </w:tcBorders>
            <w:vAlign w:val="top"/>
          </w:tcPr>
          <w:p w14:paraId="2F792819">
            <w:pPr>
              <w:pStyle w:val="6"/>
              <w:spacing w:before="208" w:line="228" w:lineRule="auto"/>
              <w:ind w:left="298"/>
            </w:pPr>
            <w:r>
              <w:t>无</w:t>
            </w:r>
          </w:p>
        </w:tc>
      </w:tr>
      <w:tr w14:paraId="2C4E4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08" w:type="dxa"/>
            <w:tcBorders>
              <w:left w:val="single" w:color="000000" w:sz="10" w:space="0"/>
            </w:tcBorders>
            <w:vAlign w:val="top"/>
          </w:tcPr>
          <w:p w14:paraId="785C7DFC">
            <w:pPr>
              <w:spacing w:before="134" w:line="195" w:lineRule="auto"/>
              <w:ind w:left="238"/>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741" w:type="dxa"/>
            <w:vAlign w:val="top"/>
          </w:tcPr>
          <w:p w14:paraId="76EEB5CD">
            <w:pPr>
              <w:pStyle w:val="6"/>
              <w:spacing w:before="97" w:line="228" w:lineRule="auto"/>
              <w:ind w:left="84"/>
            </w:pPr>
            <w:r>
              <w:rPr>
                <w:spacing w:val="-1"/>
              </w:rPr>
              <w:t>自然保护区核心区、缓冲区内</w:t>
            </w:r>
          </w:p>
        </w:tc>
        <w:tc>
          <w:tcPr>
            <w:tcW w:w="4486" w:type="dxa"/>
            <w:vAlign w:val="top"/>
          </w:tcPr>
          <w:p w14:paraId="4D9EEEE1">
            <w:pPr>
              <w:pStyle w:val="6"/>
              <w:spacing w:before="98" w:line="228" w:lineRule="auto"/>
              <w:ind w:left="1308"/>
            </w:pPr>
            <w:r>
              <w:rPr>
                <w:spacing w:val="7"/>
              </w:rPr>
              <w:t>不属于自然保护区。</w:t>
            </w:r>
          </w:p>
        </w:tc>
        <w:tc>
          <w:tcPr>
            <w:tcW w:w="786" w:type="dxa"/>
            <w:tcBorders>
              <w:right w:val="single" w:color="000000" w:sz="10" w:space="0"/>
            </w:tcBorders>
            <w:vAlign w:val="top"/>
          </w:tcPr>
          <w:p w14:paraId="217D0C32">
            <w:pPr>
              <w:pStyle w:val="6"/>
              <w:spacing w:before="98" w:line="228" w:lineRule="auto"/>
              <w:ind w:left="298"/>
            </w:pPr>
            <w:r>
              <w:t>无</w:t>
            </w:r>
          </w:p>
        </w:tc>
      </w:tr>
      <w:tr w14:paraId="76E14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08" w:type="dxa"/>
            <w:tcBorders>
              <w:left w:val="single" w:color="000000" w:sz="10" w:space="0"/>
            </w:tcBorders>
            <w:vAlign w:val="top"/>
          </w:tcPr>
          <w:p w14:paraId="7571C605">
            <w:pPr>
              <w:spacing w:before="136" w:line="195" w:lineRule="auto"/>
              <w:ind w:left="24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741" w:type="dxa"/>
            <w:vAlign w:val="top"/>
          </w:tcPr>
          <w:p w14:paraId="19956886">
            <w:pPr>
              <w:pStyle w:val="6"/>
              <w:spacing w:before="100" w:line="228" w:lineRule="auto"/>
              <w:ind w:left="215"/>
            </w:pPr>
            <w:r>
              <w:rPr>
                <w:spacing w:val="7"/>
              </w:rPr>
              <w:t>水产种质资源保护区内。</w:t>
            </w:r>
          </w:p>
        </w:tc>
        <w:tc>
          <w:tcPr>
            <w:tcW w:w="4486" w:type="dxa"/>
            <w:vAlign w:val="top"/>
          </w:tcPr>
          <w:p w14:paraId="41F57D89">
            <w:pPr>
              <w:pStyle w:val="6"/>
              <w:spacing w:before="100" w:line="228" w:lineRule="auto"/>
              <w:ind w:left="1099"/>
            </w:pPr>
            <w:r>
              <w:rPr>
                <w:spacing w:val="8"/>
              </w:rPr>
              <w:t>不在水产种质资源保护区</w:t>
            </w:r>
          </w:p>
        </w:tc>
        <w:tc>
          <w:tcPr>
            <w:tcW w:w="786" w:type="dxa"/>
            <w:tcBorders>
              <w:right w:val="single" w:color="000000" w:sz="10" w:space="0"/>
            </w:tcBorders>
            <w:vAlign w:val="top"/>
          </w:tcPr>
          <w:p w14:paraId="481C9FA8">
            <w:pPr>
              <w:pStyle w:val="6"/>
              <w:spacing w:before="101" w:line="228" w:lineRule="auto"/>
              <w:ind w:left="298"/>
            </w:pPr>
            <w:r>
              <w:t>无</w:t>
            </w:r>
          </w:p>
        </w:tc>
      </w:tr>
      <w:tr w14:paraId="1E105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608" w:type="dxa"/>
            <w:tcBorders>
              <w:left w:val="single" w:color="000000" w:sz="10" w:space="0"/>
            </w:tcBorders>
            <w:vAlign w:val="top"/>
          </w:tcPr>
          <w:p w14:paraId="571536F9">
            <w:pPr>
              <w:spacing w:before="252" w:line="195" w:lineRule="auto"/>
              <w:ind w:left="23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741" w:type="dxa"/>
            <w:vAlign w:val="top"/>
          </w:tcPr>
          <w:p w14:paraId="229086FB">
            <w:pPr>
              <w:pStyle w:val="6"/>
              <w:spacing w:before="60" w:line="228" w:lineRule="auto"/>
              <w:ind w:left="53"/>
            </w:pPr>
            <w:r>
              <w:rPr>
                <w:spacing w:val="1"/>
              </w:rPr>
              <w:t>省级以上湿地公园保育区、恢</w:t>
            </w:r>
          </w:p>
          <w:p w14:paraId="156967CF">
            <w:pPr>
              <w:pStyle w:val="6"/>
              <w:spacing w:before="64" w:line="225" w:lineRule="auto"/>
              <w:ind w:left="847"/>
            </w:pPr>
            <w:r>
              <w:rPr>
                <w:spacing w:val="7"/>
              </w:rPr>
              <w:t>复重建区内</w:t>
            </w:r>
          </w:p>
        </w:tc>
        <w:tc>
          <w:tcPr>
            <w:tcW w:w="4486" w:type="dxa"/>
            <w:vAlign w:val="top"/>
          </w:tcPr>
          <w:p w14:paraId="5B25048B">
            <w:pPr>
              <w:pStyle w:val="6"/>
              <w:spacing w:before="216" w:line="228" w:lineRule="auto"/>
              <w:ind w:left="468"/>
            </w:pPr>
            <w:r>
              <w:rPr>
                <w:spacing w:val="9"/>
              </w:rPr>
              <w:t>不属于湿地公园保育区、恢复重建区内</w:t>
            </w:r>
          </w:p>
        </w:tc>
        <w:tc>
          <w:tcPr>
            <w:tcW w:w="786" w:type="dxa"/>
            <w:tcBorders>
              <w:right w:val="single" w:color="000000" w:sz="10" w:space="0"/>
            </w:tcBorders>
            <w:vAlign w:val="top"/>
          </w:tcPr>
          <w:p w14:paraId="60CF58EC">
            <w:pPr>
              <w:pStyle w:val="6"/>
              <w:spacing w:before="217" w:line="228" w:lineRule="auto"/>
              <w:ind w:left="298"/>
            </w:pPr>
            <w:r>
              <w:t>无</w:t>
            </w:r>
          </w:p>
        </w:tc>
      </w:tr>
      <w:tr w14:paraId="51416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608" w:type="dxa"/>
            <w:tcBorders>
              <w:left w:val="single" w:color="000000" w:sz="10" w:space="0"/>
            </w:tcBorders>
            <w:vAlign w:val="top"/>
          </w:tcPr>
          <w:p w14:paraId="3CD45B34">
            <w:pPr>
              <w:spacing w:before="257" w:line="192" w:lineRule="auto"/>
              <w:ind w:left="24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741" w:type="dxa"/>
            <w:vAlign w:val="top"/>
          </w:tcPr>
          <w:p w14:paraId="0E77C161">
            <w:pPr>
              <w:pStyle w:val="6"/>
              <w:spacing w:before="62" w:line="228" w:lineRule="auto"/>
              <w:ind w:left="115"/>
            </w:pPr>
            <w:r>
              <w:rPr>
                <w:spacing w:val="8"/>
              </w:rPr>
              <w:t>能够由污水系统接纳但拒不</w:t>
            </w:r>
          </w:p>
          <w:p w14:paraId="1E0E5A8F">
            <w:pPr>
              <w:pStyle w:val="6"/>
              <w:spacing w:before="65" w:line="222" w:lineRule="auto"/>
              <w:ind w:left="1052"/>
            </w:pPr>
            <w:r>
              <w:rPr>
                <w:spacing w:val="7"/>
              </w:rPr>
              <w:t>接入的</w:t>
            </w:r>
          </w:p>
        </w:tc>
        <w:tc>
          <w:tcPr>
            <w:tcW w:w="4486" w:type="dxa"/>
            <w:vAlign w:val="top"/>
          </w:tcPr>
          <w:p w14:paraId="7B471A78">
            <w:pPr>
              <w:pStyle w:val="6"/>
              <w:spacing w:before="219" w:line="229" w:lineRule="auto"/>
              <w:ind w:left="1939"/>
            </w:pPr>
            <w:r>
              <w:rPr>
                <w:spacing w:val="5"/>
              </w:rPr>
              <w:t>不属于</w:t>
            </w:r>
          </w:p>
        </w:tc>
        <w:tc>
          <w:tcPr>
            <w:tcW w:w="786" w:type="dxa"/>
            <w:tcBorders>
              <w:right w:val="single" w:color="000000" w:sz="10" w:space="0"/>
            </w:tcBorders>
            <w:vAlign w:val="top"/>
          </w:tcPr>
          <w:p w14:paraId="042694E4">
            <w:pPr>
              <w:pStyle w:val="6"/>
              <w:spacing w:before="219" w:line="228" w:lineRule="auto"/>
              <w:ind w:left="298"/>
            </w:pPr>
            <w:r>
              <w:t>无</w:t>
            </w:r>
          </w:p>
        </w:tc>
      </w:tr>
      <w:tr w14:paraId="5B39A5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08" w:type="dxa"/>
            <w:tcBorders>
              <w:left w:val="single" w:color="000000" w:sz="10" w:space="0"/>
            </w:tcBorders>
            <w:vAlign w:val="top"/>
          </w:tcPr>
          <w:p w14:paraId="7D5378CB">
            <w:pPr>
              <w:spacing w:before="144" w:line="195" w:lineRule="auto"/>
              <w:ind w:left="24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741" w:type="dxa"/>
            <w:vAlign w:val="top"/>
          </w:tcPr>
          <w:p w14:paraId="221DF94E">
            <w:pPr>
              <w:pStyle w:val="6"/>
              <w:spacing w:before="108" w:line="228" w:lineRule="auto"/>
              <w:ind w:left="214"/>
            </w:pPr>
            <w:r>
              <w:rPr>
                <w:spacing w:val="9"/>
              </w:rPr>
              <w:t>经论证不符合设置要求的</w:t>
            </w:r>
          </w:p>
        </w:tc>
        <w:tc>
          <w:tcPr>
            <w:tcW w:w="4486" w:type="dxa"/>
            <w:vAlign w:val="top"/>
          </w:tcPr>
          <w:p w14:paraId="51919C6C">
            <w:pPr>
              <w:pStyle w:val="6"/>
              <w:spacing w:before="108" w:line="228" w:lineRule="auto"/>
              <w:ind w:left="1306"/>
            </w:pPr>
            <w:r>
              <w:rPr>
                <w:spacing w:val="8"/>
              </w:rPr>
              <w:t>经论证符合设置要求</w:t>
            </w:r>
          </w:p>
        </w:tc>
        <w:tc>
          <w:tcPr>
            <w:tcW w:w="786" w:type="dxa"/>
            <w:tcBorders>
              <w:right w:val="single" w:color="000000" w:sz="10" w:space="0"/>
            </w:tcBorders>
            <w:vAlign w:val="top"/>
          </w:tcPr>
          <w:p w14:paraId="54AB909E">
            <w:pPr>
              <w:pStyle w:val="6"/>
              <w:spacing w:before="109" w:line="228" w:lineRule="auto"/>
              <w:ind w:left="298"/>
            </w:pPr>
            <w:r>
              <w:t>无</w:t>
            </w:r>
          </w:p>
        </w:tc>
      </w:tr>
      <w:tr w14:paraId="0BF5E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608" w:type="dxa"/>
            <w:tcBorders>
              <w:left w:val="single" w:color="000000" w:sz="10" w:space="0"/>
            </w:tcBorders>
            <w:vAlign w:val="top"/>
          </w:tcPr>
          <w:p w14:paraId="01A58189">
            <w:pPr>
              <w:spacing w:before="263" w:line="192" w:lineRule="auto"/>
              <w:ind w:left="24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741" w:type="dxa"/>
            <w:vAlign w:val="top"/>
          </w:tcPr>
          <w:p w14:paraId="3DA94B96">
            <w:pPr>
              <w:pStyle w:val="6"/>
              <w:spacing w:before="67" w:line="253" w:lineRule="auto"/>
              <w:ind w:left="634" w:right="113" w:hanging="524"/>
            </w:pPr>
            <w:r>
              <w:rPr>
                <w:spacing w:val="8"/>
              </w:rPr>
              <w:t>设置可能使水域水质达不到水功能区要求的</w:t>
            </w:r>
          </w:p>
        </w:tc>
        <w:tc>
          <w:tcPr>
            <w:tcW w:w="4486" w:type="dxa"/>
            <w:vAlign w:val="top"/>
          </w:tcPr>
          <w:p w14:paraId="626DBAA1">
            <w:pPr>
              <w:pStyle w:val="6"/>
              <w:spacing w:before="67" w:line="228" w:lineRule="auto"/>
              <w:ind w:left="149"/>
            </w:pPr>
            <w:r>
              <w:rPr>
                <w:spacing w:val="9"/>
              </w:rPr>
              <w:t>入河排污口设置后不影响现有水功能区划水质</w:t>
            </w:r>
          </w:p>
          <w:p w14:paraId="379B03AF">
            <w:pPr>
              <w:pStyle w:val="6"/>
              <w:spacing w:before="64" w:line="218" w:lineRule="auto"/>
              <w:ind w:left="2040"/>
            </w:pPr>
            <w:r>
              <w:rPr>
                <w:spacing w:val="3"/>
              </w:rPr>
              <w:t>现状</w:t>
            </w:r>
          </w:p>
        </w:tc>
        <w:tc>
          <w:tcPr>
            <w:tcW w:w="786" w:type="dxa"/>
            <w:tcBorders>
              <w:right w:val="single" w:color="000000" w:sz="10" w:space="0"/>
            </w:tcBorders>
            <w:vAlign w:val="top"/>
          </w:tcPr>
          <w:p w14:paraId="1EFEC865">
            <w:pPr>
              <w:pStyle w:val="6"/>
              <w:spacing w:before="224" w:line="228" w:lineRule="auto"/>
              <w:ind w:left="298"/>
            </w:pPr>
            <w:r>
              <w:t>无</w:t>
            </w:r>
          </w:p>
        </w:tc>
      </w:tr>
      <w:tr w14:paraId="046C6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608" w:type="dxa"/>
            <w:tcBorders>
              <w:left w:val="single" w:color="000000" w:sz="10" w:space="0"/>
              <w:bottom w:val="single" w:color="000000" w:sz="10" w:space="0"/>
            </w:tcBorders>
            <w:vAlign w:val="top"/>
          </w:tcPr>
          <w:p w14:paraId="3A7A792B">
            <w:pPr>
              <w:spacing w:before="262"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741" w:type="dxa"/>
            <w:tcBorders>
              <w:bottom w:val="single" w:color="000000" w:sz="10" w:space="0"/>
            </w:tcBorders>
            <w:vAlign w:val="top"/>
          </w:tcPr>
          <w:p w14:paraId="34EDCFAE">
            <w:pPr>
              <w:pStyle w:val="6"/>
              <w:spacing w:before="71" w:line="261" w:lineRule="auto"/>
              <w:ind w:left="422" w:right="56" w:hanging="372"/>
            </w:pPr>
            <w:r>
              <w:rPr>
                <w:spacing w:val="1"/>
              </w:rPr>
              <w:t>其他不符合法律、法规以及国</w:t>
            </w:r>
            <w:r>
              <w:rPr>
                <w:spacing w:val="8"/>
              </w:rPr>
              <w:t>家和地方有关规定的</w:t>
            </w:r>
          </w:p>
        </w:tc>
        <w:tc>
          <w:tcPr>
            <w:tcW w:w="4486" w:type="dxa"/>
            <w:tcBorders>
              <w:bottom w:val="single" w:color="000000" w:sz="10" w:space="0"/>
            </w:tcBorders>
            <w:vAlign w:val="top"/>
          </w:tcPr>
          <w:p w14:paraId="77C5A014">
            <w:pPr>
              <w:pStyle w:val="6"/>
              <w:spacing w:before="70" w:line="228" w:lineRule="auto"/>
              <w:ind w:left="58"/>
            </w:pPr>
            <w:r>
              <w:rPr>
                <w:spacing w:val="8"/>
              </w:rPr>
              <w:t>无其他不符合法律、法规以及国家和地方有关规</w:t>
            </w:r>
          </w:p>
          <w:p w14:paraId="6FEB2126">
            <w:pPr>
              <w:pStyle w:val="6"/>
              <w:spacing w:before="65" w:line="228" w:lineRule="auto"/>
              <w:ind w:left="2149"/>
            </w:pPr>
            <w:r>
              <w:t>定</w:t>
            </w:r>
          </w:p>
        </w:tc>
        <w:tc>
          <w:tcPr>
            <w:tcW w:w="786" w:type="dxa"/>
            <w:tcBorders>
              <w:bottom w:val="single" w:color="000000" w:sz="10" w:space="0"/>
              <w:right w:val="single" w:color="000000" w:sz="10" w:space="0"/>
            </w:tcBorders>
            <w:vAlign w:val="top"/>
          </w:tcPr>
          <w:p w14:paraId="0AE45F75">
            <w:pPr>
              <w:pStyle w:val="6"/>
              <w:spacing w:before="227" w:line="228" w:lineRule="auto"/>
              <w:ind w:left="298"/>
            </w:pPr>
            <w:r>
              <w:t>无</w:t>
            </w:r>
          </w:p>
        </w:tc>
      </w:tr>
    </w:tbl>
    <w:p w14:paraId="6A60A229">
      <w:pPr>
        <w:spacing w:before="115" w:line="219" w:lineRule="auto"/>
        <w:ind w:left="601"/>
        <w:rPr>
          <w:rFonts w:ascii="宋体" w:hAnsi="宋体" w:eastAsia="宋体" w:cs="宋体"/>
          <w:sz w:val="24"/>
          <w:szCs w:val="24"/>
        </w:rPr>
      </w:pPr>
      <w:r>
        <w:rPr>
          <w:rFonts w:ascii="宋体" w:hAnsi="宋体" w:eastAsia="宋体" w:cs="宋体"/>
          <w:spacing w:val="-4"/>
          <w:sz w:val="24"/>
          <w:szCs w:val="24"/>
        </w:rPr>
        <w:t>对照上表可知，本入河排污口设置无《湖南省入河排</w:t>
      </w:r>
      <w:r>
        <w:rPr>
          <w:rFonts w:ascii="宋体" w:hAnsi="宋体" w:eastAsia="宋体" w:cs="宋体"/>
          <w:spacing w:val="-5"/>
          <w:sz w:val="24"/>
          <w:szCs w:val="24"/>
        </w:rPr>
        <w:t>污口监督管理办法》（湘</w:t>
      </w:r>
    </w:p>
    <w:p w14:paraId="303C3EF2">
      <w:pPr>
        <w:spacing w:line="219" w:lineRule="auto"/>
        <w:rPr>
          <w:rFonts w:ascii="宋体" w:hAnsi="宋体" w:eastAsia="宋体" w:cs="宋体"/>
          <w:sz w:val="24"/>
          <w:szCs w:val="24"/>
        </w:rPr>
        <w:sectPr>
          <w:footerReference r:id="rId161" w:type="default"/>
          <w:pgSz w:w="11906" w:h="16839"/>
          <w:pgMar w:top="1132" w:right="1588" w:bottom="1259" w:left="1588" w:header="829" w:footer="1097" w:gutter="0"/>
          <w:cols w:space="720" w:num="1"/>
        </w:sectPr>
      </w:pPr>
    </w:p>
    <w:p w14:paraId="08DC3FE8">
      <w:pPr>
        <w:pStyle w:val="2"/>
        <w:spacing w:line="319" w:lineRule="auto"/>
      </w:pPr>
    </w:p>
    <w:p w14:paraId="52CC5B2E">
      <w:pPr>
        <w:spacing w:before="78" w:line="360" w:lineRule="auto"/>
        <w:ind w:left="9" w:right="148" w:hanging="1"/>
        <w:rPr>
          <w:rFonts w:ascii="宋体" w:hAnsi="宋体" w:eastAsia="宋体" w:cs="宋体"/>
          <w:sz w:val="24"/>
          <w:szCs w:val="24"/>
        </w:rPr>
      </w:pPr>
      <w:r>
        <w:rPr>
          <w:rFonts w:ascii="宋体" w:hAnsi="宋体" w:eastAsia="宋体" w:cs="宋体"/>
          <w:spacing w:val="-1"/>
          <w:sz w:val="24"/>
          <w:szCs w:val="24"/>
        </w:rPr>
        <w:t>政办发〔</w:t>
      </w:r>
      <w:r>
        <w:rPr>
          <w:rFonts w:ascii="Times New Roman" w:hAnsi="Times New Roman" w:eastAsia="Times New Roman" w:cs="Times New Roman"/>
          <w:spacing w:val="-1"/>
          <w:sz w:val="24"/>
          <w:szCs w:val="24"/>
        </w:rPr>
        <w:t>2018</w:t>
      </w:r>
      <w:r>
        <w:rPr>
          <w:rFonts w:ascii="宋体" w:hAnsi="宋体" w:eastAsia="宋体" w:cs="宋体"/>
          <w:spacing w:val="-1"/>
          <w:sz w:val="24"/>
          <w:szCs w:val="24"/>
        </w:rPr>
        <w:t>〕</w:t>
      </w:r>
      <w:r>
        <w:rPr>
          <w:rFonts w:ascii="Times New Roman" w:hAnsi="Times New Roman" w:eastAsia="Times New Roman" w:cs="Times New Roman"/>
          <w:spacing w:val="-1"/>
          <w:sz w:val="24"/>
          <w:szCs w:val="24"/>
        </w:rPr>
        <w:t>44</w:t>
      </w:r>
      <w:r>
        <w:rPr>
          <w:rFonts w:ascii="宋体" w:hAnsi="宋体" w:eastAsia="宋体" w:cs="宋体"/>
          <w:spacing w:val="-1"/>
          <w:sz w:val="24"/>
          <w:szCs w:val="24"/>
        </w:rPr>
        <w:t>号）第十五条所列情形，符合《湖南省入河排污口监督管理办</w:t>
      </w:r>
      <w:r>
        <w:rPr>
          <w:rFonts w:ascii="宋体" w:hAnsi="宋体" w:eastAsia="宋体" w:cs="宋体"/>
          <w:spacing w:val="-3"/>
          <w:sz w:val="24"/>
          <w:szCs w:val="24"/>
        </w:rPr>
        <w:t>法》要求。</w:t>
      </w:r>
    </w:p>
    <w:p w14:paraId="4490AEB5">
      <w:pPr>
        <w:spacing w:line="219" w:lineRule="auto"/>
        <w:ind w:left="8"/>
        <w:outlineLvl w:val="2"/>
        <w:rPr>
          <w:rFonts w:ascii="宋体" w:hAnsi="宋体" w:eastAsia="宋体" w:cs="宋体"/>
          <w:sz w:val="24"/>
          <w:szCs w:val="24"/>
        </w:rPr>
      </w:pPr>
      <w:r>
        <w:rPr>
          <w:rFonts w:ascii="Times New Roman" w:hAnsi="Times New Roman" w:eastAsia="Times New Roman" w:cs="Times New Roman"/>
          <w:b/>
          <w:bCs/>
          <w:spacing w:val="-4"/>
          <w:sz w:val="24"/>
          <w:szCs w:val="24"/>
        </w:rPr>
        <w:t>9.2.3</w:t>
      </w:r>
      <w:r>
        <w:rPr>
          <w:rFonts w:ascii="宋体" w:hAnsi="宋体" w:eastAsia="宋体" w:cs="宋体"/>
          <w:b/>
          <w:bCs/>
          <w:spacing w:val="-4"/>
          <w:sz w:val="24"/>
          <w:szCs w:val="24"/>
        </w:rPr>
        <w:t>区域规划符合性分析</w:t>
      </w:r>
    </w:p>
    <w:p w14:paraId="48474682">
      <w:pPr>
        <w:spacing w:before="182" w:line="360" w:lineRule="auto"/>
        <w:ind w:left="8" w:firstLine="481"/>
        <w:jc w:val="both"/>
        <w:rPr>
          <w:rFonts w:ascii="宋体" w:hAnsi="宋体" w:eastAsia="宋体" w:cs="宋体"/>
          <w:sz w:val="24"/>
          <w:szCs w:val="24"/>
        </w:rPr>
      </w:pPr>
      <w:r>
        <w:rPr>
          <w:rFonts w:ascii="宋体" w:hAnsi="宋体" w:eastAsia="宋体" w:cs="宋体"/>
          <w:spacing w:val="3"/>
          <w:sz w:val="24"/>
          <w:szCs w:val="24"/>
        </w:rPr>
        <w:t>本项目入河排污口沿用一期已建工程，建设于隆回县</w:t>
      </w:r>
      <w:r>
        <w:rPr>
          <w:rFonts w:ascii="宋体" w:hAnsi="宋体" w:eastAsia="宋体" w:cs="宋体"/>
          <w:spacing w:val="2"/>
          <w:sz w:val="24"/>
          <w:szCs w:val="24"/>
        </w:rPr>
        <w:t>十三五规划期间，《隆</w:t>
      </w:r>
      <w:r>
        <w:rPr>
          <w:rFonts w:ascii="宋体" w:hAnsi="宋体" w:eastAsia="宋体" w:cs="宋体"/>
          <w:spacing w:val="3"/>
          <w:sz w:val="24"/>
          <w:szCs w:val="24"/>
        </w:rPr>
        <w:t>回县国民经济和社会发展第十三个五年规划纲要》中</w:t>
      </w:r>
      <w:r>
        <w:rPr>
          <w:rFonts w:ascii="宋体" w:hAnsi="宋体" w:eastAsia="宋体" w:cs="宋体"/>
          <w:spacing w:val="2"/>
          <w:sz w:val="24"/>
          <w:szCs w:val="24"/>
        </w:rPr>
        <w:t>提出完善环境基础设施，加</w:t>
      </w:r>
      <w:r>
        <w:rPr>
          <w:rFonts w:ascii="宋体" w:hAnsi="宋体" w:eastAsia="宋体" w:cs="宋体"/>
          <w:spacing w:val="3"/>
          <w:sz w:val="24"/>
          <w:szCs w:val="24"/>
        </w:rPr>
        <w:t>强污水处理设施能力建设。对隆回县华茂污水处理厂</w:t>
      </w:r>
      <w:r>
        <w:rPr>
          <w:rFonts w:ascii="宋体" w:hAnsi="宋体" w:eastAsia="宋体" w:cs="宋体"/>
          <w:spacing w:val="2"/>
          <w:sz w:val="24"/>
          <w:szCs w:val="24"/>
        </w:rPr>
        <w:t>进行扩建，配套建设污水管</w:t>
      </w:r>
      <w:r>
        <w:rPr>
          <w:rFonts w:ascii="宋体" w:hAnsi="宋体" w:eastAsia="宋体" w:cs="宋体"/>
          <w:spacing w:val="3"/>
          <w:sz w:val="24"/>
          <w:szCs w:val="24"/>
        </w:rPr>
        <w:t>网。县城东南工业园尽快启动工业集中污水处理厂的</w:t>
      </w:r>
      <w:r>
        <w:rPr>
          <w:rFonts w:ascii="宋体" w:hAnsi="宋体" w:eastAsia="宋体" w:cs="宋体"/>
          <w:spacing w:val="2"/>
          <w:sz w:val="24"/>
          <w:szCs w:val="24"/>
        </w:rPr>
        <w:t>建设工作。本项目为隆回工</w:t>
      </w:r>
      <w:r>
        <w:rPr>
          <w:rFonts w:ascii="宋体" w:hAnsi="宋体" w:eastAsia="宋体" w:cs="宋体"/>
          <w:spacing w:val="-1"/>
          <w:sz w:val="24"/>
          <w:szCs w:val="24"/>
        </w:rPr>
        <w:t>业污水集中处理工程，符合《隆回县国民经济和社会发展第十三个五年</w:t>
      </w:r>
      <w:r>
        <w:rPr>
          <w:rFonts w:ascii="宋体" w:hAnsi="宋体" w:eastAsia="宋体" w:cs="宋体"/>
          <w:spacing w:val="-2"/>
          <w:sz w:val="24"/>
          <w:szCs w:val="24"/>
        </w:rPr>
        <w:t>规划纲要》</w:t>
      </w:r>
      <w:r>
        <w:rPr>
          <w:rFonts w:ascii="宋体" w:hAnsi="宋体" w:eastAsia="宋体" w:cs="宋体"/>
          <w:spacing w:val="-3"/>
          <w:sz w:val="24"/>
          <w:szCs w:val="24"/>
        </w:rPr>
        <w:t>要求。</w:t>
      </w:r>
    </w:p>
    <w:p w14:paraId="289D8488">
      <w:pPr>
        <w:spacing w:before="3" w:line="359" w:lineRule="auto"/>
        <w:ind w:left="10" w:right="105" w:firstLine="479"/>
        <w:rPr>
          <w:rFonts w:ascii="宋体" w:hAnsi="宋体" w:eastAsia="宋体" w:cs="宋体"/>
          <w:sz w:val="24"/>
          <w:szCs w:val="24"/>
        </w:rPr>
      </w:pPr>
      <w:r>
        <w:rPr>
          <w:rFonts w:ascii="宋体" w:hAnsi="宋体" w:eastAsia="宋体" w:cs="宋体"/>
          <w:sz w:val="24"/>
          <w:szCs w:val="24"/>
        </w:rPr>
        <w:t>根据《桃洪镇土地利用总体规划</w:t>
      </w:r>
      <w:r>
        <w:rPr>
          <w:rFonts w:ascii="Times New Roman" w:hAnsi="Times New Roman" w:eastAsia="Times New Roman" w:cs="Times New Roman"/>
          <w:sz w:val="24"/>
          <w:szCs w:val="24"/>
        </w:rPr>
        <w:t>(2006~202</w:t>
      </w:r>
      <w:r>
        <w:rPr>
          <w:rFonts w:ascii="Times New Roman" w:hAnsi="Times New Roman" w:eastAsia="Times New Roman" w:cs="Times New Roman"/>
          <w:spacing w:val="-1"/>
          <w:sz w:val="24"/>
          <w:szCs w:val="24"/>
        </w:rPr>
        <w:t>0</w:t>
      </w:r>
      <w:r>
        <w:rPr>
          <w:rFonts w:ascii="宋体" w:hAnsi="宋体" w:eastAsia="宋体" w:cs="宋体"/>
          <w:spacing w:val="-1"/>
          <w:sz w:val="24"/>
          <w:szCs w:val="24"/>
        </w:rPr>
        <w:t>年</w:t>
      </w:r>
      <w:r>
        <w:rPr>
          <w:rFonts w:ascii="Times New Roman" w:hAnsi="Times New Roman" w:eastAsia="Times New Roman" w:cs="Times New Roman"/>
          <w:spacing w:val="-1"/>
          <w:sz w:val="24"/>
          <w:szCs w:val="24"/>
        </w:rPr>
        <w:t>)</w:t>
      </w:r>
      <w:r>
        <w:rPr>
          <w:rFonts w:ascii="宋体" w:hAnsi="宋体" w:eastAsia="宋体" w:cs="宋体"/>
          <w:spacing w:val="-1"/>
          <w:sz w:val="24"/>
          <w:szCs w:val="24"/>
        </w:rPr>
        <w:t>》，本项目用地属于城镇建设</w:t>
      </w:r>
      <w:r>
        <w:rPr>
          <w:rFonts w:ascii="宋体" w:hAnsi="宋体" w:eastAsia="宋体" w:cs="宋体"/>
          <w:sz w:val="24"/>
          <w:szCs w:val="24"/>
        </w:rPr>
        <w:t>用地的允许建设区，符合《桃洪镇土地利用总体规划</w:t>
      </w:r>
      <w:r>
        <w:rPr>
          <w:rFonts w:ascii="Times New Roman" w:hAnsi="Times New Roman" w:eastAsia="Times New Roman" w:cs="Times New Roman"/>
          <w:sz w:val="24"/>
          <w:szCs w:val="24"/>
        </w:rPr>
        <w:t>(</w:t>
      </w:r>
      <w:r>
        <w:rPr>
          <w:rFonts w:ascii="Times New Roman" w:hAnsi="Times New Roman" w:eastAsia="Times New Roman" w:cs="Times New Roman"/>
          <w:spacing w:val="-1"/>
          <w:sz w:val="24"/>
          <w:szCs w:val="24"/>
        </w:rPr>
        <w:t>2006~2020</w:t>
      </w:r>
      <w:r>
        <w:rPr>
          <w:rFonts w:ascii="宋体" w:hAnsi="宋体" w:eastAsia="宋体" w:cs="宋体"/>
          <w:spacing w:val="-1"/>
          <w:sz w:val="24"/>
          <w:szCs w:val="24"/>
        </w:rPr>
        <w:t>年</w:t>
      </w:r>
      <w:r>
        <w:rPr>
          <w:rFonts w:ascii="Times New Roman" w:hAnsi="Times New Roman" w:eastAsia="Times New Roman" w:cs="Times New Roman"/>
          <w:spacing w:val="-1"/>
          <w:sz w:val="24"/>
          <w:szCs w:val="24"/>
        </w:rPr>
        <w:t>)</w:t>
      </w:r>
      <w:r>
        <w:rPr>
          <w:rFonts w:ascii="宋体" w:hAnsi="宋体" w:eastAsia="宋体" w:cs="宋体"/>
          <w:spacing w:val="-1"/>
          <w:sz w:val="24"/>
          <w:szCs w:val="24"/>
        </w:rPr>
        <w:t>》。本项目位</w:t>
      </w:r>
      <w:r>
        <w:rPr>
          <w:rFonts w:ascii="宋体" w:hAnsi="宋体" w:eastAsia="宋体" w:cs="宋体"/>
          <w:spacing w:val="3"/>
          <w:sz w:val="24"/>
          <w:szCs w:val="24"/>
        </w:rPr>
        <w:t>于原隆回县工业园一期南部（现隆回县高新技术</w:t>
      </w:r>
      <w:r>
        <w:rPr>
          <w:rFonts w:ascii="宋体" w:hAnsi="宋体" w:eastAsia="宋体" w:cs="宋体"/>
          <w:spacing w:val="2"/>
          <w:sz w:val="24"/>
          <w:szCs w:val="24"/>
        </w:rPr>
        <w:t>产业开发区），《隆回县工业园</w:t>
      </w:r>
      <w:r>
        <w:rPr>
          <w:rFonts w:ascii="宋体" w:hAnsi="宋体" w:eastAsia="宋体" w:cs="宋体"/>
          <w:spacing w:val="-2"/>
          <w:sz w:val="24"/>
          <w:szCs w:val="24"/>
        </w:rPr>
        <w:t>一期开发环境影响报告书》于</w:t>
      </w:r>
      <w:r>
        <w:rPr>
          <w:rFonts w:ascii="Times New Roman" w:hAnsi="Times New Roman" w:eastAsia="Times New Roman" w:cs="Times New Roman"/>
          <w:spacing w:val="-2"/>
          <w:sz w:val="24"/>
          <w:szCs w:val="24"/>
        </w:rPr>
        <w:t>2007</w:t>
      </w:r>
      <w:r>
        <w:rPr>
          <w:rFonts w:ascii="宋体" w:hAnsi="宋体" w:eastAsia="宋体" w:cs="宋体"/>
          <w:spacing w:val="-2"/>
          <w:sz w:val="24"/>
          <w:szCs w:val="24"/>
        </w:rPr>
        <w:t>年通过省环保厅（局）审批（湘环评</w:t>
      </w:r>
      <w:r>
        <w:rPr>
          <w:rFonts w:ascii="Times New Roman" w:hAnsi="Times New Roman" w:eastAsia="Times New Roman" w:cs="Times New Roman"/>
          <w:spacing w:val="-2"/>
          <w:sz w:val="24"/>
          <w:szCs w:val="24"/>
        </w:rPr>
        <w:t>[2007]164</w:t>
      </w:r>
      <w:r>
        <w:rPr>
          <w:rFonts w:ascii="宋体" w:hAnsi="宋体" w:eastAsia="宋体" w:cs="宋体"/>
          <w:spacing w:val="-2"/>
          <w:sz w:val="24"/>
          <w:szCs w:val="24"/>
        </w:rPr>
        <w:t>号</w:t>
      </w:r>
      <w:r>
        <w:rPr>
          <w:rFonts w:ascii="宋体" w:hAnsi="宋体" w:eastAsia="宋体" w:cs="宋体"/>
          <w:spacing w:val="-16"/>
          <w:sz w:val="24"/>
          <w:szCs w:val="24"/>
        </w:rPr>
        <w:t>），</w:t>
      </w:r>
      <w:r>
        <w:rPr>
          <w:rFonts w:ascii="宋体" w:hAnsi="宋体" w:eastAsia="宋体" w:cs="宋体"/>
          <w:spacing w:val="-2"/>
          <w:sz w:val="24"/>
          <w:szCs w:val="24"/>
        </w:rPr>
        <w:t>批复（湘环评</w:t>
      </w:r>
      <w:r>
        <w:rPr>
          <w:rFonts w:ascii="Times New Roman" w:hAnsi="Times New Roman" w:eastAsia="Times New Roman" w:cs="Times New Roman"/>
          <w:spacing w:val="-2"/>
          <w:sz w:val="24"/>
          <w:szCs w:val="24"/>
        </w:rPr>
        <w:t>[2007]164</w:t>
      </w:r>
      <w:r>
        <w:rPr>
          <w:rFonts w:ascii="宋体" w:hAnsi="宋体" w:eastAsia="宋体" w:cs="宋体"/>
          <w:spacing w:val="-2"/>
          <w:sz w:val="24"/>
          <w:szCs w:val="24"/>
        </w:rPr>
        <w:t>号）中</w:t>
      </w:r>
      <w:r>
        <w:rPr>
          <w:rFonts w:ascii="宋体" w:hAnsi="宋体" w:eastAsia="宋体" w:cs="宋体"/>
          <w:spacing w:val="-3"/>
          <w:sz w:val="24"/>
          <w:szCs w:val="24"/>
        </w:rPr>
        <w:t>明确要求</w:t>
      </w:r>
      <w:r>
        <w:rPr>
          <w:rFonts w:ascii="Times New Roman" w:hAnsi="Times New Roman" w:eastAsia="Times New Roman" w:cs="Times New Roman"/>
          <w:spacing w:val="-3"/>
          <w:sz w:val="24"/>
          <w:szCs w:val="24"/>
        </w:rPr>
        <w:t>“</w:t>
      </w:r>
      <w:r>
        <w:rPr>
          <w:rFonts w:ascii="宋体" w:hAnsi="宋体" w:eastAsia="宋体" w:cs="宋体"/>
          <w:spacing w:val="-3"/>
          <w:sz w:val="24"/>
          <w:szCs w:val="24"/>
        </w:rPr>
        <w:t>园区实行雨污分流，加强园区污水</w:t>
      </w:r>
      <w:r>
        <w:rPr>
          <w:rFonts w:ascii="宋体" w:hAnsi="宋体" w:eastAsia="宋体" w:cs="宋体"/>
          <w:spacing w:val="-1"/>
          <w:sz w:val="24"/>
          <w:szCs w:val="24"/>
        </w:rPr>
        <w:t>系统的建设，园区污水统一纳入园区排污管网系统，整个</w:t>
      </w:r>
      <w:r>
        <w:rPr>
          <w:rFonts w:ascii="宋体" w:hAnsi="宋体" w:eastAsia="宋体" w:cs="宋体"/>
          <w:spacing w:val="-2"/>
          <w:sz w:val="24"/>
          <w:szCs w:val="24"/>
        </w:rPr>
        <w:t>园区设置一个排污口</w:t>
      </w:r>
      <w:r>
        <w:rPr>
          <w:rFonts w:ascii="Times New Roman" w:hAnsi="Times New Roman" w:eastAsia="Times New Roman" w:cs="Times New Roman"/>
          <w:spacing w:val="-2"/>
          <w:sz w:val="24"/>
          <w:szCs w:val="24"/>
        </w:rPr>
        <w:t>”</w:t>
      </w:r>
      <w:r>
        <w:rPr>
          <w:rFonts w:ascii="宋体" w:hAnsi="宋体" w:eastAsia="宋体" w:cs="宋体"/>
          <w:spacing w:val="-2"/>
          <w:sz w:val="24"/>
          <w:szCs w:val="24"/>
        </w:rPr>
        <w:t>。</w:t>
      </w:r>
      <w:r>
        <w:rPr>
          <w:rFonts w:ascii="宋体" w:hAnsi="宋体" w:eastAsia="宋体" w:cs="宋体"/>
          <w:spacing w:val="3"/>
          <w:sz w:val="24"/>
          <w:szCs w:val="24"/>
        </w:rPr>
        <w:t>本工程为园区配套污水处理设施，项目建成后，</w:t>
      </w:r>
      <w:r>
        <w:rPr>
          <w:rFonts w:ascii="宋体" w:hAnsi="宋体" w:eastAsia="宋体" w:cs="宋体"/>
          <w:spacing w:val="2"/>
          <w:sz w:val="24"/>
          <w:szCs w:val="24"/>
        </w:rPr>
        <w:t>园区内各入驻企业生产、生活废</w:t>
      </w:r>
      <w:r>
        <w:rPr>
          <w:rFonts w:ascii="宋体" w:hAnsi="宋体" w:eastAsia="宋体" w:cs="宋体"/>
          <w:spacing w:val="-1"/>
          <w:sz w:val="24"/>
          <w:szCs w:val="24"/>
        </w:rPr>
        <w:t>水达到相应标准后经纳污管网汇入本项目，符合园区规划环评要求。</w:t>
      </w:r>
    </w:p>
    <w:p w14:paraId="2E849D92">
      <w:pPr>
        <w:spacing w:before="6" w:line="219" w:lineRule="auto"/>
        <w:ind w:left="508"/>
        <w:rPr>
          <w:rFonts w:ascii="宋体" w:hAnsi="宋体" w:eastAsia="宋体" w:cs="宋体"/>
          <w:sz w:val="24"/>
          <w:szCs w:val="24"/>
        </w:rPr>
      </w:pPr>
      <w:r>
        <w:rPr>
          <w:rFonts w:ascii="宋体" w:hAnsi="宋体" w:eastAsia="宋体" w:cs="宋体"/>
          <w:spacing w:val="-1"/>
          <w:sz w:val="24"/>
          <w:szCs w:val="24"/>
        </w:rPr>
        <w:t>因此，本项目建设符合隆回县及高新技术开发区相</w:t>
      </w:r>
      <w:r>
        <w:rPr>
          <w:rFonts w:ascii="宋体" w:hAnsi="宋体" w:eastAsia="宋体" w:cs="宋体"/>
          <w:spacing w:val="-2"/>
          <w:sz w:val="24"/>
          <w:szCs w:val="24"/>
        </w:rPr>
        <w:t>关规划。</w:t>
      </w:r>
    </w:p>
    <w:p w14:paraId="2AF5CD1E">
      <w:pPr>
        <w:spacing w:before="185" w:line="219" w:lineRule="auto"/>
        <w:ind w:left="8"/>
        <w:outlineLvl w:val="2"/>
        <w:rPr>
          <w:rFonts w:ascii="宋体" w:hAnsi="宋体" w:eastAsia="宋体" w:cs="宋体"/>
          <w:sz w:val="24"/>
          <w:szCs w:val="24"/>
        </w:rPr>
      </w:pPr>
      <w:r>
        <w:rPr>
          <w:rFonts w:ascii="Times New Roman" w:hAnsi="Times New Roman" w:eastAsia="Times New Roman" w:cs="Times New Roman"/>
          <w:b/>
          <w:bCs/>
          <w:spacing w:val="-2"/>
          <w:sz w:val="24"/>
          <w:szCs w:val="24"/>
        </w:rPr>
        <w:t>9.2.4</w:t>
      </w:r>
      <w:r>
        <w:rPr>
          <w:rFonts w:ascii="宋体" w:hAnsi="宋体" w:eastAsia="宋体" w:cs="宋体"/>
          <w:b/>
          <w:bCs/>
          <w:spacing w:val="-2"/>
          <w:sz w:val="24"/>
          <w:szCs w:val="24"/>
        </w:rPr>
        <w:t>与《邵阳市资江保护条例》符合性分析</w:t>
      </w:r>
    </w:p>
    <w:p w14:paraId="5F868BA7">
      <w:pPr>
        <w:spacing w:before="182" w:line="360" w:lineRule="auto"/>
        <w:ind w:left="15" w:right="93" w:firstLine="474"/>
        <w:rPr>
          <w:rFonts w:ascii="宋体" w:hAnsi="宋体" w:eastAsia="宋体" w:cs="宋体"/>
          <w:sz w:val="24"/>
          <w:szCs w:val="24"/>
        </w:rPr>
      </w:pPr>
      <w:r>
        <w:rPr>
          <w:rFonts w:ascii="宋体" w:hAnsi="宋体" w:eastAsia="宋体" w:cs="宋体"/>
          <w:spacing w:val="2"/>
          <w:sz w:val="24"/>
          <w:szCs w:val="24"/>
        </w:rPr>
        <w:t>根据《邵阳市资江保护条例》（</w:t>
      </w:r>
      <w:r>
        <w:rPr>
          <w:rFonts w:ascii="Times New Roman" w:hAnsi="Times New Roman" w:eastAsia="Times New Roman" w:cs="Times New Roman"/>
          <w:spacing w:val="2"/>
          <w:sz w:val="24"/>
          <w:szCs w:val="24"/>
        </w:rPr>
        <w:t>2021</w:t>
      </w:r>
      <w:r>
        <w:rPr>
          <w:rFonts w:ascii="宋体" w:hAnsi="宋体" w:eastAsia="宋体" w:cs="宋体"/>
          <w:spacing w:val="2"/>
          <w:sz w:val="24"/>
          <w:szCs w:val="24"/>
        </w:rPr>
        <w:t>年第</w:t>
      </w:r>
      <w:r>
        <w:rPr>
          <w:rFonts w:ascii="Times New Roman" w:hAnsi="Times New Roman" w:eastAsia="Times New Roman" w:cs="Times New Roman"/>
          <w:spacing w:val="2"/>
          <w:sz w:val="24"/>
          <w:szCs w:val="24"/>
        </w:rPr>
        <w:t>3</w:t>
      </w:r>
      <w:r>
        <w:rPr>
          <w:rFonts w:ascii="宋体" w:hAnsi="宋体" w:eastAsia="宋体" w:cs="宋体"/>
          <w:spacing w:val="2"/>
          <w:sz w:val="24"/>
          <w:szCs w:val="24"/>
        </w:rPr>
        <w:t>号）第二章水污染防治第十条规</w:t>
      </w:r>
      <w:r>
        <w:rPr>
          <w:rFonts w:ascii="宋体" w:hAnsi="宋体" w:eastAsia="宋体" w:cs="宋体"/>
          <w:spacing w:val="3"/>
          <w:sz w:val="24"/>
          <w:szCs w:val="24"/>
        </w:rPr>
        <w:t>定：“未经批准，任何单位和个人不得在资江干流及其支流、水</w:t>
      </w:r>
      <w:r>
        <w:rPr>
          <w:rFonts w:ascii="宋体" w:hAnsi="宋体" w:eastAsia="宋体" w:cs="宋体"/>
          <w:spacing w:val="2"/>
          <w:sz w:val="24"/>
          <w:szCs w:val="24"/>
        </w:rPr>
        <w:t>库、渠道新建、改建、扩建排污口；已批准的排污口应当按照有关规定设置并实现达标</w:t>
      </w:r>
      <w:r>
        <w:rPr>
          <w:rFonts w:ascii="宋体" w:hAnsi="宋体" w:eastAsia="宋体" w:cs="宋体"/>
          <w:spacing w:val="1"/>
          <w:sz w:val="24"/>
          <w:szCs w:val="24"/>
        </w:rPr>
        <w:t>排放。”</w:t>
      </w:r>
    </w:p>
    <w:p w14:paraId="1ECF116F">
      <w:pPr>
        <w:spacing w:line="360" w:lineRule="auto"/>
        <w:ind w:left="10" w:right="105" w:firstLine="467"/>
        <w:rPr>
          <w:rFonts w:ascii="宋体" w:hAnsi="宋体" w:eastAsia="宋体" w:cs="宋体"/>
          <w:sz w:val="24"/>
          <w:szCs w:val="24"/>
        </w:rPr>
      </w:pPr>
      <w:r>
        <w:rPr>
          <w:rFonts w:ascii="宋体" w:hAnsi="宋体" w:eastAsia="宋体" w:cs="宋体"/>
          <w:spacing w:val="3"/>
          <w:sz w:val="24"/>
          <w:szCs w:val="24"/>
        </w:rPr>
        <w:t>“市、县（市、区）人民政府生态环境主管部门应当建立排污口登记统计和建档立卡等制度，做好排污口编码、设置标牌等</w:t>
      </w:r>
      <w:r>
        <w:rPr>
          <w:rFonts w:ascii="宋体" w:hAnsi="宋体" w:eastAsia="宋体" w:cs="宋体"/>
          <w:spacing w:val="2"/>
          <w:sz w:val="24"/>
          <w:szCs w:val="24"/>
        </w:rPr>
        <w:t>工作，加强排污口的日常监督监</w:t>
      </w:r>
      <w:r>
        <w:rPr>
          <w:rFonts w:ascii="宋体" w:hAnsi="宋体" w:eastAsia="宋体" w:cs="宋体"/>
          <w:spacing w:val="25"/>
          <w:sz w:val="24"/>
          <w:szCs w:val="24"/>
        </w:rPr>
        <w:t>测。”</w:t>
      </w:r>
    </w:p>
    <w:p w14:paraId="62F385DA">
      <w:pPr>
        <w:spacing w:before="3" w:line="359" w:lineRule="auto"/>
        <w:ind w:left="29" w:right="105" w:firstLine="448"/>
        <w:rPr>
          <w:rFonts w:ascii="宋体" w:hAnsi="宋体" w:eastAsia="宋体" w:cs="宋体"/>
          <w:sz w:val="24"/>
          <w:szCs w:val="24"/>
        </w:rPr>
      </w:pPr>
      <w:r>
        <w:rPr>
          <w:rFonts w:ascii="宋体" w:hAnsi="宋体" w:eastAsia="宋体" w:cs="宋体"/>
          <w:spacing w:val="3"/>
          <w:sz w:val="24"/>
          <w:szCs w:val="24"/>
        </w:rPr>
        <w:t>“重点排污单位应当安装水污染物排放自动监测设备，与生态环境主管部门</w:t>
      </w:r>
      <w:r>
        <w:rPr>
          <w:rFonts w:ascii="宋体" w:hAnsi="宋体" w:eastAsia="宋体" w:cs="宋体"/>
          <w:spacing w:val="2"/>
          <w:sz w:val="24"/>
          <w:szCs w:val="24"/>
        </w:rPr>
        <w:t>的监控设备联网，保证监测设备正常运行，保存原始监测记录。”</w:t>
      </w:r>
    </w:p>
    <w:p w14:paraId="5DB1F82D">
      <w:pPr>
        <w:spacing w:before="3" w:line="359" w:lineRule="auto"/>
        <w:ind w:left="10" w:right="105" w:firstLine="480"/>
        <w:rPr>
          <w:rFonts w:ascii="宋体" w:hAnsi="宋体" w:eastAsia="宋体" w:cs="宋体"/>
          <w:sz w:val="24"/>
          <w:szCs w:val="24"/>
        </w:rPr>
      </w:pPr>
      <w:r>
        <w:rPr>
          <w:rFonts w:ascii="宋体" w:hAnsi="宋体" w:eastAsia="宋体" w:cs="宋体"/>
          <w:spacing w:val="3"/>
          <w:sz w:val="24"/>
          <w:szCs w:val="24"/>
        </w:rPr>
        <w:t>本入河排污口的设置在完善相关审批及规范化设置要求后</w:t>
      </w:r>
      <w:r>
        <w:rPr>
          <w:rFonts w:ascii="宋体" w:hAnsi="宋体" w:eastAsia="宋体" w:cs="宋体"/>
          <w:spacing w:val="2"/>
          <w:sz w:val="24"/>
          <w:szCs w:val="24"/>
        </w:rPr>
        <w:t>，符合《邵阳市资</w:t>
      </w:r>
      <w:r>
        <w:rPr>
          <w:rFonts w:ascii="宋体" w:hAnsi="宋体" w:eastAsia="宋体" w:cs="宋体"/>
          <w:spacing w:val="-2"/>
          <w:sz w:val="24"/>
          <w:szCs w:val="24"/>
        </w:rPr>
        <w:t>江保护条例》。</w:t>
      </w:r>
    </w:p>
    <w:p w14:paraId="23B81D6F">
      <w:pPr>
        <w:spacing w:line="219" w:lineRule="auto"/>
        <w:ind w:left="8"/>
        <w:outlineLvl w:val="2"/>
        <w:rPr>
          <w:rFonts w:ascii="宋体" w:hAnsi="宋体" w:eastAsia="宋体" w:cs="宋体"/>
          <w:sz w:val="24"/>
          <w:szCs w:val="24"/>
        </w:rPr>
      </w:pPr>
      <w:r>
        <w:rPr>
          <w:rFonts w:ascii="Times New Roman" w:hAnsi="Times New Roman" w:eastAsia="Times New Roman" w:cs="Times New Roman"/>
          <w:b/>
          <w:bCs/>
          <w:spacing w:val="-2"/>
          <w:sz w:val="24"/>
          <w:szCs w:val="24"/>
        </w:rPr>
        <w:t>9.2.5</w:t>
      </w:r>
      <w:r>
        <w:rPr>
          <w:rFonts w:ascii="宋体" w:hAnsi="宋体" w:eastAsia="宋体" w:cs="宋体"/>
          <w:b/>
          <w:bCs/>
          <w:spacing w:val="-2"/>
          <w:sz w:val="24"/>
          <w:szCs w:val="24"/>
        </w:rPr>
        <w:t>入河排污口河段河床稳定性和防洪影响分析</w:t>
      </w:r>
    </w:p>
    <w:p w14:paraId="2BD9D8FC">
      <w:pPr>
        <w:spacing w:line="219" w:lineRule="auto"/>
        <w:rPr>
          <w:rFonts w:ascii="宋体" w:hAnsi="宋体" w:eastAsia="宋体" w:cs="宋体"/>
          <w:sz w:val="24"/>
          <w:szCs w:val="24"/>
        </w:rPr>
        <w:sectPr>
          <w:headerReference r:id="rId162" w:type="default"/>
          <w:footerReference r:id="rId163" w:type="default"/>
          <w:pgSz w:w="11906" w:h="16839"/>
          <w:pgMar w:top="1132" w:right="1595" w:bottom="1259" w:left="1701" w:header="829" w:footer="1097" w:gutter="0"/>
          <w:cols w:space="720" w:num="1"/>
        </w:sectPr>
      </w:pPr>
    </w:p>
    <w:p w14:paraId="2CAE213B">
      <w:pPr>
        <w:pStyle w:val="2"/>
        <w:spacing w:line="319" w:lineRule="auto"/>
      </w:pPr>
    </w:p>
    <w:p w14:paraId="126AF72A">
      <w:pPr>
        <w:spacing w:before="78" w:line="360" w:lineRule="auto"/>
        <w:ind w:left="9" w:firstLine="480"/>
        <w:jc w:val="both"/>
        <w:rPr>
          <w:rFonts w:ascii="宋体" w:hAnsi="宋体" w:eastAsia="宋体" w:cs="宋体"/>
          <w:sz w:val="24"/>
          <w:szCs w:val="24"/>
        </w:rPr>
      </w:pPr>
      <w:r>
        <w:rPr>
          <w:rFonts w:ascii="宋体" w:hAnsi="宋体" w:eastAsia="宋体" w:cs="宋体"/>
          <w:spacing w:val="-6"/>
          <w:sz w:val="24"/>
          <w:szCs w:val="24"/>
        </w:rPr>
        <w:t>本项目排污口设置于赧水左岸岸边，本项目排污口所处赧水枯水期宽约</w:t>
      </w:r>
      <w:r>
        <w:rPr>
          <w:rFonts w:ascii="Times New Roman" w:hAnsi="Times New Roman" w:eastAsia="Times New Roman" w:cs="Times New Roman"/>
          <w:spacing w:val="-6"/>
          <w:sz w:val="24"/>
          <w:szCs w:val="24"/>
        </w:rPr>
        <w:t>120</w:t>
      </w:r>
      <w:r>
        <w:rPr>
          <w:rFonts w:ascii="Times New Roman" w:hAnsi="Times New Roman" w:eastAsia="Times New Roman" w:cs="Times New Roman"/>
          <w:spacing w:val="-7"/>
          <w:sz w:val="24"/>
          <w:szCs w:val="24"/>
        </w:rPr>
        <w:t>m</w:t>
      </w:r>
      <w:r>
        <w:rPr>
          <w:rFonts w:ascii="宋体" w:hAnsi="宋体" w:eastAsia="宋体" w:cs="宋体"/>
          <w:spacing w:val="-7"/>
          <w:sz w:val="24"/>
          <w:szCs w:val="24"/>
        </w:rPr>
        <w:t>，</w:t>
      </w:r>
      <w:r>
        <w:rPr>
          <w:rFonts w:ascii="宋体" w:hAnsi="宋体" w:eastAsia="宋体" w:cs="宋体"/>
          <w:spacing w:val="-1"/>
          <w:sz w:val="24"/>
          <w:szCs w:val="24"/>
        </w:rPr>
        <w:t>赧水两岸堤岸稳固，河道顺直、通畅。本项目流量为</w:t>
      </w:r>
      <w:r>
        <w:rPr>
          <w:rFonts w:ascii="Times New Roman" w:hAnsi="Times New Roman" w:eastAsia="Times New Roman" w:cs="Times New Roman"/>
          <w:spacing w:val="-1"/>
          <w:sz w:val="24"/>
          <w:szCs w:val="24"/>
        </w:rPr>
        <w:t>0.174m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4"/>
          <w:szCs w:val="24"/>
        </w:rPr>
        <w:t>/s</w:t>
      </w:r>
      <w:r>
        <w:rPr>
          <w:rFonts w:ascii="宋体" w:hAnsi="宋体" w:eastAsia="宋体" w:cs="宋体"/>
          <w:spacing w:val="-1"/>
          <w:sz w:val="24"/>
          <w:szCs w:val="24"/>
        </w:rPr>
        <w:t>，采用重力自流方</w:t>
      </w:r>
      <w:r>
        <w:rPr>
          <w:rFonts w:ascii="宋体" w:hAnsi="宋体" w:eastAsia="宋体" w:cs="宋体"/>
          <w:spacing w:val="3"/>
          <w:sz w:val="24"/>
          <w:szCs w:val="24"/>
        </w:rPr>
        <w:t>式，远小于目前赧水枯水期流量，不会对赧水堤岸</w:t>
      </w:r>
      <w:r>
        <w:rPr>
          <w:rFonts w:ascii="宋体" w:hAnsi="宋体" w:eastAsia="宋体" w:cs="宋体"/>
          <w:spacing w:val="2"/>
          <w:sz w:val="24"/>
          <w:szCs w:val="24"/>
        </w:rPr>
        <w:t>产生冲刷。此外，本项目排污</w:t>
      </w:r>
      <w:r>
        <w:rPr>
          <w:rFonts w:ascii="宋体" w:hAnsi="宋体" w:eastAsia="宋体" w:cs="宋体"/>
          <w:spacing w:val="3"/>
          <w:sz w:val="24"/>
          <w:szCs w:val="24"/>
        </w:rPr>
        <w:t>口位于河岸边，采用管道排放。本污水处理厂</w:t>
      </w:r>
      <w:r>
        <w:rPr>
          <w:rFonts w:ascii="宋体" w:hAnsi="宋体" w:eastAsia="宋体" w:cs="宋体"/>
          <w:spacing w:val="2"/>
          <w:sz w:val="24"/>
          <w:szCs w:val="24"/>
        </w:rPr>
        <w:t>排污口的防洪设计已按防洪标准设</w:t>
      </w:r>
      <w:r>
        <w:rPr>
          <w:rFonts w:ascii="宋体" w:hAnsi="宋体" w:eastAsia="宋体" w:cs="宋体"/>
          <w:sz w:val="24"/>
          <w:szCs w:val="24"/>
        </w:rPr>
        <w:t>计，入河排污口设置符合国家规定的防洪标</w:t>
      </w:r>
      <w:r>
        <w:rPr>
          <w:rFonts w:ascii="宋体" w:hAnsi="宋体" w:eastAsia="宋体" w:cs="宋体"/>
          <w:spacing w:val="-1"/>
          <w:sz w:val="24"/>
          <w:szCs w:val="24"/>
        </w:rPr>
        <w:t>准和工程安全标准要求。</w:t>
      </w:r>
    </w:p>
    <w:p w14:paraId="58C5E622">
      <w:pPr>
        <w:spacing w:line="361" w:lineRule="auto"/>
        <w:ind w:left="11" w:right="164" w:firstLine="480"/>
        <w:jc w:val="both"/>
        <w:rPr>
          <w:rFonts w:ascii="宋体" w:hAnsi="宋体" w:eastAsia="宋体" w:cs="宋体"/>
          <w:sz w:val="24"/>
          <w:szCs w:val="24"/>
        </w:rPr>
      </w:pPr>
      <w:r>
        <w:rPr>
          <w:rFonts w:ascii="宋体" w:hAnsi="宋体" w:eastAsia="宋体" w:cs="宋体"/>
          <w:sz w:val="24"/>
          <w:szCs w:val="24"/>
        </w:rPr>
        <w:t>综上所述，隆回工业园污水处理工程排污口</w:t>
      </w:r>
      <w:r>
        <w:rPr>
          <w:rFonts w:ascii="宋体" w:hAnsi="宋体" w:eastAsia="宋体" w:cs="宋体"/>
          <w:spacing w:val="-1"/>
          <w:sz w:val="24"/>
          <w:szCs w:val="24"/>
        </w:rPr>
        <w:t>符合国家相关法律法规、政策要</w:t>
      </w:r>
      <w:r>
        <w:rPr>
          <w:rFonts w:ascii="宋体" w:hAnsi="宋体" w:eastAsia="宋体" w:cs="宋体"/>
          <w:sz w:val="24"/>
          <w:szCs w:val="24"/>
        </w:rPr>
        <w:t>求，满足城镇发展规划，符合生态红线、三线一单</w:t>
      </w:r>
      <w:r>
        <w:rPr>
          <w:rFonts w:ascii="宋体" w:hAnsi="宋体" w:eastAsia="宋体" w:cs="宋体"/>
          <w:spacing w:val="-1"/>
          <w:sz w:val="24"/>
          <w:szCs w:val="24"/>
        </w:rPr>
        <w:t>、水资源管理要求以及水功能区管理要求要求，因此，本排污口设置是可行的。</w:t>
      </w:r>
    </w:p>
    <w:p w14:paraId="7835862B">
      <w:pPr>
        <w:spacing w:before="180" w:line="222" w:lineRule="auto"/>
        <w:ind w:left="9"/>
        <w:outlineLvl w:val="1"/>
        <w:rPr>
          <w:rFonts w:ascii="黑体" w:hAnsi="黑体" w:eastAsia="黑体" w:cs="黑体"/>
          <w:sz w:val="30"/>
          <w:szCs w:val="30"/>
        </w:rPr>
      </w:pPr>
      <w:bookmarkStart w:id="47" w:name="bookmark44"/>
      <w:bookmarkEnd w:id="47"/>
      <w:r>
        <w:rPr>
          <w:rFonts w:ascii="Times New Roman" w:hAnsi="Times New Roman" w:eastAsia="Times New Roman" w:cs="Times New Roman"/>
          <w:b/>
          <w:bCs/>
          <w:spacing w:val="-3"/>
          <w:sz w:val="30"/>
          <w:szCs w:val="30"/>
        </w:rPr>
        <w:t>9.3</w:t>
      </w:r>
      <w:r>
        <w:rPr>
          <w:rFonts w:ascii="黑体" w:hAnsi="黑体" w:eastAsia="黑体" w:cs="黑体"/>
          <w:b/>
          <w:bCs/>
          <w:spacing w:val="-3"/>
          <w:sz w:val="30"/>
          <w:szCs w:val="30"/>
        </w:rPr>
        <w:t>水生态环境保护目标的符合性</w:t>
      </w:r>
    </w:p>
    <w:p w14:paraId="79C68D66">
      <w:pPr>
        <w:pStyle w:val="2"/>
        <w:spacing w:line="277" w:lineRule="auto"/>
      </w:pPr>
    </w:p>
    <w:p w14:paraId="4E8A0B3B">
      <w:pPr>
        <w:spacing w:before="78" w:line="219" w:lineRule="auto"/>
        <w:ind w:left="8"/>
        <w:outlineLvl w:val="2"/>
        <w:rPr>
          <w:rFonts w:ascii="宋体" w:hAnsi="宋体" w:eastAsia="宋体" w:cs="宋体"/>
          <w:sz w:val="24"/>
          <w:szCs w:val="24"/>
        </w:rPr>
      </w:pPr>
      <w:r>
        <w:rPr>
          <w:rFonts w:ascii="Times New Roman" w:hAnsi="Times New Roman" w:eastAsia="Times New Roman" w:cs="Times New Roman"/>
          <w:b/>
          <w:bCs/>
          <w:spacing w:val="-2"/>
          <w:sz w:val="24"/>
          <w:szCs w:val="24"/>
        </w:rPr>
        <w:t>9.3.1</w:t>
      </w:r>
      <w:r>
        <w:rPr>
          <w:rFonts w:ascii="宋体" w:hAnsi="宋体" w:eastAsia="宋体" w:cs="宋体"/>
          <w:b/>
          <w:bCs/>
          <w:spacing w:val="-2"/>
          <w:sz w:val="24"/>
          <w:szCs w:val="24"/>
        </w:rPr>
        <w:t>水功能区管理要求符合性分析</w:t>
      </w:r>
    </w:p>
    <w:p w14:paraId="6BBF47E5">
      <w:pPr>
        <w:spacing w:before="183" w:line="360" w:lineRule="auto"/>
        <w:ind w:left="11" w:firstLine="493"/>
        <w:jc w:val="both"/>
        <w:rPr>
          <w:rFonts w:ascii="宋体" w:hAnsi="宋体" w:eastAsia="宋体" w:cs="宋体"/>
          <w:sz w:val="24"/>
          <w:szCs w:val="24"/>
        </w:rPr>
      </w:pPr>
      <w:r>
        <w:rPr>
          <w:rFonts w:ascii="宋体" w:hAnsi="宋体" w:eastAsia="宋体" w:cs="宋体"/>
          <w:spacing w:val="2"/>
          <w:sz w:val="24"/>
          <w:szCs w:val="24"/>
        </w:rPr>
        <w:t>隆回县工业污水处理厂（一期）入河排污口污水排入赧水，与隆回县生活污</w:t>
      </w:r>
      <w:r>
        <w:rPr>
          <w:rFonts w:ascii="宋体" w:hAnsi="宋体" w:eastAsia="宋体" w:cs="宋体"/>
          <w:spacing w:val="-2"/>
          <w:sz w:val="24"/>
          <w:szCs w:val="24"/>
        </w:rPr>
        <w:t>水处理厂共用一个排污口，位于元木山电站下游约</w:t>
      </w:r>
      <w:r>
        <w:rPr>
          <w:rFonts w:ascii="Times New Roman" w:hAnsi="Times New Roman" w:eastAsia="Times New Roman" w:cs="Times New Roman"/>
          <w:spacing w:val="-2"/>
          <w:sz w:val="24"/>
          <w:szCs w:val="24"/>
        </w:rPr>
        <w:t>2.8m</w:t>
      </w:r>
      <w:r>
        <w:rPr>
          <w:rFonts w:ascii="宋体" w:hAnsi="宋体" w:eastAsia="宋体" w:cs="宋体"/>
          <w:spacing w:val="-2"/>
          <w:sz w:val="24"/>
          <w:szCs w:val="24"/>
        </w:rPr>
        <w:t>处，赧水左岸，地理坐标</w:t>
      </w:r>
      <w:r>
        <w:rPr>
          <w:rFonts w:ascii="Times New Roman" w:hAnsi="Times New Roman" w:eastAsia="Times New Roman" w:cs="Times New Roman"/>
          <w:spacing w:val="-3"/>
          <w:sz w:val="24"/>
          <w:szCs w:val="24"/>
        </w:rPr>
        <w:t>111°3′22.36752″</w:t>
      </w:r>
      <w:r>
        <w:rPr>
          <w:rFonts w:ascii="宋体" w:hAnsi="宋体" w:eastAsia="宋体" w:cs="宋体"/>
          <w:spacing w:val="-3"/>
          <w:sz w:val="24"/>
          <w:szCs w:val="24"/>
        </w:rPr>
        <w:t>，</w:t>
      </w:r>
      <w:r>
        <w:rPr>
          <w:rFonts w:ascii="Times New Roman" w:hAnsi="Times New Roman" w:eastAsia="Times New Roman" w:cs="Times New Roman"/>
          <w:spacing w:val="-3"/>
          <w:sz w:val="24"/>
          <w:szCs w:val="24"/>
        </w:rPr>
        <w:t>N27°4′46.315056″</w:t>
      </w:r>
      <w:r>
        <w:rPr>
          <w:rFonts w:ascii="宋体" w:hAnsi="宋体" w:eastAsia="宋体" w:cs="宋体"/>
          <w:spacing w:val="-3"/>
          <w:sz w:val="24"/>
          <w:szCs w:val="24"/>
        </w:rPr>
        <w:t>。根据《邵阳市水功能区划》（</w:t>
      </w:r>
      <w:r>
        <w:rPr>
          <w:rFonts w:ascii="Times New Roman" w:hAnsi="Times New Roman" w:eastAsia="Times New Roman" w:cs="Times New Roman"/>
          <w:spacing w:val="-3"/>
          <w:sz w:val="24"/>
          <w:szCs w:val="24"/>
        </w:rPr>
        <w:t>2016</w:t>
      </w:r>
      <w:r>
        <w:rPr>
          <w:rFonts w:ascii="宋体" w:hAnsi="宋体" w:eastAsia="宋体" w:cs="宋体"/>
          <w:spacing w:val="-3"/>
          <w:sz w:val="24"/>
          <w:szCs w:val="24"/>
        </w:rPr>
        <w:t>年</w:t>
      </w:r>
      <w:r>
        <w:rPr>
          <w:rFonts w:ascii="宋体" w:hAnsi="宋体" w:eastAsia="宋体" w:cs="宋体"/>
          <w:spacing w:val="11"/>
          <w:sz w:val="24"/>
          <w:szCs w:val="24"/>
        </w:rPr>
        <w:t>），</w:t>
      </w:r>
      <w:r>
        <w:rPr>
          <w:rFonts w:ascii="宋体" w:hAnsi="宋体" w:eastAsia="宋体" w:cs="宋体"/>
          <w:spacing w:val="-3"/>
          <w:sz w:val="24"/>
          <w:szCs w:val="24"/>
        </w:rPr>
        <w:t>排</w:t>
      </w:r>
      <w:r>
        <w:rPr>
          <w:rFonts w:ascii="宋体" w:hAnsi="宋体" w:eastAsia="宋体" w:cs="宋体"/>
          <w:spacing w:val="-5"/>
          <w:sz w:val="24"/>
          <w:szCs w:val="24"/>
        </w:rPr>
        <w:t>污口所在断面属于资水（赧水）隆回</w:t>
      </w:r>
      <w:r>
        <w:rPr>
          <w:rFonts w:ascii="Times New Roman" w:hAnsi="Times New Roman" w:eastAsia="Times New Roman" w:cs="Times New Roman"/>
          <w:spacing w:val="-5"/>
          <w:sz w:val="24"/>
          <w:szCs w:val="24"/>
        </w:rPr>
        <w:t>-</w:t>
      </w:r>
      <w:r>
        <w:rPr>
          <w:rFonts w:ascii="宋体" w:hAnsi="宋体" w:eastAsia="宋体" w:cs="宋体"/>
          <w:spacing w:val="-5"/>
          <w:sz w:val="24"/>
          <w:szCs w:val="24"/>
        </w:rPr>
        <w:t>邵阳保留区，起始断面为隆回县元木山电站，</w:t>
      </w:r>
      <w:r>
        <w:rPr>
          <w:rFonts w:ascii="宋体" w:hAnsi="宋体" w:eastAsia="宋体" w:cs="宋体"/>
          <w:spacing w:val="-3"/>
          <w:sz w:val="24"/>
          <w:szCs w:val="24"/>
        </w:rPr>
        <w:t>终止断面为邵阳市北塔区何家垸子，全长</w:t>
      </w:r>
      <w:r>
        <w:rPr>
          <w:rFonts w:ascii="Times New Roman" w:hAnsi="Times New Roman" w:eastAsia="Times New Roman" w:cs="Times New Roman"/>
          <w:spacing w:val="-3"/>
          <w:sz w:val="24"/>
          <w:szCs w:val="24"/>
        </w:rPr>
        <w:t>8</w:t>
      </w:r>
      <w:r>
        <w:rPr>
          <w:rFonts w:ascii="Times New Roman" w:hAnsi="Times New Roman" w:eastAsia="Times New Roman" w:cs="Times New Roman"/>
          <w:spacing w:val="-4"/>
          <w:sz w:val="24"/>
          <w:szCs w:val="24"/>
        </w:rPr>
        <w:t>0.1km</w:t>
      </w:r>
      <w:r>
        <w:rPr>
          <w:rFonts w:ascii="宋体" w:hAnsi="宋体" w:eastAsia="宋体" w:cs="宋体"/>
          <w:spacing w:val="-4"/>
          <w:sz w:val="24"/>
          <w:szCs w:val="24"/>
        </w:rPr>
        <w:t>，水质目标为</w:t>
      </w:r>
      <w:r>
        <w:rPr>
          <w:rFonts w:ascii="Times New Roman" w:hAnsi="Times New Roman" w:eastAsia="Times New Roman" w:cs="Times New Roman"/>
          <w:spacing w:val="-4"/>
          <w:sz w:val="24"/>
          <w:szCs w:val="24"/>
        </w:rPr>
        <w:t>III</w:t>
      </w:r>
      <w:r>
        <w:rPr>
          <w:rFonts w:ascii="宋体" w:hAnsi="宋体" w:eastAsia="宋体" w:cs="宋体"/>
          <w:spacing w:val="-4"/>
          <w:sz w:val="24"/>
          <w:szCs w:val="24"/>
        </w:rPr>
        <w:t>类，但论证范围</w:t>
      </w:r>
      <w:r>
        <w:rPr>
          <w:rFonts w:ascii="宋体" w:hAnsi="宋体" w:eastAsia="宋体" w:cs="宋体"/>
          <w:spacing w:val="-1"/>
          <w:sz w:val="24"/>
          <w:szCs w:val="24"/>
        </w:rPr>
        <w:t>内隆回县元木山断面、邵阳县渡头村断面考核目标为年度平均达到</w:t>
      </w:r>
      <w:r>
        <w:rPr>
          <w:rFonts w:ascii="Times New Roman" w:hAnsi="Times New Roman" w:eastAsia="Times New Roman" w:cs="Times New Roman"/>
          <w:spacing w:val="-1"/>
          <w:sz w:val="24"/>
          <w:szCs w:val="24"/>
        </w:rPr>
        <w:t>II</w:t>
      </w:r>
      <w:r>
        <w:rPr>
          <w:rFonts w:ascii="宋体" w:hAnsi="宋体" w:eastAsia="宋体" w:cs="宋体"/>
          <w:spacing w:val="-1"/>
          <w:sz w:val="24"/>
          <w:szCs w:val="24"/>
        </w:rPr>
        <w:t>类。</w:t>
      </w:r>
    </w:p>
    <w:p w14:paraId="42E516FD">
      <w:pPr>
        <w:spacing w:before="5" w:line="359" w:lineRule="auto"/>
        <w:ind w:left="8" w:right="61" w:firstLine="481"/>
        <w:jc w:val="both"/>
        <w:rPr>
          <w:rFonts w:ascii="宋体" w:hAnsi="宋体" w:eastAsia="宋体" w:cs="宋体"/>
          <w:sz w:val="24"/>
          <w:szCs w:val="24"/>
        </w:rPr>
      </w:pPr>
      <w:r>
        <w:rPr>
          <w:rFonts w:ascii="宋体" w:hAnsi="宋体" w:eastAsia="宋体" w:cs="宋体"/>
          <w:spacing w:val="3"/>
          <w:sz w:val="24"/>
          <w:szCs w:val="24"/>
        </w:rPr>
        <w:t>本次隆回工业污水处理厂提标扩容改造（二期）工程处理</w:t>
      </w:r>
      <w:r>
        <w:rPr>
          <w:rFonts w:ascii="宋体" w:hAnsi="宋体" w:eastAsia="宋体" w:cs="宋体"/>
          <w:spacing w:val="2"/>
          <w:sz w:val="24"/>
          <w:szCs w:val="24"/>
        </w:rPr>
        <w:t>后的尾水达《城镇</w:t>
      </w:r>
      <w:r>
        <w:rPr>
          <w:rFonts w:ascii="宋体" w:hAnsi="宋体" w:eastAsia="宋体" w:cs="宋体"/>
          <w:spacing w:val="1"/>
          <w:sz w:val="24"/>
          <w:szCs w:val="24"/>
        </w:rPr>
        <w:t>污水处理厂污染物排放标准》中一级标准</w:t>
      </w:r>
      <w:r>
        <w:rPr>
          <w:rFonts w:ascii="Times New Roman" w:hAnsi="Times New Roman" w:eastAsia="Times New Roman" w:cs="Times New Roman"/>
          <w:spacing w:val="1"/>
          <w:sz w:val="24"/>
          <w:szCs w:val="24"/>
        </w:rPr>
        <w:t>A</w:t>
      </w:r>
      <w:r>
        <w:rPr>
          <w:rFonts w:ascii="宋体" w:hAnsi="宋体" w:eastAsia="宋体" w:cs="宋体"/>
          <w:spacing w:val="1"/>
          <w:sz w:val="24"/>
          <w:szCs w:val="24"/>
        </w:rPr>
        <w:t>标准后，排入厂区内一期工程已建好</w:t>
      </w:r>
      <w:r>
        <w:rPr>
          <w:rFonts w:ascii="宋体" w:hAnsi="宋体" w:eastAsia="宋体" w:cs="宋体"/>
          <w:spacing w:val="3"/>
          <w:sz w:val="24"/>
          <w:szCs w:val="24"/>
        </w:rPr>
        <w:t>的尾水排放管，与县城生活污水处理厂尾水一起通过</w:t>
      </w:r>
      <w:r>
        <w:rPr>
          <w:rFonts w:ascii="宋体" w:hAnsi="宋体" w:eastAsia="宋体" w:cs="宋体"/>
          <w:spacing w:val="2"/>
          <w:sz w:val="24"/>
          <w:szCs w:val="24"/>
        </w:rPr>
        <w:t>沿江北路敷设的排水管，排</w:t>
      </w:r>
      <w:r>
        <w:rPr>
          <w:rFonts w:ascii="宋体" w:hAnsi="宋体" w:eastAsia="宋体" w:cs="宋体"/>
          <w:spacing w:val="-1"/>
          <w:sz w:val="24"/>
          <w:szCs w:val="24"/>
        </w:rPr>
        <w:t>往赧水元木山电站下游约</w:t>
      </w:r>
      <w:r>
        <w:rPr>
          <w:rFonts w:ascii="Times New Roman" w:hAnsi="Times New Roman" w:eastAsia="Times New Roman" w:cs="Times New Roman"/>
          <w:spacing w:val="-1"/>
          <w:sz w:val="24"/>
          <w:szCs w:val="24"/>
        </w:rPr>
        <w:t>2.8m</w:t>
      </w:r>
      <w:r>
        <w:rPr>
          <w:rFonts w:ascii="宋体" w:hAnsi="宋体" w:eastAsia="宋体" w:cs="宋体"/>
          <w:spacing w:val="-1"/>
          <w:sz w:val="24"/>
          <w:szCs w:val="24"/>
        </w:rPr>
        <w:t>处。</w:t>
      </w:r>
    </w:p>
    <w:p w14:paraId="1EEFBCBF">
      <w:pPr>
        <w:spacing w:before="2" w:line="361" w:lineRule="auto"/>
        <w:ind w:left="10" w:right="61" w:firstLine="480"/>
        <w:jc w:val="both"/>
        <w:rPr>
          <w:rFonts w:ascii="宋体" w:hAnsi="宋体" w:eastAsia="宋体" w:cs="宋体"/>
          <w:sz w:val="24"/>
          <w:szCs w:val="24"/>
        </w:rPr>
      </w:pPr>
      <w:r>
        <w:rPr>
          <w:rFonts w:ascii="宋体" w:hAnsi="宋体" w:eastAsia="宋体" w:cs="宋体"/>
          <w:spacing w:val="32"/>
          <w:sz w:val="24"/>
          <w:szCs w:val="24"/>
        </w:rPr>
        <w:t>污水经污水处理厂处理后达到《城镇污水处</w:t>
      </w:r>
      <w:r>
        <w:rPr>
          <w:rFonts w:ascii="宋体" w:hAnsi="宋体" w:eastAsia="宋体" w:cs="宋体"/>
          <w:spacing w:val="31"/>
          <w:sz w:val="24"/>
          <w:szCs w:val="24"/>
        </w:rPr>
        <w:t>理厂污染物排放标准》</w:t>
      </w:r>
      <w:r>
        <w:rPr>
          <w:rFonts w:ascii="宋体" w:hAnsi="宋体" w:eastAsia="宋体" w:cs="宋体"/>
          <w:sz w:val="24"/>
          <w:szCs w:val="24"/>
        </w:rPr>
        <w:t>（</w:t>
      </w:r>
      <w:r>
        <w:rPr>
          <w:rFonts w:ascii="Times New Roman" w:hAnsi="Times New Roman" w:eastAsia="Times New Roman" w:cs="Times New Roman"/>
          <w:sz w:val="24"/>
          <w:szCs w:val="24"/>
        </w:rPr>
        <w:t>GB18918-2002</w:t>
      </w:r>
      <w:r>
        <w:rPr>
          <w:rFonts w:ascii="宋体" w:hAnsi="宋体" w:eastAsia="宋体" w:cs="宋体"/>
          <w:sz w:val="24"/>
          <w:szCs w:val="24"/>
        </w:rPr>
        <w:t>）一级</w:t>
      </w:r>
      <w:r>
        <w:rPr>
          <w:rFonts w:ascii="Times New Roman" w:hAnsi="Times New Roman" w:eastAsia="Times New Roman" w:cs="Times New Roman"/>
          <w:sz w:val="24"/>
          <w:szCs w:val="24"/>
        </w:rPr>
        <w:t>A</w:t>
      </w:r>
      <w:r>
        <w:rPr>
          <w:rFonts w:ascii="宋体" w:hAnsi="宋体" w:eastAsia="宋体" w:cs="宋体"/>
          <w:sz w:val="24"/>
          <w:szCs w:val="24"/>
        </w:rPr>
        <w:t>标准后排放，根</w:t>
      </w:r>
      <w:r>
        <w:rPr>
          <w:rFonts w:ascii="宋体" w:hAnsi="宋体" w:eastAsia="宋体" w:cs="宋体"/>
          <w:spacing w:val="-1"/>
          <w:sz w:val="24"/>
          <w:szCs w:val="24"/>
        </w:rPr>
        <w:t>据现场监测及排污预测结果，正常排放</w:t>
      </w:r>
      <w:r>
        <w:rPr>
          <w:rFonts w:ascii="宋体" w:hAnsi="宋体" w:eastAsia="宋体" w:cs="宋体"/>
          <w:spacing w:val="3"/>
          <w:sz w:val="24"/>
          <w:szCs w:val="24"/>
        </w:rPr>
        <w:t>情况下本项目入河排污口对赧水水质影响较小。</w:t>
      </w:r>
      <w:r>
        <w:rPr>
          <w:rFonts w:ascii="宋体" w:hAnsi="宋体" w:eastAsia="宋体" w:cs="宋体"/>
          <w:spacing w:val="2"/>
          <w:sz w:val="24"/>
          <w:szCs w:val="24"/>
        </w:rPr>
        <w:t>项目排污口设置符合水功能区管</w:t>
      </w:r>
      <w:r>
        <w:rPr>
          <w:rFonts w:ascii="宋体" w:hAnsi="宋体" w:eastAsia="宋体" w:cs="宋体"/>
          <w:spacing w:val="-3"/>
          <w:sz w:val="24"/>
          <w:szCs w:val="24"/>
        </w:rPr>
        <w:t>理要求。</w:t>
      </w:r>
    </w:p>
    <w:p w14:paraId="7CFF1A8D">
      <w:pPr>
        <w:spacing w:before="149" w:line="220" w:lineRule="auto"/>
        <w:ind w:left="9"/>
        <w:outlineLvl w:val="2"/>
        <w:rPr>
          <w:rFonts w:ascii="宋体" w:hAnsi="宋体" w:eastAsia="宋体" w:cs="宋体"/>
          <w:sz w:val="28"/>
          <w:szCs w:val="28"/>
        </w:rPr>
      </w:pPr>
      <w:r>
        <w:rPr>
          <w:rFonts w:ascii="Times New Roman" w:hAnsi="Times New Roman" w:eastAsia="Times New Roman" w:cs="Times New Roman"/>
          <w:b/>
          <w:bCs/>
          <w:spacing w:val="-2"/>
          <w:sz w:val="28"/>
          <w:szCs w:val="28"/>
        </w:rPr>
        <w:t>9.3.2</w:t>
      </w:r>
      <w:r>
        <w:rPr>
          <w:rFonts w:ascii="宋体" w:hAnsi="宋体" w:eastAsia="宋体" w:cs="宋体"/>
          <w:b/>
          <w:bCs/>
          <w:spacing w:val="-2"/>
          <w:sz w:val="28"/>
          <w:szCs w:val="28"/>
        </w:rPr>
        <w:t>对国控省控断面影响</w:t>
      </w:r>
    </w:p>
    <w:p w14:paraId="16FECFE9">
      <w:pPr>
        <w:pStyle w:val="2"/>
        <w:spacing w:line="254" w:lineRule="auto"/>
      </w:pPr>
    </w:p>
    <w:p w14:paraId="43FA9EBD">
      <w:pPr>
        <w:spacing w:before="79" w:line="358" w:lineRule="auto"/>
        <w:ind w:left="8" w:right="61" w:firstLine="481"/>
        <w:jc w:val="both"/>
        <w:rPr>
          <w:rFonts w:ascii="宋体" w:hAnsi="宋体" w:eastAsia="宋体" w:cs="宋体"/>
          <w:sz w:val="24"/>
          <w:szCs w:val="24"/>
        </w:rPr>
      </w:pPr>
      <w:r>
        <w:rPr>
          <w:rFonts w:ascii="宋体" w:hAnsi="宋体" w:eastAsia="宋体" w:cs="宋体"/>
          <w:spacing w:val="-1"/>
          <w:sz w:val="24"/>
          <w:szCs w:val="24"/>
        </w:rPr>
        <w:t>根据湖南省生态环境厅办公室《关于印发“十四五”</w:t>
      </w:r>
      <w:r>
        <w:rPr>
          <w:rFonts w:ascii="宋体" w:hAnsi="宋体" w:eastAsia="宋体" w:cs="宋体"/>
          <w:spacing w:val="-2"/>
          <w:sz w:val="24"/>
          <w:szCs w:val="24"/>
        </w:rPr>
        <w:t>湖南省空气、地表水环境质量监测网络设置方案的通知》（湘环办</w:t>
      </w:r>
      <w:r>
        <w:rPr>
          <w:rFonts w:ascii="Times New Roman" w:hAnsi="Times New Roman" w:eastAsia="Times New Roman" w:cs="Times New Roman"/>
          <w:spacing w:val="-2"/>
          <w:sz w:val="24"/>
          <w:szCs w:val="24"/>
        </w:rPr>
        <w:t>[2021]25</w:t>
      </w:r>
      <w:r>
        <w:rPr>
          <w:rFonts w:ascii="宋体" w:hAnsi="宋体" w:eastAsia="宋体" w:cs="宋体"/>
          <w:spacing w:val="-2"/>
          <w:sz w:val="24"/>
          <w:szCs w:val="24"/>
        </w:rPr>
        <w:t>号</w:t>
      </w:r>
      <w:r>
        <w:rPr>
          <w:rFonts w:ascii="宋体" w:hAnsi="宋体" w:eastAsia="宋体" w:cs="宋体"/>
          <w:spacing w:val="-24"/>
          <w:sz w:val="24"/>
          <w:szCs w:val="24"/>
        </w:rPr>
        <w:t>），</w:t>
      </w:r>
      <w:r>
        <w:rPr>
          <w:rFonts w:ascii="宋体" w:hAnsi="宋体" w:eastAsia="宋体" w:cs="宋体"/>
          <w:spacing w:val="-2"/>
          <w:sz w:val="24"/>
          <w:szCs w:val="24"/>
        </w:rPr>
        <w:t>元木山电站断面设置位</w:t>
      </w:r>
      <w:r>
        <w:rPr>
          <w:rFonts w:ascii="宋体" w:hAnsi="宋体" w:eastAsia="宋体" w:cs="宋体"/>
          <w:spacing w:val="-5"/>
          <w:sz w:val="24"/>
          <w:szCs w:val="24"/>
        </w:rPr>
        <w:t>置坐标为</w:t>
      </w:r>
      <w:r>
        <w:rPr>
          <w:rFonts w:ascii="Times New Roman" w:hAnsi="Times New Roman" w:eastAsia="Times New Roman" w:cs="Times New Roman"/>
          <w:spacing w:val="-5"/>
          <w:sz w:val="24"/>
          <w:szCs w:val="24"/>
        </w:rPr>
        <w:t>E111.05452</w:t>
      </w:r>
      <w:r>
        <w:rPr>
          <w:rFonts w:ascii="宋体" w:hAnsi="宋体" w:eastAsia="宋体" w:cs="宋体"/>
          <w:spacing w:val="-5"/>
          <w:sz w:val="24"/>
          <w:szCs w:val="24"/>
        </w:rPr>
        <w:t>°、</w:t>
      </w:r>
      <w:r>
        <w:rPr>
          <w:rFonts w:ascii="Times New Roman" w:hAnsi="Times New Roman" w:eastAsia="Times New Roman" w:cs="Times New Roman"/>
          <w:spacing w:val="-5"/>
          <w:sz w:val="24"/>
          <w:szCs w:val="24"/>
        </w:rPr>
        <w:t>N27.07069</w:t>
      </w:r>
      <w:r>
        <w:rPr>
          <w:rFonts w:ascii="宋体" w:hAnsi="宋体" w:eastAsia="宋体" w:cs="宋体"/>
          <w:spacing w:val="-5"/>
          <w:sz w:val="24"/>
          <w:szCs w:val="24"/>
        </w:rPr>
        <w:t>°,隆回县工业园污水处理厂入河排污口设置</w:t>
      </w:r>
    </w:p>
    <w:p w14:paraId="35E19E99">
      <w:pPr>
        <w:spacing w:line="358" w:lineRule="auto"/>
        <w:rPr>
          <w:rFonts w:ascii="宋体" w:hAnsi="宋体" w:eastAsia="宋体" w:cs="宋体"/>
          <w:sz w:val="24"/>
          <w:szCs w:val="24"/>
        </w:rPr>
        <w:sectPr>
          <w:headerReference r:id="rId164" w:type="default"/>
          <w:footerReference r:id="rId165" w:type="default"/>
          <w:pgSz w:w="11906" w:h="16839"/>
          <w:pgMar w:top="1132" w:right="1639" w:bottom="1259" w:left="1701" w:header="829" w:footer="1097" w:gutter="0"/>
          <w:cols w:space="720" w:num="1"/>
        </w:sectPr>
      </w:pPr>
    </w:p>
    <w:p w14:paraId="395BC23D">
      <w:pPr>
        <w:pStyle w:val="2"/>
        <w:spacing w:line="319" w:lineRule="auto"/>
      </w:pPr>
    </w:p>
    <w:p w14:paraId="6EBD34D9">
      <w:pPr>
        <w:spacing w:before="78" w:line="360" w:lineRule="auto"/>
        <w:ind w:left="8" w:right="31" w:firstLine="1"/>
        <w:jc w:val="both"/>
        <w:rPr>
          <w:rFonts w:ascii="宋体" w:hAnsi="宋体" w:eastAsia="宋体" w:cs="宋体"/>
          <w:sz w:val="24"/>
          <w:szCs w:val="24"/>
        </w:rPr>
      </w:pPr>
      <w:r>
        <w:rPr>
          <w:rFonts w:ascii="宋体" w:hAnsi="宋体" w:eastAsia="宋体" w:cs="宋体"/>
          <w:spacing w:val="-3"/>
          <w:sz w:val="24"/>
          <w:szCs w:val="24"/>
        </w:rPr>
        <w:t>坐标为</w:t>
      </w:r>
      <w:r>
        <w:rPr>
          <w:rFonts w:ascii="Times New Roman" w:hAnsi="Times New Roman" w:eastAsia="Times New Roman" w:cs="Times New Roman"/>
          <w:spacing w:val="-3"/>
          <w:sz w:val="24"/>
          <w:szCs w:val="24"/>
        </w:rPr>
        <w:t>E111°3′22.36752″</w:t>
      </w:r>
      <w:r>
        <w:rPr>
          <w:rFonts w:ascii="宋体" w:hAnsi="宋体" w:eastAsia="宋体" w:cs="宋体"/>
          <w:spacing w:val="-3"/>
          <w:sz w:val="24"/>
          <w:szCs w:val="24"/>
        </w:rPr>
        <w:t>，</w:t>
      </w:r>
      <w:r>
        <w:rPr>
          <w:rFonts w:ascii="Times New Roman" w:hAnsi="Times New Roman" w:eastAsia="Times New Roman" w:cs="Times New Roman"/>
          <w:spacing w:val="-3"/>
          <w:sz w:val="24"/>
          <w:szCs w:val="24"/>
        </w:rPr>
        <w:t>N27°4′46</w:t>
      </w:r>
      <w:r>
        <w:rPr>
          <w:rFonts w:ascii="Times New Roman" w:hAnsi="Times New Roman" w:eastAsia="Times New Roman" w:cs="Times New Roman"/>
          <w:spacing w:val="-4"/>
          <w:sz w:val="24"/>
          <w:szCs w:val="24"/>
        </w:rPr>
        <w:t>.315056″</w:t>
      </w:r>
      <w:r>
        <w:rPr>
          <w:rFonts w:ascii="宋体" w:hAnsi="宋体" w:eastAsia="宋体" w:cs="宋体"/>
          <w:spacing w:val="-4"/>
          <w:sz w:val="24"/>
          <w:szCs w:val="24"/>
        </w:rPr>
        <w:t>，两者相距约</w:t>
      </w:r>
      <w:r>
        <w:rPr>
          <w:rFonts w:ascii="Times New Roman" w:hAnsi="Times New Roman" w:eastAsia="Times New Roman" w:cs="Times New Roman"/>
          <w:spacing w:val="-4"/>
          <w:sz w:val="24"/>
          <w:szCs w:val="24"/>
        </w:rPr>
        <w:t>1050m</w:t>
      </w:r>
      <w:r>
        <w:rPr>
          <w:rFonts w:ascii="宋体" w:hAnsi="宋体" w:eastAsia="宋体" w:cs="宋体"/>
          <w:spacing w:val="-4"/>
          <w:sz w:val="24"/>
          <w:szCs w:val="24"/>
        </w:rPr>
        <w:t>。另外隆回县工</w:t>
      </w:r>
      <w:r>
        <w:rPr>
          <w:rFonts w:ascii="宋体" w:hAnsi="宋体" w:eastAsia="宋体" w:cs="宋体"/>
          <w:spacing w:val="-1"/>
          <w:sz w:val="24"/>
          <w:szCs w:val="24"/>
        </w:rPr>
        <w:t>业园污水处理厂入河排污口下游约</w:t>
      </w:r>
      <w:r>
        <w:rPr>
          <w:rFonts w:ascii="Times New Roman" w:hAnsi="Times New Roman" w:eastAsia="Times New Roman" w:cs="Times New Roman"/>
          <w:spacing w:val="-1"/>
          <w:sz w:val="24"/>
          <w:szCs w:val="24"/>
        </w:rPr>
        <w:t>9km</w:t>
      </w:r>
      <w:r>
        <w:rPr>
          <w:rFonts w:ascii="宋体" w:hAnsi="宋体" w:eastAsia="宋体" w:cs="宋体"/>
          <w:spacing w:val="-1"/>
          <w:sz w:val="24"/>
          <w:szCs w:val="24"/>
        </w:rPr>
        <w:t>处为邵阳县渡头村断面（出境断面）。根据邵阳生态环境检测中心发布的</w:t>
      </w:r>
      <w:r>
        <w:rPr>
          <w:rFonts w:ascii="Times New Roman" w:hAnsi="Times New Roman" w:eastAsia="Times New Roman" w:cs="Times New Roman"/>
          <w:spacing w:val="-1"/>
          <w:sz w:val="24"/>
          <w:szCs w:val="24"/>
        </w:rPr>
        <w:t>2024</w:t>
      </w:r>
      <w:r>
        <w:rPr>
          <w:rFonts w:ascii="宋体" w:hAnsi="宋体" w:eastAsia="宋体" w:cs="宋体"/>
          <w:spacing w:val="-1"/>
          <w:sz w:val="24"/>
          <w:szCs w:val="24"/>
        </w:rPr>
        <w:t>年邵阳市环境质量简报可知，元木山电站断</w:t>
      </w:r>
      <w:r>
        <w:rPr>
          <w:rFonts w:ascii="宋体" w:hAnsi="宋体" w:eastAsia="宋体" w:cs="宋体"/>
          <w:sz w:val="24"/>
          <w:szCs w:val="24"/>
        </w:rPr>
        <w:t>面、隆回县元木山断面（控制断面）、邵阳县渡头村断面</w:t>
      </w:r>
      <w:r>
        <w:rPr>
          <w:rFonts w:ascii="宋体" w:hAnsi="宋体" w:eastAsia="宋体" w:cs="宋体"/>
          <w:spacing w:val="-1"/>
          <w:sz w:val="24"/>
          <w:szCs w:val="24"/>
        </w:rPr>
        <w:t>（出境断面）辰水入赧水河口断面的地表水环境质量常年稳定达到《地表水质量标准》（</w:t>
      </w:r>
      <w:r>
        <w:rPr>
          <w:rFonts w:ascii="Times New Roman" w:hAnsi="Times New Roman" w:eastAsia="Times New Roman" w:cs="Times New Roman"/>
          <w:spacing w:val="-1"/>
          <w:sz w:val="24"/>
          <w:szCs w:val="24"/>
        </w:rPr>
        <w:t>GB3838-2002</w:t>
      </w:r>
      <w:r>
        <w:rPr>
          <w:rFonts w:ascii="宋体" w:hAnsi="宋体" w:eastAsia="宋体" w:cs="宋体"/>
          <w:spacing w:val="-1"/>
          <w:sz w:val="24"/>
          <w:szCs w:val="24"/>
        </w:rPr>
        <w:t>）</w:t>
      </w:r>
      <w:r>
        <w:rPr>
          <w:rFonts w:ascii="宋体" w:hAnsi="宋体" w:eastAsia="宋体" w:cs="宋体"/>
          <w:sz w:val="24"/>
          <w:szCs w:val="24"/>
        </w:rPr>
        <w:t>中的</w:t>
      </w:r>
      <w:r>
        <w:rPr>
          <w:rFonts w:ascii="Times New Roman" w:hAnsi="Times New Roman" w:eastAsia="Times New Roman" w:cs="Times New Roman"/>
          <w:sz w:val="24"/>
          <w:szCs w:val="24"/>
        </w:rPr>
        <w:t>III</w:t>
      </w:r>
      <w:r>
        <w:rPr>
          <w:rFonts w:ascii="宋体" w:hAnsi="宋体" w:eastAsia="宋体" w:cs="宋体"/>
          <w:sz w:val="24"/>
          <w:szCs w:val="24"/>
        </w:rPr>
        <w:t>类标准，大部分月份可达《地表水质量标准》（</w:t>
      </w:r>
      <w:r>
        <w:rPr>
          <w:rFonts w:ascii="Times New Roman" w:hAnsi="Times New Roman" w:eastAsia="Times New Roman" w:cs="Times New Roman"/>
          <w:spacing w:val="-1"/>
          <w:sz w:val="24"/>
          <w:szCs w:val="24"/>
        </w:rPr>
        <w:t>GB3838-2002</w:t>
      </w:r>
      <w:r>
        <w:rPr>
          <w:rFonts w:ascii="宋体" w:hAnsi="宋体" w:eastAsia="宋体" w:cs="宋体"/>
          <w:spacing w:val="-1"/>
          <w:sz w:val="24"/>
          <w:szCs w:val="24"/>
        </w:rPr>
        <w:t>）中的Ⅱ类</w:t>
      </w:r>
      <w:r>
        <w:rPr>
          <w:rFonts w:ascii="宋体" w:hAnsi="宋体" w:eastAsia="宋体" w:cs="宋体"/>
          <w:spacing w:val="-2"/>
          <w:sz w:val="24"/>
          <w:szCs w:val="24"/>
        </w:rPr>
        <w:t>标准，部分时候甚至达到《地表水质量标准》（</w:t>
      </w:r>
      <w:r>
        <w:rPr>
          <w:rFonts w:ascii="Times New Roman" w:hAnsi="Times New Roman" w:eastAsia="Times New Roman" w:cs="Times New Roman"/>
          <w:spacing w:val="-2"/>
          <w:sz w:val="24"/>
          <w:szCs w:val="24"/>
        </w:rPr>
        <w:t>G</w:t>
      </w:r>
      <w:r>
        <w:rPr>
          <w:rFonts w:ascii="Times New Roman" w:hAnsi="Times New Roman" w:eastAsia="Times New Roman" w:cs="Times New Roman"/>
          <w:spacing w:val="-3"/>
          <w:sz w:val="24"/>
          <w:szCs w:val="24"/>
        </w:rPr>
        <w:t>B3838-2002</w:t>
      </w:r>
      <w:r>
        <w:rPr>
          <w:rFonts w:ascii="宋体" w:hAnsi="宋体" w:eastAsia="宋体" w:cs="宋体"/>
          <w:spacing w:val="-3"/>
          <w:sz w:val="24"/>
          <w:szCs w:val="24"/>
        </w:rPr>
        <w:t>）中的Ⅰ类标准。</w:t>
      </w:r>
    </w:p>
    <w:p w14:paraId="16E7C716">
      <w:pPr>
        <w:spacing w:line="219" w:lineRule="auto"/>
        <w:ind w:left="489"/>
        <w:rPr>
          <w:rFonts w:ascii="宋体" w:hAnsi="宋体" w:eastAsia="宋体" w:cs="宋体"/>
          <w:sz w:val="24"/>
          <w:szCs w:val="24"/>
        </w:rPr>
      </w:pPr>
      <w:r>
        <w:rPr>
          <w:rFonts w:ascii="宋体" w:hAnsi="宋体" w:eastAsia="宋体" w:cs="宋体"/>
          <w:spacing w:val="-1"/>
          <w:sz w:val="24"/>
          <w:szCs w:val="24"/>
        </w:rPr>
        <w:t>根据</w:t>
      </w:r>
      <w:r>
        <w:rPr>
          <w:rFonts w:ascii="Times New Roman" w:hAnsi="Times New Roman" w:eastAsia="Times New Roman" w:cs="Times New Roman"/>
          <w:spacing w:val="-1"/>
          <w:sz w:val="24"/>
          <w:szCs w:val="24"/>
        </w:rPr>
        <w:t>“6.3.5</w:t>
      </w:r>
      <w:r>
        <w:rPr>
          <w:rFonts w:ascii="宋体" w:hAnsi="宋体" w:eastAsia="宋体" w:cs="宋体"/>
          <w:spacing w:val="-1"/>
          <w:sz w:val="24"/>
          <w:szCs w:val="24"/>
        </w:rPr>
        <w:t>预测结果与分析</w:t>
      </w:r>
      <w:r>
        <w:rPr>
          <w:rFonts w:ascii="Times New Roman" w:hAnsi="Times New Roman" w:eastAsia="Times New Roman" w:cs="Times New Roman"/>
          <w:spacing w:val="-1"/>
          <w:sz w:val="24"/>
          <w:szCs w:val="24"/>
        </w:rPr>
        <w:t>”</w:t>
      </w:r>
      <w:r>
        <w:rPr>
          <w:rFonts w:ascii="宋体" w:hAnsi="宋体" w:eastAsia="宋体" w:cs="宋体"/>
          <w:spacing w:val="-1"/>
          <w:sz w:val="24"/>
          <w:szCs w:val="24"/>
        </w:rPr>
        <w:t>可知：</w:t>
      </w:r>
    </w:p>
    <w:p w14:paraId="21F94019">
      <w:pPr>
        <w:spacing w:before="183" w:line="358" w:lineRule="auto"/>
        <w:ind w:left="8" w:firstLine="480"/>
        <w:jc w:val="both"/>
        <w:rPr>
          <w:rFonts w:ascii="宋体" w:hAnsi="宋体" w:eastAsia="宋体" w:cs="宋体"/>
          <w:sz w:val="24"/>
          <w:szCs w:val="24"/>
        </w:rPr>
      </w:pPr>
      <w:r>
        <w:rPr>
          <w:rFonts w:ascii="宋体" w:hAnsi="宋体" w:eastAsia="宋体" w:cs="宋体"/>
          <w:spacing w:val="-2"/>
          <w:sz w:val="24"/>
          <w:szCs w:val="24"/>
        </w:rPr>
        <w:t>在枯水期时，在正常排放情况下，元木山电站断面</w:t>
      </w:r>
      <w:r>
        <w:rPr>
          <w:rFonts w:ascii="Times New Roman" w:hAnsi="Times New Roman" w:eastAsia="Times New Roman" w:cs="Times New Roman"/>
          <w:spacing w:val="-2"/>
          <w:sz w:val="24"/>
          <w:szCs w:val="24"/>
        </w:rPr>
        <w:t>C</w:t>
      </w:r>
      <w:r>
        <w:rPr>
          <w:rFonts w:ascii="Times New Roman" w:hAnsi="Times New Roman" w:eastAsia="Times New Roman" w:cs="Times New Roman"/>
          <w:spacing w:val="-3"/>
          <w:sz w:val="24"/>
          <w:szCs w:val="24"/>
        </w:rPr>
        <w:t>OD</w:t>
      </w:r>
      <w:r>
        <w:rPr>
          <w:rFonts w:ascii="宋体" w:hAnsi="宋体" w:eastAsia="宋体" w:cs="宋体"/>
          <w:spacing w:val="-3"/>
          <w:sz w:val="24"/>
          <w:szCs w:val="24"/>
        </w:rPr>
        <w:t>为</w:t>
      </w:r>
      <w:r>
        <w:rPr>
          <w:rFonts w:ascii="Times New Roman" w:hAnsi="Times New Roman" w:eastAsia="Times New Roman" w:cs="Times New Roman"/>
          <w:spacing w:val="-3"/>
          <w:sz w:val="24"/>
          <w:szCs w:val="24"/>
        </w:rPr>
        <w:t>8.920~9.967mg/L</w:t>
      </w:r>
      <w:r>
        <w:rPr>
          <w:rFonts w:ascii="宋体" w:hAnsi="宋体" w:eastAsia="宋体" w:cs="宋体"/>
          <w:spacing w:val="-3"/>
          <w:sz w:val="24"/>
          <w:szCs w:val="24"/>
        </w:rPr>
        <w:t>、</w:t>
      </w:r>
      <w:r>
        <w:rPr>
          <w:rFonts w:ascii="宋体" w:hAnsi="宋体" w:eastAsia="宋体" w:cs="宋体"/>
          <w:spacing w:val="3"/>
          <w:sz w:val="24"/>
          <w:szCs w:val="24"/>
        </w:rPr>
        <w:t>氨氮为</w:t>
      </w:r>
      <w:r>
        <w:rPr>
          <w:rFonts w:ascii="Times New Roman" w:hAnsi="Times New Roman" w:eastAsia="Times New Roman" w:cs="Times New Roman"/>
          <w:spacing w:val="3"/>
          <w:sz w:val="24"/>
          <w:szCs w:val="24"/>
        </w:rPr>
        <w:t>0.25~0.313</w:t>
      </w:r>
      <w:r>
        <w:rPr>
          <w:rFonts w:ascii="Times New Roman" w:hAnsi="Times New Roman" w:eastAsia="Times New Roman" w:cs="Times New Roman"/>
          <w:sz w:val="24"/>
          <w:szCs w:val="24"/>
        </w:rPr>
        <w:t>mg</w:t>
      </w:r>
      <w:r>
        <w:rPr>
          <w:rFonts w:ascii="Times New Roman" w:hAnsi="Times New Roman" w:eastAsia="Times New Roman" w:cs="Times New Roman"/>
          <w:spacing w:val="3"/>
          <w:sz w:val="24"/>
          <w:szCs w:val="24"/>
        </w:rPr>
        <w:t>/L</w:t>
      </w:r>
      <w:r>
        <w:rPr>
          <w:rFonts w:ascii="宋体" w:hAnsi="宋体" w:eastAsia="宋体" w:cs="宋体"/>
          <w:spacing w:val="3"/>
          <w:sz w:val="24"/>
          <w:szCs w:val="24"/>
        </w:rPr>
        <w:t>，邵阳县渡头村断面</w:t>
      </w:r>
      <w:r>
        <w:rPr>
          <w:rFonts w:ascii="Times New Roman" w:hAnsi="Times New Roman" w:eastAsia="Times New Roman" w:cs="Times New Roman"/>
          <w:sz w:val="24"/>
          <w:szCs w:val="24"/>
        </w:rPr>
        <w:t>COD</w:t>
      </w:r>
      <w:r>
        <w:rPr>
          <w:rFonts w:ascii="宋体" w:hAnsi="宋体" w:eastAsia="宋体" w:cs="宋体"/>
          <w:spacing w:val="3"/>
          <w:sz w:val="24"/>
          <w:szCs w:val="24"/>
        </w:rPr>
        <w:t>为</w:t>
      </w:r>
      <w:r>
        <w:rPr>
          <w:rFonts w:ascii="Times New Roman" w:hAnsi="Times New Roman" w:eastAsia="Times New Roman" w:cs="Times New Roman"/>
          <w:spacing w:val="3"/>
          <w:sz w:val="24"/>
          <w:szCs w:val="24"/>
        </w:rPr>
        <w:t>8.973~9.2</w:t>
      </w:r>
      <w:r>
        <w:rPr>
          <w:rFonts w:ascii="Times New Roman" w:hAnsi="Times New Roman" w:eastAsia="Times New Roman" w:cs="Times New Roman"/>
          <w:spacing w:val="2"/>
          <w:sz w:val="24"/>
          <w:szCs w:val="24"/>
        </w:rPr>
        <w:t>51</w:t>
      </w:r>
      <w:r>
        <w:rPr>
          <w:rFonts w:ascii="Times New Roman" w:hAnsi="Times New Roman" w:eastAsia="Times New Roman" w:cs="Times New Roman"/>
          <w:sz w:val="24"/>
          <w:szCs w:val="24"/>
        </w:rPr>
        <w:t>mg</w:t>
      </w:r>
      <w:r>
        <w:rPr>
          <w:rFonts w:ascii="Times New Roman" w:hAnsi="Times New Roman" w:eastAsia="Times New Roman" w:cs="Times New Roman"/>
          <w:spacing w:val="2"/>
          <w:sz w:val="24"/>
          <w:szCs w:val="24"/>
        </w:rPr>
        <w:t>/L</w:t>
      </w:r>
      <w:r>
        <w:rPr>
          <w:rFonts w:ascii="宋体" w:hAnsi="宋体" w:eastAsia="宋体" w:cs="宋体"/>
          <w:spacing w:val="2"/>
          <w:sz w:val="24"/>
          <w:szCs w:val="24"/>
        </w:rPr>
        <w:t>、氨氮为</w:t>
      </w:r>
      <w:r>
        <w:rPr>
          <w:rFonts w:ascii="Times New Roman" w:hAnsi="Times New Roman" w:eastAsia="Times New Roman" w:cs="Times New Roman"/>
          <w:spacing w:val="-4"/>
          <w:sz w:val="24"/>
          <w:szCs w:val="24"/>
        </w:rPr>
        <w:t>0.253~0.270mg/L</w:t>
      </w:r>
      <w:r>
        <w:rPr>
          <w:rFonts w:ascii="宋体" w:hAnsi="宋体" w:eastAsia="宋体" w:cs="宋体"/>
          <w:spacing w:val="-4"/>
          <w:sz w:val="24"/>
          <w:szCs w:val="24"/>
        </w:rPr>
        <w:t>，均可达到《地表水环境质量标准》</w:t>
      </w:r>
      <w:r>
        <w:rPr>
          <w:rFonts w:ascii="Times New Roman" w:hAnsi="Times New Roman" w:eastAsia="Times New Roman" w:cs="Times New Roman"/>
          <w:spacing w:val="-4"/>
          <w:sz w:val="24"/>
          <w:szCs w:val="24"/>
        </w:rPr>
        <w:t>(GB3838-2002</w:t>
      </w:r>
      <w:r>
        <w:rPr>
          <w:rFonts w:ascii="宋体" w:hAnsi="宋体" w:eastAsia="宋体" w:cs="宋体"/>
          <w:spacing w:val="-4"/>
          <w:sz w:val="24"/>
          <w:szCs w:val="24"/>
        </w:rPr>
        <w:t>）</w:t>
      </w:r>
      <w:r>
        <w:rPr>
          <w:rFonts w:ascii="Times New Roman" w:hAnsi="Times New Roman" w:eastAsia="Times New Roman" w:cs="Times New Roman"/>
          <w:spacing w:val="-4"/>
          <w:sz w:val="24"/>
          <w:szCs w:val="24"/>
        </w:rPr>
        <w:t>II</w:t>
      </w:r>
      <w:r>
        <w:rPr>
          <w:rFonts w:ascii="宋体" w:hAnsi="宋体" w:eastAsia="宋体" w:cs="宋体"/>
          <w:spacing w:val="-4"/>
          <w:sz w:val="24"/>
          <w:szCs w:val="24"/>
        </w:rPr>
        <w:t>类水质（标</w:t>
      </w:r>
      <w:r>
        <w:rPr>
          <w:rFonts w:ascii="宋体" w:hAnsi="宋体" w:eastAsia="宋体" w:cs="宋体"/>
          <w:spacing w:val="-2"/>
          <w:sz w:val="24"/>
          <w:szCs w:val="24"/>
        </w:rPr>
        <w:t>准：</w:t>
      </w:r>
      <w:r>
        <w:rPr>
          <w:rFonts w:ascii="Times New Roman" w:hAnsi="Times New Roman" w:eastAsia="Times New Roman" w:cs="Times New Roman"/>
          <w:spacing w:val="-2"/>
          <w:sz w:val="24"/>
          <w:szCs w:val="24"/>
        </w:rPr>
        <w:t>COD</w:t>
      </w:r>
      <w:r>
        <w:rPr>
          <w:rFonts w:ascii="宋体" w:hAnsi="宋体" w:eastAsia="宋体" w:cs="宋体"/>
          <w:spacing w:val="-2"/>
          <w:sz w:val="24"/>
          <w:szCs w:val="24"/>
        </w:rPr>
        <w:t>为</w:t>
      </w:r>
      <w:r>
        <w:rPr>
          <w:rFonts w:ascii="Times New Roman" w:hAnsi="Times New Roman" w:eastAsia="Times New Roman" w:cs="Times New Roman"/>
          <w:spacing w:val="-2"/>
          <w:sz w:val="24"/>
          <w:szCs w:val="24"/>
        </w:rPr>
        <w:t>15mg/L</w:t>
      </w:r>
      <w:r>
        <w:rPr>
          <w:rFonts w:ascii="宋体" w:hAnsi="宋体" w:eastAsia="宋体" w:cs="宋体"/>
          <w:spacing w:val="-2"/>
          <w:sz w:val="24"/>
          <w:szCs w:val="24"/>
        </w:rPr>
        <w:t>、氨氮为</w:t>
      </w:r>
      <w:r>
        <w:rPr>
          <w:rFonts w:ascii="Times New Roman" w:hAnsi="Times New Roman" w:eastAsia="Times New Roman" w:cs="Times New Roman"/>
          <w:spacing w:val="-2"/>
          <w:sz w:val="24"/>
          <w:szCs w:val="24"/>
        </w:rPr>
        <w:t>0.5mg/L</w:t>
      </w:r>
      <w:r>
        <w:rPr>
          <w:rFonts w:ascii="宋体" w:hAnsi="宋体" w:eastAsia="宋体" w:cs="宋体"/>
          <w:spacing w:val="4"/>
          <w:sz w:val="24"/>
          <w:szCs w:val="24"/>
        </w:rPr>
        <w:t>）；</w:t>
      </w:r>
      <w:r>
        <w:rPr>
          <w:rFonts w:ascii="宋体" w:hAnsi="宋体" w:eastAsia="宋体" w:cs="宋体"/>
          <w:spacing w:val="-2"/>
          <w:sz w:val="24"/>
          <w:szCs w:val="24"/>
        </w:rPr>
        <w:t>在非正常排放情况下，元木山电</w:t>
      </w:r>
      <w:r>
        <w:rPr>
          <w:rFonts w:ascii="宋体" w:hAnsi="宋体" w:eastAsia="宋体" w:cs="宋体"/>
          <w:spacing w:val="-3"/>
          <w:sz w:val="24"/>
          <w:szCs w:val="24"/>
        </w:rPr>
        <w:t>站断面</w:t>
      </w:r>
      <w:r>
        <w:rPr>
          <w:rFonts w:ascii="Times New Roman" w:hAnsi="Times New Roman" w:eastAsia="Times New Roman" w:cs="Times New Roman"/>
          <w:spacing w:val="-1"/>
          <w:sz w:val="24"/>
          <w:szCs w:val="24"/>
        </w:rPr>
        <w:t>COD</w:t>
      </w:r>
      <w:r>
        <w:rPr>
          <w:rFonts w:ascii="宋体" w:hAnsi="宋体" w:eastAsia="宋体" w:cs="宋体"/>
          <w:spacing w:val="-1"/>
          <w:sz w:val="24"/>
          <w:szCs w:val="24"/>
        </w:rPr>
        <w:t>为</w:t>
      </w:r>
      <w:r>
        <w:rPr>
          <w:rFonts w:ascii="Times New Roman" w:hAnsi="Times New Roman" w:eastAsia="Times New Roman" w:cs="Times New Roman"/>
          <w:spacing w:val="-1"/>
          <w:sz w:val="24"/>
          <w:szCs w:val="24"/>
        </w:rPr>
        <w:t>8.92~14.573mg/L</w:t>
      </w:r>
      <w:r>
        <w:rPr>
          <w:rFonts w:ascii="宋体" w:hAnsi="宋体" w:eastAsia="宋体" w:cs="宋体"/>
          <w:spacing w:val="-1"/>
          <w:sz w:val="24"/>
          <w:szCs w:val="24"/>
        </w:rPr>
        <w:t>、氨氮为</w:t>
      </w:r>
      <w:r>
        <w:rPr>
          <w:rFonts w:ascii="Times New Roman" w:hAnsi="Times New Roman" w:eastAsia="Times New Roman" w:cs="Times New Roman"/>
          <w:spacing w:val="-1"/>
          <w:sz w:val="24"/>
          <w:szCs w:val="24"/>
        </w:rPr>
        <w:t>0.250</w:t>
      </w:r>
      <w:r>
        <w:rPr>
          <w:rFonts w:ascii="Times New Roman" w:hAnsi="Times New Roman" w:eastAsia="Times New Roman" w:cs="Times New Roman"/>
          <w:spacing w:val="-2"/>
          <w:sz w:val="24"/>
          <w:szCs w:val="24"/>
        </w:rPr>
        <w:t>~0.816mg/L</w:t>
      </w:r>
      <w:r>
        <w:rPr>
          <w:rFonts w:ascii="宋体" w:hAnsi="宋体" w:eastAsia="宋体" w:cs="宋体"/>
          <w:spacing w:val="-2"/>
          <w:sz w:val="24"/>
          <w:szCs w:val="24"/>
        </w:rPr>
        <w:t>，邵阳县渡头村断面</w:t>
      </w:r>
      <w:r>
        <w:rPr>
          <w:rFonts w:ascii="Times New Roman" w:hAnsi="Times New Roman" w:eastAsia="Times New Roman" w:cs="Times New Roman"/>
          <w:spacing w:val="-2"/>
          <w:sz w:val="24"/>
          <w:szCs w:val="24"/>
        </w:rPr>
        <w:t>COD</w:t>
      </w:r>
      <w:r>
        <w:rPr>
          <w:rFonts w:ascii="宋体" w:hAnsi="宋体" w:eastAsia="宋体" w:cs="宋体"/>
          <w:spacing w:val="-2"/>
          <w:sz w:val="24"/>
          <w:szCs w:val="24"/>
        </w:rPr>
        <w:t>为</w:t>
      </w:r>
      <w:r>
        <w:rPr>
          <w:rFonts w:ascii="Times New Roman" w:hAnsi="Times New Roman" w:eastAsia="Times New Roman" w:cs="Times New Roman"/>
          <w:spacing w:val="-6"/>
          <w:sz w:val="24"/>
          <w:szCs w:val="24"/>
        </w:rPr>
        <w:t>9.207~10.707mg/L</w:t>
      </w:r>
      <w:r>
        <w:rPr>
          <w:rFonts w:ascii="宋体" w:hAnsi="宋体" w:eastAsia="宋体" w:cs="宋体"/>
          <w:spacing w:val="-6"/>
          <w:sz w:val="24"/>
          <w:szCs w:val="24"/>
        </w:rPr>
        <w:t>、氨氮为</w:t>
      </w:r>
      <w:r>
        <w:rPr>
          <w:rFonts w:ascii="Times New Roman" w:hAnsi="Times New Roman" w:eastAsia="Times New Roman" w:cs="Times New Roman"/>
          <w:spacing w:val="-6"/>
          <w:sz w:val="24"/>
          <w:szCs w:val="24"/>
        </w:rPr>
        <w:t>0.2</w:t>
      </w:r>
      <w:r>
        <w:rPr>
          <w:rFonts w:ascii="Times New Roman" w:hAnsi="Times New Roman" w:eastAsia="Times New Roman" w:cs="Times New Roman"/>
          <w:spacing w:val="-7"/>
          <w:sz w:val="24"/>
          <w:szCs w:val="24"/>
        </w:rPr>
        <w:t>79~0.431mg/L</w:t>
      </w:r>
      <w:r>
        <w:rPr>
          <w:rFonts w:ascii="宋体" w:hAnsi="宋体" w:eastAsia="宋体" w:cs="宋体"/>
          <w:spacing w:val="-7"/>
          <w:sz w:val="24"/>
          <w:szCs w:val="24"/>
        </w:rPr>
        <w:t>，元木山电站断面的氨氮超过</w:t>
      </w:r>
      <w:r>
        <w:rPr>
          <w:rFonts w:ascii="Times New Roman" w:hAnsi="Times New Roman" w:eastAsia="Times New Roman" w:cs="Times New Roman"/>
          <w:spacing w:val="-2"/>
          <w:sz w:val="24"/>
          <w:szCs w:val="24"/>
        </w:rPr>
        <w:t>GB3838-2002</w:t>
      </w:r>
      <w:r>
        <w:rPr>
          <w:rFonts w:ascii="宋体" w:hAnsi="宋体" w:eastAsia="宋体" w:cs="宋体"/>
          <w:spacing w:val="-2"/>
          <w:sz w:val="24"/>
          <w:szCs w:val="24"/>
        </w:rPr>
        <w:t>）</w:t>
      </w:r>
      <w:r>
        <w:rPr>
          <w:rFonts w:ascii="Times New Roman" w:hAnsi="Times New Roman" w:eastAsia="Times New Roman" w:cs="Times New Roman"/>
          <w:spacing w:val="-2"/>
          <w:sz w:val="24"/>
          <w:szCs w:val="24"/>
        </w:rPr>
        <w:t>II</w:t>
      </w:r>
      <w:r>
        <w:rPr>
          <w:rFonts w:ascii="宋体" w:hAnsi="宋体" w:eastAsia="宋体" w:cs="宋体"/>
          <w:spacing w:val="-2"/>
          <w:sz w:val="24"/>
          <w:szCs w:val="24"/>
        </w:rPr>
        <w:t>类水质，元木山电站断面的</w:t>
      </w:r>
      <w:r>
        <w:rPr>
          <w:rFonts w:ascii="Times New Roman" w:hAnsi="Times New Roman" w:eastAsia="Times New Roman" w:cs="Times New Roman"/>
          <w:spacing w:val="-2"/>
          <w:sz w:val="24"/>
          <w:szCs w:val="24"/>
        </w:rPr>
        <w:t>COD</w:t>
      </w:r>
      <w:r>
        <w:rPr>
          <w:rFonts w:ascii="宋体" w:hAnsi="宋体" w:eastAsia="宋体" w:cs="宋体"/>
          <w:spacing w:val="-2"/>
          <w:sz w:val="24"/>
          <w:szCs w:val="24"/>
        </w:rPr>
        <w:t>、邵阳县渡头</w:t>
      </w:r>
      <w:r>
        <w:rPr>
          <w:rFonts w:ascii="宋体" w:hAnsi="宋体" w:eastAsia="宋体" w:cs="宋体"/>
          <w:spacing w:val="-3"/>
          <w:sz w:val="24"/>
          <w:szCs w:val="24"/>
        </w:rPr>
        <w:t>村断面的</w:t>
      </w:r>
      <w:r>
        <w:rPr>
          <w:rFonts w:ascii="Times New Roman" w:hAnsi="Times New Roman" w:eastAsia="Times New Roman" w:cs="Times New Roman"/>
          <w:spacing w:val="-3"/>
          <w:sz w:val="24"/>
          <w:szCs w:val="24"/>
        </w:rPr>
        <w:t>COD</w:t>
      </w:r>
      <w:r>
        <w:rPr>
          <w:rFonts w:ascii="宋体" w:hAnsi="宋体" w:eastAsia="宋体" w:cs="宋体"/>
          <w:spacing w:val="-3"/>
          <w:sz w:val="24"/>
          <w:szCs w:val="24"/>
        </w:rPr>
        <w:t>和</w:t>
      </w:r>
      <w:r>
        <w:rPr>
          <w:rFonts w:ascii="宋体" w:hAnsi="宋体" w:eastAsia="宋体" w:cs="宋体"/>
          <w:sz w:val="24"/>
          <w:szCs w:val="24"/>
        </w:rPr>
        <w:t>氨氮均达到《地表水环境质量标准》</w:t>
      </w:r>
      <w:r>
        <w:rPr>
          <w:rFonts w:ascii="Times New Roman" w:hAnsi="Times New Roman" w:eastAsia="Times New Roman" w:cs="Times New Roman"/>
          <w:sz w:val="24"/>
          <w:szCs w:val="24"/>
        </w:rPr>
        <w:t>(GB3838-20</w:t>
      </w:r>
      <w:r>
        <w:rPr>
          <w:rFonts w:ascii="Times New Roman" w:hAnsi="Times New Roman" w:eastAsia="Times New Roman" w:cs="Times New Roman"/>
          <w:spacing w:val="-1"/>
          <w:sz w:val="24"/>
          <w:szCs w:val="24"/>
        </w:rPr>
        <w:t>02</w:t>
      </w:r>
      <w:r>
        <w:rPr>
          <w:rFonts w:ascii="宋体" w:hAnsi="宋体" w:eastAsia="宋体" w:cs="宋体"/>
          <w:spacing w:val="-1"/>
          <w:sz w:val="24"/>
          <w:szCs w:val="24"/>
        </w:rPr>
        <w:t>）</w:t>
      </w:r>
      <w:r>
        <w:rPr>
          <w:rFonts w:ascii="Times New Roman" w:hAnsi="Times New Roman" w:eastAsia="Times New Roman" w:cs="Times New Roman"/>
          <w:spacing w:val="-1"/>
          <w:sz w:val="24"/>
          <w:szCs w:val="24"/>
        </w:rPr>
        <w:t>II</w:t>
      </w:r>
      <w:r>
        <w:rPr>
          <w:rFonts w:ascii="宋体" w:hAnsi="宋体" w:eastAsia="宋体" w:cs="宋体"/>
          <w:spacing w:val="-1"/>
          <w:sz w:val="24"/>
          <w:szCs w:val="24"/>
        </w:rPr>
        <w:t>类水质。</w:t>
      </w:r>
    </w:p>
    <w:p w14:paraId="5B7FA2D1">
      <w:pPr>
        <w:spacing w:before="16" w:line="359" w:lineRule="auto"/>
        <w:ind w:left="9" w:right="18" w:firstLine="479"/>
        <w:jc w:val="both"/>
        <w:rPr>
          <w:rFonts w:ascii="宋体" w:hAnsi="宋体" w:eastAsia="宋体" w:cs="宋体"/>
          <w:sz w:val="24"/>
          <w:szCs w:val="24"/>
        </w:rPr>
      </w:pPr>
      <w:r>
        <w:rPr>
          <w:rFonts w:ascii="宋体" w:hAnsi="宋体" w:eastAsia="宋体" w:cs="宋体"/>
          <w:spacing w:val="-12"/>
          <w:sz w:val="24"/>
          <w:szCs w:val="24"/>
        </w:rPr>
        <w:t>在生态基流时，在正常排放情况下，元木山电站断面</w:t>
      </w:r>
      <w:r>
        <w:rPr>
          <w:rFonts w:ascii="Times New Roman" w:hAnsi="Times New Roman" w:eastAsia="Times New Roman" w:cs="Times New Roman"/>
          <w:spacing w:val="-12"/>
          <w:sz w:val="24"/>
          <w:szCs w:val="24"/>
        </w:rPr>
        <w:t>COD</w:t>
      </w:r>
      <w:r>
        <w:rPr>
          <w:rFonts w:ascii="宋体" w:hAnsi="宋体" w:eastAsia="宋体" w:cs="宋体"/>
          <w:spacing w:val="-12"/>
          <w:sz w:val="24"/>
          <w:szCs w:val="24"/>
        </w:rPr>
        <w:t>为</w:t>
      </w:r>
      <w:r>
        <w:rPr>
          <w:rFonts w:ascii="Times New Roman" w:hAnsi="Times New Roman" w:eastAsia="Times New Roman" w:cs="Times New Roman"/>
          <w:spacing w:val="-5"/>
          <w:sz w:val="24"/>
          <w:szCs w:val="24"/>
        </w:rPr>
        <w:t>8.920~11.584mg/L</w:t>
      </w:r>
      <w:r>
        <w:rPr>
          <w:rFonts w:ascii="宋体" w:hAnsi="宋体" w:eastAsia="宋体" w:cs="宋体"/>
          <w:spacing w:val="-5"/>
          <w:sz w:val="24"/>
          <w:szCs w:val="24"/>
        </w:rPr>
        <w:t>、氨氮为</w:t>
      </w:r>
      <w:r>
        <w:rPr>
          <w:rFonts w:ascii="Times New Roman" w:hAnsi="Times New Roman" w:eastAsia="Times New Roman" w:cs="Times New Roman"/>
          <w:spacing w:val="-5"/>
          <w:sz w:val="24"/>
          <w:szCs w:val="24"/>
        </w:rPr>
        <w:t>0.250~0.410mg/L</w:t>
      </w:r>
      <w:r>
        <w:rPr>
          <w:rFonts w:ascii="宋体" w:hAnsi="宋体" w:eastAsia="宋体" w:cs="宋体"/>
          <w:spacing w:val="-5"/>
          <w:sz w:val="24"/>
          <w:szCs w:val="24"/>
        </w:rPr>
        <w:t>，邵阳县渡头村断面</w:t>
      </w:r>
      <w:r>
        <w:rPr>
          <w:rFonts w:ascii="Times New Roman" w:hAnsi="Times New Roman" w:eastAsia="Times New Roman" w:cs="Times New Roman"/>
          <w:spacing w:val="-5"/>
          <w:sz w:val="24"/>
          <w:szCs w:val="24"/>
        </w:rPr>
        <w:t>COD</w:t>
      </w:r>
      <w:r>
        <w:rPr>
          <w:rFonts w:ascii="宋体" w:hAnsi="宋体" w:eastAsia="宋体" w:cs="宋体"/>
          <w:spacing w:val="-5"/>
          <w:sz w:val="24"/>
          <w:szCs w:val="24"/>
        </w:rPr>
        <w:t>为</w:t>
      </w:r>
      <w:r>
        <w:rPr>
          <w:rFonts w:ascii="Times New Roman" w:hAnsi="Times New Roman" w:eastAsia="Times New Roman" w:cs="Times New Roman"/>
          <w:spacing w:val="2"/>
          <w:sz w:val="24"/>
          <w:szCs w:val="24"/>
        </w:rPr>
        <w:t>9.233~9.748</w:t>
      </w:r>
      <w:r>
        <w:rPr>
          <w:rFonts w:ascii="Times New Roman" w:hAnsi="Times New Roman" w:eastAsia="Times New Roman" w:cs="Times New Roman"/>
          <w:sz w:val="24"/>
          <w:szCs w:val="24"/>
        </w:rPr>
        <w:t>mg</w:t>
      </w:r>
      <w:r>
        <w:rPr>
          <w:rFonts w:ascii="Times New Roman" w:hAnsi="Times New Roman" w:eastAsia="Times New Roman" w:cs="Times New Roman"/>
          <w:spacing w:val="2"/>
          <w:sz w:val="24"/>
          <w:szCs w:val="24"/>
        </w:rPr>
        <w:t>/L</w:t>
      </w:r>
      <w:r>
        <w:rPr>
          <w:rFonts w:ascii="宋体" w:hAnsi="宋体" w:eastAsia="宋体" w:cs="宋体"/>
          <w:spacing w:val="2"/>
          <w:sz w:val="24"/>
          <w:szCs w:val="24"/>
        </w:rPr>
        <w:t>、氨氮为</w:t>
      </w:r>
      <w:r>
        <w:rPr>
          <w:rFonts w:ascii="Times New Roman" w:hAnsi="Times New Roman" w:eastAsia="Times New Roman" w:cs="Times New Roman"/>
          <w:spacing w:val="2"/>
          <w:sz w:val="24"/>
          <w:szCs w:val="24"/>
        </w:rPr>
        <w:t>0.269~0.</w:t>
      </w:r>
      <w:r>
        <w:rPr>
          <w:rFonts w:ascii="Times New Roman" w:hAnsi="Times New Roman" w:eastAsia="Times New Roman" w:cs="Times New Roman"/>
          <w:spacing w:val="1"/>
          <w:sz w:val="24"/>
          <w:szCs w:val="24"/>
        </w:rPr>
        <w:t>301</w:t>
      </w:r>
      <w:r>
        <w:rPr>
          <w:rFonts w:ascii="Times New Roman" w:hAnsi="Times New Roman" w:eastAsia="Times New Roman" w:cs="Times New Roman"/>
          <w:sz w:val="24"/>
          <w:szCs w:val="24"/>
        </w:rPr>
        <w:t>mg</w:t>
      </w:r>
      <w:r>
        <w:rPr>
          <w:rFonts w:ascii="Times New Roman" w:hAnsi="Times New Roman" w:eastAsia="Times New Roman" w:cs="Times New Roman"/>
          <w:spacing w:val="1"/>
          <w:sz w:val="24"/>
          <w:szCs w:val="24"/>
        </w:rPr>
        <w:t>/L</w:t>
      </w:r>
      <w:r>
        <w:rPr>
          <w:rFonts w:ascii="宋体" w:hAnsi="宋体" w:eastAsia="宋体" w:cs="宋体"/>
          <w:spacing w:val="1"/>
          <w:sz w:val="24"/>
          <w:szCs w:val="24"/>
        </w:rPr>
        <w:t>，均可达到《地表水环境质量标准》</w:t>
      </w:r>
      <w:r>
        <w:rPr>
          <w:rFonts w:ascii="Times New Roman" w:hAnsi="Times New Roman" w:eastAsia="Times New Roman" w:cs="Times New Roman"/>
          <w:spacing w:val="-2"/>
          <w:sz w:val="24"/>
          <w:szCs w:val="24"/>
        </w:rPr>
        <w:t>(GB3838-2002</w:t>
      </w:r>
      <w:r>
        <w:rPr>
          <w:rFonts w:ascii="宋体" w:hAnsi="宋体" w:eastAsia="宋体" w:cs="宋体"/>
          <w:spacing w:val="-2"/>
          <w:sz w:val="24"/>
          <w:szCs w:val="24"/>
        </w:rPr>
        <w:t>）</w:t>
      </w:r>
      <w:r>
        <w:rPr>
          <w:rFonts w:ascii="Times New Roman" w:hAnsi="Times New Roman" w:eastAsia="Times New Roman" w:cs="Times New Roman"/>
          <w:spacing w:val="-2"/>
          <w:sz w:val="24"/>
          <w:szCs w:val="24"/>
        </w:rPr>
        <w:t>II</w:t>
      </w:r>
      <w:r>
        <w:rPr>
          <w:rFonts w:ascii="宋体" w:hAnsi="宋体" w:eastAsia="宋体" w:cs="宋体"/>
          <w:spacing w:val="-2"/>
          <w:sz w:val="24"/>
          <w:szCs w:val="24"/>
        </w:rPr>
        <w:t>类水质（标准：</w:t>
      </w:r>
      <w:r>
        <w:rPr>
          <w:rFonts w:ascii="Times New Roman" w:hAnsi="Times New Roman" w:eastAsia="Times New Roman" w:cs="Times New Roman"/>
          <w:spacing w:val="-2"/>
          <w:sz w:val="24"/>
          <w:szCs w:val="24"/>
        </w:rPr>
        <w:t>COD</w:t>
      </w:r>
      <w:r>
        <w:rPr>
          <w:rFonts w:ascii="宋体" w:hAnsi="宋体" w:eastAsia="宋体" w:cs="宋体"/>
          <w:spacing w:val="-2"/>
          <w:sz w:val="24"/>
          <w:szCs w:val="24"/>
        </w:rPr>
        <w:t>为</w:t>
      </w:r>
      <w:r>
        <w:rPr>
          <w:rFonts w:ascii="Times New Roman" w:hAnsi="Times New Roman" w:eastAsia="Times New Roman" w:cs="Times New Roman"/>
          <w:spacing w:val="-2"/>
          <w:sz w:val="24"/>
          <w:szCs w:val="24"/>
        </w:rPr>
        <w:t>15mg/L</w:t>
      </w:r>
      <w:r>
        <w:rPr>
          <w:rFonts w:ascii="宋体" w:hAnsi="宋体" w:eastAsia="宋体" w:cs="宋体"/>
          <w:spacing w:val="-2"/>
          <w:sz w:val="24"/>
          <w:szCs w:val="24"/>
        </w:rPr>
        <w:t>、氨氮为</w:t>
      </w:r>
      <w:r>
        <w:rPr>
          <w:rFonts w:ascii="Times New Roman" w:hAnsi="Times New Roman" w:eastAsia="Times New Roman" w:cs="Times New Roman"/>
          <w:spacing w:val="-2"/>
          <w:sz w:val="24"/>
          <w:szCs w:val="24"/>
        </w:rPr>
        <w:t>0.5mg/L</w:t>
      </w:r>
      <w:r>
        <w:rPr>
          <w:rFonts w:ascii="宋体" w:hAnsi="宋体" w:eastAsia="宋体" w:cs="宋体"/>
          <w:spacing w:val="11"/>
          <w:sz w:val="24"/>
          <w:szCs w:val="24"/>
        </w:rPr>
        <w:t>）；</w:t>
      </w:r>
      <w:r>
        <w:rPr>
          <w:rFonts w:ascii="宋体" w:hAnsi="宋体" w:eastAsia="宋体" w:cs="宋体"/>
          <w:spacing w:val="-2"/>
          <w:sz w:val="24"/>
          <w:szCs w:val="24"/>
        </w:rPr>
        <w:t>在非正常</w:t>
      </w:r>
      <w:r>
        <w:rPr>
          <w:rFonts w:ascii="宋体" w:hAnsi="宋体" w:eastAsia="宋体" w:cs="宋体"/>
          <w:spacing w:val="-7"/>
          <w:sz w:val="24"/>
          <w:szCs w:val="24"/>
        </w:rPr>
        <w:t>排放情况下，元木山电站断面</w:t>
      </w:r>
      <w:r>
        <w:rPr>
          <w:rFonts w:ascii="Times New Roman" w:hAnsi="Times New Roman" w:eastAsia="Times New Roman" w:cs="Times New Roman"/>
          <w:spacing w:val="-7"/>
          <w:sz w:val="24"/>
          <w:szCs w:val="24"/>
        </w:rPr>
        <w:t>COD</w:t>
      </w:r>
      <w:r>
        <w:rPr>
          <w:rFonts w:ascii="宋体" w:hAnsi="宋体" w:eastAsia="宋体" w:cs="宋体"/>
          <w:spacing w:val="-7"/>
          <w:sz w:val="24"/>
          <w:szCs w:val="24"/>
        </w:rPr>
        <w:t>为</w:t>
      </w:r>
      <w:r>
        <w:rPr>
          <w:rFonts w:ascii="Times New Roman" w:hAnsi="Times New Roman" w:eastAsia="Times New Roman" w:cs="Times New Roman"/>
          <w:spacing w:val="-7"/>
          <w:sz w:val="24"/>
          <w:szCs w:val="24"/>
        </w:rPr>
        <w:t>8.922~23.305mg/L</w:t>
      </w:r>
      <w:r>
        <w:rPr>
          <w:rFonts w:ascii="宋体" w:hAnsi="宋体" w:eastAsia="宋体" w:cs="宋体"/>
          <w:spacing w:val="-7"/>
          <w:sz w:val="24"/>
          <w:szCs w:val="24"/>
        </w:rPr>
        <w:t>、氨氮为</w:t>
      </w:r>
      <w:r>
        <w:rPr>
          <w:rFonts w:ascii="Times New Roman" w:hAnsi="Times New Roman" w:eastAsia="Times New Roman" w:cs="Times New Roman"/>
          <w:spacing w:val="-7"/>
          <w:sz w:val="24"/>
          <w:szCs w:val="24"/>
        </w:rPr>
        <w:t>0.250~1.693mg/L</w:t>
      </w:r>
      <w:r>
        <w:rPr>
          <w:rFonts w:ascii="宋体" w:hAnsi="宋体" w:eastAsia="宋体" w:cs="宋体"/>
          <w:spacing w:val="-7"/>
          <w:sz w:val="24"/>
          <w:szCs w:val="24"/>
        </w:rPr>
        <w:t>，</w:t>
      </w:r>
      <w:r>
        <w:rPr>
          <w:rFonts w:ascii="宋体" w:hAnsi="宋体" w:eastAsia="宋体" w:cs="宋体"/>
          <w:spacing w:val="-3"/>
          <w:sz w:val="24"/>
          <w:szCs w:val="24"/>
        </w:rPr>
        <w:t>邵阳县渡头村断面</w:t>
      </w:r>
      <w:r>
        <w:rPr>
          <w:rFonts w:ascii="Times New Roman" w:hAnsi="Times New Roman" w:eastAsia="Times New Roman" w:cs="Times New Roman"/>
          <w:spacing w:val="-3"/>
          <w:sz w:val="24"/>
          <w:szCs w:val="24"/>
        </w:rPr>
        <w:t>COD</w:t>
      </w:r>
      <w:r>
        <w:rPr>
          <w:rFonts w:ascii="宋体" w:hAnsi="宋体" w:eastAsia="宋体" w:cs="宋体"/>
          <w:spacing w:val="-3"/>
          <w:sz w:val="24"/>
          <w:szCs w:val="24"/>
        </w:rPr>
        <w:t>为</w:t>
      </w:r>
      <w:r>
        <w:rPr>
          <w:rFonts w:ascii="Times New Roman" w:hAnsi="Times New Roman" w:eastAsia="Times New Roman" w:cs="Times New Roman"/>
          <w:spacing w:val="-3"/>
          <w:sz w:val="24"/>
          <w:szCs w:val="24"/>
        </w:rPr>
        <w:t>10.614~13.393mg/L</w:t>
      </w:r>
      <w:r>
        <w:rPr>
          <w:rFonts w:ascii="宋体" w:hAnsi="宋体" w:eastAsia="宋体" w:cs="宋体"/>
          <w:spacing w:val="-3"/>
          <w:sz w:val="24"/>
          <w:szCs w:val="24"/>
        </w:rPr>
        <w:t>、氨氮为</w:t>
      </w:r>
      <w:r>
        <w:rPr>
          <w:rFonts w:ascii="Times New Roman" w:hAnsi="Times New Roman" w:eastAsia="Times New Roman" w:cs="Times New Roman"/>
          <w:spacing w:val="-3"/>
          <w:sz w:val="24"/>
          <w:szCs w:val="24"/>
        </w:rPr>
        <w:t>0.423~0.709mg</w:t>
      </w:r>
      <w:r>
        <w:rPr>
          <w:rFonts w:ascii="Times New Roman" w:hAnsi="Times New Roman" w:eastAsia="Times New Roman" w:cs="Times New Roman"/>
          <w:spacing w:val="-4"/>
          <w:sz w:val="24"/>
          <w:szCs w:val="24"/>
        </w:rPr>
        <w:t>/L</w:t>
      </w:r>
      <w:r>
        <w:rPr>
          <w:rFonts w:ascii="宋体" w:hAnsi="宋体" w:eastAsia="宋体" w:cs="宋体"/>
          <w:spacing w:val="-4"/>
          <w:sz w:val="24"/>
          <w:szCs w:val="24"/>
        </w:rPr>
        <w:t>，元木山</w:t>
      </w:r>
      <w:r>
        <w:rPr>
          <w:rFonts w:ascii="宋体" w:hAnsi="宋体" w:eastAsia="宋体" w:cs="宋体"/>
          <w:spacing w:val="-3"/>
          <w:sz w:val="24"/>
          <w:szCs w:val="24"/>
        </w:rPr>
        <w:t>电站断面和邵阳县渡头村断面的氨氮超过</w:t>
      </w:r>
      <w:r>
        <w:rPr>
          <w:rFonts w:ascii="Times New Roman" w:hAnsi="Times New Roman" w:eastAsia="Times New Roman" w:cs="Times New Roman"/>
          <w:spacing w:val="-3"/>
          <w:sz w:val="24"/>
          <w:szCs w:val="24"/>
        </w:rPr>
        <w:t>GB3838-2002</w:t>
      </w:r>
      <w:r>
        <w:rPr>
          <w:rFonts w:ascii="宋体" w:hAnsi="宋体" w:eastAsia="宋体" w:cs="宋体"/>
          <w:spacing w:val="-3"/>
          <w:sz w:val="24"/>
          <w:szCs w:val="24"/>
        </w:rPr>
        <w:t>）</w:t>
      </w:r>
      <w:r>
        <w:rPr>
          <w:rFonts w:ascii="Times New Roman" w:hAnsi="Times New Roman" w:eastAsia="Times New Roman" w:cs="Times New Roman"/>
          <w:spacing w:val="-3"/>
          <w:sz w:val="24"/>
          <w:szCs w:val="24"/>
        </w:rPr>
        <w:t>II</w:t>
      </w:r>
      <w:r>
        <w:rPr>
          <w:rFonts w:ascii="宋体" w:hAnsi="宋体" w:eastAsia="宋体" w:cs="宋体"/>
          <w:spacing w:val="-3"/>
          <w:sz w:val="24"/>
          <w:szCs w:val="24"/>
        </w:rPr>
        <w:t>类水质，元木山电站断</w:t>
      </w:r>
      <w:r>
        <w:rPr>
          <w:rFonts w:ascii="宋体" w:hAnsi="宋体" w:eastAsia="宋体" w:cs="宋体"/>
          <w:spacing w:val="1"/>
          <w:sz w:val="24"/>
          <w:szCs w:val="24"/>
        </w:rPr>
        <w:t>面和邵阳县渡头村断面的</w:t>
      </w:r>
      <w:r>
        <w:rPr>
          <w:rFonts w:ascii="Times New Roman" w:hAnsi="Times New Roman" w:eastAsia="Times New Roman" w:cs="Times New Roman"/>
          <w:sz w:val="24"/>
          <w:szCs w:val="24"/>
        </w:rPr>
        <w:t>COD</w:t>
      </w:r>
      <w:r>
        <w:rPr>
          <w:rFonts w:ascii="宋体" w:hAnsi="宋体" w:eastAsia="宋体" w:cs="宋体"/>
          <w:spacing w:val="1"/>
          <w:sz w:val="24"/>
          <w:szCs w:val="24"/>
        </w:rPr>
        <w:t>均达到《地表水环境质量标准》</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3838-2002</w:t>
      </w:r>
      <w:r>
        <w:rPr>
          <w:rFonts w:ascii="宋体" w:hAnsi="宋体" w:eastAsia="宋体" w:cs="宋体"/>
          <w:spacing w:val="1"/>
          <w:sz w:val="24"/>
          <w:szCs w:val="24"/>
        </w:rPr>
        <w:t>）</w:t>
      </w:r>
      <w:r>
        <w:rPr>
          <w:rFonts w:ascii="Times New Roman" w:hAnsi="Times New Roman" w:eastAsia="Times New Roman" w:cs="Times New Roman"/>
          <w:sz w:val="24"/>
          <w:szCs w:val="24"/>
        </w:rPr>
        <w:t>II</w:t>
      </w:r>
      <w:r>
        <w:rPr>
          <w:rFonts w:ascii="宋体" w:hAnsi="宋体" w:eastAsia="宋体" w:cs="宋体"/>
          <w:spacing w:val="-3"/>
          <w:sz w:val="24"/>
          <w:szCs w:val="24"/>
        </w:rPr>
        <w:t>类水质。</w:t>
      </w:r>
    </w:p>
    <w:p w14:paraId="698730B5">
      <w:pPr>
        <w:spacing w:before="18" w:line="359" w:lineRule="auto"/>
        <w:ind w:left="6" w:right="45" w:firstLine="486"/>
        <w:jc w:val="both"/>
        <w:rPr>
          <w:rFonts w:ascii="宋体" w:hAnsi="宋体" w:eastAsia="宋体" w:cs="宋体"/>
          <w:sz w:val="24"/>
          <w:szCs w:val="24"/>
        </w:rPr>
      </w:pPr>
      <w:r>
        <w:rPr>
          <w:rFonts w:ascii="宋体" w:hAnsi="宋体" w:eastAsia="宋体" w:cs="宋体"/>
          <w:spacing w:val="3"/>
          <w:sz w:val="24"/>
          <w:szCs w:val="24"/>
        </w:rPr>
        <w:t>综上分析，在正常排放情况下，枯水期和生态基流时</w:t>
      </w:r>
      <w:r>
        <w:rPr>
          <w:rFonts w:ascii="宋体" w:hAnsi="宋体" w:eastAsia="宋体" w:cs="宋体"/>
          <w:spacing w:val="2"/>
          <w:sz w:val="24"/>
          <w:szCs w:val="24"/>
        </w:rPr>
        <w:t>，元木山电站断面和邵</w:t>
      </w:r>
      <w:r>
        <w:rPr>
          <w:rFonts w:ascii="宋体" w:hAnsi="宋体" w:eastAsia="宋体" w:cs="宋体"/>
          <w:spacing w:val="-1"/>
          <w:sz w:val="24"/>
          <w:szCs w:val="24"/>
        </w:rPr>
        <w:t>阳县渡头村断面的</w:t>
      </w:r>
      <w:r>
        <w:rPr>
          <w:rFonts w:ascii="Times New Roman" w:hAnsi="Times New Roman" w:eastAsia="Times New Roman" w:cs="Times New Roman"/>
          <w:spacing w:val="-1"/>
          <w:sz w:val="24"/>
          <w:szCs w:val="24"/>
        </w:rPr>
        <w:t>COD</w:t>
      </w:r>
      <w:r>
        <w:rPr>
          <w:rFonts w:ascii="宋体" w:hAnsi="宋体" w:eastAsia="宋体" w:cs="宋体"/>
          <w:spacing w:val="-1"/>
          <w:sz w:val="24"/>
          <w:szCs w:val="24"/>
        </w:rPr>
        <w:t>和氨氮均可达到《地表水环境质量标准》</w:t>
      </w:r>
      <w:r>
        <w:rPr>
          <w:rFonts w:ascii="Times New Roman" w:hAnsi="Times New Roman" w:eastAsia="Times New Roman" w:cs="Times New Roman"/>
          <w:spacing w:val="-1"/>
          <w:sz w:val="24"/>
          <w:szCs w:val="24"/>
        </w:rPr>
        <w:t>(GB3838-2002</w:t>
      </w:r>
      <w:r>
        <w:rPr>
          <w:rFonts w:ascii="宋体" w:hAnsi="宋体" w:eastAsia="宋体" w:cs="宋体"/>
          <w:spacing w:val="-1"/>
          <w:sz w:val="24"/>
          <w:szCs w:val="24"/>
        </w:rPr>
        <w:t>）</w:t>
      </w:r>
      <w:r>
        <w:rPr>
          <w:rFonts w:ascii="Times New Roman" w:hAnsi="Times New Roman" w:eastAsia="Times New Roman" w:cs="Times New Roman"/>
          <w:sz w:val="24"/>
          <w:szCs w:val="24"/>
        </w:rPr>
        <w:t>II</w:t>
      </w:r>
      <w:r>
        <w:rPr>
          <w:rFonts w:ascii="宋体" w:hAnsi="宋体" w:eastAsia="宋体" w:cs="宋体"/>
          <w:spacing w:val="3"/>
          <w:sz w:val="24"/>
          <w:szCs w:val="24"/>
        </w:rPr>
        <w:t>类水质；但在非正常排放情况下，枯水期时，元木山电站断面的氨氮可能超过</w:t>
      </w:r>
      <w:r>
        <w:rPr>
          <w:rFonts w:ascii="Times New Roman" w:hAnsi="Times New Roman" w:eastAsia="Times New Roman" w:cs="Times New Roman"/>
          <w:spacing w:val="-1"/>
          <w:sz w:val="24"/>
          <w:szCs w:val="24"/>
        </w:rPr>
        <w:t>GB3838-2002</w:t>
      </w:r>
      <w:r>
        <w:rPr>
          <w:rFonts w:ascii="宋体" w:hAnsi="宋体" w:eastAsia="宋体" w:cs="宋体"/>
          <w:spacing w:val="-1"/>
          <w:sz w:val="24"/>
          <w:szCs w:val="24"/>
        </w:rPr>
        <w:t>）</w:t>
      </w:r>
      <w:r>
        <w:rPr>
          <w:rFonts w:ascii="Times New Roman" w:hAnsi="Times New Roman" w:eastAsia="Times New Roman" w:cs="Times New Roman"/>
          <w:spacing w:val="-1"/>
          <w:sz w:val="24"/>
          <w:szCs w:val="24"/>
        </w:rPr>
        <w:t>II</w:t>
      </w:r>
      <w:r>
        <w:rPr>
          <w:rFonts w:ascii="宋体" w:hAnsi="宋体" w:eastAsia="宋体" w:cs="宋体"/>
          <w:spacing w:val="-1"/>
          <w:sz w:val="24"/>
          <w:szCs w:val="24"/>
        </w:rPr>
        <w:t>类水质；生态基流时，元木山电</w:t>
      </w:r>
      <w:r>
        <w:rPr>
          <w:rFonts w:ascii="宋体" w:hAnsi="宋体" w:eastAsia="宋体" w:cs="宋体"/>
          <w:spacing w:val="-2"/>
          <w:sz w:val="24"/>
          <w:szCs w:val="24"/>
        </w:rPr>
        <w:t>站断面和邵阳县渡头村断面的氨</w:t>
      </w:r>
      <w:r>
        <w:rPr>
          <w:rFonts w:ascii="宋体" w:hAnsi="宋体" w:eastAsia="宋体" w:cs="宋体"/>
          <w:spacing w:val="-3"/>
          <w:sz w:val="24"/>
          <w:szCs w:val="24"/>
        </w:rPr>
        <w:t>氮可能超过</w:t>
      </w:r>
      <w:r>
        <w:rPr>
          <w:rFonts w:ascii="Times New Roman" w:hAnsi="Times New Roman" w:eastAsia="Times New Roman" w:cs="Times New Roman"/>
          <w:spacing w:val="-3"/>
          <w:sz w:val="24"/>
          <w:szCs w:val="24"/>
        </w:rPr>
        <w:t>GB3838-2002</w:t>
      </w:r>
      <w:r>
        <w:rPr>
          <w:rFonts w:ascii="宋体" w:hAnsi="宋体" w:eastAsia="宋体" w:cs="宋体"/>
          <w:spacing w:val="-3"/>
          <w:sz w:val="24"/>
          <w:szCs w:val="24"/>
        </w:rPr>
        <w:t>）</w:t>
      </w:r>
      <w:r>
        <w:rPr>
          <w:rFonts w:ascii="Times New Roman" w:hAnsi="Times New Roman" w:eastAsia="Times New Roman" w:cs="Times New Roman"/>
          <w:spacing w:val="-3"/>
          <w:sz w:val="24"/>
          <w:szCs w:val="24"/>
        </w:rPr>
        <w:t>II</w:t>
      </w:r>
      <w:r>
        <w:rPr>
          <w:rFonts w:ascii="宋体" w:hAnsi="宋体" w:eastAsia="宋体" w:cs="宋体"/>
          <w:spacing w:val="-3"/>
          <w:sz w:val="24"/>
          <w:szCs w:val="24"/>
        </w:rPr>
        <w:t>类水质。因此在污水厂正常排放情况下对元木山电站</w:t>
      </w:r>
    </w:p>
    <w:p w14:paraId="6278B83D">
      <w:pPr>
        <w:spacing w:line="359" w:lineRule="auto"/>
        <w:rPr>
          <w:rFonts w:ascii="宋体" w:hAnsi="宋体" w:eastAsia="宋体" w:cs="宋体"/>
          <w:sz w:val="24"/>
          <w:szCs w:val="24"/>
        </w:rPr>
        <w:sectPr>
          <w:headerReference r:id="rId166" w:type="default"/>
          <w:footerReference r:id="rId167" w:type="default"/>
          <w:pgSz w:w="11906" w:h="16839"/>
          <w:pgMar w:top="1132" w:right="1620" w:bottom="1259" w:left="1701" w:header="829" w:footer="1097" w:gutter="0"/>
          <w:cols w:space="720" w:num="1"/>
        </w:sectPr>
      </w:pPr>
    </w:p>
    <w:p w14:paraId="51D68D32">
      <w:pPr>
        <w:pStyle w:val="2"/>
        <w:spacing w:line="321" w:lineRule="auto"/>
      </w:pPr>
    </w:p>
    <w:p w14:paraId="08C1944A">
      <w:pPr>
        <w:spacing w:before="78" w:line="361" w:lineRule="auto"/>
        <w:ind w:left="10" w:right="80" w:firstLine="8"/>
        <w:jc w:val="both"/>
        <w:rPr>
          <w:rFonts w:ascii="宋体" w:hAnsi="宋体" w:eastAsia="宋体" w:cs="宋体"/>
          <w:sz w:val="24"/>
          <w:szCs w:val="24"/>
        </w:rPr>
      </w:pPr>
      <w:r>
        <w:rPr>
          <w:rFonts w:ascii="宋体" w:hAnsi="宋体" w:eastAsia="宋体" w:cs="宋体"/>
          <w:spacing w:val="2"/>
          <w:sz w:val="24"/>
          <w:szCs w:val="24"/>
        </w:rPr>
        <w:t>断面和邵阳县渡头村断面影响较小，不会改变该断面水质类别；但在非正常排放</w:t>
      </w:r>
      <w:r>
        <w:rPr>
          <w:rFonts w:ascii="宋体" w:hAnsi="宋体" w:eastAsia="宋体" w:cs="宋体"/>
          <w:spacing w:val="3"/>
          <w:sz w:val="24"/>
          <w:szCs w:val="24"/>
        </w:rPr>
        <w:t>情况下存在超标风险，因此污水厂应做好日常巡</w:t>
      </w:r>
      <w:r>
        <w:rPr>
          <w:rFonts w:ascii="宋体" w:hAnsi="宋体" w:eastAsia="宋体" w:cs="宋体"/>
          <w:spacing w:val="2"/>
          <w:sz w:val="24"/>
          <w:szCs w:val="24"/>
        </w:rPr>
        <w:t>查管理，完善在线监测系统，完</w:t>
      </w:r>
      <w:r>
        <w:rPr>
          <w:rFonts w:ascii="宋体" w:hAnsi="宋体" w:eastAsia="宋体" w:cs="宋体"/>
          <w:spacing w:val="-1"/>
          <w:sz w:val="24"/>
          <w:szCs w:val="24"/>
        </w:rPr>
        <w:t>善水风险防范措施和应急措施，杜绝废水的事故排放。</w:t>
      </w:r>
    </w:p>
    <w:p w14:paraId="42900985">
      <w:pPr>
        <w:spacing w:before="151" w:line="220" w:lineRule="auto"/>
        <w:ind w:left="9"/>
        <w:outlineLvl w:val="2"/>
        <w:rPr>
          <w:rFonts w:ascii="宋体" w:hAnsi="宋体" w:eastAsia="宋体" w:cs="宋体"/>
          <w:sz w:val="28"/>
          <w:szCs w:val="28"/>
        </w:rPr>
      </w:pPr>
      <w:r>
        <w:rPr>
          <w:rFonts w:ascii="Times New Roman" w:hAnsi="Times New Roman" w:eastAsia="Times New Roman" w:cs="Times New Roman"/>
          <w:b/>
          <w:bCs/>
          <w:spacing w:val="-2"/>
          <w:sz w:val="28"/>
          <w:szCs w:val="28"/>
        </w:rPr>
        <w:t>9.3.3</w:t>
      </w:r>
      <w:r>
        <w:rPr>
          <w:rFonts w:ascii="宋体" w:hAnsi="宋体" w:eastAsia="宋体" w:cs="宋体"/>
          <w:b/>
          <w:bCs/>
          <w:spacing w:val="-2"/>
          <w:sz w:val="28"/>
          <w:szCs w:val="28"/>
        </w:rPr>
        <w:t>对水功能区管理的影响</w:t>
      </w:r>
    </w:p>
    <w:p w14:paraId="2B482A9D">
      <w:pPr>
        <w:pStyle w:val="2"/>
        <w:spacing w:line="257" w:lineRule="auto"/>
      </w:pPr>
    </w:p>
    <w:p w14:paraId="0797923F">
      <w:pPr>
        <w:spacing w:before="78" w:line="360" w:lineRule="auto"/>
        <w:ind w:left="9" w:right="18" w:firstLine="480"/>
        <w:jc w:val="both"/>
        <w:rPr>
          <w:rFonts w:ascii="宋体" w:hAnsi="宋体" w:eastAsia="宋体" w:cs="宋体"/>
          <w:sz w:val="24"/>
          <w:szCs w:val="24"/>
        </w:rPr>
      </w:pPr>
      <w:r>
        <w:rPr>
          <w:rFonts w:ascii="宋体" w:hAnsi="宋体" w:eastAsia="宋体" w:cs="宋体"/>
          <w:spacing w:val="15"/>
          <w:sz w:val="24"/>
          <w:szCs w:val="24"/>
        </w:rPr>
        <w:t>本项目处理达标的尾水引至元木山电站下游约</w:t>
      </w:r>
      <w:r>
        <w:rPr>
          <w:rFonts w:ascii="Times New Roman" w:hAnsi="Times New Roman" w:eastAsia="Times New Roman" w:cs="Times New Roman"/>
          <w:spacing w:val="15"/>
          <w:sz w:val="24"/>
          <w:szCs w:val="24"/>
        </w:rPr>
        <w:t>2.8m</w:t>
      </w:r>
      <w:r>
        <w:rPr>
          <w:rFonts w:ascii="宋体" w:hAnsi="宋体" w:eastAsia="宋体" w:cs="宋体"/>
          <w:spacing w:val="15"/>
          <w:sz w:val="24"/>
          <w:szCs w:val="24"/>
        </w:rPr>
        <w:t>处排放，地理坐标</w:t>
      </w:r>
      <w:r>
        <w:rPr>
          <w:rFonts w:ascii="Times New Roman" w:hAnsi="Times New Roman" w:eastAsia="Times New Roman" w:cs="Times New Roman"/>
          <w:spacing w:val="-3"/>
          <w:sz w:val="24"/>
          <w:szCs w:val="24"/>
        </w:rPr>
        <w:t>111°3′22.36752″</w:t>
      </w:r>
      <w:r>
        <w:rPr>
          <w:rFonts w:ascii="宋体" w:hAnsi="宋体" w:eastAsia="宋体" w:cs="宋体"/>
          <w:spacing w:val="-3"/>
          <w:sz w:val="24"/>
          <w:szCs w:val="24"/>
        </w:rPr>
        <w:t>，</w:t>
      </w:r>
      <w:r>
        <w:rPr>
          <w:rFonts w:ascii="Times New Roman" w:hAnsi="Times New Roman" w:eastAsia="Times New Roman" w:cs="Times New Roman"/>
          <w:spacing w:val="-3"/>
          <w:sz w:val="24"/>
          <w:szCs w:val="24"/>
        </w:rPr>
        <w:t>N27°4′46.315056″</w:t>
      </w:r>
      <w:r>
        <w:rPr>
          <w:rFonts w:ascii="宋体" w:hAnsi="宋体" w:eastAsia="宋体" w:cs="宋体"/>
          <w:spacing w:val="-3"/>
          <w:sz w:val="24"/>
          <w:szCs w:val="24"/>
        </w:rPr>
        <w:t>。根据《邵阳市水功能区划》（</w:t>
      </w:r>
      <w:r>
        <w:rPr>
          <w:rFonts w:ascii="Times New Roman" w:hAnsi="Times New Roman" w:eastAsia="Times New Roman" w:cs="Times New Roman"/>
          <w:spacing w:val="-3"/>
          <w:sz w:val="24"/>
          <w:szCs w:val="24"/>
        </w:rPr>
        <w:t>2016</w:t>
      </w:r>
      <w:r>
        <w:rPr>
          <w:rFonts w:ascii="宋体" w:hAnsi="宋体" w:eastAsia="宋体" w:cs="宋体"/>
          <w:spacing w:val="-3"/>
          <w:sz w:val="24"/>
          <w:szCs w:val="24"/>
        </w:rPr>
        <w:t>年</w:t>
      </w:r>
      <w:r>
        <w:rPr>
          <w:rFonts w:ascii="宋体" w:hAnsi="宋体" w:eastAsia="宋体" w:cs="宋体"/>
          <w:spacing w:val="-4"/>
          <w:sz w:val="24"/>
          <w:szCs w:val="24"/>
        </w:rPr>
        <w:t>修编</w:t>
      </w:r>
      <w:r>
        <w:rPr>
          <w:rFonts w:ascii="宋体" w:hAnsi="宋体" w:eastAsia="宋体" w:cs="宋体"/>
          <w:spacing w:val="-43"/>
          <w:sz w:val="24"/>
          <w:szCs w:val="24"/>
        </w:rPr>
        <w:t>），</w:t>
      </w:r>
      <w:r>
        <w:rPr>
          <w:rFonts w:ascii="宋体" w:hAnsi="宋体" w:eastAsia="宋体" w:cs="宋体"/>
          <w:sz w:val="24"/>
          <w:szCs w:val="24"/>
        </w:rPr>
        <w:t>排污口所在断面属于资水（赧水）隆回</w:t>
      </w:r>
      <w:r>
        <w:rPr>
          <w:rFonts w:ascii="Times New Roman" w:hAnsi="Times New Roman" w:eastAsia="Times New Roman" w:cs="Times New Roman"/>
          <w:sz w:val="24"/>
          <w:szCs w:val="24"/>
        </w:rPr>
        <w:t>-</w:t>
      </w:r>
      <w:r>
        <w:rPr>
          <w:rFonts w:ascii="宋体" w:hAnsi="宋体" w:eastAsia="宋体" w:cs="宋体"/>
          <w:sz w:val="24"/>
          <w:szCs w:val="24"/>
        </w:rPr>
        <w:t>邵阳保留区，根据《邵阳市水功能区划》</w:t>
      </w:r>
      <w:r>
        <w:rPr>
          <w:rFonts w:ascii="宋体" w:hAnsi="宋体" w:eastAsia="宋体" w:cs="宋体"/>
          <w:spacing w:val="-4"/>
          <w:sz w:val="24"/>
          <w:szCs w:val="24"/>
        </w:rPr>
        <w:t>水质目标为</w:t>
      </w:r>
      <w:r>
        <w:rPr>
          <w:rFonts w:ascii="Times New Roman" w:hAnsi="Times New Roman" w:eastAsia="Times New Roman" w:cs="Times New Roman"/>
          <w:spacing w:val="-4"/>
          <w:sz w:val="24"/>
          <w:szCs w:val="24"/>
        </w:rPr>
        <w:t>III</w:t>
      </w:r>
      <w:r>
        <w:rPr>
          <w:rFonts w:ascii="宋体" w:hAnsi="宋体" w:eastAsia="宋体" w:cs="宋体"/>
          <w:spacing w:val="-4"/>
          <w:sz w:val="24"/>
          <w:szCs w:val="24"/>
        </w:rPr>
        <w:t>类；但下游</w:t>
      </w:r>
      <w:r>
        <w:rPr>
          <w:rFonts w:ascii="Times New Roman" w:hAnsi="Times New Roman" w:eastAsia="Times New Roman" w:cs="Times New Roman"/>
          <w:spacing w:val="-4"/>
          <w:sz w:val="24"/>
          <w:szCs w:val="24"/>
        </w:rPr>
        <w:t>1050m</w:t>
      </w:r>
      <w:r>
        <w:rPr>
          <w:rFonts w:ascii="宋体" w:hAnsi="宋体" w:eastAsia="宋体" w:cs="宋体"/>
          <w:spacing w:val="-4"/>
          <w:sz w:val="24"/>
          <w:szCs w:val="24"/>
        </w:rPr>
        <w:t>处的隆回县元木山断面（控制断面）、下游</w:t>
      </w:r>
      <w:r>
        <w:rPr>
          <w:rFonts w:ascii="Times New Roman" w:hAnsi="Times New Roman" w:eastAsia="Times New Roman" w:cs="Times New Roman"/>
          <w:spacing w:val="-4"/>
          <w:sz w:val="24"/>
          <w:szCs w:val="24"/>
        </w:rPr>
        <w:t>9km</w:t>
      </w:r>
      <w:r>
        <w:rPr>
          <w:rFonts w:ascii="宋体" w:hAnsi="宋体" w:eastAsia="宋体" w:cs="宋体"/>
          <w:spacing w:val="1"/>
          <w:sz w:val="24"/>
          <w:szCs w:val="24"/>
        </w:rPr>
        <w:t>处的邵阳县渡头村断面（出境断面）现状考核目标为年度平均达</w:t>
      </w:r>
      <w:r>
        <w:rPr>
          <w:rFonts w:ascii="宋体" w:hAnsi="宋体" w:eastAsia="宋体" w:cs="宋体"/>
          <w:sz w:val="24"/>
          <w:szCs w:val="24"/>
        </w:rPr>
        <w:t>到</w:t>
      </w:r>
      <w:r>
        <w:rPr>
          <w:rFonts w:ascii="Times New Roman" w:hAnsi="Times New Roman" w:eastAsia="Times New Roman" w:cs="Times New Roman"/>
          <w:sz w:val="24"/>
          <w:szCs w:val="24"/>
        </w:rPr>
        <w:t>II</w:t>
      </w:r>
      <w:r>
        <w:rPr>
          <w:rFonts w:ascii="宋体" w:hAnsi="宋体" w:eastAsia="宋体" w:cs="宋体"/>
          <w:sz w:val="24"/>
          <w:szCs w:val="24"/>
        </w:rPr>
        <w:t>类。隆回县</w:t>
      </w:r>
      <w:r>
        <w:rPr>
          <w:rFonts w:ascii="宋体" w:hAnsi="宋体" w:eastAsia="宋体" w:cs="宋体"/>
          <w:spacing w:val="2"/>
          <w:sz w:val="24"/>
          <w:szCs w:val="24"/>
        </w:rPr>
        <w:t>城饮用水源取水口位于元木山电站上游约</w:t>
      </w:r>
      <w:r>
        <w:rPr>
          <w:rFonts w:ascii="Times New Roman" w:hAnsi="Times New Roman" w:eastAsia="Times New Roman" w:cs="Times New Roman"/>
          <w:spacing w:val="2"/>
          <w:sz w:val="24"/>
          <w:szCs w:val="24"/>
        </w:rPr>
        <w:t>5</w:t>
      </w:r>
      <w:r>
        <w:rPr>
          <w:rFonts w:ascii="Times New Roman" w:hAnsi="Times New Roman" w:eastAsia="Times New Roman" w:cs="Times New Roman"/>
          <w:spacing w:val="1"/>
          <w:sz w:val="24"/>
          <w:szCs w:val="24"/>
        </w:rPr>
        <w:t>.5</w:t>
      </w:r>
      <w:r>
        <w:rPr>
          <w:rFonts w:ascii="Times New Roman" w:hAnsi="Times New Roman" w:eastAsia="Times New Roman" w:cs="Times New Roman"/>
          <w:sz w:val="24"/>
          <w:szCs w:val="24"/>
        </w:rPr>
        <w:t>km</w:t>
      </w:r>
      <w:r>
        <w:rPr>
          <w:rFonts w:ascii="宋体" w:hAnsi="宋体" w:eastAsia="宋体" w:cs="宋体"/>
          <w:spacing w:val="1"/>
          <w:sz w:val="24"/>
          <w:szCs w:val="24"/>
        </w:rPr>
        <w:t>处，隆回县工业污水处理厂入河</w:t>
      </w:r>
      <w:r>
        <w:rPr>
          <w:rFonts w:ascii="宋体" w:hAnsi="宋体" w:eastAsia="宋体" w:cs="宋体"/>
          <w:spacing w:val="-1"/>
          <w:sz w:val="24"/>
          <w:szCs w:val="24"/>
        </w:rPr>
        <w:t>排污口位于元木山电站下游</w:t>
      </w:r>
      <w:r>
        <w:rPr>
          <w:rFonts w:ascii="Times New Roman" w:hAnsi="Times New Roman" w:eastAsia="Times New Roman" w:cs="Times New Roman"/>
          <w:spacing w:val="-1"/>
          <w:sz w:val="24"/>
          <w:szCs w:val="24"/>
        </w:rPr>
        <w:t>2.8m</w:t>
      </w:r>
      <w:r>
        <w:rPr>
          <w:rFonts w:ascii="宋体" w:hAnsi="宋体" w:eastAsia="宋体" w:cs="宋体"/>
          <w:spacing w:val="-1"/>
          <w:sz w:val="24"/>
          <w:szCs w:val="24"/>
        </w:rPr>
        <w:t>处，对上游取水口无影响。通过计算，该河段环</w:t>
      </w:r>
      <w:r>
        <w:rPr>
          <w:rFonts w:ascii="宋体" w:hAnsi="宋体" w:eastAsia="宋体" w:cs="宋体"/>
          <w:spacing w:val="3"/>
          <w:sz w:val="24"/>
          <w:szCs w:val="24"/>
        </w:rPr>
        <w:t>境容量可以容纳本入河排污口正常排放下的主要污</w:t>
      </w:r>
      <w:r>
        <w:rPr>
          <w:rFonts w:ascii="宋体" w:hAnsi="宋体" w:eastAsia="宋体" w:cs="宋体"/>
          <w:spacing w:val="2"/>
          <w:sz w:val="24"/>
          <w:szCs w:val="24"/>
        </w:rPr>
        <w:t>染物。因此，本项目入河排污</w:t>
      </w:r>
      <w:r>
        <w:rPr>
          <w:rFonts w:ascii="宋体" w:hAnsi="宋体" w:eastAsia="宋体" w:cs="宋体"/>
          <w:spacing w:val="-1"/>
          <w:sz w:val="24"/>
          <w:szCs w:val="24"/>
        </w:rPr>
        <w:t>口基本满足该水功能区水质保护目标和水域限制排污总量要求。</w:t>
      </w:r>
    </w:p>
    <w:p w14:paraId="37B5F058">
      <w:pPr>
        <w:spacing w:before="152" w:line="220" w:lineRule="auto"/>
        <w:ind w:left="9"/>
        <w:outlineLvl w:val="2"/>
        <w:rPr>
          <w:rFonts w:ascii="宋体" w:hAnsi="宋体" w:eastAsia="宋体" w:cs="宋体"/>
          <w:sz w:val="28"/>
          <w:szCs w:val="28"/>
        </w:rPr>
      </w:pPr>
      <w:r>
        <w:rPr>
          <w:rFonts w:ascii="Times New Roman" w:hAnsi="Times New Roman" w:eastAsia="Times New Roman" w:cs="Times New Roman"/>
          <w:b/>
          <w:bCs/>
          <w:spacing w:val="-2"/>
          <w:sz w:val="28"/>
          <w:szCs w:val="28"/>
        </w:rPr>
        <w:t>9.3.4</w:t>
      </w:r>
      <w:r>
        <w:rPr>
          <w:rFonts w:ascii="宋体" w:hAnsi="宋体" w:eastAsia="宋体" w:cs="宋体"/>
          <w:b/>
          <w:bCs/>
          <w:spacing w:val="-2"/>
          <w:sz w:val="28"/>
          <w:szCs w:val="28"/>
        </w:rPr>
        <w:t>对防洪和农灌的影响分析</w:t>
      </w:r>
    </w:p>
    <w:p w14:paraId="73DB76B5">
      <w:pPr>
        <w:pStyle w:val="2"/>
        <w:spacing w:line="253" w:lineRule="auto"/>
      </w:pPr>
    </w:p>
    <w:p w14:paraId="5E18BEA2">
      <w:pPr>
        <w:spacing w:before="78" w:line="360" w:lineRule="auto"/>
        <w:ind w:left="8" w:right="21" w:firstLine="480"/>
        <w:jc w:val="both"/>
        <w:rPr>
          <w:rFonts w:ascii="宋体" w:hAnsi="宋体" w:eastAsia="宋体" w:cs="宋体"/>
          <w:sz w:val="24"/>
          <w:szCs w:val="24"/>
        </w:rPr>
      </w:pPr>
      <w:r>
        <w:rPr>
          <w:rFonts w:ascii="宋体" w:hAnsi="宋体" w:eastAsia="宋体" w:cs="宋体"/>
          <w:spacing w:val="-2"/>
          <w:sz w:val="24"/>
          <w:szCs w:val="24"/>
        </w:rPr>
        <w:t>根据《入河排污口管理技术导则</w:t>
      </w:r>
      <w:r>
        <w:rPr>
          <w:rFonts w:ascii="Times New Roman" w:hAnsi="Times New Roman" w:eastAsia="Times New Roman" w:cs="Times New Roman"/>
          <w:spacing w:val="-2"/>
          <w:sz w:val="24"/>
          <w:szCs w:val="24"/>
        </w:rPr>
        <w:t>(SL532-2011)</w:t>
      </w:r>
      <w:r>
        <w:rPr>
          <w:rFonts w:ascii="宋体" w:hAnsi="宋体" w:eastAsia="宋体" w:cs="宋体"/>
          <w:spacing w:val="-2"/>
          <w:sz w:val="24"/>
          <w:szCs w:val="24"/>
        </w:rPr>
        <w:t>》，入河排污口应设置在洪水淹没线之上；入河排污口应便于采集样品、便于</w:t>
      </w:r>
      <w:r>
        <w:rPr>
          <w:rFonts w:ascii="宋体" w:hAnsi="宋体" w:eastAsia="宋体" w:cs="宋体"/>
          <w:spacing w:val="-3"/>
          <w:sz w:val="24"/>
          <w:szCs w:val="24"/>
        </w:rPr>
        <w:t>计量监测、便于日常现场监督检查；</w:t>
      </w:r>
      <w:r>
        <w:rPr>
          <w:rFonts w:ascii="宋体" w:hAnsi="宋体" w:eastAsia="宋体" w:cs="宋体"/>
          <w:spacing w:val="3"/>
          <w:sz w:val="24"/>
          <w:szCs w:val="24"/>
        </w:rPr>
        <w:t>入河排污口口门不得设暗管通入河道或湖库底部，如特殊情况需要设置管道的，必须留出观测窗口，以便于采样和监督。根据江</w:t>
      </w:r>
      <w:r>
        <w:rPr>
          <w:rFonts w:ascii="宋体" w:hAnsi="宋体" w:eastAsia="宋体" w:cs="宋体"/>
          <w:spacing w:val="2"/>
          <w:sz w:val="24"/>
          <w:szCs w:val="24"/>
        </w:rPr>
        <w:t>子田电站初设报告中的历史洪水</w:t>
      </w:r>
      <w:r>
        <w:rPr>
          <w:rFonts w:ascii="宋体" w:hAnsi="宋体" w:eastAsia="宋体" w:cs="宋体"/>
          <w:spacing w:val="-1"/>
          <w:sz w:val="24"/>
          <w:szCs w:val="24"/>
        </w:rPr>
        <w:t>调查数据，隆回段</w:t>
      </w:r>
      <w:r>
        <w:rPr>
          <w:rFonts w:ascii="Times New Roman" w:hAnsi="Times New Roman" w:eastAsia="Times New Roman" w:cs="Times New Roman"/>
          <w:spacing w:val="-1"/>
          <w:sz w:val="24"/>
          <w:szCs w:val="24"/>
        </w:rPr>
        <w:t>1924</w:t>
      </w:r>
      <w:r>
        <w:rPr>
          <w:rFonts w:ascii="宋体" w:hAnsi="宋体" w:eastAsia="宋体" w:cs="宋体"/>
          <w:spacing w:val="-1"/>
          <w:sz w:val="24"/>
          <w:szCs w:val="24"/>
        </w:rPr>
        <w:t>年洪峰水位为</w:t>
      </w:r>
      <w:r>
        <w:rPr>
          <w:rFonts w:ascii="Times New Roman" w:hAnsi="Times New Roman" w:eastAsia="Times New Roman" w:cs="Times New Roman"/>
          <w:spacing w:val="-1"/>
          <w:sz w:val="24"/>
          <w:szCs w:val="24"/>
        </w:rPr>
        <w:t>252.39m</w:t>
      </w:r>
      <w:r>
        <w:rPr>
          <w:rFonts w:ascii="宋体" w:hAnsi="宋体" w:eastAsia="宋体" w:cs="宋体"/>
          <w:spacing w:val="-1"/>
          <w:sz w:val="24"/>
          <w:szCs w:val="24"/>
        </w:rPr>
        <w:t>，</w:t>
      </w:r>
      <w:r>
        <w:rPr>
          <w:rFonts w:ascii="Times New Roman" w:hAnsi="Times New Roman" w:eastAsia="Times New Roman" w:cs="Times New Roman"/>
          <w:spacing w:val="-1"/>
          <w:sz w:val="24"/>
          <w:szCs w:val="24"/>
        </w:rPr>
        <w:t>1996</w:t>
      </w:r>
      <w:r>
        <w:rPr>
          <w:rFonts w:ascii="宋体" w:hAnsi="宋体" w:eastAsia="宋体" w:cs="宋体"/>
          <w:spacing w:val="-1"/>
          <w:sz w:val="24"/>
          <w:szCs w:val="24"/>
        </w:rPr>
        <w:t>年赧水特大洪水为</w:t>
      </w:r>
      <w:r>
        <w:rPr>
          <w:rFonts w:ascii="Times New Roman" w:hAnsi="Times New Roman" w:eastAsia="Times New Roman" w:cs="Times New Roman"/>
          <w:spacing w:val="-2"/>
          <w:sz w:val="24"/>
          <w:szCs w:val="24"/>
        </w:rPr>
        <w:t>1924</w:t>
      </w:r>
      <w:r>
        <w:rPr>
          <w:rFonts w:ascii="宋体" w:hAnsi="宋体" w:eastAsia="宋体" w:cs="宋体"/>
          <w:spacing w:val="-2"/>
          <w:sz w:val="24"/>
          <w:szCs w:val="24"/>
        </w:rPr>
        <w:t>年</w:t>
      </w:r>
      <w:r>
        <w:rPr>
          <w:rFonts w:ascii="宋体" w:hAnsi="宋体" w:eastAsia="宋体" w:cs="宋体"/>
          <w:spacing w:val="1"/>
          <w:sz w:val="24"/>
          <w:szCs w:val="24"/>
        </w:rPr>
        <w:t>以来第二大洪水，洪峰流量</w:t>
      </w:r>
      <w:r>
        <w:rPr>
          <w:rFonts w:ascii="Times New Roman" w:hAnsi="Times New Roman" w:eastAsia="Times New Roman" w:cs="Times New Roman"/>
          <w:spacing w:val="1"/>
          <w:sz w:val="24"/>
          <w:szCs w:val="24"/>
        </w:rPr>
        <w:t>8200m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sz w:val="24"/>
          <w:szCs w:val="24"/>
        </w:rPr>
        <w:t>/s</w:t>
      </w:r>
      <w:r>
        <w:rPr>
          <w:rFonts w:ascii="宋体" w:hAnsi="宋体" w:eastAsia="宋体" w:cs="宋体"/>
          <w:spacing w:val="1"/>
          <w:sz w:val="24"/>
          <w:szCs w:val="24"/>
        </w:rPr>
        <w:t>。根据《湖南省隆回县元木山水电站竣工环</w:t>
      </w:r>
      <w:r>
        <w:rPr>
          <w:rFonts w:ascii="宋体" w:hAnsi="宋体" w:eastAsia="宋体" w:cs="宋体"/>
          <w:spacing w:val="-1"/>
          <w:sz w:val="24"/>
          <w:szCs w:val="24"/>
        </w:rPr>
        <w:t>保验收调查报告》元木山电站的校核洪水位为</w:t>
      </w:r>
      <w:r>
        <w:rPr>
          <w:rFonts w:ascii="Times New Roman" w:hAnsi="Times New Roman" w:eastAsia="Times New Roman" w:cs="Times New Roman"/>
          <w:spacing w:val="-1"/>
          <w:sz w:val="24"/>
          <w:szCs w:val="24"/>
        </w:rPr>
        <w:t>251.35m</w:t>
      </w:r>
      <w:r>
        <w:rPr>
          <w:rFonts w:ascii="宋体" w:hAnsi="宋体" w:eastAsia="宋体" w:cs="宋体"/>
          <w:spacing w:val="-1"/>
          <w:sz w:val="24"/>
          <w:szCs w:val="24"/>
        </w:rPr>
        <w:t>。</w:t>
      </w:r>
    </w:p>
    <w:p w14:paraId="2FFF0CCA">
      <w:pPr>
        <w:spacing w:line="360" w:lineRule="auto"/>
        <w:ind w:left="5" w:firstLine="484"/>
        <w:jc w:val="both"/>
        <w:rPr>
          <w:rFonts w:ascii="宋体" w:hAnsi="宋体" w:eastAsia="宋体" w:cs="宋体"/>
          <w:sz w:val="24"/>
          <w:szCs w:val="24"/>
        </w:rPr>
      </w:pPr>
      <w:r>
        <w:rPr>
          <w:rFonts w:ascii="宋体" w:hAnsi="宋体" w:eastAsia="宋体" w:cs="宋体"/>
          <w:spacing w:val="3"/>
          <w:sz w:val="24"/>
          <w:szCs w:val="24"/>
        </w:rPr>
        <w:t>根据现场勘测，本入河排污口采用岸边管道排放的方式，排</w:t>
      </w:r>
      <w:r>
        <w:rPr>
          <w:rFonts w:ascii="宋体" w:hAnsi="宋体" w:eastAsia="宋体" w:cs="宋体"/>
          <w:spacing w:val="2"/>
          <w:sz w:val="24"/>
          <w:szCs w:val="24"/>
        </w:rPr>
        <w:t>污口管内底标高</w:t>
      </w:r>
      <w:r>
        <w:rPr>
          <w:rFonts w:ascii="Times New Roman" w:hAnsi="Times New Roman" w:eastAsia="Times New Roman" w:cs="Times New Roman"/>
          <w:spacing w:val="1"/>
          <w:sz w:val="24"/>
          <w:szCs w:val="24"/>
        </w:rPr>
        <w:t>241.82m</w:t>
      </w:r>
      <w:r>
        <w:rPr>
          <w:rFonts w:ascii="宋体" w:hAnsi="宋体" w:eastAsia="宋体" w:cs="宋体"/>
          <w:spacing w:val="1"/>
          <w:sz w:val="24"/>
          <w:szCs w:val="24"/>
        </w:rPr>
        <w:t>，坝下水面高程（汛期）</w:t>
      </w:r>
      <w:r>
        <w:rPr>
          <w:rFonts w:ascii="Times New Roman" w:hAnsi="Times New Roman" w:eastAsia="Times New Roman" w:cs="Times New Roman"/>
          <w:spacing w:val="1"/>
          <w:sz w:val="24"/>
          <w:szCs w:val="24"/>
        </w:rPr>
        <w:t>238</w:t>
      </w:r>
      <w:r>
        <w:rPr>
          <w:rFonts w:ascii="Times New Roman" w:hAnsi="Times New Roman" w:eastAsia="Times New Roman" w:cs="Times New Roman"/>
          <w:sz w:val="24"/>
          <w:szCs w:val="24"/>
        </w:rPr>
        <w:t>.65m</w:t>
      </w:r>
      <w:r>
        <w:rPr>
          <w:rFonts w:ascii="宋体" w:hAnsi="宋体" w:eastAsia="宋体" w:cs="宋体"/>
          <w:sz w:val="24"/>
          <w:szCs w:val="24"/>
        </w:rPr>
        <w:t>，出口处方便采样、计量、监测等日常</w:t>
      </w:r>
      <w:r>
        <w:rPr>
          <w:rFonts w:ascii="宋体" w:hAnsi="宋体" w:eastAsia="宋体" w:cs="宋体"/>
          <w:spacing w:val="-2"/>
          <w:sz w:val="24"/>
          <w:szCs w:val="24"/>
        </w:rPr>
        <w:t>现场监督检查。入河排污口建设运行以来未破坏防洪设施，也未影响过河道行洪。</w:t>
      </w:r>
      <w:r>
        <w:rPr>
          <w:rFonts w:ascii="宋体" w:hAnsi="宋体" w:eastAsia="宋体" w:cs="宋体"/>
          <w:spacing w:val="1"/>
          <w:sz w:val="24"/>
          <w:szCs w:val="24"/>
        </w:rPr>
        <w:t>因此本入河排污口设置基本符合《防洪标准》（</w:t>
      </w:r>
      <w:r>
        <w:rPr>
          <w:rFonts w:ascii="Times New Roman" w:hAnsi="Times New Roman" w:eastAsia="Times New Roman" w:cs="Times New Roman"/>
          <w:sz w:val="24"/>
          <w:szCs w:val="24"/>
        </w:rPr>
        <w:t>GB</w:t>
      </w:r>
      <w:r>
        <w:rPr>
          <w:rFonts w:ascii="Times New Roman" w:hAnsi="Times New Roman" w:eastAsia="Times New Roman" w:cs="Times New Roman"/>
          <w:spacing w:val="1"/>
          <w:sz w:val="24"/>
          <w:szCs w:val="24"/>
        </w:rPr>
        <w:t>50201-2014</w:t>
      </w:r>
      <w:r>
        <w:rPr>
          <w:rFonts w:ascii="宋体" w:hAnsi="宋体" w:eastAsia="宋体" w:cs="宋体"/>
          <w:spacing w:val="1"/>
          <w:sz w:val="24"/>
          <w:szCs w:val="24"/>
        </w:rPr>
        <w:t>）及其他法律法规</w:t>
      </w:r>
      <w:r>
        <w:rPr>
          <w:rFonts w:ascii="宋体" w:hAnsi="宋体" w:eastAsia="宋体" w:cs="宋体"/>
          <w:spacing w:val="-1"/>
          <w:sz w:val="24"/>
          <w:szCs w:val="24"/>
        </w:rPr>
        <w:t>以及国务院水行政主管部门规定的条件。</w:t>
      </w:r>
    </w:p>
    <w:p w14:paraId="12595889">
      <w:pPr>
        <w:spacing w:line="362" w:lineRule="auto"/>
        <w:ind w:left="12" w:right="80" w:firstLine="476"/>
        <w:rPr>
          <w:rFonts w:ascii="宋体" w:hAnsi="宋体" w:eastAsia="宋体" w:cs="宋体"/>
          <w:sz w:val="24"/>
          <w:szCs w:val="24"/>
        </w:rPr>
      </w:pPr>
      <w:r>
        <w:rPr>
          <w:rFonts w:ascii="宋体" w:hAnsi="宋体" w:eastAsia="宋体" w:cs="宋体"/>
          <w:spacing w:val="-2"/>
          <w:sz w:val="24"/>
          <w:szCs w:val="24"/>
        </w:rPr>
        <w:t>对比《农田灌溉水质标准》（</w:t>
      </w:r>
      <w:r>
        <w:rPr>
          <w:rFonts w:ascii="Times New Roman" w:hAnsi="Times New Roman" w:eastAsia="Times New Roman" w:cs="Times New Roman"/>
          <w:spacing w:val="-2"/>
          <w:sz w:val="24"/>
          <w:szCs w:val="24"/>
        </w:rPr>
        <w:t>GB5084-2021</w:t>
      </w:r>
      <w:r>
        <w:rPr>
          <w:rFonts w:ascii="宋体" w:hAnsi="宋体" w:eastAsia="宋体" w:cs="宋体"/>
          <w:spacing w:val="-2"/>
          <w:sz w:val="24"/>
          <w:szCs w:val="24"/>
        </w:rPr>
        <w:t>）相应控制指标与项目污水设</w:t>
      </w:r>
      <w:r>
        <w:rPr>
          <w:rFonts w:ascii="宋体" w:hAnsi="宋体" w:eastAsia="宋体" w:cs="宋体"/>
          <w:spacing w:val="-3"/>
          <w:sz w:val="24"/>
          <w:szCs w:val="24"/>
        </w:rPr>
        <w:t>计出</w:t>
      </w:r>
      <w:r>
        <w:rPr>
          <w:rFonts w:ascii="宋体" w:hAnsi="宋体" w:eastAsia="宋体" w:cs="宋体"/>
          <w:spacing w:val="2"/>
          <w:sz w:val="24"/>
          <w:szCs w:val="24"/>
        </w:rPr>
        <w:t>水水质标准、赧水现状水质可知，污水处理厂设计出水水质及赧水现状水质主要</w:t>
      </w:r>
    </w:p>
    <w:p w14:paraId="7A41DBCB">
      <w:pPr>
        <w:spacing w:line="362" w:lineRule="auto"/>
        <w:rPr>
          <w:rFonts w:ascii="宋体" w:hAnsi="宋体" w:eastAsia="宋体" w:cs="宋体"/>
          <w:sz w:val="24"/>
          <w:szCs w:val="24"/>
        </w:rPr>
        <w:sectPr>
          <w:footerReference r:id="rId168" w:type="default"/>
          <w:pgSz w:w="11906" w:h="16839"/>
          <w:pgMar w:top="1132" w:right="1620" w:bottom="1259" w:left="1701" w:header="829" w:footer="1097" w:gutter="0"/>
          <w:cols w:space="720" w:num="1"/>
        </w:sectPr>
      </w:pPr>
    </w:p>
    <w:p w14:paraId="2DA66CE1">
      <w:pPr>
        <w:pStyle w:val="2"/>
        <w:spacing w:line="318" w:lineRule="auto"/>
      </w:pPr>
    </w:p>
    <w:p w14:paraId="3F57464D">
      <w:pPr>
        <w:spacing w:before="78" w:line="362" w:lineRule="auto"/>
        <w:ind w:left="10"/>
        <w:rPr>
          <w:rFonts w:ascii="宋体" w:hAnsi="宋体" w:eastAsia="宋体" w:cs="宋体"/>
          <w:sz w:val="24"/>
          <w:szCs w:val="24"/>
        </w:rPr>
      </w:pPr>
      <w:r>
        <w:rPr>
          <w:rFonts w:ascii="宋体" w:hAnsi="宋体" w:eastAsia="宋体" w:cs="宋体"/>
          <w:spacing w:val="-2"/>
          <w:sz w:val="24"/>
          <w:szCs w:val="24"/>
        </w:rPr>
        <w:t>污染指标浓度限值及实测值均小于《农田灌溉水质标准》（</w:t>
      </w:r>
      <w:r>
        <w:rPr>
          <w:rFonts w:ascii="Times New Roman" w:hAnsi="Times New Roman" w:eastAsia="Times New Roman" w:cs="Times New Roman"/>
          <w:spacing w:val="-2"/>
          <w:sz w:val="24"/>
          <w:szCs w:val="24"/>
        </w:rPr>
        <w:t>GB5084-2021</w:t>
      </w:r>
      <w:r>
        <w:rPr>
          <w:rFonts w:ascii="宋体" w:hAnsi="宋体" w:eastAsia="宋体" w:cs="宋体"/>
          <w:spacing w:val="-2"/>
          <w:sz w:val="24"/>
          <w:szCs w:val="24"/>
        </w:rPr>
        <w:t>）相应控</w:t>
      </w:r>
      <w:r>
        <w:rPr>
          <w:rFonts w:ascii="宋体" w:hAnsi="宋体" w:eastAsia="宋体" w:cs="宋体"/>
          <w:sz w:val="24"/>
          <w:szCs w:val="24"/>
        </w:rPr>
        <w:t>制限值，满足农田灌溉水质要求。本项目排放的污水</w:t>
      </w:r>
      <w:r>
        <w:rPr>
          <w:rFonts w:ascii="宋体" w:hAnsi="宋体" w:eastAsia="宋体" w:cs="宋体"/>
          <w:spacing w:val="-1"/>
          <w:sz w:val="24"/>
          <w:szCs w:val="24"/>
        </w:rPr>
        <w:t>不会对农业灌溉造成影响。</w:t>
      </w:r>
    </w:p>
    <w:p w14:paraId="206F0465">
      <w:pPr>
        <w:spacing w:before="152" w:line="220" w:lineRule="auto"/>
        <w:ind w:left="9"/>
        <w:outlineLvl w:val="2"/>
        <w:rPr>
          <w:rFonts w:ascii="宋体" w:hAnsi="宋体" w:eastAsia="宋体" w:cs="宋体"/>
          <w:sz w:val="28"/>
          <w:szCs w:val="28"/>
        </w:rPr>
      </w:pPr>
      <w:r>
        <w:rPr>
          <w:rFonts w:ascii="Times New Roman" w:hAnsi="Times New Roman" w:eastAsia="Times New Roman" w:cs="Times New Roman"/>
          <w:b/>
          <w:bCs/>
          <w:spacing w:val="-2"/>
          <w:sz w:val="28"/>
          <w:szCs w:val="28"/>
        </w:rPr>
        <w:t>9.3.5</w:t>
      </w:r>
      <w:r>
        <w:rPr>
          <w:rFonts w:ascii="宋体" w:hAnsi="宋体" w:eastAsia="宋体" w:cs="宋体"/>
          <w:b/>
          <w:bCs/>
          <w:spacing w:val="-2"/>
          <w:sz w:val="28"/>
          <w:szCs w:val="28"/>
        </w:rPr>
        <w:t>对第三者权益影响分析</w:t>
      </w:r>
    </w:p>
    <w:p w14:paraId="1A242AA2">
      <w:pPr>
        <w:pStyle w:val="2"/>
        <w:spacing w:line="253" w:lineRule="auto"/>
      </w:pPr>
    </w:p>
    <w:p w14:paraId="33F57F13">
      <w:pPr>
        <w:spacing w:before="78" w:line="360" w:lineRule="auto"/>
        <w:ind w:left="10" w:firstLine="480"/>
        <w:jc w:val="both"/>
        <w:rPr>
          <w:rFonts w:ascii="宋体" w:hAnsi="宋体" w:eastAsia="宋体" w:cs="宋体"/>
          <w:sz w:val="24"/>
          <w:szCs w:val="24"/>
        </w:rPr>
      </w:pPr>
      <w:r>
        <w:rPr>
          <w:rFonts w:ascii="宋体" w:hAnsi="宋体" w:eastAsia="宋体" w:cs="宋体"/>
          <w:spacing w:val="3"/>
          <w:sz w:val="24"/>
          <w:szCs w:val="24"/>
        </w:rPr>
        <w:t>本入河排污口设置论证河段范围内（赧水河隆回县元木山</w:t>
      </w:r>
      <w:r>
        <w:rPr>
          <w:rFonts w:ascii="宋体" w:hAnsi="宋体" w:eastAsia="宋体" w:cs="宋体"/>
          <w:spacing w:val="2"/>
          <w:sz w:val="24"/>
          <w:szCs w:val="24"/>
        </w:rPr>
        <w:t>水电站至邵阳县渡</w:t>
      </w:r>
      <w:r>
        <w:rPr>
          <w:rFonts w:ascii="宋体" w:hAnsi="宋体" w:eastAsia="宋体" w:cs="宋体"/>
          <w:spacing w:val="1"/>
          <w:sz w:val="24"/>
          <w:szCs w:val="24"/>
        </w:rPr>
        <w:t>头村断面（出境断面）全长约</w:t>
      </w:r>
      <w:r>
        <w:rPr>
          <w:rFonts w:ascii="Times New Roman" w:hAnsi="Times New Roman" w:eastAsia="Times New Roman" w:cs="Times New Roman"/>
          <w:spacing w:val="1"/>
          <w:sz w:val="24"/>
          <w:szCs w:val="24"/>
        </w:rPr>
        <w:t>9</w:t>
      </w:r>
      <w:r>
        <w:rPr>
          <w:rFonts w:ascii="Times New Roman" w:hAnsi="Times New Roman" w:eastAsia="Times New Roman" w:cs="Times New Roman"/>
          <w:sz w:val="24"/>
          <w:szCs w:val="24"/>
        </w:rPr>
        <w:t>km</w:t>
      </w:r>
      <w:r>
        <w:rPr>
          <w:rFonts w:ascii="宋体" w:hAnsi="宋体" w:eastAsia="宋体" w:cs="宋体"/>
          <w:spacing w:val="1"/>
          <w:sz w:val="24"/>
          <w:szCs w:val="24"/>
        </w:rPr>
        <w:t>）集中式饮用水取水口</w:t>
      </w:r>
      <w:r>
        <w:rPr>
          <w:rFonts w:ascii="Times New Roman" w:hAnsi="Times New Roman" w:eastAsia="Times New Roman" w:cs="Times New Roman"/>
          <w:spacing w:val="1"/>
          <w:sz w:val="24"/>
          <w:szCs w:val="24"/>
        </w:rPr>
        <w:t>1</w:t>
      </w:r>
      <w:r>
        <w:rPr>
          <w:rFonts w:ascii="宋体" w:hAnsi="宋体" w:eastAsia="宋体" w:cs="宋体"/>
          <w:spacing w:val="1"/>
          <w:sz w:val="24"/>
          <w:szCs w:val="24"/>
        </w:rPr>
        <w:t>个（邵阳县长乐乡千</w:t>
      </w:r>
      <w:r>
        <w:rPr>
          <w:rFonts w:ascii="宋体" w:hAnsi="宋体" w:eastAsia="宋体" w:cs="宋体"/>
          <w:spacing w:val="4"/>
          <w:sz w:val="24"/>
          <w:szCs w:val="24"/>
        </w:rPr>
        <w:t>吨万人取水口</w:t>
      </w:r>
      <w:r>
        <w:rPr>
          <w:rFonts w:ascii="宋体" w:hAnsi="宋体" w:eastAsia="宋体" w:cs="宋体"/>
          <w:spacing w:val="9"/>
          <w:sz w:val="24"/>
          <w:szCs w:val="24"/>
        </w:rPr>
        <w:t>）；</w:t>
      </w:r>
      <w:r>
        <w:rPr>
          <w:rFonts w:ascii="宋体" w:hAnsi="宋体" w:eastAsia="宋体" w:cs="宋体"/>
          <w:spacing w:val="4"/>
          <w:sz w:val="24"/>
          <w:szCs w:val="24"/>
        </w:rPr>
        <w:t>农田灌溉取水口</w:t>
      </w:r>
      <w:r>
        <w:rPr>
          <w:rFonts w:ascii="Times New Roman" w:hAnsi="Times New Roman" w:eastAsia="Times New Roman" w:cs="Times New Roman"/>
          <w:spacing w:val="4"/>
          <w:sz w:val="24"/>
          <w:szCs w:val="24"/>
        </w:rPr>
        <w:t>7</w:t>
      </w:r>
      <w:r>
        <w:rPr>
          <w:rFonts w:ascii="宋体" w:hAnsi="宋体" w:eastAsia="宋体" w:cs="宋体"/>
          <w:spacing w:val="4"/>
          <w:sz w:val="24"/>
          <w:szCs w:val="24"/>
        </w:rPr>
        <w:t>个（北山镇大院村、莫家村、易阳</w:t>
      </w:r>
      <w:r>
        <w:rPr>
          <w:rFonts w:ascii="宋体" w:hAnsi="宋体" w:eastAsia="宋体" w:cs="宋体"/>
          <w:spacing w:val="3"/>
          <w:sz w:val="24"/>
          <w:szCs w:val="24"/>
        </w:rPr>
        <w:t>村、杨田</w:t>
      </w:r>
      <w:r>
        <w:rPr>
          <w:rFonts w:ascii="宋体" w:hAnsi="宋体" w:eastAsia="宋体" w:cs="宋体"/>
          <w:spacing w:val="2"/>
          <w:sz w:val="24"/>
          <w:szCs w:val="24"/>
        </w:rPr>
        <w:t>村、观音塘村；山界回族自治乡红星村、落马井村</w:t>
      </w:r>
      <w:r>
        <w:rPr>
          <w:rFonts w:ascii="宋体" w:hAnsi="宋体" w:eastAsia="宋体" w:cs="宋体"/>
          <w:spacing w:val="12"/>
          <w:sz w:val="24"/>
          <w:szCs w:val="24"/>
        </w:rPr>
        <w:t>）；</w:t>
      </w:r>
      <w:r>
        <w:rPr>
          <w:rFonts w:ascii="宋体" w:hAnsi="宋体" w:eastAsia="宋体" w:cs="宋体"/>
          <w:spacing w:val="2"/>
          <w:sz w:val="24"/>
          <w:szCs w:val="24"/>
        </w:rPr>
        <w:t>无其他对水质有特殊的要</w:t>
      </w:r>
      <w:r>
        <w:rPr>
          <w:rFonts w:ascii="宋体" w:hAnsi="宋体" w:eastAsia="宋体" w:cs="宋体"/>
          <w:spacing w:val="-3"/>
          <w:sz w:val="24"/>
          <w:szCs w:val="24"/>
        </w:rPr>
        <w:t>求取水口。</w:t>
      </w:r>
    </w:p>
    <w:p w14:paraId="7F7DDAFF">
      <w:pPr>
        <w:spacing w:before="10" w:line="359" w:lineRule="auto"/>
        <w:ind w:left="8" w:firstLine="480"/>
        <w:jc w:val="both"/>
        <w:rPr>
          <w:rFonts w:ascii="宋体" w:hAnsi="宋体" w:eastAsia="宋体" w:cs="宋体"/>
          <w:sz w:val="24"/>
          <w:szCs w:val="24"/>
        </w:rPr>
      </w:pPr>
      <w:r>
        <w:rPr>
          <w:rFonts w:ascii="宋体" w:hAnsi="宋体" w:eastAsia="宋体" w:cs="宋体"/>
          <w:spacing w:val="2"/>
          <w:sz w:val="24"/>
          <w:szCs w:val="24"/>
        </w:rPr>
        <w:t>据调查邵阳县长乐乡千吨万人取水口位于元木山电站下游约</w:t>
      </w:r>
      <w:r>
        <w:rPr>
          <w:rFonts w:ascii="Times New Roman" w:hAnsi="Times New Roman" w:eastAsia="Times New Roman" w:cs="Times New Roman"/>
          <w:spacing w:val="2"/>
          <w:sz w:val="24"/>
          <w:szCs w:val="24"/>
        </w:rPr>
        <w:t>7.5</w:t>
      </w:r>
      <w:r>
        <w:rPr>
          <w:rFonts w:ascii="Times New Roman" w:hAnsi="Times New Roman" w:eastAsia="Times New Roman" w:cs="Times New Roman"/>
          <w:sz w:val="24"/>
          <w:szCs w:val="24"/>
        </w:rPr>
        <w:t>km</w:t>
      </w:r>
      <w:r>
        <w:rPr>
          <w:rFonts w:ascii="宋体" w:hAnsi="宋体" w:eastAsia="宋体" w:cs="宋体"/>
          <w:spacing w:val="2"/>
          <w:sz w:val="24"/>
          <w:szCs w:val="24"/>
        </w:rPr>
        <w:t>处，根据</w:t>
      </w:r>
      <w:r>
        <w:rPr>
          <w:rFonts w:ascii="宋体" w:hAnsi="宋体" w:eastAsia="宋体" w:cs="宋体"/>
          <w:sz w:val="24"/>
          <w:szCs w:val="24"/>
        </w:rPr>
        <w:t>《邵阳县乡镇</w:t>
      </w:r>
      <w:r>
        <w:rPr>
          <w:rFonts w:ascii="Times New Roman" w:hAnsi="Times New Roman" w:eastAsia="Times New Roman" w:cs="Times New Roman"/>
          <w:sz w:val="24"/>
          <w:szCs w:val="24"/>
        </w:rPr>
        <w:t>21</w:t>
      </w:r>
      <w:r>
        <w:rPr>
          <w:rFonts w:ascii="宋体" w:hAnsi="宋体" w:eastAsia="宋体" w:cs="宋体"/>
          <w:sz w:val="24"/>
          <w:szCs w:val="24"/>
        </w:rPr>
        <w:t>个</w:t>
      </w:r>
      <w:r>
        <w:rPr>
          <w:rFonts w:ascii="Times New Roman" w:hAnsi="Times New Roman" w:eastAsia="Times New Roman" w:cs="Times New Roman"/>
          <w:sz w:val="24"/>
          <w:szCs w:val="24"/>
        </w:rPr>
        <w:t>“</w:t>
      </w:r>
      <w:r>
        <w:rPr>
          <w:rFonts w:ascii="宋体" w:hAnsi="宋体" w:eastAsia="宋体" w:cs="宋体"/>
          <w:sz w:val="24"/>
          <w:szCs w:val="24"/>
        </w:rPr>
        <w:t>千吨万人</w:t>
      </w:r>
      <w:r>
        <w:rPr>
          <w:rFonts w:ascii="Times New Roman" w:hAnsi="Times New Roman" w:eastAsia="Times New Roman" w:cs="Times New Roman"/>
          <w:sz w:val="24"/>
          <w:szCs w:val="24"/>
        </w:rPr>
        <w:t>”</w:t>
      </w:r>
      <w:r>
        <w:rPr>
          <w:rFonts w:ascii="宋体" w:hAnsi="宋体" w:eastAsia="宋体" w:cs="宋体"/>
          <w:sz w:val="24"/>
          <w:szCs w:val="24"/>
        </w:rPr>
        <w:t>饮用水水源保护区划分方案》，长乐乡赧水一</w:t>
      </w:r>
      <w:r>
        <w:rPr>
          <w:rFonts w:ascii="宋体" w:hAnsi="宋体" w:eastAsia="宋体" w:cs="宋体"/>
          <w:spacing w:val="-1"/>
          <w:sz w:val="24"/>
          <w:szCs w:val="24"/>
        </w:rPr>
        <w:t>级保</w:t>
      </w:r>
      <w:r>
        <w:rPr>
          <w:rFonts w:ascii="宋体" w:hAnsi="宋体" w:eastAsia="宋体" w:cs="宋体"/>
          <w:spacing w:val="-3"/>
          <w:sz w:val="24"/>
          <w:szCs w:val="24"/>
        </w:rPr>
        <w:t>护区范围为</w:t>
      </w:r>
      <w:r>
        <w:rPr>
          <w:rFonts w:ascii="Times New Roman" w:hAnsi="Times New Roman" w:eastAsia="Times New Roman" w:cs="Times New Roman"/>
          <w:spacing w:val="-3"/>
          <w:sz w:val="24"/>
          <w:szCs w:val="24"/>
        </w:rPr>
        <w:t>“</w:t>
      </w:r>
      <w:r>
        <w:rPr>
          <w:rFonts w:ascii="宋体" w:hAnsi="宋体" w:eastAsia="宋体" w:cs="宋体"/>
          <w:spacing w:val="-3"/>
          <w:sz w:val="24"/>
          <w:szCs w:val="24"/>
        </w:rPr>
        <w:t>取水口上游</w:t>
      </w:r>
      <w:r>
        <w:rPr>
          <w:rFonts w:ascii="Times New Roman" w:hAnsi="Times New Roman" w:eastAsia="Times New Roman" w:cs="Times New Roman"/>
          <w:spacing w:val="-3"/>
          <w:sz w:val="24"/>
          <w:szCs w:val="24"/>
        </w:rPr>
        <w:t>330</w:t>
      </w:r>
      <w:r>
        <w:rPr>
          <w:rFonts w:ascii="宋体" w:hAnsi="宋体" w:eastAsia="宋体" w:cs="宋体"/>
          <w:spacing w:val="-3"/>
          <w:sz w:val="24"/>
          <w:szCs w:val="24"/>
        </w:rPr>
        <w:t>米至下游</w:t>
      </w:r>
      <w:r>
        <w:rPr>
          <w:rFonts w:ascii="Times New Roman" w:hAnsi="Times New Roman" w:eastAsia="Times New Roman" w:cs="Times New Roman"/>
          <w:spacing w:val="-3"/>
          <w:sz w:val="24"/>
          <w:szCs w:val="24"/>
        </w:rPr>
        <w:t>30</w:t>
      </w:r>
      <w:r>
        <w:rPr>
          <w:rFonts w:ascii="宋体" w:hAnsi="宋体" w:eastAsia="宋体" w:cs="宋体"/>
          <w:spacing w:val="-3"/>
          <w:sz w:val="24"/>
          <w:szCs w:val="24"/>
        </w:rPr>
        <w:t>米河道水域</w:t>
      </w:r>
      <w:r>
        <w:rPr>
          <w:rFonts w:ascii="Times New Roman" w:hAnsi="Times New Roman" w:eastAsia="Times New Roman" w:cs="Times New Roman"/>
          <w:spacing w:val="-3"/>
          <w:sz w:val="24"/>
          <w:szCs w:val="24"/>
        </w:rPr>
        <w:t>”</w:t>
      </w:r>
      <w:r>
        <w:rPr>
          <w:rFonts w:ascii="宋体" w:hAnsi="宋体" w:eastAsia="宋体" w:cs="宋体"/>
          <w:spacing w:val="-3"/>
          <w:sz w:val="24"/>
          <w:szCs w:val="24"/>
        </w:rPr>
        <w:t>，二级保护区范围</w:t>
      </w:r>
      <w:r>
        <w:rPr>
          <w:rFonts w:ascii="Times New Roman" w:hAnsi="Times New Roman" w:eastAsia="Times New Roman" w:cs="Times New Roman"/>
          <w:spacing w:val="-3"/>
          <w:sz w:val="24"/>
          <w:szCs w:val="24"/>
        </w:rPr>
        <w:t>“</w:t>
      </w:r>
      <w:r>
        <w:rPr>
          <w:rFonts w:ascii="宋体" w:hAnsi="宋体" w:eastAsia="宋体" w:cs="宋体"/>
          <w:spacing w:val="-3"/>
          <w:sz w:val="24"/>
          <w:szCs w:val="24"/>
        </w:rPr>
        <w:t>赧</w:t>
      </w:r>
      <w:r>
        <w:rPr>
          <w:rFonts w:ascii="宋体" w:hAnsi="宋体" w:eastAsia="宋体" w:cs="宋体"/>
          <w:spacing w:val="-4"/>
          <w:sz w:val="24"/>
          <w:szCs w:val="24"/>
        </w:rPr>
        <w:t>水干流</w:t>
      </w:r>
      <w:r>
        <w:rPr>
          <w:rFonts w:ascii="宋体" w:hAnsi="宋体" w:eastAsia="宋体" w:cs="宋体"/>
          <w:spacing w:val="-1"/>
          <w:sz w:val="24"/>
          <w:szCs w:val="24"/>
        </w:rPr>
        <w:t>一级保护区水域上边界上溯</w:t>
      </w:r>
      <w:r>
        <w:rPr>
          <w:rFonts w:ascii="Times New Roman" w:hAnsi="Times New Roman" w:eastAsia="Times New Roman" w:cs="Times New Roman"/>
          <w:spacing w:val="-1"/>
          <w:sz w:val="24"/>
          <w:szCs w:val="24"/>
        </w:rPr>
        <w:t>670</w:t>
      </w:r>
      <w:r>
        <w:rPr>
          <w:rFonts w:ascii="宋体" w:hAnsi="宋体" w:eastAsia="宋体" w:cs="宋体"/>
          <w:spacing w:val="-1"/>
          <w:sz w:val="24"/>
          <w:szCs w:val="24"/>
        </w:rPr>
        <w:t>米、下边界下延</w:t>
      </w:r>
      <w:r>
        <w:rPr>
          <w:rFonts w:ascii="Times New Roman" w:hAnsi="Times New Roman" w:eastAsia="Times New Roman" w:cs="Times New Roman"/>
          <w:spacing w:val="-1"/>
          <w:sz w:val="24"/>
          <w:szCs w:val="24"/>
        </w:rPr>
        <w:t>70</w:t>
      </w:r>
      <w:r>
        <w:rPr>
          <w:rFonts w:ascii="宋体" w:hAnsi="宋体" w:eastAsia="宋体" w:cs="宋体"/>
          <w:spacing w:val="-1"/>
          <w:sz w:val="24"/>
          <w:szCs w:val="24"/>
        </w:rPr>
        <w:t>米的河道水域</w:t>
      </w:r>
      <w:r>
        <w:rPr>
          <w:rFonts w:ascii="宋体" w:hAnsi="宋体" w:eastAsia="宋体" w:cs="宋体"/>
          <w:spacing w:val="-2"/>
          <w:sz w:val="24"/>
          <w:szCs w:val="24"/>
        </w:rPr>
        <w:t>。支流汇入赧水</w:t>
      </w:r>
      <w:r>
        <w:rPr>
          <w:rFonts w:ascii="宋体" w:hAnsi="宋体" w:eastAsia="宋体" w:cs="宋体"/>
          <w:spacing w:val="-1"/>
          <w:sz w:val="24"/>
          <w:szCs w:val="24"/>
        </w:rPr>
        <w:t>口上溯至拦水坝处河道水域</w:t>
      </w:r>
      <w:r>
        <w:rPr>
          <w:rFonts w:ascii="Times New Roman" w:hAnsi="Times New Roman" w:eastAsia="Times New Roman" w:cs="Times New Roman"/>
          <w:spacing w:val="-1"/>
          <w:sz w:val="24"/>
          <w:szCs w:val="24"/>
        </w:rPr>
        <w:t>”</w:t>
      </w:r>
      <w:r>
        <w:rPr>
          <w:rFonts w:ascii="宋体" w:hAnsi="宋体" w:eastAsia="宋体" w:cs="宋体"/>
          <w:spacing w:val="-1"/>
          <w:sz w:val="24"/>
          <w:szCs w:val="24"/>
        </w:rPr>
        <w:t>。本入河排污口未处于长乐乡取</w:t>
      </w:r>
      <w:r>
        <w:rPr>
          <w:rFonts w:ascii="宋体" w:hAnsi="宋体" w:eastAsia="宋体" w:cs="宋体"/>
          <w:spacing w:val="-2"/>
          <w:sz w:val="24"/>
          <w:szCs w:val="24"/>
        </w:rPr>
        <w:t>水口保护区范围。据</w:t>
      </w:r>
      <w:r>
        <w:rPr>
          <w:rFonts w:ascii="Times New Roman" w:hAnsi="Times New Roman" w:eastAsia="Times New Roman" w:cs="Times New Roman"/>
          <w:sz w:val="24"/>
          <w:szCs w:val="24"/>
        </w:rPr>
        <w:t>6.3.5</w:t>
      </w:r>
      <w:r>
        <w:rPr>
          <w:rFonts w:ascii="宋体" w:hAnsi="宋体" w:eastAsia="宋体" w:cs="宋体"/>
          <w:sz w:val="24"/>
          <w:szCs w:val="24"/>
        </w:rPr>
        <w:t>小节的预测分析，正常排放情况下，</w:t>
      </w:r>
      <w:r>
        <w:rPr>
          <w:rFonts w:ascii="Times New Roman" w:hAnsi="Times New Roman" w:eastAsia="Times New Roman" w:cs="Times New Roman"/>
          <w:sz w:val="24"/>
          <w:szCs w:val="24"/>
        </w:rPr>
        <w:t>COD</w:t>
      </w:r>
      <w:r>
        <w:rPr>
          <w:rFonts w:ascii="宋体" w:hAnsi="宋体" w:eastAsia="宋体" w:cs="宋体"/>
          <w:sz w:val="24"/>
          <w:szCs w:val="24"/>
        </w:rPr>
        <w:t>、氨氮的浓度在排放口下游</w:t>
      </w:r>
      <w:r>
        <w:rPr>
          <w:rFonts w:ascii="Times New Roman" w:hAnsi="Times New Roman" w:eastAsia="Times New Roman" w:cs="Times New Roman"/>
          <w:sz w:val="24"/>
          <w:szCs w:val="24"/>
        </w:rPr>
        <w:t>7.5km</w:t>
      </w:r>
      <w:r>
        <w:rPr>
          <w:rFonts w:ascii="宋体" w:hAnsi="宋体" w:eastAsia="宋体" w:cs="宋体"/>
          <w:spacing w:val="-2"/>
          <w:sz w:val="24"/>
          <w:szCs w:val="24"/>
        </w:rPr>
        <w:t>处已基本趋于稳定，接近现状背景值，水域水质达到地表水</w:t>
      </w:r>
      <w:r>
        <w:rPr>
          <w:rFonts w:ascii="Times New Roman" w:hAnsi="Times New Roman" w:eastAsia="Times New Roman" w:cs="Times New Roman"/>
          <w:spacing w:val="-2"/>
          <w:sz w:val="24"/>
          <w:szCs w:val="24"/>
        </w:rPr>
        <w:t>Ⅱ</w:t>
      </w:r>
      <w:r>
        <w:rPr>
          <w:rFonts w:ascii="宋体" w:hAnsi="宋体" w:eastAsia="宋体" w:cs="宋体"/>
          <w:spacing w:val="-2"/>
          <w:sz w:val="24"/>
          <w:szCs w:val="24"/>
        </w:rPr>
        <w:t>类水质标准，满足水</w:t>
      </w:r>
      <w:r>
        <w:rPr>
          <w:rFonts w:ascii="宋体" w:hAnsi="宋体" w:eastAsia="宋体" w:cs="宋体"/>
          <w:spacing w:val="-1"/>
          <w:sz w:val="24"/>
          <w:szCs w:val="24"/>
        </w:rPr>
        <w:t>源保护区水质要求。</w:t>
      </w:r>
    </w:p>
    <w:p w14:paraId="35272C25">
      <w:pPr>
        <w:spacing w:before="4" w:line="360" w:lineRule="auto"/>
        <w:ind w:left="10" w:firstLine="484"/>
        <w:jc w:val="both"/>
        <w:rPr>
          <w:rFonts w:ascii="宋体" w:hAnsi="宋体" w:eastAsia="宋体" w:cs="宋体"/>
          <w:sz w:val="24"/>
          <w:szCs w:val="24"/>
        </w:rPr>
      </w:pPr>
      <w:r>
        <w:rPr>
          <w:rFonts w:ascii="宋体" w:hAnsi="宋体" w:eastAsia="宋体" w:cs="宋体"/>
          <w:spacing w:val="3"/>
          <w:sz w:val="24"/>
          <w:szCs w:val="24"/>
        </w:rPr>
        <w:t>结合元木山水质监测断面（省控）、渡头村水质</w:t>
      </w:r>
      <w:r>
        <w:rPr>
          <w:rFonts w:ascii="宋体" w:hAnsi="宋体" w:eastAsia="宋体" w:cs="宋体"/>
          <w:spacing w:val="2"/>
          <w:sz w:val="24"/>
          <w:szCs w:val="24"/>
        </w:rPr>
        <w:t>监测断面（国控）的常规水</w:t>
      </w:r>
      <w:r>
        <w:rPr>
          <w:rFonts w:ascii="宋体" w:hAnsi="宋体" w:eastAsia="宋体" w:cs="宋体"/>
          <w:spacing w:val="3"/>
          <w:sz w:val="24"/>
          <w:szCs w:val="24"/>
        </w:rPr>
        <w:t>质监测结果分析，本入河排污口在正常排放情况</w:t>
      </w:r>
      <w:r>
        <w:rPr>
          <w:rFonts w:ascii="宋体" w:hAnsi="宋体" w:eastAsia="宋体" w:cs="宋体"/>
          <w:spacing w:val="2"/>
          <w:sz w:val="24"/>
          <w:szCs w:val="24"/>
        </w:rPr>
        <w:t>下，对取水口所在水域现有水质</w:t>
      </w:r>
      <w:r>
        <w:rPr>
          <w:rFonts w:ascii="宋体" w:hAnsi="宋体" w:eastAsia="宋体" w:cs="宋体"/>
          <w:spacing w:val="3"/>
          <w:sz w:val="24"/>
          <w:szCs w:val="24"/>
        </w:rPr>
        <w:t>无明显影响。同时满足工业用水及农业灌溉水质</w:t>
      </w:r>
      <w:r>
        <w:rPr>
          <w:rFonts w:ascii="宋体" w:hAnsi="宋体" w:eastAsia="宋体" w:cs="宋体"/>
          <w:spacing w:val="2"/>
          <w:sz w:val="24"/>
          <w:szCs w:val="24"/>
        </w:rPr>
        <w:t>要求，不会对第三者权益造成影</w:t>
      </w:r>
      <w:r>
        <w:rPr>
          <w:rFonts w:ascii="宋体" w:hAnsi="宋体" w:eastAsia="宋体" w:cs="宋体"/>
          <w:spacing w:val="-3"/>
          <w:sz w:val="24"/>
          <w:szCs w:val="24"/>
        </w:rPr>
        <w:t>响，第三者权益调查意见表详见附件</w:t>
      </w:r>
      <w:r>
        <w:rPr>
          <w:rFonts w:ascii="Times New Roman" w:hAnsi="Times New Roman" w:eastAsia="Times New Roman" w:cs="Times New Roman"/>
          <w:spacing w:val="-3"/>
          <w:sz w:val="24"/>
          <w:szCs w:val="24"/>
        </w:rPr>
        <w:t>10</w:t>
      </w:r>
      <w:r>
        <w:rPr>
          <w:rFonts w:ascii="宋体" w:hAnsi="宋体" w:eastAsia="宋体" w:cs="宋体"/>
          <w:spacing w:val="-3"/>
          <w:sz w:val="24"/>
          <w:szCs w:val="24"/>
        </w:rPr>
        <w:t>。</w:t>
      </w:r>
    </w:p>
    <w:p w14:paraId="61A9371C">
      <w:pPr>
        <w:spacing w:before="171" w:line="220" w:lineRule="auto"/>
        <w:ind w:left="9"/>
        <w:outlineLvl w:val="2"/>
        <w:rPr>
          <w:rFonts w:ascii="宋体" w:hAnsi="宋体" w:eastAsia="宋体" w:cs="宋体"/>
          <w:sz w:val="28"/>
          <w:szCs w:val="28"/>
        </w:rPr>
      </w:pPr>
      <w:r>
        <w:rPr>
          <w:rFonts w:ascii="Times New Roman" w:hAnsi="Times New Roman" w:eastAsia="Times New Roman" w:cs="Times New Roman"/>
          <w:b/>
          <w:bCs/>
          <w:spacing w:val="-2"/>
          <w:sz w:val="28"/>
          <w:szCs w:val="28"/>
        </w:rPr>
        <w:t>9.3.6</w:t>
      </w:r>
      <w:r>
        <w:rPr>
          <w:rFonts w:ascii="宋体" w:hAnsi="宋体" w:eastAsia="宋体" w:cs="宋体"/>
          <w:b/>
          <w:bCs/>
          <w:spacing w:val="-2"/>
          <w:sz w:val="28"/>
          <w:szCs w:val="28"/>
        </w:rPr>
        <w:t>对地下水影响分析</w:t>
      </w:r>
    </w:p>
    <w:p w14:paraId="038D7CAE">
      <w:pPr>
        <w:pStyle w:val="2"/>
        <w:spacing w:line="255" w:lineRule="auto"/>
      </w:pPr>
    </w:p>
    <w:p w14:paraId="122B4EB5">
      <w:pPr>
        <w:spacing w:before="79" w:line="360" w:lineRule="auto"/>
        <w:ind w:left="8" w:firstLine="481"/>
        <w:jc w:val="both"/>
        <w:rPr>
          <w:rFonts w:ascii="宋体" w:hAnsi="宋体" w:eastAsia="宋体" w:cs="宋体"/>
          <w:sz w:val="24"/>
          <w:szCs w:val="24"/>
        </w:rPr>
      </w:pPr>
      <w:r>
        <w:rPr>
          <w:rFonts w:ascii="宋体" w:hAnsi="宋体" w:eastAsia="宋体" w:cs="宋体"/>
          <w:spacing w:val="3"/>
          <w:sz w:val="24"/>
          <w:szCs w:val="24"/>
        </w:rPr>
        <w:t>本项目污水处理厂尾水排入赧水，本项目尾水流经影响范</w:t>
      </w:r>
      <w:r>
        <w:rPr>
          <w:rFonts w:ascii="宋体" w:hAnsi="宋体" w:eastAsia="宋体" w:cs="宋体"/>
          <w:spacing w:val="2"/>
          <w:sz w:val="24"/>
          <w:szCs w:val="24"/>
        </w:rPr>
        <w:t>围内河道两侧近距</w:t>
      </w:r>
      <w:r>
        <w:rPr>
          <w:rFonts w:ascii="宋体" w:hAnsi="宋体" w:eastAsia="宋体" w:cs="宋体"/>
          <w:spacing w:val="3"/>
          <w:sz w:val="24"/>
          <w:szCs w:val="24"/>
        </w:rPr>
        <w:t>离内没有使用地下水作为水源的大型用水户。本项目</w:t>
      </w:r>
      <w:r>
        <w:rPr>
          <w:rFonts w:ascii="宋体" w:hAnsi="宋体" w:eastAsia="宋体" w:cs="宋体"/>
          <w:spacing w:val="2"/>
          <w:sz w:val="24"/>
          <w:szCs w:val="24"/>
        </w:rPr>
        <w:t>不开采地下水，同时也无注</w:t>
      </w:r>
      <w:r>
        <w:rPr>
          <w:rFonts w:ascii="宋体" w:hAnsi="宋体" w:eastAsia="宋体" w:cs="宋体"/>
          <w:spacing w:val="3"/>
          <w:sz w:val="24"/>
          <w:szCs w:val="24"/>
        </w:rPr>
        <w:t>入地下水，不会引起地下水流场或地下水水位变化，</w:t>
      </w:r>
      <w:r>
        <w:rPr>
          <w:rFonts w:ascii="宋体" w:hAnsi="宋体" w:eastAsia="宋体" w:cs="宋体"/>
          <w:spacing w:val="2"/>
          <w:sz w:val="24"/>
          <w:szCs w:val="24"/>
        </w:rPr>
        <w:t>因此也不会导致因水位的变</w:t>
      </w:r>
      <w:r>
        <w:rPr>
          <w:rFonts w:ascii="宋体" w:hAnsi="宋体" w:eastAsia="宋体" w:cs="宋体"/>
          <w:spacing w:val="-1"/>
          <w:sz w:val="24"/>
          <w:szCs w:val="24"/>
        </w:rPr>
        <w:t>化而产生的环境水文地质问题。</w:t>
      </w:r>
    </w:p>
    <w:p w14:paraId="12A6B763">
      <w:pPr>
        <w:spacing w:line="361" w:lineRule="auto"/>
        <w:ind w:left="12" w:firstLine="500"/>
        <w:jc w:val="both"/>
        <w:rPr>
          <w:rFonts w:ascii="宋体" w:hAnsi="宋体" w:eastAsia="宋体" w:cs="宋体"/>
          <w:sz w:val="24"/>
          <w:szCs w:val="24"/>
        </w:rPr>
      </w:pPr>
      <w:r>
        <w:rPr>
          <w:rFonts w:ascii="宋体" w:hAnsi="宋体" w:eastAsia="宋体" w:cs="宋体"/>
          <w:spacing w:val="2"/>
          <w:sz w:val="24"/>
          <w:szCs w:val="24"/>
        </w:rPr>
        <w:t>同时，本项目污水经管道和渠道输送，管道和处理设施均做好防渗措施。污</w:t>
      </w:r>
      <w:r>
        <w:rPr>
          <w:rFonts w:ascii="宋体" w:hAnsi="宋体" w:eastAsia="宋体" w:cs="宋体"/>
          <w:spacing w:val="3"/>
          <w:sz w:val="24"/>
          <w:szCs w:val="24"/>
        </w:rPr>
        <w:t>水处理厂内地面已进行了硬化、防渗处理，</w:t>
      </w:r>
      <w:r>
        <w:rPr>
          <w:rFonts w:ascii="宋体" w:hAnsi="宋体" w:eastAsia="宋体" w:cs="宋体"/>
          <w:spacing w:val="2"/>
          <w:sz w:val="24"/>
          <w:szCs w:val="24"/>
        </w:rPr>
        <w:t>有效阻隔污染物进入地下水体中，做</w:t>
      </w:r>
      <w:r>
        <w:rPr>
          <w:rFonts w:ascii="宋体" w:hAnsi="宋体" w:eastAsia="宋体" w:cs="宋体"/>
          <w:spacing w:val="3"/>
          <w:sz w:val="24"/>
          <w:szCs w:val="24"/>
        </w:rPr>
        <w:t>到污水不下渗。产生的污泥运输至海螺水泥</w:t>
      </w:r>
      <w:r>
        <w:rPr>
          <w:rFonts w:ascii="宋体" w:hAnsi="宋体" w:eastAsia="宋体" w:cs="宋体"/>
          <w:spacing w:val="2"/>
          <w:sz w:val="24"/>
          <w:szCs w:val="24"/>
        </w:rPr>
        <w:t>厂焚烧处理，因此本项目污染地下水</w:t>
      </w:r>
    </w:p>
    <w:p w14:paraId="69982C3C">
      <w:pPr>
        <w:spacing w:line="361" w:lineRule="auto"/>
        <w:rPr>
          <w:rFonts w:ascii="宋体" w:hAnsi="宋体" w:eastAsia="宋体" w:cs="宋体"/>
          <w:sz w:val="24"/>
          <w:szCs w:val="24"/>
        </w:rPr>
        <w:sectPr>
          <w:footerReference r:id="rId169" w:type="default"/>
          <w:pgSz w:w="11906" w:h="16839"/>
          <w:pgMar w:top="1132" w:right="1700" w:bottom="1259" w:left="1701" w:header="829" w:footer="1097" w:gutter="0"/>
          <w:cols w:space="720" w:num="1"/>
        </w:sectPr>
      </w:pPr>
    </w:p>
    <w:p w14:paraId="16A46BD3">
      <w:pPr>
        <w:pStyle w:val="2"/>
        <w:spacing w:line="320" w:lineRule="auto"/>
      </w:pPr>
    </w:p>
    <w:p w14:paraId="55A68B01">
      <w:pPr>
        <w:spacing w:before="78" w:line="219" w:lineRule="auto"/>
        <w:ind w:left="29"/>
        <w:rPr>
          <w:rFonts w:ascii="宋体" w:hAnsi="宋体" w:eastAsia="宋体" w:cs="宋体"/>
          <w:sz w:val="24"/>
          <w:szCs w:val="24"/>
        </w:rPr>
      </w:pPr>
      <w:r>
        <w:rPr>
          <w:rFonts w:ascii="宋体" w:hAnsi="宋体" w:eastAsia="宋体" w:cs="宋体"/>
          <w:spacing w:val="-4"/>
          <w:sz w:val="24"/>
          <w:szCs w:val="24"/>
        </w:rPr>
        <w:t>的可能途径较少。</w:t>
      </w:r>
    </w:p>
    <w:p w14:paraId="6DF31F40">
      <w:pPr>
        <w:spacing w:before="187" w:line="360" w:lineRule="auto"/>
        <w:ind w:left="8" w:right="18" w:firstLine="482"/>
        <w:jc w:val="both"/>
        <w:rPr>
          <w:rFonts w:ascii="宋体" w:hAnsi="宋体" w:eastAsia="宋体" w:cs="宋体"/>
          <w:sz w:val="24"/>
          <w:szCs w:val="24"/>
        </w:rPr>
      </w:pPr>
      <w:r>
        <w:rPr>
          <w:rFonts w:ascii="宋体" w:hAnsi="宋体" w:eastAsia="宋体" w:cs="宋体"/>
          <w:spacing w:val="3"/>
          <w:sz w:val="24"/>
          <w:szCs w:val="24"/>
        </w:rPr>
        <w:t>赧水隆回段地表水补给来源主要来自大气降水、上游支</w:t>
      </w:r>
      <w:r>
        <w:rPr>
          <w:rFonts w:ascii="宋体" w:hAnsi="宋体" w:eastAsia="宋体" w:cs="宋体"/>
          <w:spacing w:val="2"/>
          <w:sz w:val="24"/>
          <w:szCs w:val="24"/>
        </w:rPr>
        <w:t>流以及河道两侧地下</w:t>
      </w:r>
      <w:r>
        <w:rPr>
          <w:rFonts w:ascii="宋体" w:hAnsi="宋体" w:eastAsia="宋体" w:cs="宋体"/>
          <w:spacing w:val="3"/>
          <w:sz w:val="24"/>
          <w:szCs w:val="24"/>
        </w:rPr>
        <w:t>水泄流补给，其补给量受季节、时空分布影响较大，</w:t>
      </w:r>
      <w:r>
        <w:rPr>
          <w:rFonts w:ascii="宋体" w:hAnsi="宋体" w:eastAsia="宋体" w:cs="宋体"/>
          <w:spacing w:val="2"/>
          <w:sz w:val="24"/>
          <w:szCs w:val="24"/>
        </w:rPr>
        <w:t>丰水期与枯水期的水位相差</w:t>
      </w:r>
      <w:r>
        <w:rPr>
          <w:rFonts w:ascii="宋体" w:hAnsi="宋体" w:eastAsia="宋体" w:cs="宋体"/>
          <w:spacing w:val="3"/>
          <w:sz w:val="24"/>
          <w:szCs w:val="24"/>
        </w:rPr>
        <w:t>悬殊。当河床处于丰水期，地表水位高于地下水位时</w:t>
      </w:r>
      <w:r>
        <w:rPr>
          <w:rFonts w:ascii="宋体" w:hAnsi="宋体" w:eastAsia="宋体" w:cs="宋体"/>
          <w:spacing w:val="2"/>
          <w:sz w:val="24"/>
          <w:szCs w:val="24"/>
        </w:rPr>
        <w:t>，地表水补给地下水；当处</w:t>
      </w:r>
      <w:r>
        <w:rPr>
          <w:rFonts w:ascii="宋体" w:hAnsi="宋体" w:eastAsia="宋体" w:cs="宋体"/>
          <w:spacing w:val="3"/>
          <w:sz w:val="24"/>
          <w:szCs w:val="24"/>
        </w:rPr>
        <w:t>于枯水期，地表水位低于地下水位时，地下水补给地</w:t>
      </w:r>
      <w:r>
        <w:rPr>
          <w:rFonts w:ascii="宋体" w:hAnsi="宋体" w:eastAsia="宋体" w:cs="宋体"/>
          <w:spacing w:val="2"/>
          <w:sz w:val="24"/>
          <w:szCs w:val="24"/>
        </w:rPr>
        <w:t>表水，两者水量存在动态过程，在这个过程中存在水质的相互影响。本论证入河排污口排水量为</w:t>
      </w:r>
      <w:r>
        <w:rPr>
          <w:rFonts w:ascii="Times New Roman" w:hAnsi="Times New Roman" w:eastAsia="Times New Roman" w:cs="Times New Roman"/>
          <w:spacing w:val="1"/>
          <w:sz w:val="24"/>
          <w:szCs w:val="24"/>
        </w:rPr>
        <w:t>1.5</w:t>
      </w:r>
      <w:r>
        <w:rPr>
          <w:rFonts w:ascii="宋体" w:hAnsi="宋体" w:eastAsia="宋体" w:cs="宋体"/>
          <w:spacing w:val="1"/>
          <w:sz w:val="24"/>
          <w:szCs w:val="24"/>
        </w:rPr>
        <w:t>万</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4"/>
          <w:szCs w:val="24"/>
        </w:rPr>
        <w:t>/d</w:t>
      </w:r>
      <w:r>
        <w:rPr>
          <w:rFonts w:ascii="宋体" w:hAnsi="宋体" w:eastAsia="宋体" w:cs="宋体"/>
          <w:spacing w:val="-2"/>
          <w:sz w:val="24"/>
          <w:szCs w:val="24"/>
        </w:rPr>
        <w:t>（</w:t>
      </w:r>
      <w:r>
        <w:rPr>
          <w:rFonts w:ascii="Times New Roman" w:hAnsi="Times New Roman" w:eastAsia="Times New Roman" w:cs="Times New Roman"/>
          <w:spacing w:val="-2"/>
          <w:sz w:val="24"/>
          <w:szCs w:val="24"/>
        </w:rPr>
        <w:t>0.174m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4"/>
          <w:szCs w:val="24"/>
        </w:rPr>
        <w:t>/s</w:t>
      </w:r>
      <w:r>
        <w:rPr>
          <w:rFonts w:ascii="宋体" w:hAnsi="宋体" w:eastAsia="宋体" w:cs="宋体"/>
          <w:spacing w:val="-4"/>
          <w:sz w:val="24"/>
          <w:szCs w:val="24"/>
        </w:rPr>
        <w:t>），</w:t>
      </w:r>
      <w:r>
        <w:rPr>
          <w:rFonts w:ascii="宋体" w:hAnsi="宋体" w:eastAsia="宋体" w:cs="宋体"/>
          <w:spacing w:val="-2"/>
          <w:sz w:val="24"/>
          <w:szCs w:val="24"/>
        </w:rPr>
        <w:t>赧水多年平均流量</w:t>
      </w:r>
      <w:r>
        <w:rPr>
          <w:rFonts w:ascii="Times New Roman" w:hAnsi="Times New Roman" w:eastAsia="Times New Roman" w:cs="Times New Roman"/>
          <w:spacing w:val="-2"/>
          <w:sz w:val="24"/>
          <w:szCs w:val="24"/>
        </w:rPr>
        <w:t>17</w:t>
      </w:r>
      <w:r>
        <w:rPr>
          <w:rFonts w:ascii="Times New Roman" w:hAnsi="Times New Roman" w:eastAsia="Times New Roman" w:cs="Times New Roman"/>
          <w:spacing w:val="-3"/>
          <w:sz w:val="24"/>
          <w:szCs w:val="24"/>
        </w:rPr>
        <w:t>5m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sz w:val="24"/>
          <w:szCs w:val="24"/>
        </w:rPr>
        <w:t>/s</w:t>
      </w:r>
      <w:r>
        <w:rPr>
          <w:rFonts w:ascii="宋体" w:hAnsi="宋体" w:eastAsia="宋体" w:cs="宋体"/>
          <w:spacing w:val="-3"/>
          <w:sz w:val="24"/>
          <w:szCs w:val="24"/>
        </w:rPr>
        <w:t>，入河排污流量仅为赧水平均流量的千</w:t>
      </w:r>
      <w:r>
        <w:rPr>
          <w:rFonts w:ascii="宋体" w:hAnsi="宋体" w:eastAsia="宋体" w:cs="宋体"/>
          <w:spacing w:val="-2"/>
          <w:sz w:val="24"/>
          <w:szCs w:val="24"/>
        </w:rPr>
        <w:t>分之一，即使在枯水期，也只占赧水枯水期流量的千分之</w:t>
      </w:r>
      <w:r>
        <w:rPr>
          <w:rFonts w:ascii="Times New Roman" w:hAnsi="Times New Roman" w:eastAsia="Times New Roman" w:cs="Times New Roman"/>
          <w:spacing w:val="-2"/>
          <w:sz w:val="24"/>
          <w:szCs w:val="24"/>
        </w:rPr>
        <w:t>2.5</w:t>
      </w:r>
      <w:r>
        <w:rPr>
          <w:rFonts w:ascii="宋体" w:hAnsi="宋体" w:eastAsia="宋体" w:cs="宋体"/>
          <w:spacing w:val="-2"/>
          <w:sz w:val="24"/>
          <w:szCs w:val="24"/>
        </w:rPr>
        <w:t>，本入河排污口设置对赧水的水文情势基本没有影响，因此也不会改变赧</w:t>
      </w:r>
      <w:r>
        <w:rPr>
          <w:rFonts w:ascii="宋体" w:hAnsi="宋体" w:eastAsia="宋体" w:cs="宋体"/>
          <w:spacing w:val="-3"/>
          <w:sz w:val="24"/>
          <w:szCs w:val="24"/>
        </w:rPr>
        <w:t>水与周边地下水的水力联系，</w:t>
      </w:r>
      <w:r>
        <w:rPr>
          <w:rFonts w:ascii="宋体" w:hAnsi="宋体" w:eastAsia="宋体" w:cs="宋体"/>
          <w:spacing w:val="3"/>
          <w:sz w:val="24"/>
          <w:szCs w:val="24"/>
        </w:rPr>
        <w:t>对地下水的水文条件基本没有影响。本项目运行采取</w:t>
      </w:r>
      <w:r>
        <w:rPr>
          <w:rFonts w:ascii="宋体" w:hAnsi="宋体" w:eastAsia="宋体" w:cs="宋体"/>
          <w:spacing w:val="2"/>
          <w:sz w:val="24"/>
          <w:szCs w:val="24"/>
        </w:rPr>
        <w:t>严格的防渗漏措施且污水能</w:t>
      </w:r>
      <w:r>
        <w:rPr>
          <w:rFonts w:ascii="宋体" w:hAnsi="宋体" w:eastAsia="宋体" w:cs="宋体"/>
          <w:spacing w:val="3"/>
          <w:sz w:val="24"/>
          <w:szCs w:val="24"/>
        </w:rPr>
        <w:t>够稳定达标排放，对地下水水质影响轻微。但是需定</w:t>
      </w:r>
      <w:r>
        <w:rPr>
          <w:rFonts w:ascii="宋体" w:hAnsi="宋体" w:eastAsia="宋体" w:cs="宋体"/>
          <w:spacing w:val="2"/>
          <w:sz w:val="24"/>
          <w:szCs w:val="24"/>
        </w:rPr>
        <w:t>期对污水处理厂出水流量及</w:t>
      </w:r>
      <w:r>
        <w:rPr>
          <w:rFonts w:ascii="宋体" w:hAnsi="宋体" w:eastAsia="宋体" w:cs="宋体"/>
          <w:spacing w:val="3"/>
          <w:sz w:val="24"/>
          <w:szCs w:val="24"/>
        </w:rPr>
        <w:t>入河流量进行监测对比，密切关注水量变化情况，判断是否发生管道渗漏情况，</w:t>
      </w:r>
      <w:r>
        <w:rPr>
          <w:rFonts w:ascii="宋体" w:hAnsi="宋体" w:eastAsia="宋体" w:cs="宋体"/>
          <w:spacing w:val="-1"/>
          <w:sz w:val="24"/>
          <w:szCs w:val="24"/>
        </w:rPr>
        <w:t>如出现流量减少等问题应及时采取措施。</w:t>
      </w:r>
    </w:p>
    <w:p w14:paraId="6CFAA0AA">
      <w:pPr>
        <w:spacing w:before="152" w:line="220" w:lineRule="auto"/>
        <w:ind w:left="9"/>
        <w:outlineLvl w:val="2"/>
        <w:rPr>
          <w:rFonts w:ascii="宋体" w:hAnsi="宋体" w:eastAsia="宋体" w:cs="宋体"/>
          <w:sz w:val="28"/>
          <w:szCs w:val="28"/>
        </w:rPr>
      </w:pPr>
      <w:r>
        <w:rPr>
          <w:rFonts w:ascii="Times New Roman" w:hAnsi="Times New Roman" w:eastAsia="Times New Roman" w:cs="Times New Roman"/>
          <w:b/>
          <w:bCs/>
          <w:spacing w:val="-2"/>
          <w:sz w:val="28"/>
          <w:szCs w:val="28"/>
        </w:rPr>
        <w:t>9.3.7</w:t>
      </w:r>
      <w:r>
        <w:rPr>
          <w:rFonts w:ascii="宋体" w:hAnsi="宋体" w:eastAsia="宋体" w:cs="宋体"/>
          <w:b/>
          <w:bCs/>
          <w:spacing w:val="-2"/>
          <w:sz w:val="28"/>
          <w:szCs w:val="28"/>
        </w:rPr>
        <w:t>污水处理厂扩建后综合效益分析</w:t>
      </w:r>
    </w:p>
    <w:p w14:paraId="08CA951E">
      <w:pPr>
        <w:spacing w:before="253" w:line="220" w:lineRule="auto"/>
        <w:ind w:left="501"/>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）经济效益分析</w:t>
      </w:r>
    </w:p>
    <w:p w14:paraId="6929F1F9">
      <w:pPr>
        <w:spacing w:before="182" w:line="359" w:lineRule="auto"/>
        <w:ind w:left="9" w:right="80" w:firstLine="481"/>
        <w:rPr>
          <w:rFonts w:ascii="宋体" w:hAnsi="宋体" w:eastAsia="宋体" w:cs="宋体"/>
          <w:sz w:val="24"/>
          <w:szCs w:val="24"/>
        </w:rPr>
      </w:pPr>
      <w:r>
        <w:rPr>
          <w:rFonts w:ascii="宋体" w:hAnsi="宋体" w:eastAsia="宋体" w:cs="宋体"/>
          <w:spacing w:val="3"/>
          <w:sz w:val="24"/>
          <w:szCs w:val="24"/>
        </w:rPr>
        <w:t>污水处理厂工程作为一项环境治理项目，其本身并不产</w:t>
      </w:r>
      <w:r>
        <w:rPr>
          <w:rFonts w:ascii="宋体" w:hAnsi="宋体" w:eastAsia="宋体" w:cs="宋体"/>
          <w:spacing w:val="2"/>
          <w:sz w:val="24"/>
          <w:szCs w:val="24"/>
        </w:rPr>
        <w:t>生直接的经济效益。</w:t>
      </w:r>
      <w:r>
        <w:rPr>
          <w:rFonts w:ascii="宋体" w:hAnsi="宋体" w:eastAsia="宋体" w:cs="宋体"/>
          <w:spacing w:val="3"/>
          <w:sz w:val="24"/>
          <w:szCs w:val="24"/>
        </w:rPr>
        <w:t>隆回工业污水处理厂提标扩容改造（二期）工程建</w:t>
      </w:r>
      <w:r>
        <w:rPr>
          <w:rFonts w:ascii="宋体" w:hAnsi="宋体" w:eastAsia="宋体" w:cs="宋体"/>
          <w:spacing w:val="2"/>
          <w:sz w:val="24"/>
          <w:szCs w:val="24"/>
        </w:rPr>
        <w:t>成运行后，可更好的对高新区</w:t>
      </w:r>
      <w:r>
        <w:rPr>
          <w:rFonts w:ascii="宋体" w:hAnsi="宋体" w:eastAsia="宋体" w:cs="宋体"/>
          <w:spacing w:val="3"/>
          <w:sz w:val="24"/>
          <w:szCs w:val="24"/>
        </w:rPr>
        <w:t>生活污水和工业废水截流处理，可提高赧水隆回段</w:t>
      </w:r>
      <w:r>
        <w:rPr>
          <w:rFonts w:ascii="宋体" w:hAnsi="宋体" w:eastAsia="宋体" w:cs="宋体"/>
          <w:spacing w:val="2"/>
          <w:sz w:val="24"/>
          <w:szCs w:val="24"/>
        </w:rPr>
        <w:t>的水环境质量，减轻污水排放</w:t>
      </w:r>
      <w:r>
        <w:rPr>
          <w:rFonts w:ascii="宋体" w:hAnsi="宋体" w:eastAsia="宋体" w:cs="宋体"/>
          <w:spacing w:val="3"/>
          <w:sz w:val="24"/>
          <w:szCs w:val="24"/>
        </w:rPr>
        <w:t>所造成的污染危害，保护下游水源，降低自来水处</w:t>
      </w:r>
      <w:r>
        <w:rPr>
          <w:rFonts w:ascii="宋体" w:hAnsi="宋体" w:eastAsia="宋体" w:cs="宋体"/>
          <w:spacing w:val="2"/>
          <w:sz w:val="24"/>
          <w:szCs w:val="24"/>
        </w:rPr>
        <w:t>理成本，由此产生的间接经济</w:t>
      </w:r>
      <w:r>
        <w:rPr>
          <w:rFonts w:ascii="宋体" w:hAnsi="宋体" w:eastAsia="宋体" w:cs="宋体"/>
          <w:spacing w:val="3"/>
          <w:sz w:val="24"/>
          <w:szCs w:val="24"/>
        </w:rPr>
        <w:t>效益（包括有利于改善投资环境，减轻城市自来水</w:t>
      </w:r>
      <w:r>
        <w:rPr>
          <w:rFonts w:ascii="宋体" w:hAnsi="宋体" w:eastAsia="宋体" w:cs="宋体"/>
          <w:spacing w:val="2"/>
          <w:sz w:val="24"/>
          <w:szCs w:val="24"/>
        </w:rPr>
        <w:t>厂净化处理负担等）尚无法作</w:t>
      </w:r>
      <w:r>
        <w:rPr>
          <w:rFonts w:ascii="宋体" w:hAnsi="宋体" w:eastAsia="宋体" w:cs="宋体"/>
          <w:spacing w:val="-1"/>
          <w:sz w:val="24"/>
          <w:szCs w:val="24"/>
        </w:rPr>
        <w:t>出定量计算，但定性地讲，其间接经济效益将是巨大的。</w:t>
      </w:r>
    </w:p>
    <w:p w14:paraId="39F688F2">
      <w:pPr>
        <w:spacing w:line="218" w:lineRule="auto"/>
        <w:ind w:left="501"/>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）社会效益</w:t>
      </w:r>
    </w:p>
    <w:p w14:paraId="16A265DB">
      <w:pPr>
        <w:spacing w:before="180" w:line="360" w:lineRule="auto"/>
        <w:ind w:left="7" w:firstLine="495"/>
        <w:rPr>
          <w:rFonts w:ascii="宋体" w:hAnsi="宋体" w:eastAsia="宋体" w:cs="宋体"/>
          <w:sz w:val="24"/>
          <w:szCs w:val="24"/>
        </w:rPr>
      </w:pPr>
      <w:r>
        <w:rPr>
          <w:rFonts w:ascii="宋体" w:hAnsi="宋体" w:eastAsia="宋体" w:cs="宋体"/>
          <w:spacing w:val="2"/>
          <w:sz w:val="24"/>
          <w:szCs w:val="24"/>
        </w:rPr>
        <w:t>随着人类文明的进步和社会经济的发展，人类已逐渐认识到环境保护对促进</w:t>
      </w:r>
      <w:r>
        <w:rPr>
          <w:rFonts w:ascii="宋体" w:hAnsi="宋体" w:eastAsia="宋体" w:cs="宋体"/>
          <w:spacing w:val="3"/>
          <w:sz w:val="24"/>
          <w:szCs w:val="24"/>
        </w:rPr>
        <w:t>社会进步和经济持续、稳定、协调发展的重要意义。环</w:t>
      </w:r>
      <w:r>
        <w:rPr>
          <w:rFonts w:ascii="宋体" w:hAnsi="宋体" w:eastAsia="宋体" w:cs="宋体"/>
          <w:spacing w:val="2"/>
          <w:sz w:val="24"/>
          <w:szCs w:val="24"/>
        </w:rPr>
        <w:t>境保护已作为我国的一项</w:t>
      </w:r>
      <w:r>
        <w:rPr>
          <w:rFonts w:ascii="宋体" w:hAnsi="宋体" w:eastAsia="宋体" w:cs="宋体"/>
          <w:spacing w:val="3"/>
          <w:sz w:val="24"/>
          <w:szCs w:val="24"/>
        </w:rPr>
        <w:t>基本国策，受到全社会的重视环境保护的具体行动。本</w:t>
      </w:r>
      <w:r>
        <w:rPr>
          <w:rFonts w:ascii="宋体" w:hAnsi="宋体" w:eastAsia="宋体" w:cs="宋体"/>
          <w:spacing w:val="2"/>
          <w:sz w:val="24"/>
          <w:szCs w:val="24"/>
        </w:rPr>
        <w:t>工程营运后，将原本会溢</w:t>
      </w:r>
      <w:r>
        <w:rPr>
          <w:rFonts w:ascii="宋体" w:hAnsi="宋体" w:eastAsia="宋体" w:cs="宋体"/>
          <w:spacing w:val="3"/>
          <w:sz w:val="24"/>
          <w:szCs w:val="24"/>
        </w:rPr>
        <w:t>流进入赧水的污水进行收集处理，单从纳污范围内的污</w:t>
      </w:r>
      <w:r>
        <w:rPr>
          <w:rFonts w:ascii="宋体" w:hAnsi="宋体" w:eastAsia="宋体" w:cs="宋体"/>
          <w:spacing w:val="2"/>
          <w:sz w:val="24"/>
          <w:szCs w:val="24"/>
        </w:rPr>
        <w:t>染物总量变化来看，每年</w:t>
      </w:r>
      <w:r>
        <w:rPr>
          <w:rFonts w:ascii="宋体" w:hAnsi="宋体" w:eastAsia="宋体" w:cs="宋体"/>
          <w:spacing w:val="-7"/>
          <w:sz w:val="24"/>
          <w:szCs w:val="24"/>
        </w:rPr>
        <w:t>可减少向赧水放</w:t>
      </w:r>
      <w:r>
        <w:rPr>
          <w:rFonts w:ascii="Times New Roman" w:hAnsi="Times New Roman" w:eastAsia="Times New Roman" w:cs="Times New Roman"/>
          <w:spacing w:val="-7"/>
          <w:sz w:val="24"/>
          <w:szCs w:val="24"/>
        </w:rPr>
        <w:t>CODCr</w:t>
      </w:r>
      <w:r>
        <w:rPr>
          <w:rFonts w:ascii="宋体" w:hAnsi="宋体" w:eastAsia="宋体" w:cs="宋体"/>
          <w:spacing w:val="-7"/>
          <w:sz w:val="24"/>
          <w:szCs w:val="24"/>
        </w:rPr>
        <w:t>：</w:t>
      </w:r>
      <w:r>
        <w:rPr>
          <w:rFonts w:ascii="Times New Roman" w:hAnsi="Times New Roman" w:eastAsia="Times New Roman" w:cs="Times New Roman"/>
          <w:spacing w:val="-7"/>
          <w:sz w:val="24"/>
          <w:szCs w:val="24"/>
        </w:rPr>
        <w:t>2190t/a</w:t>
      </w:r>
      <w:r>
        <w:rPr>
          <w:rFonts w:ascii="宋体" w:hAnsi="宋体" w:eastAsia="宋体" w:cs="宋体"/>
          <w:spacing w:val="-7"/>
          <w:sz w:val="24"/>
          <w:szCs w:val="24"/>
        </w:rPr>
        <w:t>、</w:t>
      </w:r>
      <w:r>
        <w:rPr>
          <w:rFonts w:ascii="Times New Roman" w:hAnsi="Times New Roman" w:eastAsia="Times New Roman" w:cs="Times New Roman"/>
          <w:spacing w:val="-7"/>
          <w:sz w:val="24"/>
          <w:szCs w:val="24"/>
        </w:rPr>
        <w:t>BOD</w:t>
      </w:r>
      <w:r>
        <w:rPr>
          <w:rFonts w:ascii="Times New Roman" w:hAnsi="Times New Roman" w:eastAsia="Times New Roman" w:cs="Times New Roman"/>
          <w:spacing w:val="-7"/>
          <w:position w:val="-1"/>
          <w:sz w:val="15"/>
          <w:szCs w:val="15"/>
        </w:rPr>
        <w:t>5</w:t>
      </w:r>
      <w:r>
        <w:rPr>
          <w:rFonts w:ascii="宋体" w:hAnsi="宋体" w:eastAsia="宋体" w:cs="宋体"/>
          <w:spacing w:val="-7"/>
          <w:sz w:val="24"/>
          <w:szCs w:val="24"/>
        </w:rPr>
        <w:t>：</w:t>
      </w:r>
      <w:r>
        <w:rPr>
          <w:rFonts w:ascii="Times New Roman" w:hAnsi="Times New Roman" w:eastAsia="Times New Roman" w:cs="Times New Roman"/>
          <w:spacing w:val="-7"/>
          <w:sz w:val="24"/>
          <w:szCs w:val="24"/>
        </w:rPr>
        <w:t>1861.5t/a</w:t>
      </w:r>
      <w:r>
        <w:rPr>
          <w:rFonts w:ascii="宋体" w:hAnsi="宋体" w:eastAsia="宋体" w:cs="宋体"/>
          <w:spacing w:val="-7"/>
          <w:sz w:val="24"/>
          <w:szCs w:val="24"/>
        </w:rPr>
        <w:t>、</w:t>
      </w:r>
      <w:r>
        <w:rPr>
          <w:rFonts w:ascii="Times New Roman" w:hAnsi="Times New Roman" w:eastAsia="Times New Roman" w:cs="Times New Roman"/>
          <w:spacing w:val="-7"/>
          <w:sz w:val="24"/>
          <w:szCs w:val="24"/>
        </w:rPr>
        <w:t>SS</w:t>
      </w:r>
      <w:r>
        <w:rPr>
          <w:rFonts w:ascii="宋体" w:hAnsi="宋体" w:eastAsia="宋体" w:cs="宋体"/>
          <w:spacing w:val="-7"/>
          <w:sz w:val="24"/>
          <w:szCs w:val="24"/>
        </w:rPr>
        <w:t>：</w:t>
      </w:r>
      <w:r>
        <w:rPr>
          <w:rFonts w:ascii="Times New Roman" w:hAnsi="Times New Roman" w:eastAsia="Times New Roman" w:cs="Times New Roman"/>
          <w:spacing w:val="-7"/>
          <w:sz w:val="24"/>
          <w:szCs w:val="24"/>
        </w:rPr>
        <w:t>1861.5t/a</w:t>
      </w:r>
      <w:r>
        <w:rPr>
          <w:rFonts w:ascii="宋体" w:hAnsi="宋体" w:eastAsia="宋体" w:cs="宋体"/>
          <w:spacing w:val="-17"/>
          <w:sz w:val="24"/>
          <w:szCs w:val="24"/>
        </w:rPr>
        <w:t>、</w:t>
      </w:r>
      <w:r>
        <w:rPr>
          <w:rFonts w:ascii="Times New Roman" w:hAnsi="Times New Roman" w:eastAsia="Times New Roman" w:cs="Times New Roman"/>
          <w:spacing w:val="-17"/>
          <w:sz w:val="24"/>
          <w:szCs w:val="24"/>
        </w:rPr>
        <w:t>NH</w:t>
      </w:r>
      <w:r>
        <w:rPr>
          <w:rFonts w:ascii="Times New Roman" w:hAnsi="Times New Roman" w:eastAsia="Times New Roman" w:cs="Times New Roman"/>
          <w:spacing w:val="1"/>
          <w:sz w:val="15"/>
          <w:szCs w:val="15"/>
        </w:rPr>
        <w:t>3</w:t>
      </w:r>
      <w:r>
        <w:rPr>
          <w:rFonts w:ascii="Times New Roman" w:hAnsi="Times New Roman" w:eastAsia="Times New Roman" w:cs="Times New Roman"/>
          <w:spacing w:val="1"/>
          <w:sz w:val="24"/>
          <w:szCs w:val="24"/>
        </w:rPr>
        <w:t>-N</w:t>
      </w:r>
      <w:r>
        <w:rPr>
          <w:rFonts w:ascii="宋体" w:hAnsi="宋体" w:eastAsia="宋体" w:cs="宋体"/>
          <w:spacing w:val="-13"/>
          <w:sz w:val="24"/>
          <w:szCs w:val="24"/>
        </w:rPr>
        <w:t>：</w:t>
      </w:r>
      <w:r>
        <w:rPr>
          <w:rFonts w:ascii="Times New Roman" w:hAnsi="Times New Roman" w:eastAsia="Times New Roman" w:cs="Times New Roman"/>
          <w:spacing w:val="-13"/>
          <w:sz w:val="24"/>
          <w:szCs w:val="24"/>
        </w:rPr>
        <w:t>219t/a</w:t>
      </w:r>
      <w:r>
        <w:rPr>
          <w:rFonts w:ascii="宋体" w:hAnsi="宋体" w:eastAsia="宋体" w:cs="宋体"/>
          <w:spacing w:val="-13"/>
          <w:sz w:val="24"/>
          <w:szCs w:val="24"/>
        </w:rPr>
        <w:t>、</w:t>
      </w:r>
      <w:r>
        <w:rPr>
          <w:rFonts w:ascii="Times New Roman" w:hAnsi="Times New Roman" w:eastAsia="Times New Roman" w:cs="Times New Roman"/>
          <w:spacing w:val="-2"/>
          <w:sz w:val="24"/>
          <w:szCs w:val="24"/>
        </w:rPr>
        <w:t>TP</w:t>
      </w:r>
      <w:r>
        <w:rPr>
          <w:rFonts w:ascii="宋体" w:hAnsi="宋体" w:eastAsia="宋体" w:cs="宋体"/>
          <w:spacing w:val="-2"/>
          <w:sz w:val="24"/>
          <w:szCs w:val="24"/>
        </w:rPr>
        <w:t>：</w:t>
      </w:r>
      <w:r>
        <w:rPr>
          <w:rFonts w:ascii="Times New Roman" w:hAnsi="Times New Roman" w:eastAsia="Times New Roman" w:cs="Times New Roman"/>
          <w:spacing w:val="-2"/>
          <w:sz w:val="24"/>
          <w:szCs w:val="24"/>
        </w:rPr>
        <w:t>30.11t/a</w:t>
      </w:r>
      <w:r>
        <w:rPr>
          <w:rFonts w:ascii="宋体" w:hAnsi="宋体" w:eastAsia="宋体" w:cs="宋体"/>
          <w:spacing w:val="-2"/>
          <w:sz w:val="24"/>
          <w:szCs w:val="24"/>
        </w:rPr>
        <w:t>、</w:t>
      </w:r>
      <w:r>
        <w:rPr>
          <w:rFonts w:ascii="Times New Roman" w:hAnsi="Times New Roman" w:eastAsia="Times New Roman" w:cs="Times New Roman"/>
          <w:spacing w:val="-2"/>
          <w:sz w:val="24"/>
          <w:szCs w:val="24"/>
        </w:rPr>
        <w:t>TN</w:t>
      </w:r>
      <w:r>
        <w:rPr>
          <w:rFonts w:ascii="宋体" w:hAnsi="宋体" w:eastAsia="宋体" w:cs="宋体"/>
          <w:spacing w:val="-2"/>
          <w:sz w:val="24"/>
          <w:szCs w:val="24"/>
        </w:rPr>
        <w:t>：</w:t>
      </w:r>
      <w:r>
        <w:rPr>
          <w:rFonts w:ascii="Times New Roman" w:hAnsi="Times New Roman" w:eastAsia="Times New Roman" w:cs="Times New Roman"/>
          <w:spacing w:val="-2"/>
          <w:sz w:val="24"/>
          <w:szCs w:val="24"/>
        </w:rPr>
        <w:t>191.63t/a</w:t>
      </w:r>
      <w:r>
        <w:rPr>
          <w:rFonts w:ascii="宋体" w:hAnsi="宋体" w:eastAsia="宋体" w:cs="宋体"/>
          <w:spacing w:val="-2"/>
          <w:sz w:val="24"/>
          <w:szCs w:val="24"/>
        </w:rPr>
        <w:t>，大大减轻了赧水水域</w:t>
      </w:r>
      <w:r>
        <w:rPr>
          <w:rFonts w:ascii="宋体" w:hAnsi="宋体" w:eastAsia="宋体" w:cs="宋体"/>
          <w:spacing w:val="-3"/>
          <w:sz w:val="24"/>
          <w:szCs w:val="24"/>
        </w:rPr>
        <w:t>内水污染，保护了赧水的环境质量。</w:t>
      </w:r>
    </w:p>
    <w:p w14:paraId="0D614016">
      <w:pPr>
        <w:spacing w:line="360" w:lineRule="auto"/>
        <w:rPr>
          <w:rFonts w:ascii="宋体" w:hAnsi="宋体" w:eastAsia="宋体" w:cs="宋体"/>
          <w:sz w:val="24"/>
          <w:szCs w:val="24"/>
        </w:rPr>
        <w:sectPr>
          <w:headerReference r:id="rId170" w:type="default"/>
          <w:footerReference r:id="rId171" w:type="default"/>
          <w:pgSz w:w="11906" w:h="16839"/>
          <w:pgMar w:top="1132" w:right="1620" w:bottom="1259" w:left="1701" w:header="829" w:footer="1097" w:gutter="0"/>
          <w:cols w:space="720" w:num="1"/>
        </w:sectPr>
      </w:pPr>
    </w:p>
    <w:p w14:paraId="404133C9">
      <w:pPr>
        <w:pStyle w:val="2"/>
        <w:spacing w:line="241" w:lineRule="auto"/>
      </w:pPr>
    </w:p>
    <w:p w14:paraId="06987400">
      <w:pPr>
        <w:spacing w:before="78" w:line="359" w:lineRule="auto"/>
        <w:ind w:left="10" w:right="58" w:firstLine="480"/>
        <w:rPr>
          <w:rFonts w:ascii="宋体" w:hAnsi="宋体" w:eastAsia="宋体" w:cs="宋体"/>
          <w:sz w:val="24"/>
          <w:szCs w:val="24"/>
        </w:rPr>
      </w:pPr>
      <w:r>
        <w:rPr>
          <w:rFonts w:ascii="宋体" w:hAnsi="宋体" w:eastAsia="宋体" w:cs="宋体"/>
          <w:spacing w:val="1"/>
          <w:sz w:val="24"/>
          <w:szCs w:val="24"/>
        </w:rPr>
        <w:t>这项工程的实施对于预防和控制各种传染病、公害病，提高居民健康水平，</w:t>
      </w:r>
      <w:r>
        <w:rPr>
          <w:rFonts w:ascii="宋体" w:hAnsi="宋体" w:eastAsia="宋体" w:cs="宋体"/>
          <w:spacing w:val="-1"/>
          <w:sz w:val="24"/>
          <w:szCs w:val="24"/>
        </w:rPr>
        <w:t>增加就业人数等方面也起着重要的作用。</w:t>
      </w:r>
    </w:p>
    <w:p w14:paraId="70478D0B">
      <w:pPr>
        <w:spacing w:line="220" w:lineRule="auto"/>
        <w:ind w:left="501"/>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）环境效益</w:t>
      </w:r>
    </w:p>
    <w:p w14:paraId="0B25CE55">
      <w:pPr>
        <w:spacing w:before="181" w:line="359" w:lineRule="auto"/>
        <w:ind w:left="15" w:firstLine="475"/>
        <w:rPr>
          <w:rFonts w:ascii="宋体" w:hAnsi="宋体" w:eastAsia="宋体" w:cs="宋体"/>
          <w:sz w:val="24"/>
          <w:szCs w:val="24"/>
        </w:rPr>
      </w:pPr>
      <w:r>
        <w:rPr>
          <w:rFonts w:ascii="宋体" w:hAnsi="宋体" w:eastAsia="宋体" w:cs="宋体"/>
          <w:spacing w:val="-2"/>
          <w:sz w:val="24"/>
          <w:szCs w:val="24"/>
        </w:rPr>
        <w:t>本工程营运后，每年可减少向赧水排放</w:t>
      </w:r>
      <w:r>
        <w:rPr>
          <w:rFonts w:ascii="Times New Roman" w:hAnsi="Times New Roman" w:eastAsia="Times New Roman" w:cs="Times New Roman"/>
          <w:spacing w:val="-2"/>
          <w:sz w:val="24"/>
          <w:szCs w:val="24"/>
        </w:rPr>
        <w:t>CODCr</w:t>
      </w:r>
      <w:r>
        <w:rPr>
          <w:rFonts w:ascii="宋体" w:hAnsi="宋体" w:eastAsia="宋体" w:cs="宋体"/>
          <w:spacing w:val="-2"/>
          <w:sz w:val="24"/>
          <w:szCs w:val="24"/>
        </w:rPr>
        <w:t>：</w:t>
      </w:r>
      <w:r>
        <w:rPr>
          <w:rFonts w:ascii="Times New Roman" w:hAnsi="Times New Roman" w:eastAsia="Times New Roman" w:cs="Times New Roman"/>
          <w:spacing w:val="-2"/>
          <w:sz w:val="24"/>
          <w:szCs w:val="24"/>
        </w:rPr>
        <w:t>2190t/a</w:t>
      </w:r>
      <w:r>
        <w:rPr>
          <w:rFonts w:ascii="宋体" w:hAnsi="宋体" w:eastAsia="宋体" w:cs="宋体"/>
          <w:spacing w:val="-2"/>
          <w:sz w:val="24"/>
          <w:szCs w:val="24"/>
        </w:rPr>
        <w:t>、</w:t>
      </w:r>
      <w:r>
        <w:rPr>
          <w:rFonts w:ascii="Times New Roman" w:hAnsi="Times New Roman" w:eastAsia="Times New Roman" w:cs="Times New Roman"/>
          <w:spacing w:val="-2"/>
          <w:sz w:val="24"/>
          <w:szCs w:val="24"/>
        </w:rPr>
        <w:t>BOD</w:t>
      </w:r>
      <w:r>
        <w:rPr>
          <w:rFonts w:ascii="Times New Roman" w:hAnsi="Times New Roman" w:eastAsia="Times New Roman" w:cs="Times New Roman"/>
          <w:spacing w:val="-2"/>
          <w:position w:val="-1"/>
          <w:sz w:val="15"/>
          <w:szCs w:val="15"/>
        </w:rPr>
        <w:t>5</w:t>
      </w:r>
      <w:r>
        <w:rPr>
          <w:rFonts w:ascii="宋体" w:hAnsi="宋体" w:eastAsia="宋体" w:cs="宋体"/>
          <w:spacing w:val="-2"/>
          <w:sz w:val="24"/>
          <w:szCs w:val="24"/>
        </w:rPr>
        <w:t>：</w:t>
      </w:r>
      <w:r>
        <w:rPr>
          <w:rFonts w:ascii="Times New Roman" w:hAnsi="Times New Roman" w:eastAsia="Times New Roman" w:cs="Times New Roman"/>
          <w:spacing w:val="-2"/>
          <w:sz w:val="24"/>
          <w:szCs w:val="24"/>
        </w:rPr>
        <w:t>18</w:t>
      </w:r>
      <w:r>
        <w:rPr>
          <w:rFonts w:ascii="Times New Roman" w:hAnsi="Times New Roman" w:eastAsia="Times New Roman" w:cs="Times New Roman"/>
          <w:spacing w:val="-3"/>
          <w:sz w:val="24"/>
          <w:szCs w:val="24"/>
        </w:rPr>
        <w:t>61.5t/a</w:t>
      </w:r>
      <w:r>
        <w:rPr>
          <w:rFonts w:ascii="宋体" w:hAnsi="宋体" w:eastAsia="宋体" w:cs="宋体"/>
          <w:spacing w:val="-3"/>
          <w:sz w:val="24"/>
          <w:szCs w:val="24"/>
        </w:rPr>
        <w:t>、</w:t>
      </w:r>
      <w:r>
        <w:rPr>
          <w:rFonts w:ascii="Times New Roman" w:hAnsi="Times New Roman" w:eastAsia="Times New Roman" w:cs="Times New Roman"/>
          <w:spacing w:val="-3"/>
          <w:sz w:val="24"/>
          <w:szCs w:val="24"/>
        </w:rPr>
        <w:t>SS</w:t>
      </w:r>
      <w:r>
        <w:rPr>
          <w:rFonts w:ascii="宋体" w:hAnsi="宋体" w:eastAsia="宋体" w:cs="宋体"/>
          <w:spacing w:val="-3"/>
          <w:sz w:val="24"/>
          <w:szCs w:val="24"/>
        </w:rPr>
        <w:t>：</w:t>
      </w:r>
      <w:r>
        <w:rPr>
          <w:rFonts w:ascii="Times New Roman" w:hAnsi="Times New Roman" w:eastAsia="Times New Roman" w:cs="Times New Roman"/>
          <w:spacing w:val="-3"/>
          <w:sz w:val="24"/>
          <w:szCs w:val="24"/>
        </w:rPr>
        <w:t>1861.5t/a</w:t>
      </w:r>
      <w:r>
        <w:rPr>
          <w:rFonts w:ascii="宋体" w:hAnsi="宋体" w:eastAsia="宋体" w:cs="宋体"/>
          <w:spacing w:val="-3"/>
          <w:sz w:val="24"/>
          <w:szCs w:val="24"/>
        </w:rPr>
        <w:t>、</w:t>
      </w:r>
      <w:r>
        <w:rPr>
          <w:rFonts w:ascii="Times New Roman" w:hAnsi="Times New Roman" w:eastAsia="Times New Roman" w:cs="Times New Roman"/>
          <w:spacing w:val="-3"/>
          <w:sz w:val="24"/>
          <w:szCs w:val="24"/>
        </w:rPr>
        <w:t>NH</w:t>
      </w:r>
      <w:r>
        <w:rPr>
          <w:rFonts w:ascii="Times New Roman" w:hAnsi="Times New Roman" w:eastAsia="Times New Roman" w:cs="Times New Roman"/>
          <w:spacing w:val="-3"/>
          <w:sz w:val="15"/>
          <w:szCs w:val="15"/>
        </w:rPr>
        <w:t>3</w:t>
      </w:r>
      <w:r>
        <w:rPr>
          <w:rFonts w:ascii="Times New Roman" w:hAnsi="Times New Roman" w:eastAsia="Times New Roman" w:cs="Times New Roman"/>
          <w:spacing w:val="-3"/>
          <w:sz w:val="24"/>
          <w:szCs w:val="24"/>
        </w:rPr>
        <w:t>-N</w:t>
      </w:r>
      <w:r>
        <w:rPr>
          <w:rFonts w:ascii="宋体" w:hAnsi="宋体" w:eastAsia="宋体" w:cs="宋体"/>
          <w:spacing w:val="-3"/>
          <w:sz w:val="24"/>
          <w:szCs w:val="24"/>
        </w:rPr>
        <w:t>：</w:t>
      </w:r>
      <w:r>
        <w:rPr>
          <w:rFonts w:ascii="Times New Roman" w:hAnsi="Times New Roman" w:eastAsia="Times New Roman" w:cs="Times New Roman"/>
          <w:spacing w:val="-3"/>
          <w:sz w:val="24"/>
          <w:szCs w:val="24"/>
        </w:rPr>
        <w:t>219t/a</w:t>
      </w:r>
      <w:r>
        <w:rPr>
          <w:rFonts w:ascii="宋体" w:hAnsi="宋体" w:eastAsia="宋体" w:cs="宋体"/>
          <w:spacing w:val="-3"/>
          <w:sz w:val="24"/>
          <w:szCs w:val="24"/>
        </w:rPr>
        <w:t>、</w:t>
      </w:r>
      <w:r>
        <w:rPr>
          <w:rFonts w:ascii="Times New Roman" w:hAnsi="Times New Roman" w:eastAsia="Times New Roman" w:cs="Times New Roman"/>
          <w:spacing w:val="-3"/>
          <w:sz w:val="24"/>
          <w:szCs w:val="24"/>
        </w:rPr>
        <w:t>TP</w:t>
      </w:r>
      <w:r>
        <w:rPr>
          <w:rFonts w:ascii="宋体" w:hAnsi="宋体" w:eastAsia="宋体" w:cs="宋体"/>
          <w:spacing w:val="-4"/>
          <w:sz w:val="24"/>
          <w:szCs w:val="24"/>
        </w:rPr>
        <w:t>：</w:t>
      </w:r>
      <w:r>
        <w:rPr>
          <w:rFonts w:ascii="Times New Roman" w:hAnsi="Times New Roman" w:eastAsia="Times New Roman" w:cs="Times New Roman"/>
          <w:spacing w:val="-4"/>
          <w:sz w:val="24"/>
          <w:szCs w:val="24"/>
        </w:rPr>
        <w:t>30.11t/a</w:t>
      </w:r>
      <w:r>
        <w:rPr>
          <w:rFonts w:ascii="宋体" w:hAnsi="宋体" w:eastAsia="宋体" w:cs="宋体"/>
          <w:spacing w:val="-4"/>
          <w:sz w:val="24"/>
          <w:szCs w:val="24"/>
        </w:rPr>
        <w:t>、</w:t>
      </w:r>
      <w:r>
        <w:rPr>
          <w:rFonts w:ascii="Times New Roman" w:hAnsi="Times New Roman" w:eastAsia="Times New Roman" w:cs="Times New Roman"/>
          <w:spacing w:val="-4"/>
          <w:sz w:val="24"/>
          <w:szCs w:val="24"/>
        </w:rPr>
        <w:t>TN</w:t>
      </w:r>
      <w:r>
        <w:rPr>
          <w:rFonts w:ascii="宋体" w:hAnsi="宋体" w:eastAsia="宋体" w:cs="宋体"/>
          <w:spacing w:val="-4"/>
          <w:sz w:val="24"/>
          <w:szCs w:val="24"/>
        </w:rPr>
        <w:t>：</w:t>
      </w:r>
      <w:r>
        <w:rPr>
          <w:rFonts w:ascii="Times New Roman" w:hAnsi="Times New Roman" w:eastAsia="Times New Roman" w:cs="Times New Roman"/>
          <w:spacing w:val="-4"/>
          <w:sz w:val="24"/>
          <w:szCs w:val="24"/>
        </w:rPr>
        <w:t>191.63t/a</w:t>
      </w:r>
      <w:r>
        <w:rPr>
          <w:rFonts w:ascii="宋体" w:hAnsi="宋体" w:eastAsia="宋体" w:cs="宋体"/>
          <w:spacing w:val="-4"/>
          <w:sz w:val="24"/>
          <w:szCs w:val="24"/>
        </w:rPr>
        <w:t>，大大减轻了赧水隆</w:t>
      </w:r>
      <w:r>
        <w:rPr>
          <w:rFonts w:ascii="宋体" w:hAnsi="宋体" w:eastAsia="宋体" w:cs="宋体"/>
          <w:spacing w:val="-1"/>
          <w:sz w:val="24"/>
          <w:szCs w:val="24"/>
        </w:rPr>
        <w:t>回段水质污染，保护了赧水的环境质量，具有十分显著的环境效益。</w:t>
      </w:r>
    </w:p>
    <w:p w14:paraId="6221DFF6">
      <w:pPr>
        <w:spacing w:line="360" w:lineRule="auto"/>
        <w:ind w:left="11" w:firstLine="480"/>
        <w:rPr>
          <w:rFonts w:ascii="宋体" w:hAnsi="宋体" w:eastAsia="宋体" w:cs="宋体"/>
          <w:sz w:val="24"/>
          <w:szCs w:val="24"/>
        </w:rPr>
      </w:pPr>
      <w:r>
        <w:rPr>
          <w:rFonts w:ascii="宋体" w:hAnsi="宋体" w:eastAsia="宋体" w:cs="宋体"/>
          <w:spacing w:val="3"/>
          <w:sz w:val="24"/>
          <w:szCs w:val="24"/>
        </w:rPr>
        <w:t>综上所述，隆回县工业污水处理厂（二期）工程的建</w:t>
      </w:r>
      <w:r>
        <w:rPr>
          <w:rFonts w:ascii="宋体" w:hAnsi="宋体" w:eastAsia="宋体" w:cs="宋体"/>
          <w:spacing w:val="2"/>
          <w:sz w:val="24"/>
          <w:szCs w:val="24"/>
        </w:rPr>
        <w:t>设有利于减少赧水流域</w:t>
      </w:r>
      <w:r>
        <w:rPr>
          <w:rFonts w:ascii="宋体" w:hAnsi="宋体" w:eastAsia="宋体" w:cs="宋体"/>
          <w:spacing w:val="-1"/>
          <w:sz w:val="24"/>
          <w:szCs w:val="24"/>
        </w:rPr>
        <w:t>污水造成的污染，保护了赧水流域生态环境，具有显著的综合效益。</w:t>
      </w:r>
    </w:p>
    <w:p w14:paraId="0FE93BE1">
      <w:pPr>
        <w:spacing w:before="264" w:line="221" w:lineRule="auto"/>
        <w:ind w:left="9"/>
        <w:outlineLvl w:val="1"/>
        <w:rPr>
          <w:rFonts w:ascii="黑体" w:hAnsi="黑体" w:eastAsia="黑体" w:cs="黑体"/>
          <w:sz w:val="30"/>
          <w:szCs w:val="30"/>
        </w:rPr>
      </w:pPr>
      <w:bookmarkStart w:id="48" w:name="bookmark45"/>
      <w:bookmarkEnd w:id="48"/>
      <w:r>
        <w:rPr>
          <w:rFonts w:ascii="Times New Roman" w:hAnsi="Times New Roman" w:eastAsia="Times New Roman" w:cs="Times New Roman"/>
          <w:b/>
          <w:bCs/>
          <w:spacing w:val="-2"/>
          <w:sz w:val="30"/>
          <w:szCs w:val="30"/>
        </w:rPr>
        <w:t>9.4</w:t>
      </w:r>
      <w:r>
        <w:rPr>
          <w:rFonts w:ascii="黑体" w:hAnsi="黑体" w:eastAsia="黑体" w:cs="黑体"/>
          <w:b/>
          <w:bCs/>
          <w:spacing w:val="-2"/>
          <w:sz w:val="30"/>
          <w:szCs w:val="30"/>
        </w:rPr>
        <w:t>应采取的水生态环境保护措施及实</w:t>
      </w:r>
      <w:r>
        <w:rPr>
          <w:rFonts w:ascii="黑体" w:hAnsi="黑体" w:eastAsia="黑体" w:cs="黑体"/>
          <w:b/>
          <w:bCs/>
          <w:spacing w:val="-3"/>
          <w:sz w:val="30"/>
          <w:szCs w:val="30"/>
        </w:rPr>
        <w:t>施效果分析</w:t>
      </w:r>
    </w:p>
    <w:p w14:paraId="7973775E">
      <w:pPr>
        <w:pStyle w:val="2"/>
        <w:spacing w:line="277" w:lineRule="auto"/>
      </w:pPr>
    </w:p>
    <w:p w14:paraId="69C50E12">
      <w:pPr>
        <w:spacing w:before="78" w:line="220" w:lineRule="auto"/>
        <w:ind w:left="8"/>
        <w:outlineLvl w:val="2"/>
        <w:rPr>
          <w:rFonts w:ascii="宋体" w:hAnsi="宋体" w:eastAsia="宋体" w:cs="宋体"/>
          <w:sz w:val="24"/>
          <w:szCs w:val="24"/>
        </w:rPr>
      </w:pPr>
      <w:r>
        <w:rPr>
          <w:rFonts w:ascii="Times New Roman" w:hAnsi="Times New Roman" w:eastAsia="Times New Roman" w:cs="Times New Roman"/>
          <w:b/>
          <w:bCs/>
          <w:spacing w:val="-2"/>
          <w:sz w:val="24"/>
          <w:szCs w:val="24"/>
        </w:rPr>
        <w:t>9.4.1</w:t>
      </w:r>
      <w:r>
        <w:rPr>
          <w:rFonts w:ascii="宋体" w:hAnsi="宋体" w:eastAsia="宋体" w:cs="宋体"/>
          <w:b/>
          <w:bCs/>
          <w:spacing w:val="-2"/>
          <w:sz w:val="24"/>
          <w:szCs w:val="24"/>
        </w:rPr>
        <w:t>工程措施</w:t>
      </w:r>
    </w:p>
    <w:p w14:paraId="1644B135">
      <w:pPr>
        <w:spacing w:before="182" w:line="219" w:lineRule="auto"/>
        <w:ind w:left="50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）强化工业废水预处理、完善雨污分流</w:t>
      </w:r>
    </w:p>
    <w:p w14:paraId="5DBDF9EB">
      <w:pPr>
        <w:spacing w:before="183" w:line="313" w:lineRule="auto"/>
        <w:ind w:left="15" w:firstLine="473"/>
        <w:rPr>
          <w:rFonts w:ascii="宋体" w:hAnsi="宋体" w:eastAsia="宋体" w:cs="宋体"/>
          <w:sz w:val="24"/>
          <w:szCs w:val="24"/>
        </w:rPr>
      </w:pPr>
      <w:r>
        <w:rPr>
          <w:rFonts w:ascii="宋体" w:hAnsi="宋体" w:eastAsia="宋体" w:cs="宋体"/>
          <w:spacing w:val="3"/>
          <w:sz w:val="24"/>
          <w:szCs w:val="24"/>
        </w:rPr>
        <w:t>①为保证隆回工业污水处理工程的正常运行，纳污范围内企业</w:t>
      </w:r>
      <w:r>
        <w:rPr>
          <w:rFonts w:ascii="宋体" w:hAnsi="宋体" w:eastAsia="宋体" w:cs="宋体"/>
          <w:spacing w:val="2"/>
          <w:sz w:val="24"/>
          <w:szCs w:val="24"/>
        </w:rPr>
        <w:t>污水排放执行</w:t>
      </w:r>
      <w:r>
        <w:rPr>
          <w:rFonts w:ascii="宋体" w:hAnsi="宋体" w:eastAsia="宋体" w:cs="宋体"/>
          <w:spacing w:val="-3"/>
          <w:sz w:val="24"/>
          <w:szCs w:val="24"/>
        </w:rPr>
        <w:t>《污水综合排放标准》（</w:t>
      </w:r>
      <w:r>
        <w:rPr>
          <w:rFonts w:ascii="Times New Roman" w:hAnsi="Times New Roman" w:eastAsia="Times New Roman" w:cs="Times New Roman"/>
          <w:spacing w:val="-3"/>
          <w:sz w:val="24"/>
          <w:szCs w:val="24"/>
        </w:rPr>
        <w:t>GB8978-1996</w:t>
      </w:r>
      <w:r>
        <w:rPr>
          <w:rFonts w:ascii="宋体" w:hAnsi="宋体" w:eastAsia="宋体" w:cs="宋体"/>
          <w:spacing w:val="-3"/>
          <w:sz w:val="24"/>
          <w:szCs w:val="24"/>
        </w:rPr>
        <w:t>）中表</w:t>
      </w:r>
      <w:r>
        <w:rPr>
          <w:rFonts w:ascii="Times New Roman" w:hAnsi="Times New Roman" w:eastAsia="Times New Roman" w:cs="Times New Roman"/>
          <w:spacing w:val="-3"/>
          <w:sz w:val="24"/>
          <w:szCs w:val="24"/>
        </w:rPr>
        <w:t>4</w:t>
      </w:r>
      <w:r>
        <w:rPr>
          <w:rFonts w:ascii="宋体" w:hAnsi="宋体" w:eastAsia="宋体" w:cs="宋体"/>
          <w:spacing w:val="-3"/>
          <w:sz w:val="24"/>
          <w:szCs w:val="24"/>
        </w:rPr>
        <w:t>中三级标准及对应的行业标准，同</w:t>
      </w:r>
      <w:r>
        <w:rPr>
          <w:rFonts w:ascii="宋体" w:hAnsi="宋体" w:eastAsia="宋体" w:cs="宋体"/>
          <w:spacing w:val="-1"/>
          <w:sz w:val="24"/>
          <w:szCs w:val="24"/>
        </w:rPr>
        <w:t>时必须达到污水处理厂进水水质标准要求。</w:t>
      </w:r>
    </w:p>
    <w:p w14:paraId="5FBB17C2">
      <w:pPr>
        <w:spacing w:before="183" w:line="325" w:lineRule="auto"/>
        <w:ind w:left="11" w:firstLine="476"/>
        <w:rPr>
          <w:rFonts w:ascii="宋体" w:hAnsi="宋体" w:eastAsia="宋体" w:cs="宋体"/>
          <w:sz w:val="24"/>
          <w:szCs w:val="24"/>
        </w:rPr>
      </w:pPr>
      <w:r>
        <w:rPr>
          <w:rFonts w:ascii="宋体" w:hAnsi="宋体" w:eastAsia="宋体" w:cs="宋体"/>
          <w:spacing w:val="2"/>
          <w:sz w:val="24"/>
          <w:szCs w:val="24"/>
        </w:rPr>
        <w:t>②纳污范围内各企业应按“雨污分流、污污分流、分质处理”</w:t>
      </w:r>
      <w:r>
        <w:rPr>
          <w:rFonts w:ascii="宋体" w:hAnsi="宋体" w:eastAsia="宋体" w:cs="宋体"/>
          <w:spacing w:val="1"/>
          <w:sz w:val="24"/>
          <w:szCs w:val="24"/>
        </w:rPr>
        <w:t>的原则建立完</w:t>
      </w:r>
      <w:r>
        <w:rPr>
          <w:rFonts w:ascii="宋体" w:hAnsi="宋体" w:eastAsia="宋体" w:cs="宋体"/>
          <w:spacing w:val="3"/>
          <w:sz w:val="24"/>
          <w:szCs w:val="24"/>
        </w:rPr>
        <w:t>善的排水系统和事故池，废水应分类收集、分</w:t>
      </w:r>
      <w:r>
        <w:rPr>
          <w:rFonts w:ascii="宋体" w:hAnsi="宋体" w:eastAsia="宋体" w:cs="宋体"/>
          <w:spacing w:val="2"/>
          <w:sz w:val="24"/>
          <w:szCs w:val="24"/>
        </w:rPr>
        <w:t>质处理，确保各类生产废水得到有</w:t>
      </w:r>
      <w:r>
        <w:rPr>
          <w:rFonts w:ascii="宋体" w:hAnsi="宋体" w:eastAsia="宋体" w:cs="宋体"/>
          <w:spacing w:val="3"/>
          <w:sz w:val="24"/>
          <w:szCs w:val="24"/>
        </w:rPr>
        <w:t>效收集、处理。企业废水处理设施的关键设备</w:t>
      </w:r>
      <w:r>
        <w:rPr>
          <w:rFonts w:ascii="宋体" w:hAnsi="宋体" w:eastAsia="宋体" w:cs="宋体"/>
          <w:spacing w:val="2"/>
          <w:sz w:val="24"/>
          <w:szCs w:val="24"/>
        </w:rPr>
        <w:t>应有备件，以保证处理设施正常运</w:t>
      </w:r>
      <w:r>
        <w:rPr>
          <w:rFonts w:ascii="宋体" w:hAnsi="宋体" w:eastAsia="宋体" w:cs="宋体"/>
          <w:spacing w:val="-6"/>
          <w:sz w:val="24"/>
          <w:szCs w:val="24"/>
        </w:rPr>
        <w:t>行。</w:t>
      </w:r>
    </w:p>
    <w:p w14:paraId="69699FDD">
      <w:pPr>
        <w:spacing w:before="183" w:line="219" w:lineRule="auto"/>
        <w:ind w:left="50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）完善管网建设、污水集中处理</w:t>
      </w:r>
    </w:p>
    <w:p w14:paraId="7C943191">
      <w:pPr>
        <w:spacing w:before="183" w:line="310" w:lineRule="auto"/>
        <w:ind w:left="10" w:firstLine="478"/>
        <w:rPr>
          <w:rFonts w:ascii="宋体" w:hAnsi="宋体" w:eastAsia="宋体" w:cs="宋体"/>
          <w:sz w:val="24"/>
          <w:szCs w:val="24"/>
        </w:rPr>
      </w:pPr>
      <w:r>
        <w:rPr>
          <w:rFonts w:ascii="宋体" w:hAnsi="宋体" w:eastAsia="宋体" w:cs="宋体"/>
          <w:spacing w:val="3"/>
          <w:sz w:val="24"/>
          <w:szCs w:val="24"/>
        </w:rPr>
        <w:t>①纳污范围内企业生产废水、生活污水须经预处理后排入园区</w:t>
      </w:r>
      <w:r>
        <w:rPr>
          <w:rFonts w:ascii="宋体" w:hAnsi="宋体" w:eastAsia="宋体" w:cs="宋体"/>
          <w:spacing w:val="2"/>
          <w:sz w:val="24"/>
          <w:szCs w:val="24"/>
        </w:rPr>
        <w:t>配套污水处理处理后排入赧水，污水处理厂出水严格执行《城镇污水处理厂污染物排放标准》</w:t>
      </w:r>
      <w:r>
        <w:rPr>
          <w:rFonts w:ascii="Times New Roman" w:hAnsi="Times New Roman" w:eastAsia="Times New Roman" w:cs="Times New Roman"/>
          <w:spacing w:val="-1"/>
          <w:sz w:val="24"/>
          <w:szCs w:val="24"/>
        </w:rPr>
        <w:t>(GB18918-2002)</w:t>
      </w:r>
      <w:r>
        <w:rPr>
          <w:rFonts w:ascii="宋体" w:hAnsi="宋体" w:eastAsia="宋体" w:cs="宋体"/>
          <w:spacing w:val="-1"/>
          <w:sz w:val="24"/>
          <w:szCs w:val="24"/>
        </w:rPr>
        <w:t>一级</w:t>
      </w:r>
      <w:r>
        <w:rPr>
          <w:rFonts w:ascii="Times New Roman" w:hAnsi="Times New Roman" w:eastAsia="Times New Roman" w:cs="Times New Roman"/>
          <w:spacing w:val="-1"/>
          <w:sz w:val="24"/>
          <w:szCs w:val="24"/>
        </w:rPr>
        <w:t>A</w:t>
      </w:r>
      <w:r>
        <w:rPr>
          <w:rFonts w:ascii="宋体" w:hAnsi="宋体" w:eastAsia="宋体" w:cs="宋体"/>
          <w:spacing w:val="-1"/>
          <w:sz w:val="24"/>
          <w:szCs w:val="24"/>
        </w:rPr>
        <w:t>标准。</w:t>
      </w:r>
    </w:p>
    <w:p w14:paraId="397029E9">
      <w:pPr>
        <w:spacing w:before="194" w:line="290" w:lineRule="auto"/>
        <w:ind w:left="10" w:firstLine="477"/>
        <w:rPr>
          <w:rFonts w:ascii="宋体" w:hAnsi="宋体" w:eastAsia="宋体" w:cs="宋体"/>
          <w:sz w:val="24"/>
          <w:szCs w:val="24"/>
        </w:rPr>
      </w:pPr>
      <w:r>
        <w:rPr>
          <w:rFonts w:ascii="宋体" w:hAnsi="宋体" w:eastAsia="宋体" w:cs="宋体"/>
          <w:spacing w:val="3"/>
          <w:sz w:val="24"/>
          <w:szCs w:val="24"/>
        </w:rPr>
        <w:t>②完善园区污水管网建设，提高园区污水收集率，建立污水管网</w:t>
      </w:r>
      <w:r>
        <w:rPr>
          <w:rFonts w:ascii="宋体" w:hAnsi="宋体" w:eastAsia="宋体" w:cs="宋体"/>
          <w:spacing w:val="2"/>
          <w:sz w:val="24"/>
          <w:szCs w:val="24"/>
        </w:rPr>
        <w:t>、沿河排口</w:t>
      </w:r>
      <w:r>
        <w:rPr>
          <w:rFonts w:ascii="宋体" w:hAnsi="宋体" w:eastAsia="宋体" w:cs="宋体"/>
          <w:spacing w:val="-1"/>
          <w:sz w:val="24"/>
          <w:szCs w:val="24"/>
        </w:rPr>
        <w:t>巡查制度，防止污水外排水环境。</w:t>
      </w:r>
    </w:p>
    <w:p w14:paraId="53C1315B">
      <w:pPr>
        <w:spacing w:before="183" w:line="217" w:lineRule="auto"/>
        <w:ind w:left="488"/>
        <w:rPr>
          <w:rFonts w:ascii="宋体" w:hAnsi="宋体" w:eastAsia="宋体" w:cs="宋体"/>
          <w:sz w:val="24"/>
          <w:szCs w:val="24"/>
        </w:rPr>
      </w:pPr>
      <w:r>
        <w:rPr>
          <w:rFonts w:ascii="宋体" w:hAnsi="宋体" w:eastAsia="宋体" w:cs="宋体"/>
          <w:spacing w:val="-2"/>
          <w:sz w:val="24"/>
          <w:szCs w:val="24"/>
        </w:rPr>
        <w:t>③加强污水处理厂运行管理，目前已交由专业运营单</w:t>
      </w:r>
      <w:r>
        <w:rPr>
          <w:rFonts w:ascii="宋体" w:hAnsi="宋体" w:eastAsia="宋体" w:cs="宋体"/>
          <w:spacing w:val="-3"/>
          <w:sz w:val="24"/>
          <w:szCs w:val="24"/>
        </w:rPr>
        <w:t>位进行运维。</w:t>
      </w:r>
    </w:p>
    <w:p w14:paraId="559BA6AA">
      <w:pPr>
        <w:spacing w:before="185" w:line="220" w:lineRule="auto"/>
        <w:ind w:left="50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）建设事故应急设施，防范事故风险</w:t>
      </w:r>
    </w:p>
    <w:p w14:paraId="0165FC00">
      <w:pPr>
        <w:spacing w:before="184" w:line="361" w:lineRule="auto"/>
        <w:ind w:left="9" w:firstLine="481"/>
        <w:jc w:val="both"/>
        <w:rPr>
          <w:rFonts w:ascii="宋体" w:hAnsi="宋体" w:eastAsia="宋体" w:cs="宋体"/>
          <w:sz w:val="24"/>
          <w:szCs w:val="24"/>
        </w:rPr>
      </w:pPr>
      <w:r>
        <w:rPr>
          <w:rFonts w:ascii="宋体" w:hAnsi="宋体" w:eastAsia="宋体" w:cs="宋体"/>
          <w:spacing w:val="3"/>
          <w:sz w:val="24"/>
          <w:szCs w:val="24"/>
        </w:rPr>
        <w:t>污水处理厂进水含有工业废水，污染物超过设计进水指</w:t>
      </w:r>
      <w:r>
        <w:rPr>
          <w:rFonts w:ascii="宋体" w:hAnsi="宋体" w:eastAsia="宋体" w:cs="宋体"/>
          <w:spacing w:val="2"/>
          <w:sz w:val="24"/>
          <w:szCs w:val="24"/>
        </w:rPr>
        <w:t>标或发生事故时，可</w:t>
      </w:r>
      <w:r>
        <w:rPr>
          <w:rFonts w:ascii="宋体" w:hAnsi="宋体" w:eastAsia="宋体" w:cs="宋体"/>
          <w:spacing w:val="3"/>
          <w:sz w:val="24"/>
          <w:szCs w:val="24"/>
        </w:rPr>
        <w:t>能会导致不达标污水外排，因此应建设事故池，收</w:t>
      </w:r>
      <w:r>
        <w:rPr>
          <w:rFonts w:ascii="宋体" w:hAnsi="宋体" w:eastAsia="宋体" w:cs="宋体"/>
          <w:spacing w:val="2"/>
          <w:sz w:val="24"/>
          <w:szCs w:val="24"/>
        </w:rPr>
        <w:t>集事故废水或不达标污水，保</w:t>
      </w:r>
      <w:r>
        <w:rPr>
          <w:rFonts w:ascii="宋体" w:hAnsi="宋体" w:eastAsia="宋体" w:cs="宋体"/>
          <w:spacing w:val="16"/>
          <w:sz w:val="24"/>
          <w:szCs w:val="24"/>
        </w:rPr>
        <w:t>证所有废水不外排。隆回工业污水处理工程设计将新建事</w:t>
      </w:r>
      <w:r>
        <w:rPr>
          <w:rFonts w:ascii="宋体" w:hAnsi="宋体" w:eastAsia="宋体" w:cs="宋体"/>
          <w:spacing w:val="15"/>
          <w:sz w:val="24"/>
          <w:szCs w:val="24"/>
        </w:rPr>
        <w:t>故池，有效容积为</w:t>
      </w:r>
    </w:p>
    <w:p w14:paraId="4B694131">
      <w:pPr>
        <w:spacing w:line="361" w:lineRule="auto"/>
        <w:rPr>
          <w:rFonts w:ascii="宋体" w:hAnsi="宋体" w:eastAsia="宋体" w:cs="宋体"/>
          <w:sz w:val="24"/>
          <w:szCs w:val="24"/>
        </w:rPr>
        <w:sectPr>
          <w:footerReference r:id="rId172" w:type="default"/>
          <w:pgSz w:w="11906" w:h="16839"/>
          <w:pgMar w:top="1132" w:right="1700" w:bottom="1259" w:left="1701" w:header="829" w:footer="1097" w:gutter="0"/>
          <w:cols w:space="720" w:num="1"/>
        </w:sectPr>
      </w:pPr>
    </w:p>
    <w:p w14:paraId="40033B64">
      <w:pPr>
        <w:pStyle w:val="2"/>
        <w:spacing w:line="319" w:lineRule="auto"/>
      </w:pPr>
    </w:p>
    <w:p w14:paraId="357ACDF0">
      <w:pPr>
        <w:spacing w:before="78" w:line="219" w:lineRule="auto"/>
        <w:ind w:left="28"/>
        <w:rPr>
          <w:rFonts w:ascii="宋体" w:hAnsi="宋体" w:eastAsia="宋体" w:cs="宋体"/>
          <w:sz w:val="24"/>
          <w:szCs w:val="24"/>
        </w:rPr>
      </w:pPr>
      <w:r>
        <w:rPr>
          <w:rFonts w:ascii="Times New Roman" w:hAnsi="Times New Roman" w:eastAsia="Times New Roman" w:cs="Times New Roman"/>
          <w:spacing w:val="-4"/>
          <w:sz w:val="24"/>
          <w:szCs w:val="24"/>
        </w:rPr>
        <w:t>15000m</w:t>
      </w:r>
      <w:r>
        <w:rPr>
          <w:rFonts w:ascii="Times New Roman" w:hAnsi="Times New Roman" w:eastAsia="Times New Roman" w:cs="Times New Roman"/>
          <w:spacing w:val="-4"/>
          <w:position w:val="7"/>
          <w:sz w:val="15"/>
          <w:szCs w:val="15"/>
        </w:rPr>
        <w:t>3</w:t>
      </w:r>
      <w:r>
        <w:rPr>
          <w:rFonts w:ascii="宋体" w:hAnsi="宋体" w:eastAsia="宋体" w:cs="宋体"/>
          <w:spacing w:val="-4"/>
          <w:sz w:val="24"/>
          <w:szCs w:val="24"/>
        </w:rPr>
        <w:t>，基本满足需求。</w:t>
      </w:r>
    </w:p>
    <w:p w14:paraId="6C7B3D8B">
      <w:pPr>
        <w:spacing w:before="184" w:line="219" w:lineRule="auto"/>
        <w:ind w:left="8"/>
        <w:outlineLvl w:val="2"/>
        <w:rPr>
          <w:rFonts w:ascii="宋体" w:hAnsi="宋体" w:eastAsia="宋体" w:cs="宋体"/>
          <w:sz w:val="24"/>
          <w:szCs w:val="24"/>
        </w:rPr>
      </w:pPr>
      <w:r>
        <w:rPr>
          <w:rFonts w:ascii="Times New Roman" w:hAnsi="Times New Roman" w:eastAsia="Times New Roman" w:cs="Times New Roman"/>
          <w:b/>
          <w:bCs/>
          <w:spacing w:val="-4"/>
          <w:sz w:val="24"/>
          <w:szCs w:val="24"/>
        </w:rPr>
        <w:t>9.4.2</w:t>
      </w:r>
      <w:r>
        <w:rPr>
          <w:rFonts w:ascii="宋体" w:hAnsi="宋体" w:eastAsia="宋体" w:cs="宋体"/>
          <w:b/>
          <w:bCs/>
          <w:spacing w:val="-4"/>
          <w:sz w:val="24"/>
          <w:szCs w:val="24"/>
        </w:rPr>
        <w:t>管理措施</w:t>
      </w:r>
    </w:p>
    <w:p w14:paraId="0169ECB7">
      <w:pPr>
        <w:spacing w:before="183" w:line="219" w:lineRule="auto"/>
        <w:ind w:left="8"/>
        <w:outlineLvl w:val="3"/>
        <w:rPr>
          <w:rFonts w:ascii="宋体" w:hAnsi="宋体" w:eastAsia="宋体" w:cs="宋体"/>
          <w:sz w:val="24"/>
          <w:szCs w:val="24"/>
        </w:rPr>
      </w:pPr>
      <w:r>
        <w:rPr>
          <w:rFonts w:ascii="Times New Roman" w:hAnsi="Times New Roman" w:eastAsia="Times New Roman" w:cs="Times New Roman"/>
          <w:b/>
          <w:bCs/>
          <w:spacing w:val="-2"/>
          <w:sz w:val="24"/>
          <w:szCs w:val="24"/>
        </w:rPr>
        <w:t>9.4.2.1</w:t>
      </w:r>
      <w:r>
        <w:rPr>
          <w:rFonts w:ascii="宋体" w:hAnsi="宋体" w:eastAsia="宋体" w:cs="宋体"/>
          <w:b/>
          <w:bCs/>
          <w:spacing w:val="-2"/>
          <w:sz w:val="24"/>
          <w:szCs w:val="24"/>
        </w:rPr>
        <w:t>污水监控</w:t>
      </w:r>
    </w:p>
    <w:p w14:paraId="4697659B">
      <w:pPr>
        <w:spacing w:before="182" w:line="360" w:lineRule="auto"/>
        <w:ind w:left="23" w:right="105" w:firstLine="469"/>
        <w:jc w:val="both"/>
        <w:rPr>
          <w:rFonts w:ascii="宋体" w:hAnsi="宋体" w:eastAsia="宋体" w:cs="宋体"/>
          <w:sz w:val="24"/>
          <w:szCs w:val="24"/>
        </w:rPr>
      </w:pPr>
      <w:r>
        <w:rPr>
          <w:rFonts w:ascii="宋体" w:hAnsi="宋体" w:eastAsia="宋体" w:cs="宋体"/>
          <w:spacing w:val="3"/>
          <w:sz w:val="24"/>
          <w:szCs w:val="24"/>
        </w:rPr>
        <w:t>为确隆回工业污水处理工程入河排污口水质安全稳定</w:t>
      </w:r>
      <w:r>
        <w:rPr>
          <w:rFonts w:ascii="宋体" w:hAnsi="宋体" w:eastAsia="宋体" w:cs="宋体"/>
          <w:spacing w:val="2"/>
          <w:sz w:val="24"/>
          <w:szCs w:val="24"/>
        </w:rPr>
        <w:t>地达到相关标准限值，防止突发水污染事故，必须对污水处理设施的进出水水质进行跟踪监测，同时也</w:t>
      </w:r>
      <w:r>
        <w:rPr>
          <w:rFonts w:ascii="宋体" w:hAnsi="宋体" w:eastAsia="宋体" w:cs="宋体"/>
          <w:spacing w:val="-2"/>
          <w:sz w:val="24"/>
          <w:szCs w:val="24"/>
        </w:rPr>
        <w:t>需要对受纳水域水质进行监测。</w:t>
      </w:r>
    </w:p>
    <w:p w14:paraId="70F1C527">
      <w:pPr>
        <w:spacing w:line="220" w:lineRule="auto"/>
        <w:ind w:left="501"/>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1</w:t>
      </w:r>
      <w:r>
        <w:rPr>
          <w:rFonts w:ascii="宋体" w:hAnsi="宋体" w:eastAsia="宋体" w:cs="宋体"/>
          <w:spacing w:val="-8"/>
          <w:sz w:val="24"/>
          <w:szCs w:val="24"/>
        </w:rPr>
        <w:t>）日常监测方案</w:t>
      </w:r>
    </w:p>
    <w:p w14:paraId="59AD845E">
      <w:pPr>
        <w:spacing w:before="184" w:line="341" w:lineRule="auto"/>
        <w:ind w:left="7" w:firstLine="481"/>
        <w:rPr>
          <w:rFonts w:ascii="宋体" w:hAnsi="宋体" w:eastAsia="宋体" w:cs="宋体"/>
          <w:sz w:val="24"/>
          <w:szCs w:val="24"/>
        </w:rPr>
      </w:pPr>
      <w:r>
        <w:rPr>
          <w:rFonts w:ascii="宋体" w:hAnsi="宋体" w:eastAsia="宋体" w:cs="宋体"/>
          <w:spacing w:val="-1"/>
          <w:sz w:val="24"/>
          <w:szCs w:val="24"/>
        </w:rPr>
        <w:t>①隆回工业污水处理工程进出水监测、监控《中华人民共和国</w:t>
      </w:r>
      <w:r>
        <w:rPr>
          <w:rFonts w:ascii="宋体" w:hAnsi="宋体" w:eastAsia="宋体" w:cs="宋体"/>
          <w:spacing w:val="-2"/>
          <w:sz w:val="24"/>
          <w:szCs w:val="24"/>
        </w:rPr>
        <w:t>水污染防治法》</w:t>
      </w:r>
      <w:r>
        <w:rPr>
          <w:rFonts w:ascii="宋体" w:hAnsi="宋体" w:eastAsia="宋体" w:cs="宋体"/>
          <w:spacing w:val="1"/>
          <w:sz w:val="24"/>
          <w:szCs w:val="24"/>
        </w:rPr>
        <w:t>(</w:t>
      </w:r>
      <w:r>
        <w:rPr>
          <w:rFonts w:ascii="Times New Roman" w:hAnsi="Times New Roman" w:eastAsia="Times New Roman" w:cs="Times New Roman"/>
          <w:spacing w:val="1"/>
          <w:sz w:val="24"/>
          <w:szCs w:val="24"/>
        </w:rPr>
        <w:t>2017</w:t>
      </w:r>
      <w:r>
        <w:rPr>
          <w:rFonts w:ascii="宋体" w:hAnsi="宋体" w:eastAsia="宋体" w:cs="宋体"/>
          <w:spacing w:val="1"/>
          <w:sz w:val="24"/>
          <w:szCs w:val="24"/>
        </w:rPr>
        <w:t>年修订)第二十三条规定：实行排污许可管理的企业事业单位和</w:t>
      </w:r>
      <w:r>
        <w:rPr>
          <w:rFonts w:ascii="宋体" w:hAnsi="宋体" w:eastAsia="宋体" w:cs="宋体"/>
          <w:sz w:val="24"/>
          <w:szCs w:val="24"/>
        </w:rPr>
        <w:t>其他生产经</w:t>
      </w:r>
      <w:r>
        <w:rPr>
          <w:rFonts w:ascii="宋体" w:hAnsi="宋体" w:eastAsia="宋体" w:cs="宋体"/>
          <w:spacing w:val="3"/>
          <w:sz w:val="24"/>
          <w:szCs w:val="24"/>
        </w:rPr>
        <w:t>营者应当按照国家有关规定和监测规范，对所排放的水</w:t>
      </w:r>
      <w:r>
        <w:rPr>
          <w:rFonts w:ascii="宋体" w:hAnsi="宋体" w:eastAsia="宋体" w:cs="宋体"/>
          <w:spacing w:val="2"/>
          <w:sz w:val="24"/>
          <w:szCs w:val="24"/>
        </w:rPr>
        <w:t>污染物自行监测，并保存</w:t>
      </w:r>
      <w:r>
        <w:rPr>
          <w:rFonts w:ascii="宋体" w:hAnsi="宋体" w:eastAsia="宋体" w:cs="宋体"/>
          <w:spacing w:val="3"/>
          <w:sz w:val="24"/>
          <w:szCs w:val="24"/>
        </w:rPr>
        <w:t>原始监测记录。重点排污单位还应当安装水污染物排放</w:t>
      </w:r>
      <w:r>
        <w:rPr>
          <w:rFonts w:ascii="宋体" w:hAnsi="宋体" w:eastAsia="宋体" w:cs="宋体"/>
          <w:spacing w:val="2"/>
          <w:sz w:val="24"/>
          <w:szCs w:val="24"/>
        </w:rPr>
        <w:t>自动监测设备，与环境保</w:t>
      </w:r>
      <w:r>
        <w:rPr>
          <w:rFonts w:ascii="宋体" w:hAnsi="宋体" w:eastAsia="宋体" w:cs="宋体"/>
          <w:spacing w:val="3"/>
          <w:sz w:val="24"/>
          <w:szCs w:val="24"/>
        </w:rPr>
        <w:t>护主管部门的监控设备联网，并保证监测设备正常</w:t>
      </w:r>
      <w:r>
        <w:rPr>
          <w:rFonts w:ascii="宋体" w:hAnsi="宋体" w:eastAsia="宋体" w:cs="宋体"/>
          <w:spacing w:val="2"/>
          <w:sz w:val="24"/>
          <w:szCs w:val="24"/>
        </w:rPr>
        <w:t>运行。隆回县工业污水处理工</w:t>
      </w:r>
      <w:r>
        <w:rPr>
          <w:rFonts w:ascii="宋体" w:hAnsi="宋体" w:eastAsia="宋体" w:cs="宋体"/>
          <w:spacing w:val="3"/>
          <w:sz w:val="24"/>
          <w:szCs w:val="24"/>
        </w:rPr>
        <w:t>程在出水口处建有巴氏计量槽，用于退水流量计量和人</w:t>
      </w:r>
      <w:r>
        <w:rPr>
          <w:rFonts w:ascii="宋体" w:hAnsi="宋体" w:eastAsia="宋体" w:cs="宋体"/>
          <w:spacing w:val="2"/>
          <w:sz w:val="24"/>
          <w:szCs w:val="24"/>
        </w:rPr>
        <w:t>工取样。出水水质设置自</w:t>
      </w:r>
      <w:r>
        <w:rPr>
          <w:rFonts w:ascii="宋体" w:hAnsi="宋体" w:eastAsia="宋体" w:cs="宋体"/>
          <w:spacing w:val="-2"/>
          <w:sz w:val="24"/>
          <w:szCs w:val="24"/>
        </w:rPr>
        <w:t>动监测站，在线监测站房位于计量槽旁，现状监测项目包括</w:t>
      </w:r>
      <w:r>
        <w:rPr>
          <w:rFonts w:ascii="Times New Roman" w:hAnsi="Times New Roman" w:eastAsia="Times New Roman" w:cs="Times New Roman"/>
          <w:spacing w:val="-2"/>
          <w:sz w:val="24"/>
          <w:szCs w:val="24"/>
        </w:rPr>
        <w:t>COD</w:t>
      </w:r>
      <w:r>
        <w:rPr>
          <w:rFonts w:ascii="宋体" w:hAnsi="宋体" w:eastAsia="宋体" w:cs="宋体"/>
          <w:spacing w:val="-2"/>
          <w:sz w:val="24"/>
          <w:szCs w:val="24"/>
        </w:rPr>
        <w:t>、</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sz w:val="15"/>
          <w:szCs w:val="15"/>
        </w:rPr>
        <w:t>3</w:t>
      </w:r>
      <w:r>
        <w:rPr>
          <w:rFonts w:ascii="Times New Roman" w:hAnsi="Times New Roman" w:eastAsia="Times New Roman" w:cs="Times New Roman"/>
          <w:spacing w:val="-2"/>
          <w:sz w:val="24"/>
          <w:szCs w:val="24"/>
        </w:rPr>
        <w:t>-N</w:t>
      </w:r>
      <w:r>
        <w:rPr>
          <w:rFonts w:ascii="宋体" w:hAnsi="宋体" w:eastAsia="宋体" w:cs="宋体"/>
          <w:spacing w:val="-2"/>
          <w:sz w:val="24"/>
          <w:szCs w:val="24"/>
        </w:rPr>
        <w:t>、</w:t>
      </w:r>
      <w:r>
        <w:rPr>
          <w:rFonts w:ascii="Times New Roman" w:hAnsi="Times New Roman" w:eastAsia="Times New Roman" w:cs="Times New Roman"/>
          <w:spacing w:val="-2"/>
          <w:sz w:val="24"/>
          <w:szCs w:val="24"/>
        </w:rPr>
        <w:t>TN</w:t>
      </w:r>
      <w:r>
        <w:rPr>
          <w:rFonts w:ascii="宋体" w:hAnsi="宋体" w:eastAsia="宋体" w:cs="宋体"/>
          <w:spacing w:val="-2"/>
          <w:sz w:val="24"/>
          <w:szCs w:val="24"/>
        </w:rPr>
        <w:t>、</w:t>
      </w:r>
      <w:r>
        <w:rPr>
          <w:rFonts w:ascii="Times New Roman" w:hAnsi="Times New Roman" w:eastAsia="Times New Roman" w:cs="Times New Roman"/>
          <w:spacing w:val="-2"/>
          <w:sz w:val="24"/>
          <w:szCs w:val="24"/>
        </w:rPr>
        <w:t>TP</w:t>
      </w:r>
      <w:r>
        <w:rPr>
          <w:rFonts w:ascii="宋体" w:hAnsi="宋体" w:eastAsia="宋体" w:cs="宋体"/>
          <w:spacing w:val="-2"/>
          <w:sz w:val="24"/>
          <w:szCs w:val="24"/>
        </w:rPr>
        <w:t>、</w:t>
      </w:r>
      <w:r>
        <w:rPr>
          <w:rFonts w:ascii="Times New Roman" w:hAnsi="Times New Roman" w:eastAsia="Times New Roman" w:cs="Times New Roman"/>
          <w:spacing w:val="-2"/>
          <w:sz w:val="24"/>
          <w:szCs w:val="24"/>
        </w:rPr>
        <w:t>pH</w:t>
      </w:r>
      <w:r>
        <w:rPr>
          <w:rFonts w:ascii="宋体" w:hAnsi="宋体" w:eastAsia="宋体" w:cs="宋体"/>
          <w:spacing w:val="-2"/>
          <w:sz w:val="24"/>
          <w:szCs w:val="24"/>
        </w:rPr>
        <w:t>、流量等</w:t>
      </w:r>
      <w:r>
        <w:rPr>
          <w:rFonts w:ascii="Times New Roman" w:hAnsi="Times New Roman" w:eastAsia="Times New Roman" w:cs="Times New Roman"/>
          <w:spacing w:val="-2"/>
          <w:sz w:val="24"/>
          <w:szCs w:val="24"/>
        </w:rPr>
        <w:t>6</w:t>
      </w:r>
      <w:r>
        <w:rPr>
          <w:rFonts w:ascii="宋体" w:hAnsi="宋体" w:eastAsia="宋体" w:cs="宋体"/>
          <w:spacing w:val="-2"/>
          <w:sz w:val="24"/>
          <w:szCs w:val="24"/>
        </w:rPr>
        <w:t>项指标，在线监测数据</w:t>
      </w:r>
      <w:r>
        <w:rPr>
          <w:rFonts w:ascii="宋体" w:hAnsi="宋体" w:eastAsia="宋体" w:cs="宋体"/>
          <w:spacing w:val="-3"/>
          <w:sz w:val="24"/>
          <w:szCs w:val="24"/>
        </w:rPr>
        <w:t>与生态环境部门联网。</w:t>
      </w:r>
    </w:p>
    <w:p w14:paraId="5C21754E">
      <w:pPr>
        <w:spacing w:before="195" w:line="220" w:lineRule="auto"/>
        <w:ind w:left="501"/>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）应急监测方案</w:t>
      </w:r>
    </w:p>
    <w:p w14:paraId="3DAEC18E">
      <w:pPr>
        <w:spacing w:before="182" w:line="360" w:lineRule="auto"/>
        <w:ind w:left="10" w:right="105" w:firstLine="494"/>
        <w:jc w:val="both"/>
        <w:rPr>
          <w:rFonts w:ascii="宋体" w:hAnsi="宋体" w:eastAsia="宋体" w:cs="宋体"/>
          <w:sz w:val="24"/>
          <w:szCs w:val="24"/>
        </w:rPr>
      </w:pPr>
      <w:r>
        <w:rPr>
          <w:rFonts w:ascii="宋体" w:hAnsi="宋体" w:eastAsia="宋体" w:cs="宋体"/>
          <w:spacing w:val="2"/>
          <w:sz w:val="24"/>
          <w:szCs w:val="24"/>
        </w:rPr>
        <w:t>当污水处理厂厂区处理设施出现事故（如设备故障等）时，进厂污水未经处</w:t>
      </w:r>
      <w:r>
        <w:rPr>
          <w:rFonts w:ascii="宋体" w:hAnsi="宋体" w:eastAsia="宋体" w:cs="宋体"/>
          <w:spacing w:val="3"/>
          <w:sz w:val="24"/>
          <w:szCs w:val="24"/>
        </w:rPr>
        <w:t>理直接排入受纳水体。非正常排放的形式主要有</w:t>
      </w:r>
      <w:r>
        <w:rPr>
          <w:rFonts w:ascii="宋体" w:hAnsi="宋体" w:eastAsia="宋体" w:cs="宋体"/>
          <w:spacing w:val="2"/>
          <w:sz w:val="24"/>
          <w:szCs w:val="24"/>
        </w:rPr>
        <w:t>：在抢修、停电、设备故障、泵</w:t>
      </w:r>
      <w:r>
        <w:rPr>
          <w:rFonts w:ascii="宋体" w:hAnsi="宋体" w:eastAsia="宋体" w:cs="宋体"/>
          <w:spacing w:val="3"/>
          <w:sz w:val="24"/>
          <w:szCs w:val="24"/>
        </w:rPr>
        <w:t>站事故等情况下导致的污水未经处理直接排放。</w:t>
      </w:r>
      <w:r>
        <w:rPr>
          <w:rFonts w:ascii="宋体" w:hAnsi="宋体" w:eastAsia="宋体" w:cs="宋体"/>
          <w:spacing w:val="2"/>
          <w:sz w:val="24"/>
          <w:szCs w:val="24"/>
        </w:rPr>
        <w:t>项目建设单位必须加强日常管理</w:t>
      </w:r>
      <w:r>
        <w:rPr>
          <w:rFonts w:ascii="宋体" w:hAnsi="宋体" w:eastAsia="宋体" w:cs="宋体"/>
          <w:spacing w:val="3"/>
          <w:sz w:val="24"/>
          <w:szCs w:val="24"/>
        </w:rPr>
        <w:t>与巡检，确保处理系统安全稳定运行，尽可能避</w:t>
      </w:r>
      <w:r>
        <w:rPr>
          <w:rFonts w:ascii="宋体" w:hAnsi="宋体" w:eastAsia="宋体" w:cs="宋体"/>
          <w:spacing w:val="2"/>
          <w:sz w:val="24"/>
          <w:szCs w:val="24"/>
        </w:rPr>
        <w:t>免事故性排放发生，并制定非正</w:t>
      </w:r>
      <w:r>
        <w:rPr>
          <w:rFonts w:ascii="宋体" w:hAnsi="宋体" w:eastAsia="宋体" w:cs="宋体"/>
          <w:spacing w:val="-2"/>
          <w:sz w:val="24"/>
          <w:szCs w:val="24"/>
        </w:rPr>
        <w:t>常排放应急措施：</w:t>
      </w:r>
    </w:p>
    <w:p w14:paraId="1F7F547C">
      <w:pPr>
        <w:spacing w:line="217" w:lineRule="auto"/>
        <w:ind w:left="488"/>
        <w:rPr>
          <w:rFonts w:ascii="宋体" w:hAnsi="宋体" w:eastAsia="宋体" w:cs="宋体"/>
          <w:sz w:val="24"/>
          <w:szCs w:val="24"/>
        </w:rPr>
      </w:pPr>
      <w:r>
        <w:rPr>
          <w:rFonts w:ascii="宋体" w:hAnsi="宋体" w:eastAsia="宋体" w:cs="宋体"/>
          <w:spacing w:val="-1"/>
          <w:sz w:val="24"/>
          <w:szCs w:val="24"/>
        </w:rPr>
        <w:t>①应建立污水处理厂应急预案，以保障受纳水体水质不受污染；</w:t>
      </w:r>
    </w:p>
    <w:p w14:paraId="257F7637">
      <w:pPr>
        <w:spacing w:before="187" w:line="290" w:lineRule="auto"/>
        <w:ind w:left="10" w:right="105" w:firstLine="477"/>
        <w:rPr>
          <w:rFonts w:ascii="宋体" w:hAnsi="宋体" w:eastAsia="宋体" w:cs="宋体"/>
          <w:sz w:val="24"/>
          <w:szCs w:val="24"/>
        </w:rPr>
      </w:pPr>
      <w:r>
        <w:rPr>
          <w:rFonts w:ascii="宋体" w:hAnsi="宋体" w:eastAsia="宋体" w:cs="宋体"/>
          <w:spacing w:val="-3"/>
          <w:sz w:val="24"/>
          <w:szCs w:val="24"/>
        </w:rPr>
        <w:t>②在外排出水设置</w:t>
      </w:r>
      <w:r>
        <w:rPr>
          <w:rFonts w:ascii="Times New Roman" w:hAnsi="Times New Roman" w:eastAsia="Times New Roman" w:cs="Times New Roman"/>
          <w:spacing w:val="-3"/>
          <w:sz w:val="24"/>
          <w:szCs w:val="24"/>
        </w:rPr>
        <w:t>COD</w:t>
      </w:r>
      <w:r>
        <w:rPr>
          <w:rFonts w:ascii="宋体" w:hAnsi="宋体" w:eastAsia="宋体" w:cs="宋体"/>
          <w:spacing w:val="-3"/>
          <w:sz w:val="24"/>
          <w:szCs w:val="24"/>
        </w:rPr>
        <w:t>、</w:t>
      </w:r>
      <w:r>
        <w:rPr>
          <w:rFonts w:ascii="Times New Roman" w:hAnsi="Times New Roman" w:eastAsia="Times New Roman" w:cs="Times New Roman"/>
          <w:spacing w:val="-3"/>
          <w:sz w:val="24"/>
          <w:szCs w:val="24"/>
        </w:rPr>
        <w:t>NH</w:t>
      </w:r>
      <w:r>
        <w:rPr>
          <w:rFonts w:ascii="Times New Roman" w:hAnsi="Times New Roman" w:eastAsia="Times New Roman" w:cs="Times New Roman"/>
          <w:spacing w:val="-3"/>
          <w:sz w:val="15"/>
          <w:szCs w:val="15"/>
        </w:rPr>
        <w:t>3</w:t>
      </w:r>
      <w:r>
        <w:rPr>
          <w:rFonts w:ascii="Times New Roman" w:hAnsi="Times New Roman" w:eastAsia="Times New Roman" w:cs="Times New Roman"/>
          <w:spacing w:val="-3"/>
          <w:sz w:val="24"/>
          <w:szCs w:val="24"/>
        </w:rPr>
        <w:t>-N</w:t>
      </w:r>
      <w:r>
        <w:rPr>
          <w:rFonts w:ascii="宋体" w:hAnsi="宋体" w:eastAsia="宋体" w:cs="宋体"/>
          <w:spacing w:val="-3"/>
          <w:sz w:val="24"/>
          <w:szCs w:val="24"/>
        </w:rPr>
        <w:t>、</w:t>
      </w:r>
      <w:r>
        <w:rPr>
          <w:rFonts w:ascii="Times New Roman" w:hAnsi="Times New Roman" w:eastAsia="Times New Roman" w:cs="Times New Roman"/>
          <w:spacing w:val="-3"/>
          <w:sz w:val="24"/>
          <w:szCs w:val="24"/>
        </w:rPr>
        <w:t>TP</w:t>
      </w:r>
      <w:r>
        <w:rPr>
          <w:rFonts w:ascii="宋体" w:hAnsi="宋体" w:eastAsia="宋体" w:cs="宋体"/>
          <w:spacing w:val="-4"/>
          <w:sz w:val="24"/>
          <w:szCs w:val="24"/>
        </w:rPr>
        <w:t>、</w:t>
      </w:r>
      <w:r>
        <w:rPr>
          <w:rFonts w:ascii="Times New Roman" w:hAnsi="Times New Roman" w:eastAsia="Times New Roman" w:cs="Times New Roman"/>
          <w:spacing w:val="-4"/>
          <w:sz w:val="24"/>
          <w:szCs w:val="24"/>
        </w:rPr>
        <w:t>TN</w:t>
      </w:r>
      <w:r>
        <w:rPr>
          <w:rFonts w:ascii="宋体" w:hAnsi="宋体" w:eastAsia="宋体" w:cs="宋体"/>
          <w:spacing w:val="-4"/>
          <w:sz w:val="24"/>
          <w:szCs w:val="24"/>
        </w:rPr>
        <w:t>在线监测仪，安排专人进行定期监</w:t>
      </w:r>
      <w:r>
        <w:rPr>
          <w:rFonts w:ascii="宋体" w:hAnsi="宋体" w:eastAsia="宋体" w:cs="宋体"/>
          <w:spacing w:val="-6"/>
          <w:sz w:val="24"/>
          <w:szCs w:val="24"/>
        </w:rPr>
        <w:t>测；</w:t>
      </w:r>
    </w:p>
    <w:p w14:paraId="18026C57">
      <w:pPr>
        <w:spacing w:before="181" w:line="217" w:lineRule="auto"/>
        <w:jc w:val="right"/>
        <w:rPr>
          <w:rFonts w:ascii="宋体" w:hAnsi="宋体" w:eastAsia="宋体" w:cs="宋体"/>
          <w:sz w:val="24"/>
          <w:szCs w:val="24"/>
        </w:rPr>
      </w:pPr>
      <w:r>
        <w:rPr>
          <w:rFonts w:ascii="宋体" w:hAnsi="宋体" w:eastAsia="宋体" w:cs="宋体"/>
          <w:spacing w:val="-3"/>
          <w:sz w:val="24"/>
          <w:szCs w:val="24"/>
        </w:rPr>
        <w:t>③在出现事故时，及时修复系统，禁止将废污水直接排放入园区雨水排水沟；</w:t>
      </w:r>
    </w:p>
    <w:p w14:paraId="465EBFEC">
      <w:pPr>
        <w:spacing w:before="186" w:line="290" w:lineRule="auto"/>
        <w:ind w:left="10" w:right="166" w:firstLine="477"/>
        <w:rPr>
          <w:rFonts w:ascii="宋体" w:hAnsi="宋体" w:eastAsia="宋体" w:cs="宋体"/>
          <w:sz w:val="24"/>
          <w:szCs w:val="24"/>
        </w:rPr>
      </w:pPr>
      <w:r>
        <w:rPr>
          <w:rFonts w:ascii="宋体" w:hAnsi="宋体" w:eastAsia="宋体" w:cs="宋体"/>
          <w:spacing w:val="1"/>
          <w:sz w:val="24"/>
          <w:szCs w:val="24"/>
        </w:rPr>
        <w:t>④若发生事故，及时将事故信息报告给生态环境、住建、水利等主管部门，</w:t>
      </w:r>
      <w:r>
        <w:rPr>
          <w:rFonts w:ascii="宋体" w:hAnsi="宋体" w:eastAsia="宋体" w:cs="宋体"/>
          <w:spacing w:val="-1"/>
          <w:sz w:val="24"/>
          <w:szCs w:val="24"/>
        </w:rPr>
        <w:t>开展污染事故监测工作，具体如下：</w:t>
      </w:r>
    </w:p>
    <w:p w14:paraId="386BFD9F">
      <w:pPr>
        <w:spacing w:before="182" w:line="219" w:lineRule="auto"/>
        <w:ind w:left="490"/>
        <w:rPr>
          <w:rFonts w:ascii="宋体" w:hAnsi="宋体" w:eastAsia="宋体" w:cs="宋体"/>
          <w:sz w:val="24"/>
          <w:szCs w:val="24"/>
        </w:rPr>
      </w:pPr>
      <w:r>
        <w:rPr>
          <w:rFonts w:ascii="宋体" w:hAnsi="宋体" w:eastAsia="宋体" w:cs="宋体"/>
          <w:spacing w:val="-1"/>
          <w:sz w:val="24"/>
          <w:szCs w:val="24"/>
        </w:rPr>
        <w:t>监测项目：事故发生后排入污水管线的有毒有害物质；</w:t>
      </w:r>
    </w:p>
    <w:p w14:paraId="0F822046">
      <w:pPr>
        <w:spacing w:before="182" w:line="219" w:lineRule="auto"/>
        <w:ind w:left="490"/>
        <w:rPr>
          <w:rFonts w:ascii="宋体" w:hAnsi="宋体" w:eastAsia="宋体" w:cs="宋体"/>
          <w:sz w:val="24"/>
          <w:szCs w:val="24"/>
        </w:rPr>
      </w:pPr>
      <w:r>
        <w:rPr>
          <w:rFonts w:ascii="宋体" w:hAnsi="宋体" w:eastAsia="宋体" w:cs="宋体"/>
          <w:spacing w:val="-1"/>
          <w:sz w:val="24"/>
          <w:szCs w:val="24"/>
        </w:rPr>
        <w:t>监测布点：泄漏点、泄漏点下游赧水水体；</w:t>
      </w:r>
    </w:p>
    <w:p w14:paraId="7C7F20EE">
      <w:pPr>
        <w:spacing w:before="185" w:line="219" w:lineRule="auto"/>
        <w:ind w:left="490"/>
        <w:rPr>
          <w:rFonts w:ascii="宋体" w:hAnsi="宋体" w:eastAsia="宋体" w:cs="宋体"/>
          <w:sz w:val="24"/>
          <w:szCs w:val="24"/>
        </w:rPr>
      </w:pPr>
      <w:r>
        <w:rPr>
          <w:rFonts w:ascii="宋体" w:hAnsi="宋体" w:eastAsia="宋体" w:cs="宋体"/>
          <w:spacing w:val="3"/>
          <w:sz w:val="24"/>
          <w:szCs w:val="24"/>
        </w:rPr>
        <w:t>监测时间：应急监测的频次根据事故发生的时间而有所变</w:t>
      </w:r>
      <w:r>
        <w:rPr>
          <w:rFonts w:ascii="宋体" w:hAnsi="宋体" w:eastAsia="宋体" w:cs="宋体"/>
          <w:spacing w:val="2"/>
          <w:sz w:val="24"/>
          <w:szCs w:val="24"/>
        </w:rPr>
        <w:t>化，根据污染物的</w:t>
      </w:r>
    </w:p>
    <w:p w14:paraId="652F0FEB">
      <w:pPr>
        <w:spacing w:line="219" w:lineRule="auto"/>
        <w:rPr>
          <w:rFonts w:ascii="宋体" w:hAnsi="宋体" w:eastAsia="宋体" w:cs="宋体"/>
          <w:sz w:val="24"/>
          <w:szCs w:val="24"/>
        </w:rPr>
        <w:sectPr>
          <w:headerReference r:id="rId173" w:type="default"/>
          <w:footerReference r:id="rId174" w:type="default"/>
          <w:pgSz w:w="11906" w:h="16839"/>
          <w:pgMar w:top="1132" w:right="1595" w:bottom="1259" w:left="1701" w:header="829" w:footer="1097" w:gutter="0"/>
          <w:cols w:space="720" w:num="1"/>
        </w:sectPr>
      </w:pPr>
    </w:p>
    <w:p w14:paraId="3294C41A">
      <w:pPr>
        <w:pStyle w:val="2"/>
        <w:spacing w:line="319" w:lineRule="auto"/>
      </w:pPr>
    </w:p>
    <w:p w14:paraId="5F3A545F">
      <w:pPr>
        <w:spacing w:before="78" w:line="360" w:lineRule="auto"/>
        <w:ind w:left="10" w:hanging="1"/>
        <w:jc w:val="both"/>
        <w:rPr>
          <w:rFonts w:ascii="宋体" w:hAnsi="宋体" w:eastAsia="宋体" w:cs="宋体"/>
          <w:sz w:val="24"/>
          <w:szCs w:val="24"/>
        </w:rPr>
      </w:pPr>
      <w:r>
        <w:rPr>
          <w:rFonts w:ascii="宋体" w:hAnsi="宋体" w:eastAsia="宋体" w:cs="宋体"/>
          <w:spacing w:val="2"/>
          <w:sz w:val="24"/>
          <w:szCs w:val="24"/>
        </w:rPr>
        <w:t>状况在事发初期应当增加频次，不少于</w:t>
      </w:r>
      <w:r>
        <w:rPr>
          <w:rFonts w:ascii="Times New Roman" w:hAnsi="Times New Roman" w:eastAsia="Times New Roman" w:cs="Times New Roman"/>
          <w:spacing w:val="2"/>
          <w:sz w:val="24"/>
          <w:szCs w:val="24"/>
        </w:rPr>
        <w:t>2</w:t>
      </w:r>
      <w:r>
        <w:rPr>
          <w:rFonts w:ascii="宋体" w:hAnsi="宋体" w:eastAsia="宋体" w:cs="宋体"/>
          <w:spacing w:val="2"/>
          <w:sz w:val="24"/>
          <w:szCs w:val="24"/>
        </w:rPr>
        <w:t>小时采样一次；待摸</w:t>
      </w:r>
      <w:r>
        <w:rPr>
          <w:rFonts w:ascii="宋体" w:hAnsi="宋体" w:eastAsia="宋体" w:cs="宋体"/>
          <w:spacing w:val="1"/>
          <w:sz w:val="24"/>
          <w:szCs w:val="24"/>
        </w:rPr>
        <w:t>清污染规律后可适</w:t>
      </w:r>
      <w:r>
        <w:rPr>
          <w:rFonts w:ascii="宋体" w:hAnsi="宋体" w:eastAsia="宋体" w:cs="宋体"/>
          <w:spacing w:val="-2"/>
          <w:sz w:val="24"/>
          <w:szCs w:val="24"/>
        </w:rPr>
        <w:t>当减少不少于</w:t>
      </w:r>
      <w:r>
        <w:rPr>
          <w:rFonts w:ascii="Times New Roman" w:hAnsi="Times New Roman" w:eastAsia="Times New Roman" w:cs="Times New Roman"/>
          <w:spacing w:val="-2"/>
          <w:sz w:val="24"/>
          <w:szCs w:val="24"/>
        </w:rPr>
        <w:t>6</w:t>
      </w:r>
      <w:r>
        <w:rPr>
          <w:rFonts w:ascii="宋体" w:hAnsi="宋体" w:eastAsia="宋体" w:cs="宋体"/>
          <w:spacing w:val="-2"/>
          <w:sz w:val="24"/>
          <w:szCs w:val="24"/>
        </w:rPr>
        <w:t>小时一次；应急终止后可</w:t>
      </w:r>
      <w:r>
        <w:rPr>
          <w:rFonts w:ascii="Times New Roman" w:hAnsi="Times New Roman" w:eastAsia="Times New Roman" w:cs="Times New Roman"/>
          <w:spacing w:val="-2"/>
          <w:sz w:val="24"/>
          <w:szCs w:val="24"/>
        </w:rPr>
        <w:t>24</w:t>
      </w:r>
      <w:r>
        <w:rPr>
          <w:rFonts w:ascii="宋体" w:hAnsi="宋体" w:eastAsia="宋体" w:cs="宋体"/>
          <w:spacing w:val="-2"/>
          <w:sz w:val="24"/>
          <w:szCs w:val="24"/>
        </w:rPr>
        <w:t>小时一次进行取样，至影</w:t>
      </w:r>
      <w:r>
        <w:rPr>
          <w:rFonts w:ascii="宋体" w:hAnsi="宋体" w:eastAsia="宋体" w:cs="宋体"/>
          <w:spacing w:val="-3"/>
          <w:sz w:val="24"/>
          <w:szCs w:val="24"/>
        </w:rPr>
        <w:t>响完全消除</w:t>
      </w:r>
      <w:r>
        <w:rPr>
          <w:rFonts w:ascii="宋体" w:hAnsi="宋体" w:eastAsia="宋体" w:cs="宋体"/>
          <w:spacing w:val="-2"/>
          <w:sz w:val="24"/>
          <w:szCs w:val="24"/>
        </w:rPr>
        <w:t>后方可停止取样。</w:t>
      </w:r>
    </w:p>
    <w:p w14:paraId="67F4A4A8">
      <w:pPr>
        <w:spacing w:before="1" w:line="289" w:lineRule="auto"/>
        <w:ind w:left="8" w:firstLine="479"/>
        <w:rPr>
          <w:rFonts w:ascii="宋体" w:hAnsi="宋体" w:eastAsia="宋体" w:cs="宋体"/>
          <w:sz w:val="24"/>
          <w:szCs w:val="24"/>
        </w:rPr>
      </w:pPr>
      <w:r>
        <w:rPr>
          <w:rFonts w:ascii="宋体" w:hAnsi="宋体" w:eastAsia="宋体" w:cs="宋体"/>
          <w:spacing w:val="3"/>
          <w:sz w:val="24"/>
          <w:szCs w:val="24"/>
        </w:rPr>
        <w:t>⑤若发生事故，及时将事故信息通知下游取水单位，并告知高浓</w:t>
      </w:r>
      <w:r>
        <w:rPr>
          <w:rFonts w:ascii="宋体" w:hAnsi="宋体" w:eastAsia="宋体" w:cs="宋体"/>
          <w:spacing w:val="2"/>
          <w:sz w:val="24"/>
          <w:szCs w:val="24"/>
        </w:rPr>
        <w:t>度污染团到</w:t>
      </w:r>
      <w:r>
        <w:rPr>
          <w:rFonts w:ascii="宋体" w:hAnsi="宋体" w:eastAsia="宋体" w:cs="宋体"/>
          <w:spacing w:val="-1"/>
          <w:sz w:val="24"/>
          <w:szCs w:val="24"/>
        </w:rPr>
        <w:t>达取水口的大概时间；</w:t>
      </w:r>
    </w:p>
    <w:p w14:paraId="4F6AE705">
      <w:pPr>
        <w:spacing w:before="183" w:line="217" w:lineRule="auto"/>
        <w:ind w:left="488"/>
        <w:rPr>
          <w:rFonts w:ascii="宋体" w:hAnsi="宋体" w:eastAsia="宋体" w:cs="宋体"/>
          <w:sz w:val="24"/>
          <w:szCs w:val="24"/>
        </w:rPr>
      </w:pPr>
      <w:r>
        <w:rPr>
          <w:rFonts w:ascii="宋体" w:hAnsi="宋体" w:eastAsia="宋体" w:cs="宋体"/>
          <w:spacing w:val="-1"/>
          <w:sz w:val="24"/>
          <w:szCs w:val="24"/>
        </w:rPr>
        <w:t>⑥若发生事故时，及时发布污染事故相关信息。</w:t>
      </w:r>
    </w:p>
    <w:p w14:paraId="508A2B3F">
      <w:pPr>
        <w:spacing w:before="186" w:line="219" w:lineRule="auto"/>
        <w:ind w:left="8"/>
        <w:outlineLvl w:val="3"/>
        <w:rPr>
          <w:rFonts w:ascii="宋体" w:hAnsi="宋体" w:eastAsia="宋体" w:cs="宋体"/>
          <w:sz w:val="24"/>
          <w:szCs w:val="24"/>
        </w:rPr>
      </w:pPr>
      <w:r>
        <w:rPr>
          <w:rFonts w:ascii="Times New Roman" w:hAnsi="Times New Roman" w:eastAsia="Times New Roman" w:cs="Times New Roman"/>
          <w:b/>
          <w:bCs/>
          <w:spacing w:val="-2"/>
          <w:sz w:val="24"/>
          <w:szCs w:val="24"/>
        </w:rPr>
        <w:t>9.4.2.2</w:t>
      </w:r>
      <w:r>
        <w:rPr>
          <w:rFonts w:ascii="宋体" w:hAnsi="宋体" w:eastAsia="宋体" w:cs="宋体"/>
          <w:b/>
          <w:bCs/>
          <w:spacing w:val="-2"/>
          <w:sz w:val="24"/>
          <w:szCs w:val="24"/>
        </w:rPr>
        <w:t>排污口规范化建设及管理</w:t>
      </w:r>
    </w:p>
    <w:p w14:paraId="608664A6">
      <w:pPr>
        <w:spacing w:before="182" w:line="360" w:lineRule="auto"/>
        <w:ind w:left="46" w:right="2" w:firstLine="445"/>
        <w:rPr>
          <w:rFonts w:ascii="宋体" w:hAnsi="宋体" w:eastAsia="宋体" w:cs="宋体"/>
          <w:sz w:val="24"/>
          <w:szCs w:val="24"/>
        </w:rPr>
      </w:pPr>
      <w:r>
        <w:rPr>
          <w:rFonts w:ascii="宋体" w:hAnsi="宋体" w:eastAsia="宋体" w:cs="宋体"/>
          <w:spacing w:val="3"/>
          <w:sz w:val="24"/>
          <w:szCs w:val="24"/>
        </w:rPr>
        <w:t>污水处理厂应严格按照《排污口设置及规范化</w:t>
      </w:r>
      <w:r>
        <w:rPr>
          <w:rFonts w:ascii="宋体" w:hAnsi="宋体" w:eastAsia="宋体" w:cs="宋体"/>
          <w:spacing w:val="2"/>
          <w:sz w:val="24"/>
          <w:szCs w:val="24"/>
        </w:rPr>
        <w:t>整治管法》及《入河(海)排污</w:t>
      </w:r>
      <w:r>
        <w:rPr>
          <w:rFonts w:ascii="宋体" w:hAnsi="宋体" w:eastAsia="宋体" w:cs="宋体"/>
          <w:spacing w:val="-3"/>
          <w:sz w:val="24"/>
          <w:szCs w:val="24"/>
        </w:rPr>
        <w:t>口分类规则》(环办执法函〔</w:t>
      </w:r>
      <w:r>
        <w:rPr>
          <w:rFonts w:ascii="Times New Roman" w:hAnsi="Times New Roman" w:eastAsia="Times New Roman" w:cs="Times New Roman"/>
          <w:spacing w:val="-3"/>
          <w:sz w:val="24"/>
          <w:szCs w:val="24"/>
        </w:rPr>
        <w:t>2020</w:t>
      </w:r>
      <w:r>
        <w:rPr>
          <w:rFonts w:ascii="宋体" w:hAnsi="宋体" w:eastAsia="宋体" w:cs="宋体"/>
          <w:spacing w:val="-3"/>
          <w:sz w:val="24"/>
          <w:szCs w:val="24"/>
        </w:rPr>
        <w:t>〕</w:t>
      </w:r>
      <w:r>
        <w:rPr>
          <w:rFonts w:ascii="Times New Roman" w:hAnsi="Times New Roman" w:eastAsia="Times New Roman" w:cs="Times New Roman"/>
          <w:spacing w:val="-3"/>
          <w:sz w:val="24"/>
          <w:szCs w:val="24"/>
        </w:rPr>
        <w:t>718</w:t>
      </w:r>
      <w:r>
        <w:rPr>
          <w:rFonts w:ascii="宋体" w:hAnsi="宋体" w:eastAsia="宋体" w:cs="宋体"/>
          <w:spacing w:val="-3"/>
          <w:sz w:val="24"/>
          <w:szCs w:val="24"/>
        </w:rPr>
        <w:t>号)对排污口进行规范化建设及管理。</w:t>
      </w:r>
    </w:p>
    <w:p w14:paraId="262258AB">
      <w:pPr>
        <w:spacing w:before="1" w:line="218" w:lineRule="auto"/>
        <w:ind w:left="50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）厂区内采样明渠设置方案</w:t>
      </w:r>
    </w:p>
    <w:p w14:paraId="5EC62E3D">
      <w:pPr>
        <w:spacing w:before="184" w:line="360" w:lineRule="auto"/>
        <w:ind w:left="9" w:firstLine="480"/>
        <w:rPr>
          <w:rFonts w:ascii="宋体" w:hAnsi="宋体" w:eastAsia="宋体" w:cs="宋体"/>
          <w:sz w:val="24"/>
          <w:szCs w:val="24"/>
        </w:rPr>
      </w:pPr>
      <w:r>
        <w:rPr>
          <w:rFonts w:ascii="宋体" w:hAnsi="宋体" w:eastAsia="宋体" w:cs="宋体"/>
          <w:spacing w:val="3"/>
          <w:sz w:val="24"/>
          <w:szCs w:val="24"/>
        </w:rPr>
        <w:t>本污水处理厂尾水总排口处已建成外排采样明渠，采用巴</w:t>
      </w:r>
      <w:r>
        <w:rPr>
          <w:rFonts w:ascii="宋体" w:hAnsi="宋体" w:eastAsia="宋体" w:cs="宋体"/>
          <w:spacing w:val="2"/>
          <w:sz w:val="24"/>
          <w:szCs w:val="24"/>
        </w:rPr>
        <w:t>氏计量槽，便于生</w:t>
      </w:r>
      <w:r>
        <w:rPr>
          <w:rFonts w:ascii="宋体" w:hAnsi="宋体" w:eastAsia="宋体" w:cs="宋体"/>
          <w:spacing w:val="-1"/>
          <w:sz w:val="24"/>
          <w:szCs w:val="24"/>
        </w:rPr>
        <w:t>态环境行政主管部门进行监督性采样监测。</w:t>
      </w:r>
    </w:p>
    <w:p w14:paraId="3EB75A44">
      <w:pPr>
        <w:spacing w:line="219" w:lineRule="auto"/>
        <w:ind w:left="50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）设立排污口标识牌</w:t>
      </w:r>
    </w:p>
    <w:p w14:paraId="5C634A81">
      <w:pPr>
        <w:spacing w:before="182" w:line="347" w:lineRule="auto"/>
        <w:ind w:left="8" w:firstLine="526"/>
        <w:rPr>
          <w:rFonts w:ascii="宋体" w:hAnsi="宋体" w:eastAsia="宋体" w:cs="宋体"/>
          <w:sz w:val="24"/>
          <w:szCs w:val="24"/>
        </w:rPr>
      </w:pPr>
      <w:r>
        <w:rPr>
          <w:rFonts w:ascii="宋体" w:hAnsi="宋体" w:eastAsia="宋体" w:cs="宋体"/>
          <w:sz w:val="24"/>
          <w:szCs w:val="24"/>
        </w:rPr>
        <w:t>目前污水厂已按照《入河排污口管理技术导则》(</w:t>
      </w:r>
      <w:r>
        <w:rPr>
          <w:rFonts w:ascii="Times New Roman" w:hAnsi="Times New Roman" w:eastAsia="Times New Roman" w:cs="Times New Roman"/>
          <w:sz w:val="24"/>
          <w:szCs w:val="24"/>
        </w:rPr>
        <w:t>SL532</w:t>
      </w:r>
      <w:r>
        <w:rPr>
          <w:rFonts w:ascii="Times New Roman" w:hAnsi="Times New Roman" w:eastAsia="Times New Roman" w:cs="Times New Roman"/>
          <w:spacing w:val="-1"/>
          <w:sz w:val="24"/>
          <w:szCs w:val="24"/>
        </w:rPr>
        <w:t>-2011</w:t>
      </w:r>
      <w:r>
        <w:rPr>
          <w:rFonts w:ascii="宋体" w:hAnsi="宋体" w:eastAsia="宋体" w:cs="宋体"/>
          <w:spacing w:val="-1"/>
          <w:sz w:val="24"/>
          <w:szCs w:val="24"/>
        </w:rPr>
        <w:t>)规定，在厂外入河处设置设立了相应的标志牌。</w:t>
      </w:r>
    </w:p>
    <w:p w14:paraId="258585E2">
      <w:pPr>
        <w:spacing w:line="4519" w:lineRule="exact"/>
      </w:pPr>
      <w:r>
        <w:rPr>
          <w:position w:val="-90"/>
        </w:rPr>
        <w:drawing>
          <wp:inline distT="0" distB="0" distL="0" distR="0">
            <wp:extent cx="5111115" cy="286956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213"/>
                    <a:stretch>
                      <a:fillRect/>
                    </a:stretch>
                  </pic:blipFill>
                  <pic:spPr>
                    <a:xfrm>
                      <a:off x="0" y="0"/>
                      <a:ext cx="5111495" cy="2869691"/>
                    </a:xfrm>
                    <a:prstGeom prst="rect">
                      <a:avLst/>
                    </a:prstGeom>
                  </pic:spPr>
                </pic:pic>
              </a:graphicData>
            </a:graphic>
          </wp:inline>
        </w:drawing>
      </w:r>
    </w:p>
    <w:p w14:paraId="69E1B245">
      <w:pPr>
        <w:spacing w:before="316" w:line="219" w:lineRule="auto"/>
        <w:ind w:left="2409"/>
        <w:rPr>
          <w:rFonts w:ascii="宋体" w:hAnsi="宋体" w:eastAsia="宋体" w:cs="宋体"/>
          <w:sz w:val="24"/>
          <w:szCs w:val="24"/>
        </w:rPr>
      </w:pPr>
      <w:r>
        <w:rPr>
          <w:rFonts w:ascii="宋体" w:hAnsi="宋体" w:eastAsia="宋体" w:cs="宋体"/>
          <w:b/>
          <w:bCs/>
          <w:spacing w:val="-4"/>
          <w:sz w:val="24"/>
          <w:szCs w:val="24"/>
        </w:rPr>
        <w:t>图</w:t>
      </w:r>
      <w:r>
        <w:rPr>
          <w:rFonts w:ascii="Times New Roman" w:hAnsi="Times New Roman" w:eastAsia="Times New Roman" w:cs="Times New Roman"/>
          <w:b/>
          <w:bCs/>
          <w:spacing w:val="-4"/>
          <w:sz w:val="24"/>
          <w:szCs w:val="24"/>
        </w:rPr>
        <w:t>9.4-1</w:t>
      </w:r>
      <w:r>
        <w:rPr>
          <w:rFonts w:ascii="宋体" w:hAnsi="宋体" w:eastAsia="宋体" w:cs="宋体"/>
          <w:b/>
          <w:bCs/>
          <w:spacing w:val="-4"/>
          <w:sz w:val="24"/>
          <w:szCs w:val="24"/>
        </w:rPr>
        <w:t>入河排污口标志牌现场照片</w:t>
      </w:r>
    </w:p>
    <w:p w14:paraId="3A0E6F1C">
      <w:pPr>
        <w:spacing w:before="183" w:line="219" w:lineRule="auto"/>
        <w:ind w:left="508"/>
        <w:rPr>
          <w:rFonts w:ascii="宋体" w:hAnsi="宋体" w:eastAsia="宋体" w:cs="宋体"/>
          <w:sz w:val="24"/>
          <w:szCs w:val="24"/>
        </w:rPr>
      </w:pPr>
      <w:r>
        <w:rPr>
          <w:rFonts w:ascii="Times New Roman" w:hAnsi="Times New Roman" w:eastAsia="Times New Roman" w:cs="Times New Roman"/>
          <w:spacing w:val="-5"/>
          <w:sz w:val="24"/>
          <w:szCs w:val="24"/>
        </w:rPr>
        <w:t>1</w:t>
      </w:r>
      <w:r>
        <w:rPr>
          <w:rFonts w:ascii="宋体" w:hAnsi="宋体" w:eastAsia="宋体" w:cs="宋体"/>
          <w:spacing w:val="-5"/>
          <w:sz w:val="24"/>
          <w:szCs w:val="24"/>
        </w:rPr>
        <w:t>）标识牌内容</w:t>
      </w:r>
    </w:p>
    <w:p w14:paraId="353CCC22">
      <w:pPr>
        <w:spacing w:before="184" w:line="219" w:lineRule="auto"/>
        <w:ind w:left="490"/>
        <w:rPr>
          <w:rFonts w:ascii="宋体" w:hAnsi="宋体" w:eastAsia="宋体" w:cs="宋体"/>
          <w:sz w:val="24"/>
          <w:szCs w:val="24"/>
        </w:rPr>
      </w:pPr>
      <w:r>
        <w:rPr>
          <w:rFonts w:ascii="宋体" w:hAnsi="宋体" w:eastAsia="宋体" w:cs="宋体"/>
          <w:spacing w:val="-1"/>
          <w:sz w:val="24"/>
          <w:szCs w:val="24"/>
        </w:rPr>
        <w:t>标志文字分为正反两面，其中正面应包括以下资料信息：</w:t>
      </w:r>
    </w:p>
    <w:p w14:paraId="572110BE">
      <w:pPr>
        <w:spacing w:before="183" w:line="217" w:lineRule="auto"/>
        <w:ind w:left="488"/>
        <w:rPr>
          <w:rFonts w:ascii="宋体" w:hAnsi="宋体" w:eastAsia="宋体" w:cs="宋体"/>
          <w:sz w:val="24"/>
          <w:szCs w:val="24"/>
        </w:rPr>
      </w:pPr>
      <w:r>
        <w:rPr>
          <w:rFonts w:ascii="宋体" w:hAnsi="宋体" w:eastAsia="宋体" w:cs="宋体"/>
          <w:spacing w:val="-1"/>
          <w:sz w:val="24"/>
          <w:szCs w:val="24"/>
        </w:rPr>
        <w:t>①入河排污口名称：隆回县工业污水处理厂入河排污口；</w:t>
      </w:r>
    </w:p>
    <w:p w14:paraId="45D7890C">
      <w:pPr>
        <w:spacing w:line="217" w:lineRule="auto"/>
        <w:rPr>
          <w:rFonts w:ascii="宋体" w:hAnsi="宋体" w:eastAsia="宋体" w:cs="宋体"/>
          <w:sz w:val="24"/>
          <w:szCs w:val="24"/>
        </w:rPr>
        <w:sectPr>
          <w:footerReference r:id="rId175" w:type="default"/>
          <w:pgSz w:w="11906" w:h="16839"/>
          <w:pgMar w:top="1132" w:right="1700" w:bottom="1259" w:left="1701" w:header="829" w:footer="1097" w:gutter="0"/>
          <w:cols w:space="720" w:num="1"/>
        </w:sectPr>
      </w:pPr>
    </w:p>
    <w:p w14:paraId="2E0F40F5">
      <w:pPr>
        <w:pStyle w:val="2"/>
        <w:spacing w:line="319" w:lineRule="auto"/>
      </w:pPr>
    </w:p>
    <w:p w14:paraId="60DC9D34">
      <w:pPr>
        <w:spacing w:before="78" w:line="217" w:lineRule="auto"/>
        <w:ind w:left="490"/>
        <w:rPr>
          <w:rFonts w:ascii="宋体" w:hAnsi="宋体" w:eastAsia="宋体" w:cs="宋体"/>
          <w:sz w:val="24"/>
          <w:szCs w:val="24"/>
        </w:rPr>
      </w:pPr>
      <w:r>
        <w:rPr>
          <w:rFonts w:ascii="宋体" w:hAnsi="宋体" w:eastAsia="宋体" w:cs="宋体"/>
          <w:spacing w:val="-1"/>
          <w:sz w:val="24"/>
          <w:szCs w:val="24"/>
        </w:rPr>
        <w:t>②入河排污口编号：按行政主管部门确定的编号建设；</w:t>
      </w:r>
    </w:p>
    <w:p w14:paraId="02E529AA">
      <w:pPr>
        <w:spacing w:before="185" w:line="291" w:lineRule="auto"/>
        <w:ind w:right="58" w:firstLine="490"/>
        <w:rPr>
          <w:rFonts w:ascii="宋体" w:hAnsi="宋体" w:eastAsia="宋体" w:cs="宋体"/>
          <w:sz w:val="24"/>
          <w:szCs w:val="24"/>
        </w:rPr>
      </w:pPr>
      <w:r>
        <w:rPr>
          <w:rFonts w:ascii="宋体" w:hAnsi="宋体" w:eastAsia="宋体" w:cs="宋体"/>
          <w:spacing w:val="7"/>
          <w:sz w:val="24"/>
          <w:szCs w:val="24"/>
        </w:rPr>
        <w:t>③入河排污口地理位置及经纬度坐标：地理坐标为</w:t>
      </w:r>
      <w:r>
        <w:rPr>
          <w:rFonts w:ascii="Times New Roman" w:hAnsi="Times New Roman" w:eastAsia="Times New Roman" w:cs="Times New Roman"/>
          <w:spacing w:val="7"/>
          <w:sz w:val="24"/>
          <w:szCs w:val="24"/>
        </w:rPr>
        <w:t>111°3′22.36752″</w:t>
      </w:r>
      <w:r>
        <w:rPr>
          <w:rFonts w:ascii="宋体" w:hAnsi="宋体" w:eastAsia="宋体" w:cs="宋体"/>
          <w:spacing w:val="7"/>
          <w:sz w:val="24"/>
          <w:szCs w:val="24"/>
        </w:rPr>
        <w:t>，</w:t>
      </w:r>
      <w:r>
        <w:rPr>
          <w:rFonts w:ascii="Times New Roman" w:hAnsi="Times New Roman" w:eastAsia="Times New Roman" w:cs="Times New Roman"/>
          <w:spacing w:val="-1"/>
          <w:sz w:val="24"/>
          <w:szCs w:val="24"/>
        </w:rPr>
        <w:t>N27°4′46.315056″</w:t>
      </w:r>
      <w:r>
        <w:rPr>
          <w:rFonts w:ascii="宋体" w:hAnsi="宋体" w:eastAsia="宋体" w:cs="宋体"/>
          <w:spacing w:val="-1"/>
          <w:sz w:val="24"/>
          <w:szCs w:val="24"/>
        </w:rPr>
        <w:t>；</w:t>
      </w:r>
    </w:p>
    <w:p w14:paraId="2BA96119">
      <w:pPr>
        <w:spacing w:before="179" w:line="313" w:lineRule="auto"/>
        <w:ind w:left="13" w:firstLine="477"/>
        <w:rPr>
          <w:rFonts w:ascii="宋体" w:hAnsi="宋体" w:eastAsia="宋体" w:cs="宋体"/>
          <w:sz w:val="24"/>
          <w:szCs w:val="24"/>
        </w:rPr>
      </w:pPr>
      <w:r>
        <w:rPr>
          <w:rFonts w:ascii="宋体" w:hAnsi="宋体" w:eastAsia="宋体" w:cs="宋体"/>
          <w:sz w:val="24"/>
          <w:szCs w:val="24"/>
        </w:rPr>
        <w:t>④排入的水功能区名称及水质保护目标：纳污水体为资水（赧水）隆回</w:t>
      </w:r>
      <w:r>
        <w:rPr>
          <w:rFonts w:ascii="Times New Roman" w:hAnsi="Times New Roman" w:eastAsia="Times New Roman" w:cs="Times New Roman"/>
          <w:sz w:val="24"/>
          <w:szCs w:val="24"/>
        </w:rPr>
        <w:t>-</w:t>
      </w:r>
      <w:r>
        <w:rPr>
          <w:rFonts w:ascii="宋体" w:hAnsi="宋体" w:eastAsia="宋体" w:cs="宋体"/>
          <w:sz w:val="24"/>
          <w:szCs w:val="24"/>
        </w:rPr>
        <w:t>邵阳</w:t>
      </w:r>
      <w:r>
        <w:rPr>
          <w:rFonts w:ascii="宋体" w:hAnsi="宋体" w:eastAsia="宋体" w:cs="宋体"/>
          <w:spacing w:val="-1"/>
          <w:sz w:val="24"/>
          <w:szCs w:val="24"/>
        </w:rPr>
        <w:t>保留区，根据《邵阳市水功能区划》水质目标为</w:t>
      </w:r>
      <w:r>
        <w:rPr>
          <w:rFonts w:ascii="Times New Roman" w:hAnsi="Times New Roman" w:eastAsia="Times New Roman" w:cs="Times New Roman"/>
          <w:spacing w:val="-1"/>
          <w:sz w:val="24"/>
          <w:szCs w:val="24"/>
        </w:rPr>
        <w:t>III</w:t>
      </w:r>
      <w:r>
        <w:rPr>
          <w:rFonts w:ascii="宋体" w:hAnsi="宋体" w:eastAsia="宋体" w:cs="宋体"/>
          <w:spacing w:val="-1"/>
          <w:sz w:val="24"/>
          <w:szCs w:val="24"/>
        </w:rPr>
        <w:t>类，但论证范围内的隆回县元木山断面和邵阳县渡头村断面现状考核目标为年度平均达到</w:t>
      </w:r>
      <w:r>
        <w:rPr>
          <w:rFonts w:ascii="Times New Roman" w:hAnsi="Times New Roman" w:eastAsia="Times New Roman" w:cs="Times New Roman"/>
          <w:spacing w:val="-1"/>
          <w:sz w:val="24"/>
          <w:szCs w:val="24"/>
        </w:rPr>
        <w:t>II</w:t>
      </w:r>
      <w:r>
        <w:rPr>
          <w:rFonts w:ascii="宋体" w:hAnsi="宋体" w:eastAsia="宋体" w:cs="宋体"/>
          <w:spacing w:val="-1"/>
          <w:sz w:val="24"/>
          <w:szCs w:val="24"/>
        </w:rPr>
        <w:t>类。</w:t>
      </w:r>
    </w:p>
    <w:p w14:paraId="4132290B">
      <w:pPr>
        <w:spacing w:before="184" w:line="210" w:lineRule="auto"/>
        <w:ind w:left="490"/>
        <w:rPr>
          <w:rFonts w:ascii="宋体" w:hAnsi="宋体" w:eastAsia="宋体" w:cs="宋体"/>
          <w:sz w:val="24"/>
          <w:szCs w:val="24"/>
        </w:rPr>
      </w:pPr>
      <w:r>
        <w:rPr>
          <w:rFonts w:ascii="宋体" w:hAnsi="宋体" w:eastAsia="宋体" w:cs="宋体"/>
          <w:spacing w:val="-1"/>
          <w:sz w:val="24"/>
          <w:szCs w:val="24"/>
        </w:rPr>
        <w:t>⑤入河排污口主要污染物浓度：</w:t>
      </w:r>
      <w:r>
        <w:rPr>
          <w:rFonts w:ascii="Times New Roman" w:hAnsi="Times New Roman" w:eastAsia="Times New Roman" w:cs="Times New Roman"/>
          <w:spacing w:val="-1"/>
          <w:sz w:val="24"/>
          <w:szCs w:val="24"/>
        </w:rPr>
        <w:t>COD50mg/L</w:t>
      </w:r>
      <w:r>
        <w:rPr>
          <w:rFonts w:ascii="宋体" w:hAnsi="宋体" w:eastAsia="宋体" w:cs="宋体"/>
          <w:spacing w:val="-1"/>
          <w:sz w:val="24"/>
          <w:szCs w:val="24"/>
        </w:rPr>
        <w:t>、</w:t>
      </w:r>
      <w:r>
        <w:rPr>
          <w:rFonts w:ascii="Times New Roman" w:hAnsi="Times New Roman" w:eastAsia="Times New Roman" w:cs="Times New Roman"/>
          <w:spacing w:val="-1"/>
          <w:sz w:val="24"/>
          <w:szCs w:val="24"/>
        </w:rPr>
        <w:t>NH</w:t>
      </w:r>
      <w:r>
        <w:rPr>
          <w:rFonts w:ascii="Times New Roman" w:hAnsi="Times New Roman" w:eastAsia="Times New Roman" w:cs="Times New Roman"/>
          <w:spacing w:val="-1"/>
          <w:sz w:val="15"/>
          <w:szCs w:val="15"/>
        </w:rPr>
        <w:t>3</w:t>
      </w:r>
      <w:r>
        <w:rPr>
          <w:rFonts w:ascii="Times New Roman" w:hAnsi="Times New Roman" w:eastAsia="Times New Roman" w:cs="Times New Roman"/>
          <w:spacing w:val="-1"/>
          <w:sz w:val="24"/>
          <w:szCs w:val="24"/>
        </w:rPr>
        <w:t>-N5mg/L</w:t>
      </w:r>
      <w:r>
        <w:rPr>
          <w:rFonts w:ascii="宋体" w:hAnsi="宋体" w:eastAsia="宋体" w:cs="宋体"/>
          <w:spacing w:val="-1"/>
          <w:sz w:val="24"/>
          <w:szCs w:val="24"/>
        </w:rPr>
        <w:t>。</w:t>
      </w:r>
    </w:p>
    <w:p w14:paraId="625CA4C4">
      <w:pPr>
        <w:spacing w:before="194" w:line="217" w:lineRule="auto"/>
        <w:ind w:left="490"/>
        <w:rPr>
          <w:rFonts w:ascii="宋体" w:hAnsi="宋体" w:eastAsia="宋体" w:cs="宋体"/>
          <w:sz w:val="24"/>
          <w:szCs w:val="24"/>
        </w:rPr>
      </w:pPr>
      <w:r>
        <w:rPr>
          <w:rFonts w:ascii="宋体" w:hAnsi="宋体" w:eastAsia="宋体" w:cs="宋体"/>
          <w:sz w:val="24"/>
          <w:szCs w:val="24"/>
        </w:rPr>
        <w:t>⑥入河排污口设置申请单位：隆回县工业园开发</w:t>
      </w:r>
      <w:r>
        <w:rPr>
          <w:rFonts w:ascii="宋体" w:hAnsi="宋体" w:eastAsia="宋体" w:cs="宋体"/>
          <w:spacing w:val="-1"/>
          <w:sz w:val="24"/>
          <w:szCs w:val="24"/>
        </w:rPr>
        <w:t>建设投资有限公司；</w:t>
      </w:r>
    </w:p>
    <w:p w14:paraId="4BEC3B1B">
      <w:pPr>
        <w:spacing w:before="186" w:line="285" w:lineRule="auto"/>
        <w:ind w:left="11" w:right="61" w:firstLine="478"/>
        <w:rPr>
          <w:rFonts w:ascii="宋体" w:hAnsi="宋体" w:eastAsia="宋体" w:cs="宋体"/>
          <w:sz w:val="24"/>
          <w:szCs w:val="24"/>
        </w:rPr>
      </w:pPr>
      <w:r>
        <w:rPr>
          <w:rFonts w:ascii="宋体" w:hAnsi="宋体" w:eastAsia="宋体" w:cs="宋体"/>
          <w:spacing w:val="16"/>
          <w:sz w:val="24"/>
          <w:szCs w:val="24"/>
        </w:rPr>
        <w:t>⑦入河排污口设置审批单位及监督电话：邵阳市生态环境局隆回分局；</w:t>
      </w:r>
      <w:r>
        <w:rPr>
          <w:rFonts w:ascii="Times New Roman" w:hAnsi="Times New Roman" w:eastAsia="Times New Roman" w:cs="Times New Roman"/>
          <w:spacing w:val="-1"/>
          <w:sz w:val="24"/>
          <w:szCs w:val="24"/>
        </w:rPr>
        <w:t>0739-8237986</w:t>
      </w:r>
      <w:r>
        <w:rPr>
          <w:rFonts w:ascii="宋体" w:hAnsi="宋体" w:eastAsia="宋体" w:cs="宋体"/>
          <w:spacing w:val="-1"/>
          <w:sz w:val="24"/>
          <w:szCs w:val="24"/>
        </w:rPr>
        <w:t>。</w:t>
      </w:r>
    </w:p>
    <w:p w14:paraId="289B69CC">
      <w:pPr>
        <w:spacing w:before="195" w:line="360" w:lineRule="auto"/>
        <w:ind w:left="15" w:firstLine="478"/>
        <w:rPr>
          <w:rFonts w:ascii="宋体" w:hAnsi="宋体" w:eastAsia="宋体" w:cs="宋体"/>
          <w:sz w:val="24"/>
          <w:szCs w:val="24"/>
        </w:rPr>
      </w:pPr>
      <w:r>
        <w:rPr>
          <w:rFonts w:ascii="宋体" w:hAnsi="宋体" w:eastAsia="宋体" w:cs="宋体"/>
          <w:spacing w:val="3"/>
          <w:sz w:val="24"/>
          <w:szCs w:val="24"/>
        </w:rPr>
        <w:t>标志可以正反两面印制相同的文字及内容，也可在标志反</w:t>
      </w:r>
      <w:r>
        <w:rPr>
          <w:rFonts w:ascii="宋体" w:hAnsi="宋体" w:eastAsia="宋体" w:cs="宋体"/>
          <w:spacing w:val="2"/>
          <w:sz w:val="24"/>
          <w:szCs w:val="24"/>
        </w:rPr>
        <w:t>面选择印制如下内</w:t>
      </w:r>
      <w:r>
        <w:rPr>
          <w:rFonts w:ascii="宋体" w:hAnsi="宋体" w:eastAsia="宋体" w:cs="宋体"/>
          <w:spacing w:val="-7"/>
          <w:sz w:val="24"/>
          <w:szCs w:val="24"/>
        </w:rPr>
        <w:t>容：</w:t>
      </w:r>
    </w:p>
    <w:p w14:paraId="374A2A35">
      <w:pPr>
        <w:spacing w:line="217" w:lineRule="auto"/>
        <w:ind w:left="491"/>
        <w:rPr>
          <w:rFonts w:ascii="宋体" w:hAnsi="宋体" w:eastAsia="宋体" w:cs="宋体"/>
          <w:sz w:val="24"/>
          <w:szCs w:val="24"/>
        </w:rPr>
      </w:pPr>
      <w:r>
        <w:rPr>
          <w:rFonts w:ascii="宋体" w:hAnsi="宋体" w:eastAsia="宋体" w:cs="宋体"/>
          <w:sz w:val="24"/>
          <w:szCs w:val="24"/>
        </w:rPr>
        <w:t>①《中华人民共和国水法》等法律法规中有关入河排</w:t>
      </w:r>
      <w:r>
        <w:rPr>
          <w:rFonts w:ascii="宋体" w:hAnsi="宋体" w:eastAsia="宋体" w:cs="宋体"/>
          <w:spacing w:val="-1"/>
          <w:sz w:val="24"/>
          <w:szCs w:val="24"/>
        </w:rPr>
        <w:t>污口管理的条文节选；</w:t>
      </w:r>
    </w:p>
    <w:p w14:paraId="794EE605">
      <w:pPr>
        <w:spacing w:before="186" w:line="217" w:lineRule="auto"/>
        <w:ind w:left="490"/>
        <w:rPr>
          <w:rFonts w:ascii="宋体" w:hAnsi="宋体" w:eastAsia="宋体" w:cs="宋体"/>
          <w:sz w:val="24"/>
          <w:szCs w:val="24"/>
        </w:rPr>
      </w:pPr>
      <w:r>
        <w:rPr>
          <w:rFonts w:ascii="宋体" w:hAnsi="宋体" w:eastAsia="宋体" w:cs="宋体"/>
          <w:spacing w:val="-1"/>
          <w:sz w:val="24"/>
          <w:szCs w:val="24"/>
        </w:rPr>
        <w:t>②有关水资源保护工作的宣传口号。</w:t>
      </w:r>
    </w:p>
    <w:p w14:paraId="1F75230D">
      <w:pPr>
        <w:spacing w:before="186" w:line="219" w:lineRule="auto"/>
        <w:ind w:left="487"/>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）入河排污口标志牌位置及数量</w:t>
      </w:r>
    </w:p>
    <w:p w14:paraId="6365A67A">
      <w:pPr>
        <w:spacing w:before="183" w:line="360" w:lineRule="auto"/>
        <w:ind w:left="12" w:firstLine="480"/>
        <w:rPr>
          <w:rFonts w:ascii="宋体" w:hAnsi="宋体" w:eastAsia="宋体" w:cs="宋体"/>
          <w:sz w:val="24"/>
          <w:szCs w:val="24"/>
        </w:rPr>
      </w:pPr>
      <w:r>
        <w:rPr>
          <w:rFonts w:ascii="宋体" w:hAnsi="宋体" w:eastAsia="宋体" w:cs="宋体"/>
          <w:spacing w:val="3"/>
          <w:sz w:val="24"/>
          <w:szCs w:val="24"/>
        </w:rPr>
        <w:t>标志牌应设置在入河排污口口门周围醒目的位置，便于群</w:t>
      </w:r>
      <w:r>
        <w:rPr>
          <w:rFonts w:ascii="宋体" w:hAnsi="宋体" w:eastAsia="宋体" w:cs="宋体"/>
          <w:spacing w:val="2"/>
          <w:sz w:val="24"/>
          <w:szCs w:val="24"/>
        </w:rPr>
        <w:t>众查看。数量原则</w:t>
      </w:r>
      <w:r>
        <w:rPr>
          <w:rFonts w:ascii="宋体" w:hAnsi="宋体" w:eastAsia="宋体" w:cs="宋体"/>
          <w:spacing w:val="-1"/>
          <w:sz w:val="24"/>
          <w:szCs w:val="24"/>
        </w:rPr>
        <w:t>每个入河排污口设置不少于一块标志牌。</w:t>
      </w:r>
    </w:p>
    <w:p w14:paraId="1BF4A3B0">
      <w:pPr>
        <w:spacing w:before="1" w:line="218" w:lineRule="auto"/>
        <w:ind w:left="492"/>
        <w:rPr>
          <w:rFonts w:ascii="宋体" w:hAnsi="宋体" w:eastAsia="宋体" w:cs="宋体"/>
          <w:sz w:val="24"/>
          <w:szCs w:val="24"/>
        </w:rPr>
      </w:pPr>
      <w:r>
        <w:rPr>
          <w:rFonts w:ascii="Times New Roman" w:hAnsi="Times New Roman" w:eastAsia="Times New Roman" w:cs="Times New Roman"/>
          <w:spacing w:val="-1"/>
          <w:sz w:val="24"/>
          <w:szCs w:val="24"/>
        </w:rPr>
        <w:t>3</w:t>
      </w:r>
      <w:r>
        <w:rPr>
          <w:rFonts w:ascii="宋体" w:hAnsi="宋体" w:eastAsia="宋体" w:cs="宋体"/>
          <w:spacing w:val="-1"/>
          <w:sz w:val="24"/>
          <w:szCs w:val="24"/>
        </w:rPr>
        <w:t>）入河排污口标志牌设置规格及材质</w:t>
      </w:r>
    </w:p>
    <w:p w14:paraId="0D7D213F">
      <w:pPr>
        <w:spacing w:before="183" w:line="360" w:lineRule="auto"/>
        <w:ind w:left="13" w:firstLine="480"/>
        <w:rPr>
          <w:rFonts w:ascii="宋体" w:hAnsi="宋体" w:eastAsia="宋体" w:cs="宋体"/>
          <w:sz w:val="24"/>
          <w:szCs w:val="24"/>
        </w:rPr>
      </w:pPr>
      <w:r>
        <w:rPr>
          <w:rFonts w:ascii="宋体" w:hAnsi="宋体" w:eastAsia="宋体" w:cs="宋体"/>
          <w:spacing w:val="3"/>
          <w:sz w:val="24"/>
          <w:szCs w:val="24"/>
        </w:rPr>
        <w:t>标志牌应使用坚固耐腐蚀、不易变形、便于修复的材料，</w:t>
      </w:r>
      <w:r>
        <w:rPr>
          <w:rFonts w:ascii="宋体" w:hAnsi="宋体" w:eastAsia="宋体" w:cs="宋体"/>
          <w:spacing w:val="2"/>
          <w:sz w:val="24"/>
          <w:szCs w:val="24"/>
        </w:rPr>
        <w:t>一般选择不锈钢或</w:t>
      </w:r>
      <w:r>
        <w:rPr>
          <w:rFonts w:ascii="宋体" w:hAnsi="宋体" w:eastAsia="宋体" w:cs="宋体"/>
          <w:spacing w:val="-5"/>
          <w:sz w:val="24"/>
          <w:szCs w:val="24"/>
        </w:rPr>
        <w:t>大理石材质，参考尺寸为长</w:t>
      </w:r>
      <w:r>
        <w:rPr>
          <w:rFonts w:ascii="Times New Roman" w:hAnsi="Times New Roman" w:eastAsia="Times New Roman" w:cs="Times New Roman"/>
          <w:spacing w:val="-5"/>
          <w:sz w:val="24"/>
          <w:szCs w:val="24"/>
        </w:rPr>
        <w:t>1.8m</w:t>
      </w:r>
      <w:r>
        <w:rPr>
          <w:rFonts w:ascii="宋体" w:hAnsi="宋体" w:eastAsia="宋体" w:cs="宋体"/>
          <w:spacing w:val="-5"/>
          <w:sz w:val="24"/>
          <w:szCs w:val="24"/>
        </w:rPr>
        <w:t>，宽</w:t>
      </w:r>
      <w:r>
        <w:rPr>
          <w:rFonts w:ascii="Times New Roman" w:hAnsi="Times New Roman" w:eastAsia="Times New Roman" w:cs="Times New Roman"/>
          <w:spacing w:val="-5"/>
          <w:sz w:val="24"/>
          <w:szCs w:val="24"/>
        </w:rPr>
        <w:t>1.0m</w:t>
      </w:r>
      <w:r>
        <w:rPr>
          <w:rFonts w:ascii="宋体" w:hAnsi="宋体" w:eastAsia="宋体" w:cs="宋体"/>
          <w:spacing w:val="-5"/>
          <w:sz w:val="24"/>
          <w:szCs w:val="24"/>
        </w:rPr>
        <w:t>，高度为</w:t>
      </w:r>
      <w:r>
        <w:rPr>
          <w:rFonts w:ascii="Times New Roman" w:hAnsi="Times New Roman" w:eastAsia="Times New Roman" w:cs="Times New Roman"/>
          <w:spacing w:val="-5"/>
          <w:sz w:val="24"/>
          <w:szCs w:val="24"/>
        </w:rPr>
        <w:t>2.5m</w:t>
      </w:r>
      <w:r>
        <w:rPr>
          <w:rFonts w:ascii="宋体" w:hAnsi="宋体" w:eastAsia="宋体" w:cs="宋体"/>
          <w:spacing w:val="-5"/>
          <w:sz w:val="24"/>
          <w:szCs w:val="24"/>
        </w:rPr>
        <w:t>，标志牌内容字体为方正</w:t>
      </w:r>
      <w:r>
        <w:rPr>
          <w:rFonts w:ascii="宋体" w:hAnsi="宋体" w:eastAsia="宋体" w:cs="宋体"/>
          <w:spacing w:val="-1"/>
          <w:sz w:val="24"/>
          <w:szCs w:val="24"/>
        </w:rPr>
        <w:t>标宋简体，其他字体为微软雅黑，面板为蓝色，字体为白色。</w:t>
      </w:r>
    </w:p>
    <w:p w14:paraId="7C305B9B">
      <w:pPr>
        <w:spacing w:before="1" w:line="219" w:lineRule="auto"/>
        <w:ind w:left="50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）入河排污口标志牌信息更改和管护要求</w:t>
      </w:r>
    </w:p>
    <w:p w14:paraId="219DCE43">
      <w:pPr>
        <w:spacing w:before="183" w:line="360" w:lineRule="auto"/>
        <w:ind w:left="13" w:right="2" w:firstLine="481"/>
        <w:rPr>
          <w:rFonts w:ascii="宋体" w:hAnsi="宋体" w:eastAsia="宋体" w:cs="宋体"/>
          <w:sz w:val="24"/>
          <w:szCs w:val="24"/>
        </w:rPr>
      </w:pPr>
      <w:r>
        <w:rPr>
          <w:rFonts w:ascii="宋体" w:hAnsi="宋体" w:eastAsia="宋体" w:cs="宋体"/>
          <w:spacing w:val="3"/>
          <w:sz w:val="24"/>
          <w:szCs w:val="24"/>
        </w:rPr>
        <w:t>建设单位负责安装入河排污口标志牌，且应安排</w:t>
      </w:r>
      <w:r>
        <w:rPr>
          <w:rFonts w:ascii="宋体" w:hAnsi="宋体" w:eastAsia="宋体" w:cs="宋体"/>
          <w:spacing w:val="2"/>
          <w:sz w:val="24"/>
          <w:szCs w:val="24"/>
        </w:rPr>
        <w:t>专人建立档案，定期巡查维</w:t>
      </w:r>
      <w:r>
        <w:rPr>
          <w:rFonts w:ascii="宋体" w:hAnsi="宋体" w:eastAsia="宋体" w:cs="宋体"/>
          <w:spacing w:val="-6"/>
          <w:sz w:val="24"/>
          <w:szCs w:val="24"/>
        </w:rPr>
        <w:t>护。</w:t>
      </w:r>
    </w:p>
    <w:p w14:paraId="266DFF0C">
      <w:pPr>
        <w:spacing w:line="219" w:lineRule="auto"/>
        <w:ind w:left="503"/>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）排污口建档要求</w:t>
      </w:r>
    </w:p>
    <w:p w14:paraId="73671BF6">
      <w:pPr>
        <w:spacing w:before="183" w:line="360" w:lineRule="auto"/>
        <w:ind w:left="13" w:firstLine="479"/>
        <w:rPr>
          <w:rFonts w:ascii="宋体" w:hAnsi="宋体" w:eastAsia="宋体" w:cs="宋体"/>
          <w:sz w:val="24"/>
          <w:szCs w:val="24"/>
        </w:rPr>
      </w:pPr>
      <w:r>
        <w:rPr>
          <w:rFonts w:ascii="宋体" w:hAnsi="宋体" w:eastAsia="宋体" w:cs="宋体"/>
          <w:spacing w:val="3"/>
          <w:sz w:val="24"/>
          <w:szCs w:val="24"/>
        </w:rPr>
        <w:t>排污单位应建立排污口基础资料和管理档案，如：排污单位</w:t>
      </w:r>
      <w:r>
        <w:rPr>
          <w:rFonts w:ascii="宋体" w:hAnsi="宋体" w:eastAsia="宋体" w:cs="宋体"/>
          <w:spacing w:val="2"/>
          <w:sz w:val="24"/>
          <w:szCs w:val="24"/>
        </w:rPr>
        <w:t>名称、排污口性</w:t>
      </w:r>
      <w:r>
        <w:rPr>
          <w:rFonts w:ascii="宋体" w:hAnsi="宋体" w:eastAsia="宋体" w:cs="宋体"/>
          <w:spacing w:val="3"/>
          <w:sz w:val="24"/>
          <w:szCs w:val="24"/>
        </w:rPr>
        <w:t>质及编号、排污口地理位置、排放只要污染物种</w:t>
      </w:r>
      <w:r>
        <w:rPr>
          <w:rFonts w:ascii="宋体" w:hAnsi="宋体" w:eastAsia="宋体" w:cs="宋体"/>
          <w:spacing w:val="2"/>
          <w:sz w:val="24"/>
          <w:szCs w:val="24"/>
        </w:rPr>
        <w:t>类、数量、浓度、排放去向、立</w:t>
      </w:r>
      <w:r>
        <w:rPr>
          <w:rFonts w:ascii="宋体" w:hAnsi="宋体" w:eastAsia="宋体" w:cs="宋体"/>
          <w:spacing w:val="-1"/>
          <w:sz w:val="24"/>
          <w:szCs w:val="24"/>
        </w:rPr>
        <w:t>标情况及设施运行情况等。</w:t>
      </w:r>
    </w:p>
    <w:p w14:paraId="05DFAD7F">
      <w:pPr>
        <w:spacing w:line="219" w:lineRule="auto"/>
        <w:ind w:left="50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）排污口环境保护设施管理要求</w:t>
      </w:r>
    </w:p>
    <w:p w14:paraId="5494E1F2">
      <w:pPr>
        <w:spacing w:before="183" w:line="217" w:lineRule="auto"/>
        <w:ind w:right="2"/>
        <w:jc w:val="right"/>
        <w:rPr>
          <w:rFonts w:ascii="宋体" w:hAnsi="宋体" w:eastAsia="宋体" w:cs="宋体"/>
          <w:sz w:val="24"/>
          <w:szCs w:val="24"/>
        </w:rPr>
      </w:pPr>
      <w:r>
        <w:rPr>
          <w:rFonts w:ascii="宋体" w:hAnsi="宋体" w:eastAsia="宋体" w:cs="宋体"/>
          <w:spacing w:val="3"/>
          <w:sz w:val="24"/>
          <w:szCs w:val="24"/>
        </w:rPr>
        <w:t>①规范整治排污口有关设施（如：计量装置、标志牌等）</w:t>
      </w:r>
      <w:r>
        <w:rPr>
          <w:rFonts w:ascii="宋体" w:hAnsi="宋体" w:eastAsia="宋体" w:cs="宋体"/>
          <w:spacing w:val="2"/>
          <w:sz w:val="24"/>
          <w:szCs w:val="24"/>
        </w:rPr>
        <w:t>属环境保护设施，</w:t>
      </w:r>
    </w:p>
    <w:p w14:paraId="417F5AFF">
      <w:pPr>
        <w:spacing w:line="217" w:lineRule="auto"/>
        <w:rPr>
          <w:rFonts w:ascii="宋体" w:hAnsi="宋体" w:eastAsia="宋体" w:cs="宋体"/>
          <w:sz w:val="24"/>
          <w:szCs w:val="24"/>
        </w:rPr>
        <w:sectPr>
          <w:headerReference r:id="rId176" w:type="default"/>
          <w:footerReference r:id="rId177" w:type="default"/>
          <w:pgSz w:w="11906" w:h="16839"/>
          <w:pgMar w:top="1132" w:right="1700" w:bottom="1259" w:left="1698" w:header="829" w:footer="1097" w:gutter="0"/>
          <w:cols w:space="720" w:num="1"/>
        </w:sectPr>
      </w:pPr>
    </w:p>
    <w:p w14:paraId="00DFD7C2">
      <w:pPr>
        <w:pStyle w:val="2"/>
        <w:spacing w:line="319" w:lineRule="auto"/>
      </w:pPr>
    </w:p>
    <w:p w14:paraId="45747289">
      <w:pPr>
        <w:spacing w:before="78" w:line="360" w:lineRule="auto"/>
        <w:ind w:left="11" w:right="80" w:hanging="2"/>
        <w:rPr>
          <w:rFonts w:ascii="宋体" w:hAnsi="宋体" w:eastAsia="宋体" w:cs="宋体"/>
          <w:sz w:val="24"/>
          <w:szCs w:val="24"/>
        </w:rPr>
      </w:pPr>
      <w:r>
        <w:rPr>
          <w:rFonts w:ascii="宋体" w:hAnsi="宋体" w:eastAsia="宋体" w:cs="宋体"/>
          <w:spacing w:val="3"/>
          <w:sz w:val="24"/>
          <w:szCs w:val="24"/>
        </w:rPr>
        <w:t>加强日常监督管理，排污单位应将环保设施纳入本</w:t>
      </w:r>
      <w:r>
        <w:rPr>
          <w:rFonts w:ascii="宋体" w:hAnsi="宋体" w:eastAsia="宋体" w:cs="宋体"/>
          <w:spacing w:val="2"/>
          <w:sz w:val="24"/>
          <w:szCs w:val="24"/>
        </w:rPr>
        <w:t>单位设备管理，制定相应的管</w:t>
      </w:r>
      <w:r>
        <w:rPr>
          <w:rFonts w:ascii="宋体" w:hAnsi="宋体" w:eastAsia="宋体" w:cs="宋体"/>
          <w:spacing w:val="-2"/>
          <w:sz w:val="24"/>
          <w:szCs w:val="24"/>
        </w:rPr>
        <w:t>理办法和规章制度。</w:t>
      </w:r>
    </w:p>
    <w:p w14:paraId="264CD607">
      <w:pPr>
        <w:spacing w:line="217" w:lineRule="auto"/>
        <w:ind w:left="488"/>
        <w:rPr>
          <w:rFonts w:ascii="宋体" w:hAnsi="宋体" w:eastAsia="宋体" w:cs="宋体"/>
          <w:sz w:val="24"/>
          <w:szCs w:val="24"/>
        </w:rPr>
      </w:pPr>
      <w:r>
        <w:rPr>
          <w:rFonts w:ascii="宋体" w:hAnsi="宋体" w:eastAsia="宋体" w:cs="宋体"/>
          <w:sz w:val="24"/>
          <w:szCs w:val="24"/>
        </w:rPr>
        <w:t>②排污单位应配备专职人员对排污口进行管理，做到责</w:t>
      </w:r>
      <w:r>
        <w:rPr>
          <w:rFonts w:ascii="宋体" w:hAnsi="宋体" w:eastAsia="宋体" w:cs="宋体"/>
          <w:spacing w:val="-1"/>
          <w:sz w:val="24"/>
          <w:szCs w:val="24"/>
        </w:rPr>
        <w:t>任明确、奖罚分明。</w:t>
      </w:r>
    </w:p>
    <w:p w14:paraId="35116A7F">
      <w:pPr>
        <w:spacing w:before="185" w:line="220" w:lineRule="auto"/>
        <w:ind w:left="50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）视频监控系统构建设</w:t>
      </w:r>
    </w:p>
    <w:p w14:paraId="7586580D">
      <w:pPr>
        <w:spacing w:before="181" w:line="360" w:lineRule="auto"/>
        <w:ind w:left="8" w:firstLine="480"/>
        <w:rPr>
          <w:rFonts w:ascii="宋体" w:hAnsi="宋体" w:eastAsia="宋体" w:cs="宋体"/>
          <w:sz w:val="24"/>
          <w:szCs w:val="24"/>
        </w:rPr>
      </w:pPr>
      <w:r>
        <w:rPr>
          <w:rFonts w:ascii="宋体" w:hAnsi="宋体" w:eastAsia="宋体" w:cs="宋体"/>
          <w:spacing w:val="4"/>
          <w:sz w:val="24"/>
          <w:szCs w:val="24"/>
        </w:rPr>
        <w:t>在污水处理厂出水口位置须安装污染物在线监测仪同时加装视</w:t>
      </w:r>
      <w:r>
        <w:rPr>
          <w:rFonts w:ascii="宋体" w:hAnsi="宋体" w:eastAsia="宋体" w:cs="宋体"/>
          <w:spacing w:val="3"/>
          <w:sz w:val="24"/>
          <w:szCs w:val="24"/>
        </w:rPr>
        <w:t>频监控装置。视频监控系统建设应优先考虑无站房、无线传输和太</w:t>
      </w:r>
      <w:r>
        <w:rPr>
          <w:rFonts w:ascii="宋体" w:hAnsi="宋体" w:eastAsia="宋体" w:cs="宋体"/>
          <w:spacing w:val="2"/>
          <w:sz w:val="24"/>
          <w:szCs w:val="24"/>
        </w:rPr>
        <w:t>阳能供电。视频监控系统建</w:t>
      </w:r>
      <w:r>
        <w:rPr>
          <w:rFonts w:ascii="宋体" w:hAnsi="宋体" w:eastAsia="宋体" w:cs="宋体"/>
          <w:spacing w:val="3"/>
          <w:sz w:val="24"/>
          <w:szCs w:val="24"/>
        </w:rPr>
        <w:t>设包括混凝土基座、监控立杆、前端视频监控器、设</w:t>
      </w:r>
      <w:r>
        <w:rPr>
          <w:rFonts w:ascii="宋体" w:hAnsi="宋体" w:eastAsia="宋体" w:cs="宋体"/>
          <w:spacing w:val="2"/>
          <w:sz w:val="24"/>
          <w:szCs w:val="24"/>
        </w:rPr>
        <w:t>备箱、路由器、防雷及接地</w:t>
      </w:r>
      <w:r>
        <w:rPr>
          <w:rFonts w:ascii="宋体" w:hAnsi="宋体" w:eastAsia="宋体" w:cs="宋体"/>
          <w:spacing w:val="-2"/>
          <w:sz w:val="24"/>
          <w:szCs w:val="24"/>
        </w:rPr>
        <w:t>系统、供电系统等。视频监控前端设备应满足抗风、抗震、防雨、防雷电、防尘、</w:t>
      </w:r>
      <w:r>
        <w:rPr>
          <w:rFonts w:ascii="宋体" w:hAnsi="宋体" w:eastAsia="宋体" w:cs="宋体"/>
          <w:spacing w:val="3"/>
          <w:sz w:val="24"/>
          <w:szCs w:val="24"/>
        </w:rPr>
        <w:t>防盐雾、防腐蚀、防变形、防人为破坏及易检修的技</w:t>
      </w:r>
      <w:r>
        <w:rPr>
          <w:rFonts w:ascii="宋体" w:hAnsi="宋体" w:eastAsia="宋体" w:cs="宋体"/>
          <w:spacing w:val="2"/>
          <w:sz w:val="24"/>
          <w:szCs w:val="24"/>
        </w:rPr>
        <w:t>术要求，以及在安装地的常</w:t>
      </w:r>
      <w:r>
        <w:rPr>
          <w:rFonts w:ascii="宋体" w:hAnsi="宋体" w:eastAsia="宋体" w:cs="宋体"/>
          <w:spacing w:val="-1"/>
          <w:sz w:val="24"/>
          <w:szCs w:val="24"/>
        </w:rPr>
        <w:t>年室外温度范围和相对湿度范围内能正常工作。</w:t>
      </w:r>
    </w:p>
    <w:p w14:paraId="6DADF3F0">
      <w:pPr>
        <w:spacing w:before="1" w:line="219" w:lineRule="auto"/>
        <w:ind w:left="8"/>
        <w:outlineLvl w:val="3"/>
        <w:rPr>
          <w:rFonts w:ascii="宋体" w:hAnsi="宋体" w:eastAsia="宋体" w:cs="宋体"/>
          <w:sz w:val="24"/>
          <w:szCs w:val="24"/>
        </w:rPr>
      </w:pPr>
      <w:r>
        <w:rPr>
          <w:rFonts w:ascii="Times New Roman" w:hAnsi="Times New Roman" w:eastAsia="Times New Roman" w:cs="Times New Roman"/>
          <w:b/>
          <w:bCs/>
          <w:spacing w:val="-2"/>
          <w:sz w:val="24"/>
          <w:szCs w:val="24"/>
        </w:rPr>
        <w:t>9.4.2.3</w:t>
      </w:r>
      <w:r>
        <w:rPr>
          <w:rFonts w:ascii="宋体" w:hAnsi="宋体" w:eastAsia="宋体" w:cs="宋体"/>
          <w:b/>
          <w:bCs/>
          <w:spacing w:val="-2"/>
          <w:sz w:val="24"/>
          <w:szCs w:val="24"/>
        </w:rPr>
        <w:t>开展排污口设置竣工验收</w:t>
      </w:r>
    </w:p>
    <w:p w14:paraId="53EA82F7">
      <w:pPr>
        <w:spacing w:before="182" w:line="360" w:lineRule="auto"/>
        <w:ind w:left="9" w:right="80" w:firstLine="482"/>
        <w:jc w:val="both"/>
        <w:rPr>
          <w:rFonts w:ascii="宋体" w:hAnsi="宋体" w:eastAsia="宋体" w:cs="宋体"/>
          <w:sz w:val="24"/>
          <w:szCs w:val="24"/>
        </w:rPr>
      </w:pPr>
      <w:r>
        <w:rPr>
          <w:rFonts w:ascii="宋体" w:hAnsi="宋体" w:eastAsia="宋体" w:cs="宋体"/>
          <w:spacing w:val="3"/>
          <w:sz w:val="24"/>
          <w:szCs w:val="24"/>
        </w:rPr>
        <w:t>为加强入河排污口监督管理，切实保护水资源和水环</w:t>
      </w:r>
      <w:r>
        <w:rPr>
          <w:rFonts w:ascii="宋体" w:hAnsi="宋体" w:eastAsia="宋体" w:cs="宋体"/>
          <w:spacing w:val="2"/>
          <w:sz w:val="24"/>
          <w:szCs w:val="24"/>
        </w:rPr>
        <w:t>境，入河排污口设置单</w:t>
      </w:r>
      <w:r>
        <w:rPr>
          <w:rFonts w:ascii="宋体" w:hAnsi="宋体" w:eastAsia="宋体" w:cs="宋体"/>
          <w:spacing w:val="3"/>
          <w:sz w:val="24"/>
          <w:szCs w:val="24"/>
        </w:rPr>
        <w:t>位在工程竣工验收后，应尽快向设置审批单位申请</w:t>
      </w:r>
      <w:r>
        <w:rPr>
          <w:rFonts w:ascii="宋体" w:hAnsi="宋体" w:eastAsia="宋体" w:cs="宋体"/>
          <w:spacing w:val="2"/>
          <w:sz w:val="24"/>
          <w:szCs w:val="24"/>
        </w:rPr>
        <w:t>验收，经验收合格后的入河排</w:t>
      </w:r>
      <w:r>
        <w:rPr>
          <w:rFonts w:ascii="宋体" w:hAnsi="宋体" w:eastAsia="宋体" w:cs="宋体"/>
          <w:spacing w:val="-1"/>
          <w:sz w:val="24"/>
          <w:szCs w:val="24"/>
        </w:rPr>
        <w:t>污口方可正式投入使用。</w:t>
      </w:r>
    </w:p>
    <w:p w14:paraId="2762825D">
      <w:pPr>
        <w:spacing w:line="360" w:lineRule="auto"/>
        <w:ind w:left="9" w:right="18" w:firstLine="479"/>
        <w:jc w:val="both"/>
        <w:rPr>
          <w:rFonts w:ascii="宋体" w:hAnsi="宋体" w:eastAsia="宋体" w:cs="宋体"/>
          <w:sz w:val="24"/>
          <w:szCs w:val="24"/>
        </w:rPr>
      </w:pPr>
      <w:r>
        <w:rPr>
          <w:rFonts w:ascii="宋体" w:hAnsi="宋体" w:eastAsia="宋体" w:cs="宋体"/>
          <w:spacing w:val="3"/>
          <w:sz w:val="24"/>
          <w:szCs w:val="24"/>
        </w:rPr>
        <w:t>入河排污口设置验收内容应包括：污水处理设施验收合格；入</w:t>
      </w:r>
      <w:r>
        <w:rPr>
          <w:rFonts w:ascii="宋体" w:hAnsi="宋体" w:eastAsia="宋体" w:cs="宋体"/>
          <w:spacing w:val="2"/>
          <w:sz w:val="24"/>
          <w:szCs w:val="24"/>
        </w:rPr>
        <w:t>河排污口设置</w:t>
      </w:r>
      <w:r>
        <w:rPr>
          <w:rFonts w:ascii="宋体" w:hAnsi="宋体" w:eastAsia="宋体" w:cs="宋体"/>
          <w:spacing w:val="3"/>
          <w:sz w:val="24"/>
          <w:szCs w:val="24"/>
        </w:rPr>
        <w:t>审批手续完备，技术资料齐全；入河排污口已按行</w:t>
      </w:r>
      <w:r>
        <w:rPr>
          <w:rFonts w:ascii="宋体" w:hAnsi="宋体" w:eastAsia="宋体" w:cs="宋体"/>
          <w:spacing w:val="2"/>
          <w:sz w:val="24"/>
          <w:szCs w:val="24"/>
        </w:rPr>
        <w:t>政许可决定的要求建成，污水</w:t>
      </w:r>
      <w:r>
        <w:rPr>
          <w:rFonts w:ascii="宋体" w:hAnsi="宋体" w:eastAsia="宋体" w:cs="宋体"/>
          <w:spacing w:val="-2"/>
          <w:sz w:val="24"/>
          <w:szCs w:val="24"/>
        </w:rPr>
        <w:t>排放符合行政许可决定中提出的标准及总量控制要</w:t>
      </w:r>
      <w:r>
        <w:rPr>
          <w:rFonts w:ascii="宋体" w:hAnsi="宋体" w:eastAsia="宋体" w:cs="宋体"/>
          <w:spacing w:val="-3"/>
          <w:sz w:val="24"/>
          <w:szCs w:val="24"/>
        </w:rPr>
        <w:t>求；有削减要求或削减承诺的，</w:t>
      </w:r>
      <w:r>
        <w:rPr>
          <w:rFonts w:ascii="宋体" w:hAnsi="宋体" w:eastAsia="宋体" w:cs="宋体"/>
          <w:spacing w:val="3"/>
          <w:sz w:val="24"/>
          <w:szCs w:val="24"/>
        </w:rPr>
        <w:t>有关措施和承诺已经落实；污水处理设施水质水量</w:t>
      </w:r>
      <w:r>
        <w:rPr>
          <w:rFonts w:ascii="宋体" w:hAnsi="宋体" w:eastAsia="宋体" w:cs="宋体"/>
          <w:spacing w:val="2"/>
          <w:sz w:val="24"/>
          <w:szCs w:val="24"/>
        </w:rPr>
        <w:t>监测设备、监测频次、报送信</w:t>
      </w:r>
      <w:r>
        <w:rPr>
          <w:rFonts w:ascii="宋体" w:hAnsi="宋体" w:eastAsia="宋体" w:cs="宋体"/>
          <w:spacing w:val="3"/>
          <w:sz w:val="24"/>
          <w:szCs w:val="24"/>
        </w:rPr>
        <w:t>息方式等符合有关规定的要求；入河排污口设置单</w:t>
      </w:r>
      <w:r>
        <w:rPr>
          <w:rFonts w:ascii="宋体" w:hAnsi="宋体" w:eastAsia="宋体" w:cs="宋体"/>
          <w:spacing w:val="2"/>
          <w:sz w:val="24"/>
          <w:szCs w:val="24"/>
        </w:rPr>
        <w:t>位有完善的水污染事件应急预</w:t>
      </w:r>
      <w:r>
        <w:rPr>
          <w:rFonts w:ascii="宋体" w:hAnsi="宋体" w:eastAsia="宋体" w:cs="宋体"/>
          <w:spacing w:val="-1"/>
          <w:sz w:val="24"/>
          <w:szCs w:val="24"/>
        </w:rPr>
        <w:t>案；有关水资源保护措施全面落实等。</w:t>
      </w:r>
    </w:p>
    <w:p w14:paraId="5D12A977">
      <w:pPr>
        <w:spacing w:before="1" w:line="219" w:lineRule="auto"/>
        <w:ind w:left="8"/>
        <w:outlineLvl w:val="2"/>
        <w:rPr>
          <w:rFonts w:ascii="宋体" w:hAnsi="宋体" w:eastAsia="宋体" w:cs="宋体"/>
          <w:sz w:val="24"/>
          <w:szCs w:val="24"/>
        </w:rPr>
      </w:pPr>
      <w:r>
        <w:rPr>
          <w:rFonts w:ascii="Times New Roman" w:hAnsi="Times New Roman" w:eastAsia="Times New Roman" w:cs="Times New Roman"/>
          <w:b/>
          <w:bCs/>
          <w:spacing w:val="-2"/>
          <w:sz w:val="24"/>
          <w:szCs w:val="24"/>
        </w:rPr>
        <w:t>9.4.3.</w:t>
      </w:r>
      <w:r>
        <w:rPr>
          <w:rFonts w:ascii="宋体" w:hAnsi="宋体" w:eastAsia="宋体" w:cs="宋体"/>
          <w:b/>
          <w:bCs/>
          <w:spacing w:val="-2"/>
          <w:sz w:val="24"/>
          <w:szCs w:val="24"/>
        </w:rPr>
        <w:t>其他水生态环境保护措施</w:t>
      </w:r>
    </w:p>
    <w:p w14:paraId="435A9347">
      <w:pPr>
        <w:spacing w:before="183" w:line="289" w:lineRule="auto"/>
        <w:ind w:left="29" w:right="80" w:firstLine="471"/>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）强化建设项目的环境管理，严格执行环境影响</w:t>
      </w:r>
      <w:r>
        <w:rPr>
          <w:rFonts w:ascii="宋体" w:hAnsi="宋体" w:eastAsia="宋体" w:cs="宋体"/>
          <w:spacing w:val="-1"/>
          <w:sz w:val="24"/>
          <w:szCs w:val="24"/>
        </w:rPr>
        <w:t>评价与</w:t>
      </w:r>
      <w:r>
        <w:rPr>
          <w:rFonts w:ascii="Times New Roman" w:hAnsi="Times New Roman" w:eastAsia="Times New Roman" w:cs="Times New Roman"/>
          <w:spacing w:val="-1"/>
          <w:sz w:val="24"/>
          <w:szCs w:val="24"/>
        </w:rPr>
        <w:t>“</w:t>
      </w:r>
      <w:r>
        <w:rPr>
          <w:rFonts w:ascii="宋体" w:hAnsi="宋体" w:eastAsia="宋体" w:cs="宋体"/>
          <w:spacing w:val="-1"/>
          <w:sz w:val="24"/>
          <w:szCs w:val="24"/>
        </w:rPr>
        <w:t>三同时</w:t>
      </w:r>
      <w:r>
        <w:rPr>
          <w:rFonts w:ascii="Times New Roman" w:hAnsi="Times New Roman" w:eastAsia="Times New Roman" w:cs="Times New Roman"/>
          <w:spacing w:val="-1"/>
          <w:sz w:val="24"/>
          <w:szCs w:val="24"/>
        </w:rPr>
        <w:t>”</w:t>
      </w:r>
      <w:r>
        <w:rPr>
          <w:rFonts w:ascii="宋体" w:hAnsi="宋体" w:eastAsia="宋体" w:cs="宋体"/>
          <w:spacing w:val="-1"/>
          <w:sz w:val="24"/>
          <w:szCs w:val="24"/>
        </w:rPr>
        <w:t>制度，入园企业符合园区总体规划布局，严格控制涉重金属废水企业入</w:t>
      </w:r>
      <w:r>
        <w:rPr>
          <w:rFonts w:ascii="宋体" w:hAnsi="宋体" w:eastAsia="宋体" w:cs="宋体"/>
          <w:spacing w:val="-2"/>
          <w:sz w:val="24"/>
          <w:szCs w:val="24"/>
        </w:rPr>
        <w:t>园。</w:t>
      </w:r>
    </w:p>
    <w:p w14:paraId="064A54B9">
      <w:pPr>
        <w:spacing w:before="185" w:line="313" w:lineRule="auto"/>
        <w:ind w:left="9" w:right="80"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）加强企业用水管理，鼓励企业采用节能、节水的技术、设备</w:t>
      </w:r>
      <w:r>
        <w:rPr>
          <w:rFonts w:ascii="宋体" w:hAnsi="宋体" w:eastAsia="宋体" w:cs="宋体"/>
          <w:spacing w:val="-2"/>
          <w:sz w:val="24"/>
          <w:szCs w:val="24"/>
        </w:rPr>
        <w:t>。建立用水</w:t>
      </w:r>
      <w:r>
        <w:rPr>
          <w:rFonts w:ascii="宋体" w:hAnsi="宋体" w:eastAsia="宋体" w:cs="宋体"/>
          <w:spacing w:val="3"/>
          <w:sz w:val="24"/>
          <w:szCs w:val="24"/>
        </w:rPr>
        <w:t>考核制度推行清洁生产和闭路循环，推广清洁、节</w:t>
      </w:r>
      <w:r>
        <w:rPr>
          <w:rFonts w:ascii="宋体" w:hAnsi="宋体" w:eastAsia="宋体" w:cs="宋体"/>
          <w:spacing w:val="2"/>
          <w:sz w:val="24"/>
          <w:szCs w:val="24"/>
        </w:rPr>
        <w:t>能生产工艺，最大限度地减少</w:t>
      </w:r>
      <w:r>
        <w:rPr>
          <w:rFonts w:ascii="宋体" w:hAnsi="宋体" w:eastAsia="宋体" w:cs="宋体"/>
          <w:spacing w:val="-2"/>
          <w:sz w:val="24"/>
          <w:szCs w:val="24"/>
        </w:rPr>
        <w:t>工业废水的排放量。</w:t>
      </w:r>
    </w:p>
    <w:p w14:paraId="6641C3C4">
      <w:pPr>
        <w:spacing w:before="182" w:line="325" w:lineRule="auto"/>
        <w:ind w:left="9" w:right="18" w:firstLine="491"/>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）对废水处理设施的运转情况要及时监测，确保处理装置正常高效运转，</w:t>
      </w:r>
      <w:r>
        <w:rPr>
          <w:rFonts w:ascii="宋体" w:hAnsi="宋体" w:eastAsia="宋体" w:cs="宋体"/>
          <w:spacing w:val="-2"/>
          <w:sz w:val="24"/>
          <w:szCs w:val="24"/>
        </w:rPr>
        <w:t>根据不同的水质水量及时调整处理单元的运转参数</w:t>
      </w:r>
      <w:r>
        <w:rPr>
          <w:rFonts w:ascii="宋体" w:hAnsi="宋体" w:eastAsia="宋体" w:cs="宋体"/>
          <w:spacing w:val="-3"/>
          <w:sz w:val="24"/>
          <w:szCs w:val="24"/>
        </w:rPr>
        <w:t>，保障设施的正常和高效运行，</w:t>
      </w:r>
      <w:r>
        <w:rPr>
          <w:rFonts w:ascii="宋体" w:hAnsi="宋体" w:eastAsia="宋体" w:cs="宋体"/>
          <w:spacing w:val="3"/>
          <w:sz w:val="24"/>
          <w:szCs w:val="24"/>
        </w:rPr>
        <w:t>以保证最佳的处理效率。加强对各类机械设备及排</w:t>
      </w:r>
      <w:r>
        <w:rPr>
          <w:rFonts w:ascii="宋体" w:hAnsi="宋体" w:eastAsia="宋体" w:cs="宋体"/>
          <w:spacing w:val="2"/>
          <w:sz w:val="24"/>
          <w:szCs w:val="24"/>
        </w:rPr>
        <w:t>水设备的定期检查、维护和管</w:t>
      </w:r>
      <w:r>
        <w:rPr>
          <w:rFonts w:ascii="宋体" w:hAnsi="宋体" w:eastAsia="宋体" w:cs="宋体"/>
          <w:spacing w:val="3"/>
          <w:sz w:val="24"/>
          <w:szCs w:val="24"/>
        </w:rPr>
        <w:t>理，同时配备了必要的备用设备，当设备出现运转</w:t>
      </w:r>
      <w:r>
        <w:rPr>
          <w:rFonts w:ascii="宋体" w:hAnsi="宋体" w:eastAsia="宋体" w:cs="宋体"/>
          <w:spacing w:val="2"/>
          <w:sz w:val="24"/>
          <w:szCs w:val="24"/>
        </w:rPr>
        <w:t>故障时及时更换，以减少事故</w:t>
      </w:r>
    </w:p>
    <w:p w14:paraId="4CF8040D">
      <w:pPr>
        <w:spacing w:line="325" w:lineRule="auto"/>
        <w:rPr>
          <w:rFonts w:ascii="宋体" w:hAnsi="宋体" w:eastAsia="宋体" w:cs="宋体"/>
          <w:sz w:val="24"/>
          <w:szCs w:val="24"/>
        </w:rPr>
        <w:sectPr>
          <w:headerReference r:id="rId178" w:type="default"/>
          <w:footerReference r:id="rId179" w:type="default"/>
          <w:pgSz w:w="11906" w:h="16839"/>
          <w:pgMar w:top="1132" w:right="1620" w:bottom="1259" w:left="1701" w:header="829" w:footer="1097" w:gutter="0"/>
          <w:cols w:space="720" w:num="1"/>
        </w:sectPr>
      </w:pPr>
    </w:p>
    <w:p w14:paraId="530FBA22">
      <w:pPr>
        <w:pStyle w:val="2"/>
        <w:spacing w:line="319" w:lineRule="auto"/>
      </w:pPr>
    </w:p>
    <w:p w14:paraId="019ADF66">
      <w:pPr>
        <w:spacing w:before="78" w:line="220" w:lineRule="auto"/>
        <w:ind w:left="29"/>
        <w:rPr>
          <w:rFonts w:ascii="宋体" w:hAnsi="宋体" w:eastAsia="宋体" w:cs="宋体"/>
          <w:sz w:val="24"/>
          <w:szCs w:val="24"/>
        </w:rPr>
      </w:pPr>
      <w:r>
        <w:rPr>
          <w:rFonts w:ascii="宋体" w:hAnsi="宋体" w:eastAsia="宋体" w:cs="宋体"/>
          <w:spacing w:val="-3"/>
          <w:sz w:val="24"/>
          <w:szCs w:val="24"/>
        </w:rPr>
        <w:t>的隐患，防止风险事故的发生。</w:t>
      </w:r>
    </w:p>
    <w:p w14:paraId="2260622E">
      <w:pPr>
        <w:spacing w:before="181" w:line="290" w:lineRule="auto"/>
        <w:ind w:left="9" w:firstLine="49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宋体" w:hAnsi="宋体" w:eastAsia="宋体" w:cs="宋体"/>
          <w:spacing w:val="-6"/>
          <w:sz w:val="24"/>
          <w:szCs w:val="24"/>
        </w:rPr>
        <w:t>）宣传、组织、贯彻国家有关水生态环境保护的方针、政</w:t>
      </w:r>
      <w:r>
        <w:rPr>
          <w:rFonts w:ascii="宋体" w:hAnsi="宋体" w:eastAsia="宋体" w:cs="宋体"/>
          <w:spacing w:val="-7"/>
          <w:sz w:val="24"/>
          <w:szCs w:val="24"/>
        </w:rPr>
        <w:t>策、法令和条例，</w:t>
      </w:r>
      <w:r>
        <w:rPr>
          <w:rFonts w:ascii="宋体" w:hAnsi="宋体" w:eastAsia="宋体" w:cs="宋体"/>
          <w:sz w:val="24"/>
          <w:szCs w:val="24"/>
        </w:rPr>
        <w:t>搞好项目运行期间环境保护工作，执行上级主管部门建</w:t>
      </w:r>
      <w:r>
        <w:rPr>
          <w:rFonts w:ascii="宋体" w:hAnsi="宋体" w:eastAsia="宋体" w:cs="宋体"/>
          <w:spacing w:val="-1"/>
          <w:sz w:val="24"/>
          <w:szCs w:val="24"/>
        </w:rPr>
        <w:t>立的各种环境管理制度。</w:t>
      </w:r>
    </w:p>
    <w:p w14:paraId="5FC0F2AC">
      <w:pPr>
        <w:spacing w:before="182" w:line="290" w:lineRule="auto"/>
        <w:ind w:left="10" w:right="61" w:firstLine="49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）加强水资源保护的宣传，加强水法规定的宣贯，提高企业全</w:t>
      </w:r>
      <w:r>
        <w:rPr>
          <w:rFonts w:ascii="宋体" w:hAnsi="宋体" w:eastAsia="宋体" w:cs="宋体"/>
          <w:spacing w:val="-2"/>
          <w:sz w:val="24"/>
          <w:szCs w:val="24"/>
        </w:rPr>
        <w:t>员水资源保</w:t>
      </w:r>
      <w:r>
        <w:rPr>
          <w:rFonts w:ascii="宋体" w:hAnsi="宋体" w:eastAsia="宋体" w:cs="宋体"/>
          <w:spacing w:val="-1"/>
          <w:sz w:val="24"/>
          <w:szCs w:val="24"/>
        </w:rPr>
        <w:t>护的意识，保证环境保护工作严格按照设计、审批方案运行。</w:t>
      </w:r>
    </w:p>
    <w:p w14:paraId="29C712D2">
      <w:pPr>
        <w:spacing w:before="184" w:line="313" w:lineRule="auto"/>
        <w:ind w:left="9" w:right="61" w:firstLine="49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6</w:t>
      </w:r>
      <w:r>
        <w:rPr>
          <w:rFonts w:ascii="宋体" w:hAnsi="宋体" w:eastAsia="宋体" w:cs="宋体"/>
          <w:spacing w:val="-1"/>
          <w:sz w:val="24"/>
          <w:szCs w:val="24"/>
        </w:rPr>
        <w:t>）及时了解元木山水质常规监测断面的监测数据，掌握水功能</w:t>
      </w:r>
      <w:r>
        <w:rPr>
          <w:rFonts w:ascii="宋体" w:hAnsi="宋体" w:eastAsia="宋体" w:cs="宋体"/>
          <w:spacing w:val="-2"/>
          <w:sz w:val="24"/>
          <w:szCs w:val="24"/>
        </w:rPr>
        <w:t>区的水环境</w:t>
      </w:r>
      <w:r>
        <w:rPr>
          <w:rFonts w:ascii="宋体" w:hAnsi="宋体" w:eastAsia="宋体" w:cs="宋体"/>
          <w:spacing w:val="3"/>
          <w:sz w:val="24"/>
          <w:szCs w:val="24"/>
        </w:rPr>
        <w:t>状况，确保达到水功能区管理目标。并协助当地生</w:t>
      </w:r>
      <w:r>
        <w:rPr>
          <w:rFonts w:ascii="宋体" w:hAnsi="宋体" w:eastAsia="宋体" w:cs="宋体"/>
          <w:spacing w:val="2"/>
          <w:sz w:val="24"/>
          <w:szCs w:val="24"/>
        </w:rPr>
        <w:t>态环境部门做好水污染防治工</w:t>
      </w:r>
      <w:r>
        <w:rPr>
          <w:rFonts w:ascii="宋体" w:hAnsi="宋体" w:eastAsia="宋体" w:cs="宋体"/>
          <w:spacing w:val="-5"/>
          <w:sz w:val="24"/>
          <w:szCs w:val="24"/>
        </w:rPr>
        <w:t>作。</w:t>
      </w:r>
    </w:p>
    <w:p w14:paraId="7536826E">
      <w:pPr>
        <w:spacing w:before="182" w:line="313" w:lineRule="auto"/>
        <w:ind w:left="8" w:right="61" w:firstLine="49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7</w:t>
      </w:r>
      <w:r>
        <w:rPr>
          <w:rFonts w:ascii="宋体" w:hAnsi="宋体" w:eastAsia="宋体" w:cs="宋体"/>
          <w:spacing w:val="-1"/>
          <w:sz w:val="24"/>
          <w:szCs w:val="24"/>
        </w:rPr>
        <w:t>）在废水处置装置设施出现故障时，应立即停产检修，严格禁</w:t>
      </w:r>
      <w:r>
        <w:rPr>
          <w:rFonts w:ascii="宋体" w:hAnsi="宋体" w:eastAsia="宋体" w:cs="宋体"/>
          <w:spacing w:val="-2"/>
          <w:sz w:val="24"/>
          <w:szCs w:val="24"/>
        </w:rPr>
        <w:t>止未经处理</w:t>
      </w:r>
      <w:r>
        <w:rPr>
          <w:rFonts w:ascii="宋体" w:hAnsi="宋体" w:eastAsia="宋体" w:cs="宋体"/>
          <w:spacing w:val="3"/>
          <w:sz w:val="24"/>
          <w:szCs w:val="24"/>
        </w:rPr>
        <w:t>废水外排。成立本排污口应急救援小组或将本排污口</w:t>
      </w:r>
      <w:r>
        <w:rPr>
          <w:rFonts w:ascii="宋体" w:hAnsi="宋体" w:eastAsia="宋体" w:cs="宋体"/>
          <w:spacing w:val="2"/>
          <w:sz w:val="24"/>
          <w:szCs w:val="24"/>
        </w:rPr>
        <w:t>纳入隆回县突发事件应急救</w:t>
      </w:r>
      <w:r>
        <w:rPr>
          <w:rFonts w:ascii="宋体" w:hAnsi="宋体" w:eastAsia="宋体" w:cs="宋体"/>
          <w:spacing w:val="-1"/>
          <w:sz w:val="24"/>
          <w:szCs w:val="24"/>
        </w:rPr>
        <w:t>援体系中，在排污口处设置应急救援联系电话。</w:t>
      </w:r>
    </w:p>
    <w:p w14:paraId="5DEAAB4B">
      <w:pPr>
        <w:spacing w:before="183" w:line="289" w:lineRule="auto"/>
        <w:ind w:left="10" w:right="61" w:firstLine="49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8</w:t>
      </w:r>
      <w:r>
        <w:rPr>
          <w:rFonts w:ascii="宋体" w:hAnsi="宋体" w:eastAsia="宋体" w:cs="宋体"/>
          <w:spacing w:val="-1"/>
          <w:sz w:val="24"/>
          <w:szCs w:val="24"/>
        </w:rPr>
        <w:t>）建立水质保护管理措施，并不断充实和完善各项管理制度。</w:t>
      </w:r>
      <w:r>
        <w:rPr>
          <w:rFonts w:ascii="宋体" w:hAnsi="宋体" w:eastAsia="宋体" w:cs="宋体"/>
          <w:spacing w:val="-2"/>
          <w:sz w:val="24"/>
          <w:szCs w:val="24"/>
        </w:rPr>
        <w:t>健全水质保</w:t>
      </w:r>
      <w:r>
        <w:rPr>
          <w:rFonts w:ascii="宋体" w:hAnsi="宋体" w:eastAsia="宋体" w:cs="宋体"/>
          <w:sz w:val="24"/>
          <w:szCs w:val="24"/>
        </w:rPr>
        <w:t>护管理机构，实行统一领导，分区负责，保障各项水</w:t>
      </w:r>
      <w:r>
        <w:rPr>
          <w:rFonts w:ascii="宋体" w:hAnsi="宋体" w:eastAsia="宋体" w:cs="宋体"/>
          <w:spacing w:val="-1"/>
          <w:sz w:val="24"/>
          <w:szCs w:val="24"/>
        </w:rPr>
        <w:t>质保护规章制度有效实施。</w:t>
      </w:r>
    </w:p>
    <w:p w14:paraId="58D50C44">
      <w:pPr>
        <w:spacing w:before="184" w:line="219" w:lineRule="auto"/>
        <w:ind w:left="50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9</w:t>
      </w:r>
      <w:r>
        <w:rPr>
          <w:rFonts w:ascii="宋体" w:hAnsi="宋体" w:eastAsia="宋体" w:cs="宋体"/>
          <w:spacing w:val="-1"/>
          <w:sz w:val="24"/>
          <w:szCs w:val="24"/>
        </w:rPr>
        <w:t>）积极开展环保教育、技术培训和学术交流活动，提高员工素</w:t>
      </w:r>
      <w:r>
        <w:rPr>
          <w:rFonts w:ascii="宋体" w:hAnsi="宋体" w:eastAsia="宋体" w:cs="宋体"/>
          <w:spacing w:val="-2"/>
          <w:sz w:val="24"/>
          <w:szCs w:val="24"/>
        </w:rPr>
        <w:t>质，推广利</w:t>
      </w:r>
    </w:p>
    <w:p w14:paraId="7C05466A">
      <w:pPr>
        <w:spacing w:before="183" w:line="219" w:lineRule="auto"/>
        <w:ind w:left="11"/>
        <w:outlineLvl w:val="0"/>
        <w:rPr>
          <w:rFonts w:ascii="宋体" w:hAnsi="宋体" w:eastAsia="宋体" w:cs="宋体"/>
          <w:sz w:val="24"/>
          <w:szCs w:val="24"/>
        </w:rPr>
      </w:pPr>
      <w:r>
        <w:rPr>
          <w:rFonts w:ascii="宋体" w:hAnsi="宋体" w:eastAsia="宋体" w:cs="宋体"/>
          <w:spacing w:val="-2"/>
          <w:sz w:val="24"/>
          <w:szCs w:val="24"/>
        </w:rPr>
        <w:t>用先进技术和经验。</w:t>
      </w:r>
    </w:p>
    <w:p w14:paraId="3317AF11">
      <w:pPr>
        <w:spacing w:line="219" w:lineRule="auto"/>
        <w:rPr>
          <w:rFonts w:ascii="宋体" w:hAnsi="宋体" w:eastAsia="宋体" w:cs="宋体"/>
          <w:sz w:val="24"/>
          <w:szCs w:val="24"/>
        </w:rPr>
        <w:sectPr>
          <w:headerReference r:id="rId180" w:type="default"/>
          <w:footerReference r:id="rId181" w:type="default"/>
          <w:pgSz w:w="11906" w:h="16839"/>
          <w:pgMar w:top="1132" w:right="1639" w:bottom="1259" w:left="1701" w:header="829" w:footer="1097" w:gutter="0"/>
          <w:cols w:space="720" w:num="1"/>
        </w:sectPr>
      </w:pPr>
    </w:p>
    <w:p w14:paraId="2CB29FD3">
      <w:pPr>
        <w:pStyle w:val="2"/>
        <w:spacing w:line="257" w:lineRule="auto"/>
      </w:pPr>
    </w:p>
    <w:p w14:paraId="62FFD1B8">
      <w:pPr>
        <w:pStyle w:val="2"/>
        <w:spacing w:line="257" w:lineRule="auto"/>
      </w:pPr>
    </w:p>
    <w:p w14:paraId="7D6F16A3">
      <w:pPr>
        <w:spacing w:before="100" w:line="225" w:lineRule="auto"/>
        <w:ind w:left="3271"/>
        <w:rPr>
          <w:rFonts w:ascii="宋体" w:hAnsi="宋体" w:eastAsia="宋体" w:cs="宋体"/>
          <w:sz w:val="31"/>
          <w:szCs w:val="31"/>
        </w:rPr>
      </w:pPr>
      <w:bookmarkStart w:id="49" w:name="bookmark46"/>
      <w:bookmarkEnd w:id="49"/>
      <w:bookmarkStart w:id="50" w:name="bookmark47"/>
      <w:bookmarkEnd w:id="50"/>
      <w:r>
        <w:rPr>
          <w:rFonts w:ascii="Times New Roman" w:hAnsi="Times New Roman" w:eastAsia="Times New Roman" w:cs="Times New Roman"/>
          <w:b/>
          <w:bCs/>
          <w:sz w:val="31"/>
          <w:szCs w:val="31"/>
        </w:rPr>
        <w:t>10</w:t>
      </w:r>
      <w:r>
        <w:rPr>
          <w:rFonts w:ascii="宋体" w:hAnsi="宋体" w:eastAsia="宋体" w:cs="宋体"/>
          <w:b/>
          <w:bCs/>
          <w:sz w:val="31"/>
          <w:szCs w:val="31"/>
        </w:rPr>
        <w:t>结论与建议</w:t>
      </w:r>
    </w:p>
    <w:p w14:paraId="4BCC41AD">
      <w:pPr>
        <w:pStyle w:val="2"/>
        <w:spacing w:line="351" w:lineRule="auto"/>
      </w:pPr>
    </w:p>
    <w:p w14:paraId="6DA8B38A">
      <w:pPr>
        <w:spacing w:before="91" w:line="221" w:lineRule="auto"/>
        <w:ind w:left="21"/>
        <w:outlineLvl w:val="1"/>
        <w:rPr>
          <w:rFonts w:ascii="宋体" w:hAnsi="宋体" w:eastAsia="宋体" w:cs="宋体"/>
          <w:sz w:val="28"/>
          <w:szCs w:val="28"/>
        </w:rPr>
      </w:pPr>
      <w:r>
        <w:rPr>
          <w:rFonts w:ascii="Times New Roman" w:hAnsi="Times New Roman" w:eastAsia="Times New Roman" w:cs="Times New Roman"/>
          <w:b/>
          <w:bCs/>
          <w:spacing w:val="-7"/>
          <w:sz w:val="28"/>
          <w:szCs w:val="28"/>
        </w:rPr>
        <w:t>10.1</w:t>
      </w:r>
      <w:r>
        <w:rPr>
          <w:rFonts w:ascii="宋体" w:hAnsi="宋体" w:eastAsia="宋体" w:cs="宋体"/>
          <w:b/>
          <w:bCs/>
          <w:spacing w:val="-7"/>
          <w:sz w:val="28"/>
          <w:szCs w:val="28"/>
        </w:rPr>
        <w:t>结论</w:t>
      </w:r>
    </w:p>
    <w:p w14:paraId="315AD001">
      <w:pPr>
        <w:pStyle w:val="2"/>
        <w:spacing w:line="251" w:lineRule="auto"/>
      </w:pPr>
    </w:p>
    <w:p w14:paraId="2F3712E8">
      <w:pPr>
        <w:spacing w:before="78" w:line="221" w:lineRule="auto"/>
        <w:ind w:left="18"/>
        <w:outlineLvl w:val="2"/>
        <w:rPr>
          <w:rFonts w:ascii="宋体" w:hAnsi="宋体" w:eastAsia="宋体" w:cs="宋体"/>
          <w:sz w:val="24"/>
          <w:szCs w:val="24"/>
        </w:rPr>
      </w:pPr>
      <w:r>
        <w:rPr>
          <w:rFonts w:ascii="Times New Roman" w:hAnsi="Times New Roman" w:eastAsia="Times New Roman" w:cs="Times New Roman"/>
          <w:b/>
          <w:bCs/>
          <w:spacing w:val="-3"/>
          <w:sz w:val="24"/>
          <w:szCs w:val="24"/>
        </w:rPr>
        <w:t>10.1.1</w:t>
      </w:r>
      <w:r>
        <w:rPr>
          <w:rFonts w:ascii="宋体" w:hAnsi="宋体" w:eastAsia="宋体" w:cs="宋体"/>
          <w:b/>
          <w:bCs/>
          <w:spacing w:val="-3"/>
          <w:sz w:val="24"/>
          <w:szCs w:val="24"/>
        </w:rPr>
        <w:t>入河排污口</w:t>
      </w:r>
    </w:p>
    <w:p w14:paraId="7B11D464">
      <w:pPr>
        <w:spacing w:before="280" w:line="219" w:lineRule="auto"/>
        <w:ind w:left="50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）入河排污口基本情况</w:t>
      </w:r>
    </w:p>
    <w:p w14:paraId="242B1504">
      <w:pPr>
        <w:spacing w:before="183" w:line="360" w:lineRule="auto"/>
        <w:ind w:left="11" w:right="114" w:firstLine="480"/>
        <w:rPr>
          <w:rFonts w:ascii="宋体" w:hAnsi="宋体" w:eastAsia="宋体" w:cs="宋体"/>
          <w:sz w:val="24"/>
          <w:szCs w:val="24"/>
        </w:rPr>
      </w:pPr>
      <w:r>
        <w:rPr>
          <w:rFonts w:ascii="宋体" w:hAnsi="宋体" w:eastAsia="宋体" w:cs="宋体"/>
          <w:spacing w:val="3"/>
          <w:sz w:val="24"/>
          <w:szCs w:val="24"/>
        </w:rPr>
        <w:t>入河排污口名称：隆回县工业污水处理厂进行提标扩容改造（</w:t>
      </w:r>
      <w:r>
        <w:rPr>
          <w:rFonts w:ascii="宋体" w:hAnsi="宋体" w:eastAsia="宋体" w:cs="宋体"/>
          <w:spacing w:val="2"/>
          <w:sz w:val="24"/>
          <w:szCs w:val="24"/>
        </w:rPr>
        <w:t>二期）工程入</w:t>
      </w:r>
      <w:r>
        <w:rPr>
          <w:rFonts w:ascii="宋体" w:hAnsi="宋体" w:eastAsia="宋体" w:cs="宋体"/>
          <w:spacing w:val="-3"/>
          <w:sz w:val="24"/>
          <w:szCs w:val="24"/>
        </w:rPr>
        <w:t>河排污口</w:t>
      </w:r>
    </w:p>
    <w:p w14:paraId="55D73FA2">
      <w:pPr>
        <w:spacing w:before="1" w:line="219" w:lineRule="auto"/>
        <w:ind w:left="492"/>
        <w:rPr>
          <w:rFonts w:ascii="宋体" w:hAnsi="宋体" w:eastAsia="宋体" w:cs="宋体"/>
          <w:sz w:val="24"/>
          <w:szCs w:val="24"/>
        </w:rPr>
      </w:pPr>
      <w:r>
        <w:rPr>
          <w:rFonts w:ascii="宋体" w:hAnsi="宋体" w:eastAsia="宋体" w:cs="宋体"/>
          <w:spacing w:val="-1"/>
          <w:sz w:val="24"/>
          <w:szCs w:val="24"/>
        </w:rPr>
        <w:t>所属排污单位：隆回县工业园开发建设投资有限公司</w:t>
      </w:r>
    </w:p>
    <w:p w14:paraId="5B9564A0">
      <w:pPr>
        <w:spacing w:before="183" w:line="360" w:lineRule="auto"/>
        <w:ind w:right="173" w:firstLine="491"/>
        <w:rPr>
          <w:rFonts w:ascii="宋体" w:hAnsi="宋体" w:eastAsia="宋体" w:cs="宋体"/>
          <w:sz w:val="24"/>
          <w:szCs w:val="24"/>
        </w:rPr>
      </w:pPr>
      <w:r>
        <w:rPr>
          <w:rFonts w:ascii="宋体" w:hAnsi="宋体" w:eastAsia="宋体" w:cs="宋体"/>
          <w:sz w:val="24"/>
          <w:szCs w:val="24"/>
        </w:rPr>
        <w:t>入河排污口位置：元木山电站下游</w:t>
      </w:r>
      <w:r>
        <w:rPr>
          <w:rFonts w:ascii="Times New Roman" w:hAnsi="Times New Roman" w:eastAsia="Times New Roman" w:cs="Times New Roman"/>
          <w:sz w:val="24"/>
          <w:szCs w:val="24"/>
        </w:rPr>
        <w:t>2.8m</w:t>
      </w:r>
      <w:r>
        <w:rPr>
          <w:rFonts w:ascii="宋体" w:hAnsi="宋体" w:eastAsia="宋体" w:cs="宋体"/>
          <w:sz w:val="24"/>
          <w:szCs w:val="24"/>
        </w:rPr>
        <w:t>处，坐标：</w:t>
      </w:r>
      <w:r>
        <w:rPr>
          <w:rFonts w:ascii="Times New Roman" w:hAnsi="Times New Roman" w:eastAsia="Times New Roman" w:cs="Times New Roman"/>
          <w:sz w:val="24"/>
          <w:szCs w:val="24"/>
        </w:rPr>
        <w:t>111°3′22.36752″</w:t>
      </w:r>
      <w:r>
        <w:rPr>
          <w:rFonts w:ascii="宋体" w:hAnsi="宋体" w:eastAsia="宋体" w:cs="宋体"/>
          <w:sz w:val="24"/>
          <w:szCs w:val="24"/>
        </w:rPr>
        <w:t>，</w:t>
      </w:r>
      <w:r>
        <w:rPr>
          <w:rFonts w:ascii="Times New Roman" w:hAnsi="Times New Roman" w:eastAsia="Times New Roman" w:cs="Times New Roman"/>
          <w:spacing w:val="-1"/>
          <w:sz w:val="24"/>
          <w:szCs w:val="24"/>
        </w:rPr>
        <w:t>N27°4′46.315056″</w:t>
      </w:r>
      <w:r>
        <w:rPr>
          <w:rFonts w:ascii="宋体" w:hAnsi="宋体" w:eastAsia="宋体" w:cs="宋体"/>
          <w:spacing w:val="-1"/>
          <w:sz w:val="24"/>
          <w:szCs w:val="24"/>
        </w:rPr>
        <w:t>；</w:t>
      </w:r>
    </w:p>
    <w:p w14:paraId="330BDF4B">
      <w:pPr>
        <w:spacing w:line="219" w:lineRule="auto"/>
        <w:ind w:left="494"/>
        <w:rPr>
          <w:rFonts w:ascii="宋体" w:hAnsi="宋体" w:eastAsia="宋体" w:cs="宋体"/>
          <w:sz w:val="24"/>
          <w:szCs w:val="24"/>
        </w:rPr>
      </w:pPr>
      <w:r>
        <w:rPr>
          <w:rFonts w:ascii="宋体" w:hAnsi="宋体" w:eastAsia="宋体" w:cs="宋体"/>
          <w:spacing w:val="-2"/>
          <w:sz w:val="24"/>
          <w:szCs w:val="24"/>
        </w:rPr>
        <w:t>污水排入河流名称：赧水</w:t>
      </w:r>
    </w:p>
    <w:p w14:paraId="06FDFCB2">
      <w:pPr>
        <w:spacing w:before="184" w:line="219" w:lineRule="auto"/>
        <w:ind w:left="494"/>
        <w:rPr>
          <w:rFonts w:ascii="宋体" w:hAnsi="宋体" w:eastAsia="宋体" w:cs="宋体"/>
          <w:sz w:val="24"/>
          <w:szCs w:val="24"/>
        </w:rPr>
      </w:pPr>
      <w:r>
        <w:rPr>
          <w:rFonts w:ascii="宋体" w:hAnsi="宋体" w:eastAsia="宋体" w:cs="宋体"/>
          <w:spacing w:val="-2"/>
          <w:sz w:val="24"/>
          <w:szCs w:val="24"/>
        </w:rPr>
        <w:t>污水入河方式：管道</w:t>
      </w:r>
    </w:p>
    <w:p w14:paraId="76ED4927">
      <w:pPr>
        <w:spacing w:before="183" w:line="219" w:lineRule="auto"/>
        <w:ind w:left="491"/>
        <w:rPr>
          <w:rFonts w:ascii="宋体" w:hAnsi="宋体" w:eastAsia="宋体" w:cs="宋体"/>
          <w:sz w:val="24"/>
          <w:szCs w:val="24"/>
        </w:rPr>
      </w:pPr>
      <w:r>
        <w:rPr>
          <w:rFonts w:ascii="宋体" w:hAnsi="宋体" w:eastAsia="宋体" w:cs="宋体"/>
          <w:spacing w:val="-1"/>
          <w:sz w:val="24"/>
          <w:szCs w:val="24"/>
        </w:rPr>
        <w:t>入河排污口类型：工业排污口</w:t>
      </w:r>
    </w:p>
    <w:p w14:paraId="7FE09654">
      <w:pPr>
        <w:spacing w:before="183" w:line="220" w:lineRule="auto"/>
        <w:ind w:left="492"/>
        <w:rPr>
          <w:rFonts w:ascii="宋体" w:hAnsi="宋体" w:eastAsia="宋体" w:cs="宋体"/>
          <w:sz w:val="24"/>
          <w:szCs w:val="24"/>
        </w:rPr>
      </w:pPr>
      <w:r>
        <w:rPr>
          <w:rFonts w:ascii="宋体" w:hAnsi="宋体" w:eastAsia="宋体" w:cs="宋体"/>
          <w:spacing w:val="-2"/>
          <w:sz w:val="24"/>
          <w:szCs w:val="24"/>
        </w:rPr>
        <w:t>排放方式：连续排放</w:t>
      </w:r>
    </w:p>
    <w:p w14:paraId="2A73CCA2">
      <w:pPr>
        <w:spacing w:before="182" w:line="360" w:lineRule="auto"/>
        <w:ind w:left="14" w:right="114" w:firstLine="480"/>
        <w:jc w:val="both"/>
        <w:rPr>
          <w:rFonts w:ascii="宋体" w:hAnsi="宋体" w:eastAsia="宋体" w:cs="宋体"/>
          <w:sz w:val="24"/>
          <w:szCs w:val="24"/>
        </w:rPr>
      </w:pPr>
      <w:r>
        <w:rPr>
          <w:rFonts w:ascii="宋体" w:hAnsi="宋体" w:eastAsia="宋体" w:cs="宋体"/>
          <w:spacing w:val="-2"/>
          <w:sz w:val="24"/>
          <w:szCs w:val="24"/>
        </w:rPr>
        <w:t>污水排放量：扩建工程设计排污口日最大排放量为</w:t>
      </w:r>
      <w:r>
        <w:rPr>
          <w:rFonts w:ascii="Times New Roman" w:hAnsi="Times New Roman" w:eastAsia="Times New Roman" w:cs="Times New Roman"/>
          <w:spacing w:val="-2"/>
          <w:sz w:val="24"/>
          <w:szCs w:val="24"/>
        </w:rPr>
        <w:t>15000m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sz w:val="24"/>
          <w:szCs w:val="24"/>
        </w:rPr>
        <w:t>/d</w:t>
      </w:r>
      <w:r>
        <w:rPr>
          <w:rFonts w:ascii="宋体" w:hAnsi="宋体" w:eastAsia="宋体" w:cs="宋体"/>
          <w:spacing w:val="-3"/>
          <w:sz w:val="24"/>
          <w:szCs w:val="24"/>
        </w:rPr>
        <w:t>，扩建后隆回县</w:t>
      </w:r>
      <w:r>
        <w:rPr>
          <w:rFonts w:ascii="宋体" w:hAnsi="宋体" w:eastAsia="宋体" w:cs="宋体"/>
          <w:spacing w:val="-2"/>
          <w:sz w:val="24"/>
          <w:szCs w:val="24"/>
        </w:rPr>
        <w:t>工业污水处理厂日最大排放量为</w:t>
      </w:r>
      <w:r>
        <w:rPr>
          <w:rFonts w:ascii="Times New Roman" w:hAnsi="Times New Roman" w:eastAsia="Times New Roman" w:cs="Times New Roman"/>
          <w:spacing w:val="-2"/>
          <w:sz w:val="24"/>
          <w:szCs w:val="24"/>
        </w:rPr>
        <w:t>30000m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4"/>
          <w:szCs w:val="24"/>
        </w:rPr>
        <w:t>/d</w:t>
      </w:r>
      <w:r>
        <w:rPr>
          <w:rFonts w:ascii="宋体" w:hAnsi="宋体" w:eastAsia="宋体" w:cs="宋体"/>
          <w:spacing w:val="-2"/>
          <w:sz w:val="24"/>
          <w:szCs w:val="24"/>
        </w:rPr>
        <w:t>；由于隆回县工业污水厂与隆回县华茂</w:t>
      </w:r>
      <w:r>
        <w:rPr>
          <w:rFonts w:ascii="宋体" w:hAnsi="宋体" w:eastAsia="宋体" w:cs="宋体"/>
          <w:spacing w:val="4"/>
          <w:sz w:val="24"/>
          <w:szCs w:val="24"/>
        </w:rPr>
        <w:t>污水处理厂共用一个入河排污口，入河排污口排污口日最大排放量为</w:t>
      </w:r>
      <w:r>
        <w:rPr>
          <w:rFonts w:ascii="Times New Roman" w:hAnsi="Times New Roman" w:eastAsia="Times New Roman" w:cs="Times New Roman"/>
          <w:spacing w:val="4"/>
          <w:sz w:val="24"/>
          <w:szCs w:val="24"/>
        </w:rPr>
        <w:t>60000m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sz w:val="24"/>
          <w:szCs w:val="24"/>
        </w:rPr>
        <w:t>/d</w:t>
      </w:r>
      <w:r>
        <w:rPr>
          <w:rFonts w:ascii="宋体" w:hAnsi="宋体" w:eastAsia="宋体" w:cs="宋体"/>
          <w:spacing w:val="-1"/>
          <w:sz w:val="24"/>
          <w:szCs w:val="24"/>
        </w:rPr>
        <w:t>（包括隆回华茂污水处理厂的污水量）。</w:t>
      </w:r>
    </w:p>
    <w:p w14:paraId="7FC885F8">
      <w:pPr>
        <w:spacing w:before="2" w:line="359" w:lineRule="auto"/>
        <w:ind w:left="14" w:right="115" w:firstLine="478"/>
        <w:rPr>
          <w:rFonts w:ascii="宋体" w:hAnsi="宋体" w:eastAsia="宋体" w:cs="宋体"/>
          <w:sz w:val="24"/>
          <w:szCs w:val="24"/>
        </w:rPr>
      </w:pPr>
      <w:r>
        <w:rPr>
          <w:rFonts w:ascii="宋体" w:hAnsi="宋体" w:eastAsia="宋体" w:cs="宋体"/>
          <w:spacing w:val="3"/>
          <w:sz w:val="24"/>
          <w:szCs w:val="24"/>
        </w:rPr>
        <w:t>执行标准：隆回县工业污水处理厂（二期）入河排污口排放</w:t>
      </w:r>
      <w:r>
        <w:rPr>
          <w:rFonts w:ascii="宋体" w:hAnsi="宋体" w:eastAsia="宋体" w:cs="宋体"/>
          <w:spacing w:val="2"/>
          <w:sz w:val="24"/>
          <w:szCs w:val="24"/>
        </w:rPr>
        <w:t>标准执行《城镇</w:t>
      </w:r>
      <w:r>
        <w:rPr>
          <w:rFonts w:ascii="宋体" w:hAnsi="宋体" w:eastAsia="宋体" w:cs="宋体"/>
          <w:spacing w:val="-1"/>
          <w:sz w:val="24"/>
          <w:szCs w:val="24"/>
        </w:rPr>
        <w:t>污水处理厂污染物排放标准》（</w:t>
      </w:r>
      <w:r>
        <w:rPr>
          <w:rFonts w:ascii="Times New Roman" w:hAnsi="Times New Roman" w:eastAsia="Times New Roman" w:cs="Times New Roman"/>
          <w:spacing w:val="-1"/>
          <w:sz w:val="24"/>
          <w:szCs w:val="24"/>
        </w:rPr>
        <w:t>GB18918-2002</w:t>
      </w:r>
      <w:r>
        <w:rPr>
          <w:rFonts w:ascii="宋体" w:hAnsi="宋体" w:eastAsia="宋体" w:cs="宋体"/>
          <w:spacing w:val="-1"/>
          <w:sz w:val="24"/>
          <w:szCs w:val="24"/>
        </w:rPr>
        <w:t>）一级</w:t>
      </w:r>
      <w:r>
        <w:rPr>
          <w:rFonts w:ascii="Times New Roman" w:hAnsi="Times New Roman" w:eastAsia="Times New Roman" w:cs="Times New Roman"/>
          <w:spacing w:val="-1"/>
          <w:sz w:val="24"/>
          <w:szCs w:val="24"/>
        </w:rPr>
        <w:t>A</w:t>
      </w:r>
      <w:r>
        <w:rPr>
          <w:rFonts w:ascii="宋体" w:hAnsi="宋体" w:eastAsia="宋体" w:cs="宋体"/>
          <w:spacing w:val="-1"/>
          <w:sz w:val="24"/>
          <w:szCs w:val="24"/>
        </w:rPr>
        <w:t>标准。</w:t>
      </w:r>
    </w:p>
    <w:p w14:paraId="2B66A49C">
      <w:pPr>
        <w:spacing w:before="1" w:line="219" w:lineRule="auto"/>
        <w:ind w:left="50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）产业政策及效益分析</w:t>
      </w:r>
    </w:p>
    <w:p w14:paraId="2CC0BA23">
      <w:pPr>
        <w:spacing w:before="183" w:line="360" w:lineRule="auto"/>
        <w:ind w:firstLine="506"/>
        <w:rPr>
          <w:rFonts w:ascii="宋体" w:hAnsi="宋体" w:eastAsia="宋体" w:cs="宋体"/>
          <w:sz w:val="24"/>
          <w:szCs w:val="24"/>
        </w:rPr>
      </w:pPr>
      <w:r>
        <w:rPr>
          <w:rFonts w:ascii="宋体" w:hAnsi="宋体" w:eastAsia="宋体" w:cs="宋体"/>
          <w:spacing w:val="2"/>
          <w:sz w:val="24"/>
          <w:szCs w:val="24"/>
        </w:rPr>
        <w:t>隆回县工业污水处理厂扩建工程为市政污水处理工程，根据《产业结构调整指导目录（</w:t>
      </w:r>
      <w:r>
        <w:rPr>
          <w:rFonts w:ascii="Times New Roman" w:hAnsi="Times New Roman" w:eastAsia="Times New Roman" w:cs="Times New Roman"/>
          <w:spacing w:val="2"/>
          <w:sz w:val="24"/>
          <w:szCs w:val="24"/>
        </w:rPr>
        <w:t>2024</w:t>
      </w:r>
      <w:r>
        <w:rPr>
          <w:rFonts w:ascii="宋体" w:hAnsi="宋体" w:eastAsia="宋体" w:cs="宋体"/>
          <w:spacing w:val="2"/>
          <w:sz w:val="24"/>
          <w:szCs w:val="24"/>
        </w:rPr>
        <w:t>年本）》，“污水处理工</w:t>
      </w:r>
      <w:r>
        <w:rPr>
          <w:rFonts w:ascii="宋体" w:hAnsi="宋体" w:eastAsia="宋体" w:cs="宋体"/>
          <w:spacing w:val="1"/>
          <w:sz w:val="24"/>
          <w:szCs w:val="24"/>
        </w:rPr>
        <w:t>程”属于“鼓励类”中“第二十二项”</w:t>
      </w:r>
      <w:r>
        <w:rPr>
          <w:rFonts w:ascii="宋体" w:hAnsi="宋体" w:eastAsia="宋体" w:cs="宋体"/>
          <w:spacing w:val="-5"/>
          <w:sz w:val="24"/>
          <w:szCs w:val="24"/>
        </w:rPr>
        <w:t>“城镇基础设施——市政基础设施”。因而，项目属于产业结构调整指导目录“鼓</w:t>
      </w:r>
      <w:r>
        <w:rPr>
          <w:rFonts w:ascii="宋体" w:hAnsi="宋体" w:eastAsia="宋体" w:cs="宋体"/>
          <w:spacing w:val="-3"/>
          <w:sz w:val="24"/>
          <w:szCs w:val="24"/>
        </w:rPr>
        <w:t>励类”，符合国家产业政策。</w:t>
      </w:r>
    </w:p>
    <w:p w14:paraId="40F38BFA">
      <w:pPr>
        <w:spacing w:line="219" w:lineRule="auto"/>
        <w:ind w:left="50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）对水功能区水质的影响</w:t>
      </w:r>
    </w:p>
    <w:p w14:paraId="1A41D72A">
      <w:pPr>
        <w:spacing w:before="183" w:line="360" w:lineRule="auto"/>
        <w:ind w:left="13" w:right="114" w:firstLine="524"/>
        <w:rPr>
          <w:rFonts w:ascii="宋体" w:hAnsi="宋体" w:eastAsia="宋体" w:cs="宋体"/>
          <w:sz w:val="24"/>
          <w:szCs w:val="24"/>
        </w:rPr>
      </w:pPr>
      <w:r>
        <w:rPr>
          <w:rFonts w:ascii="宋体" w:hAnsi="宋体" w:eastAsia="宋体" w:cs="宋体"/>
          <w:spacing w:val="-3"/>
          <w:sz w:val="24"/>
          <w:szCs w:val="24"/>
        </w:rPr>
        <w:t>目前，赧水年度平均水质满足《地表水环境质量标准》（</w:t>
      </w:r>
      <w:r>
        <w:rPr>
          <w:rFonts w:ascii="Times New Roman" w:hAnsi="Times New Roman" w:eastAsia="Times New Roman" w:cs="Times New Roman"/>
          <w:spacing w:val="-3"/>
          <w:sz w:val="24"/>
          <w:szCs w:val="24"/>
        </w:rPr>
        <w:t>GB3838-2002</w:t>
      </w:r>
      <w:r>
        <w:rPr>
          <w:rFonts w:ascii="宋体" w:hAnsi="宋体" w:eastAsia="宋体" w:cs="宋体"/>
          <w:spacing w:val="-3"/>
          <w:sz w:val="24"/>
          <w:szCs w:val="24"/>
        </w:rPr>
        <w:t>）</w:t>
      </w:r>
      <w:r>
        <w:rPr>
          <w:rFonts w:ascii="Times New Roman" w:hAnsi="Times New Roman" w:eastAsia="Times New Roman" w:cs="Times New Roman"/>
          <w:spacing w:val="-3"/>
          <w:sz w:val="24"/>
          <w:szCs w:val="24"/>
        </w:rPr>
        <w:t>II</w:t>
      </w:r>
      <w:r>
        <w:rPr>
          <w:rFonts w:ascii="宋体" w:hAnsi="宋体" w:eastAsia="宋体" w:cs="宋体"/>
          <w:spacing w:val="-3"/>
          <w:sz w:val="24"/>
          <w:szCs w:val="24"/>
        </w:rPr>
        <w:t>类</w:t>
      </w:r>
      <w:r>
        <w:rPr>
          <w:rFonts w:ascii="宋体" w:hAnsi="宋体" w:eastAsia="宋体" w:cs="宋体"/>
          <w:spacing w:val="-1"/>
          <w:sz w:val="24"/>
          <w:szCs w:val="24"/>
        </w:rPr>
        <w:t>标准，无水质超标情况。</w:t>
      </w:r>
    </w:p>
    <w:p w14:paraId="279886EC">
      <w:pPr>
        <w:spacing w:line="219" w:lineRule="auto"/>
        <w:ind w:left="494"/>
        <w:rPr>
          <w:rFonts w:ascii="宋体" w:hAnsi="宋体" w:eastAsia="宋体" w:cs="宋体"/>
          <w:sz w:val="24"/>
          <w:szCs w:val="24"/>
        </w:rPr>
      </w:pPr>
      <w:r>
        <w:rPr>
          <w:rFonts w:ascii="宋体" w:hAnsi="宋体" w:eastAsia="宋体" w:cs="宋体"/>
          <w:spacing w:val="-2"/>
          <w:sz w:val="24"/>
          <w:szCs w:val="24"/>
        </w:rPr>
        <w:t>污水处理厂在事故排污时，</w:t>
      </w:r>
      <w:r>
        <w:rPr>
          <w:rFonts w:ascii="Times New Roman" w:hAnsi="Times New Roman" w:eastAsia="Times New Roman" w:cs="Times New Roman"/>
          <w:spacing w:val="-2"/>
          <w:sz w:val="24"/>
          <w:szCs w:val="24"/>
        </w:rPr>
        <w:t>CODcr</w:t>
      </w:r>
      <w:r>
        <w:rPr>
          <w:rFonts w:ascii="宋体" w:hAnsi="宋体" w:eastAsia="宋体" w:cs="宋体"/>
          <w:spacing w:val="-2"/>
          <w:sz w:val="24"/>
          <w:szCs w:val="24"/>
        </w:rPr>
        <w:t>、</w:t>
      </w:r>
      <w:r>
        <w:rPr>
          <w:rFonts w:ascii="Times New Roman" w:hAnsi="Times New Roman" w:eastAsia="Times New Roman" w:cs="Times New Roman"/>
          <w:spacing w:val="-2"/>
          <w:sz w:val="24"/>
          <w:szCs w:val="24"/>
        </w:rPr>
        <w:t>NH</w:t>
      </w:r>
      <w:r>
        <w:rPr>
          <w:rFonts w:ascii="Times New Roman" w:hAnsi="Times New Roman" w:eastAsia="Times New Roman" w:cs="Times New Roman"/>
          <w:spacing w:val="-2"/>
          <w:sz w:val="15"/>
          <w:szCs w:val="15"/>
        </w:rPr>
        <w:t>3</w:t>
      </w:r>
      <w:r>
        <w:rPr>
          <w:rFonts w:ascii="Times New Roman" w:hAnsi="Times New Roman" w:eastAsia="Times New Roman" w:cs="Times New Roman"/>
          <w:spacing w:val="-2"/>
          <w:sz w:val="24"/>
          <w:szCs w:val="24"/>
        </w:rPr>
        <w:t>-N</w:t>
      </w:r>
      <w:r>
        <w:rPr>
          <w:rFonts w:ascii="宋体" w:hAnsi="宋体" w:eastAsia="宋体" w:cs="宋体"/>
          <w:spacing w:val="-2"/>
          <w:sz w:val="24"/>
          <w:szCs w:val="24"/>
        </w:rPr>
        <w:t>、</w:t>
      </w:r>
      <w:r>
        <w:rPr>
          <w:rFonts w:ascii="Times New Roman" w:hAnsi="Times New Roman" w:eastAsia="Times New Roman" w:cs="Times New Roman"/>
          <w:spacing w:val="-2"/>
          <w:sz w:val="24"/>
          <w:szCs w:val="24"/>
        </w:rPr>
        <w:t>BOD</w:t>
      </w:r>
      <w:r>
        <w:rPr>
          <w:rFonts w:ascii="Times New Roman" w:hAnsi="Times New Roman" w:eastAsia="Times New Roman" w:cs="Times New Roman"/>
          <w:spacing w:val="-2"/>
          <w:position w:val="-1"/>
          <w:sz w:val="15"/>
          <w:szCs w:val="15"/>
        </w:rPr>
        <w:t>5</w:t>
      </w:r>
      <w:r>
        <w:rPr>
          <w:rFonts w:ascii="宋体" w:hAnsi="宋体" w:eastAsia="宋体" w:cs="宋体"/>
          <w:spacing w:val="-2"/>
          <w:sz w:val="24"/>
          <w:szCs w:val="24"/>
        </w:rPr>
        <w:t>、</w:t>
      </w:r>
      <w:r>
        <w:rPr>
          <w:rFonts w:ascii="Times New Roman" w:hAnsi="Times New Roman" w:eastAsia="Times New Roman" w:cs="Times New Roman"/>
          <w:spacing w:val="-2"/>
          <w:sz w:val="24"/>
          <w:szCs w:val="24"/>
        </w:rPr>
        <w:t>TP</w:t>
      </w:r>
      <w:r>
        <w:rPr>
          <w:rFonts w:ascii="宋体" w:hAnsi="宋体" w:eastAsia="宋体" w:cs="宋体"/>
          <w:spacing w:val="-3"/>
          <w:sz w:val="24"/>
          <w:szCs w:val="24"/>
        </w:rPr>
        <w:t>相对于正常排放情况</w:t>
      </w:r>
    </w:p>
    <w:p w14:paraId="01849F38">
      <w:pPr>
        <w:spacing w:line="219" w:lineRule="auto"/>
        <w:rPr>
          <w:rFonts w:ascii="宋体" w:hAnsi="宋体" w:eastAsia="宋体" w:cs="宋体"/>
          <w:sz w:val="24"/>
          <w:szCs w:val="24"/>
        </w:rPr>
        <w:sectPr>
          <w:headerReference r:id="rId182" w:type="default"/>
          <w:footerReference r:id="rId183" w:type="default"/>
          <w:pgSz w:w="11906" w:h="16839"/>
          <w:pgMar w:top="1132" w:right="1586" w:bottom="1259" w:left="1698" w:header="829" w:footer="1097" w:gutter="0"/>
          <w:cols w:space="720" w:num="1"/>
        </w:sectPr>
      </w:pPr>
    </w:p>
    <w:p w14:paraId="3EA84EF0">
      <w:pPr>
        <w:pStyle w:val="2"/>
        <w:spacing w:line="319" w:lineRule="auto"/>
      </w:pPr>
    </w:p>
    <w:p w14:paraId="32411EC5">
      <w:pPr>
        <w:spacing w:before="78" w:line="360" w:lineRule="auto"/>
        <w:ind w:left="8" w:right="80" w:firstLine="9"/>
        <w:jc w:val="both"/>
        <w:rPr>
          <w:rFonts w:ascii="宋体" w:hAnsi="宋体" w:eastAsia="宋体" w:cs="宋体"/>
          <w:sz w:val="24"/>
          <w:szCs w:val="24"/>
        </w:rPr>
      </w:pPr>
      <w:r>
        <w:rPr>
          <w:rFonts w:ascii="宋体" w:hAnsi="宋体" w:eastAsia="宋体" w:cs="宋体"/>
          <w:spacing w:val="2"/>
          <w:sz w:val="24"/>
          <w:szCs w:val="24"/>
        </w:rPr>
        <w:t>下，对水质有一定的影响，污水处理工程运营单位应严格执行《隆回县工业污水</w:t>
      </w:r>
      <w:r>
        <w:rPr>
          <w:rFonts w:ascii="宋体" w:hAnsi="宋体" w:eastAsia="宋体" w:cs="宋体"/>
          <w:spacing w:val="3"/>
          <w:sz w:val="24"/>
          <w:szCs w:val="24"/>
        </w:rPr>
        <w:t>处理厂突发环境事件应急预案》的要求，加强日常管理</w:t>
      </w:r>
      <w:r>
        <w:rPr>
          <w:rFonts w:ascii="宋体" w:hAnsi="宋体" w:eastAsia="宋体" w:cs="宋体"/>
          <w:spacing w:val="2"/>
          <w:sz w:val="24"/>
          <w:szCs w:val="24"/>
        </w:rPr>
        <w:t>，对各污水处理设备定期</w:t>
      </w:r>
      <w:r>
        <w:rPr>
          <w:rFonts w:ascii="宋体" w:hAnsi="宋体" w:eastAsia="宋体" w:cs="宋体"/>
          <w:spacing w:val="3"/>
          <w:sz w:val="24"/>
          <w:szCs w:val="24"/>
        </w:rPr>
        <w:t>进行检修和维护，确保污水处理厂正常运营，确保出水</w:t>
      </w:r>
      <w:r>
        <w:rPr>
          <w:rFonts w:ascii="宋体" w:hAnsi="宋体" w:eastAsia="宋体" w:cs="宋体"/>
          <w:spacing w:val="2"/>
          <w:sz w:val="24"/>
          <w:szCs w:val="24"/>
        </w:rPr>
        <w:t>水质稳定达标；按照本污</w:t>
      </w:r>
      <w:r>
        <w:rPr>
          <w:rFonts w:ascii="宋体" w:hAnsi="宋体" w:eastAsia="宋体" w:cs="宋体"/>
          <w:spacing w:val="3"/>
          <w:sz w:val="24"/>
          <w:szCs w:val="24"/>
        </w:rPr>
        <w:t>水处理厂突发环境事件应急预案的规定制定事故排放的</w:t>
      </w:r>
      <w:r>
        <w:rPr>
          <w:rFonts w:ascii="宋体" w:hAnsi="宋体" w:eastAsia="宋体" w:cs="宋体"/>
          <w:spacing w:val="2"/>
          <w:sz w:val="24"/>
          <w:szCs w:val="24"/>
        </w:rPr>
        <w:t>预防和应急措施，杜绝事</w:t>
      </w:r>
      <w:r>
        <w:rPr>
          <w:rFonts w:ascii="宋体" w:hAnsi="宋体" w:eastAsia="宋体" w:cs="宋体"/>
          <w:spacing w:val="-1"/>
          <w:sz w:val="24"/>
          <w:szCs w:val="24"/>
        </w:rPr>
        <w:t>故废水排放的发生。</w:t>
      </w:r>
    </w:p>
    <w:p w14:paraId="40BC0166">
      <w:pPr>
        <w:spacing w:line="289" w:lineRule="auto"/>
        <w:ind w:left="29" w:right="80" w:firstLine="47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）本项目消减了隆回高新区企业污水大部分的入河污染物，赧</w:t>
      </w:r>
      <w:r>
        <w:rPr>
          <w:rFonts w:ascii="宋体" w:hAnsi="宋体" w:eastAsia="宋体" w:cs="宋体"/>
          <w:spacing w:val="-2"/>
          <w:sz w:val="24"/>
          <w:szCs w:val="24"/>
        </w:rPr>
        <w:t>水还有较大</w:t>
      </w:r>
      <w:r>
        <w:rPr>
          <w:rFonts w:ascii="宋体" w:hAnsi="宋体" w:eastAsia="宋体" w:cs="宋体"/>
          <w:spacing w:val="-1"/>
          <w:sz w:val="24"/>
          <w:szCs w:val="24"/>
        </w:rPr>
        <w:t>的剩余纳污能力，论证河段可接受本项目的污染</w:t>
      </w:r>
      <w:r>
        <w:rPr>
          <w:rFonts w:ascii="宋体" w:hAnsi="宋体" w:eastAsia="宋体" w:cs="宋体"/>
          <w:spacing w:val="-2"/>
          <w:sz w:val="24"/>
          <w:szCs w:val="24"/>
        </w:rPr>
        <w:t>物排放量。</w:t>
      </w:r>
    </w:p>
    <w:p w14:paraId="7FFCF05E">
      <w:pPr>
        <w:spacing w:before="183" w:line="219" w:lineRule="auto"/>
        <w:ind w:left="50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）经论证，本项目正常排污时，对论证河段上下游水质并没有太大影响。</w:t>
      </w:r>
    </w:p>
    <w:p w14:paraId="6379B61C">
      <w:pPr>
        <w:spacing w:before="182" w:line="290" w:lineRule="auto"/>
        <w:ind w:left="12" w:right="80" w:firstLine="488"/>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6</w:t>
      </w:r>
      <w:r>
        <w:rPr>
          <w:rFonts w:ascii="宋体" w:hAnsi="宋体" w:eastAsia="宋体" w:cs="宋体"/>
          <w:spacing w:val="-1"/>
          <w:sz w:val="24"/>
          <w:szCs w:val="24"/>
        </w:rPr>
        <w:t>）正常排放情况下，本排污口的设置不会改变排污口所处水功</w:t>
      </w:r>
      <w:r>
        <w:rPr>
          <w:rFonts w:ascii="宋体" w:hAnsi="宋体" w:eastAsia="宋体" w:cs="宋体"/>
          <w:spacing w:val="-2"/>
          <w:sz w:val="24"/>
          <w:szCs w:val="24"/>
        </w:rPr>
        <w:t>能区及下游</w:t>
      </w:r>
      <w:r>
        <w:rPr>
          <w:rFonts w:ascii="宋体" w:hAnsi="宋体" w:eastAsia="宋体" w:cs="宋体"/>
          <w:spacing w:val="-1"/>
          <w:sz w:val="24"/>
          <w:szCs w:val="24"/>
        </w:rPr>
        <w:t>水功能的使用功能，也不影响相邻水功能区的使用。</w:t>
      </w:r>
    </w:p>
    <w:p w14:paraId="4E3ABAA3">
      <w:pPr>
        <w:spacing w:before="184" w:line="313" w:lineRule="auto"/>
        <w:ind w:left="11" w:right="80" w:firstLine="489"/>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7</w:t>
      </w:r>
      <w:r>
        <w:rPr>
          <w:rFonts w:ascii="宋体" w:hAnsi="宋体" w:eastAsia="宋体" w:cs="宋体"/>
          <w:spacing w:val="-1"/>
          <w:sz w:val="24"/>
          <w:szCs w:val="24"/>
        </w:rPr>
        <w:t>）本项目排污口所在河段，现状水质较好，本项目建设运营后</w:t>
      </w:r>
      <w:r>
        <w:rPr>
          <w:rFonts w:ascii="宋体" w:hAnsi="宋体" w:eastAsia="宋体" w:cs="宋体"/>
          <w:spacing w:val="-2"/>
          <w:sz w:val="24"/>
          <w:szCs w:val="24"/>
        </w:rPr>
        <w:t>可消减入河</w:t>
      </w:r>
      <w:r>
        <w:rPr>
          <w:rFonts w:ascii="宋体" w:hAnsi="宋体" w:eastAsia="宋体" w:cs="宋体"/>
          <w:spacing w:val="3"/>
          <w:sz w:val="24"/>
          <w:szCs w:val="24"/>
        </w:rPr>
        <w:t>污染量，增加环境容量，有利于改善赧水水环</w:t>
      </w:r>
      <w:r>
        <w:rPr>
          <w:rFonts w:ascii="宋体" w:hAnsi="宋体" w:eastAsia="宋体" w:cs="宋体"/>
          <w:spacing w:val="2"/>
          <w:sz w:val="24"/>
          <w:szCs w:val="24"/>
        </w:rPr>
        <w:t>境。本项目污水处理厂的建设减少</w:t>
      </w:r>
      <w:r>
        <w:rPr>
          <w:rFonts w:ascii="宋体" w:hAnsi="宋体" w:eastAsia="宋体" w:cs="宋体"/>
          <w:spacing w:val="-1"/>
          <w:sz w:val="24"/>
          <w:szCs w:val="24"/>
        </w:rPr>
        <w:t>了入河排污量，对论证区域内地表水环境具有正效益。</w:t>
      </w:r>
    </w:p>
    <w:p w14:paraId="0CAA4910">
      <w:pPr>
        <w:spacing w:before="182" w:line="290" w:lineRule="auto"/>
        <w:ind w:left="9" w:right="80" w:firstLine="491"/>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8</w:t>
      </w:r>
      <w:r>
        <w:rPr>
          <w:rFonts w:ascii="宋体" w:hAnsi="宋体" w:eastAsia="宋体" w:cs="宋体"/>
          <w:spacing w:val="6"/>
          <w:sz w:val="24"/>
          <w:szCs w:val="24"/>
        </w:rPr>
        <w:t>）经排查，排污口下游有邵阳县长乐乡千吨万人取水口，距离分别约为</w:t>
      </w:r>
      <w:r>
        <w:rPr>
          <w:rFonts w:ascii="Times New Roman" w:hAnsi="Times New Roman" w:eastAsia="Times New Roman" w:cs="Times New Roman"/>
          <w:spacing w:val="-2"/>
          <w:sz w:val="24"/>
          <w:szCs w:val="24"/>
        </w:rPr>
        <w:t>7.5km</w:t>
      </w:r>
      <w:r>
        <w:rPr>
          <w:rFonts w:ascii="宋体" w:hAnsi="宋体" w:eastAsia="宋体" w:cs="宋体"/>
          <w:spacing w:val="-2"/>
          <w:sz w:val="24"/>
          <w:szCs w:val="24"/>
        </w:rPr>
        <w:t>，根据预测结果，排污口对取水口的水质影响很小。</w:t>
      </w:r>
    </w:p>
    <w:p w14:paraId="09D58CE9">
      <w:pPr>
        <w:spacing w:before="183" w:line="219" w:lineRule="auto"/>
        <w:ind w:left="50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9</w:t>
      </w:r>
      <w:r>
        <w:rPr>
          <w:rFonts w:ascii="宋体" w:hAnsi="宋体" w:eastAsia="宋体" w:cs="宋体"/>
          <w:spacing w:val="-2"/>
          <w:sz w:val="24"/>
          <w:szCs w:val="24"/>
        </w:rPr>
        <w:t>）对第三者权益的影响</w:t>
      </w:r>
    </w:p>
    <w:p w14:paraId="2DA2B96E">
      <w:pPr>
        <w:spacing w:before="183" w:line="362" w:lineRule="auto"/>
        <w:ind w:left="11" w:right="80" w:firstLine="478"/>
        <w:rPr>
          <w:rFonts w:ascii="宋体" w:hAnsi="宋体" w:eastAsia="宋体" w:cs="宋体"/>
          <w:sz w:val="24"/>
          <w:szCs w:val="24"/>
        </w:rPr>
      </w:pPr>
      <w:r>
        <w:rPr>
          <w:rFonts w:ascii="宋体" w:hAnsi="宋体" w:eastAsia="宋体" w:cs="宋体"/>
          <w:spacing w:val="-2"/>
          <w:sz w:val="24"/>
          <w:szCs w:val="24"/>
        </w:rPr>
        <w:t>扩建工程设计排污口日最大排放量为</w:t>
      </w:r>
      <w:r>
        <w:rPr>
          <w:rFonts w:ascii="Times New Roman" w:hAnsi="Times New Roman" w:eastAsia="Times New Roman" w:cs="Times New Roman"/>
          <w:spacing w:val="-2"/>
          <w:sz w:val="24"/>
          <w:szCs w:val="24"/>
        </w:rPr>
        <w:t>15000m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4"/>
          <w:szCs w:val="24"/>
        </w:rPr>
        <w:t>/d</w:t>
      </w:r>
      <w:r>
        <w:rPr>
          <w:rFonts w:ascii="宋体" w:hAnsi="宋体" w:eastAsia="宋体" w:cs="宋体"/>
          <w:spacing w:val="-2"/>
          <w:sz w:val="24"/>
          <w:szCs w:val="24"/>
        </w:rPr>
        <w:t>，扩建后在</w:t>
      </w:r>
      <w:r>
        <w:rPr>
          <w:rFonts w:ascii="宋体" w:hAnsi="宋体" w:eastAsia="宋体" w:cs="宋体"/>
          <w:spacing w:val="-3"/>
          <w:sz w:val="24"/>
          <w:szCs w:val="24"/>
        </w:rPr>
        <w:t>排放口正常排放情</w:t>
      </w:r>
      <w:r>
        <w:rPr>
          <w:rFonts w:ascii="宋体" w:hAnsi="宋体" w:eastAsia="宋体" w:cs="宋体"/>
          <w:spacing w:val="-1"/>
          <w:sz w:val="24"/>
          <w:szCs w:val="24"/>
        </w:rPr>
        <w:t>况下，排污口预测因子满足相应要求。</w:t>
      </w:r>
    </w:p>
    <w:p w14:paraId="2F42E9E0">
      <w:pPr>
        <w:spacing w:before="93" w:line="220" w:lineRule="auto"/>
        <w:ind w:left="16"/>
        <w:outlineLvl w:val="2"/>
        <w:rPr>
          <w:rFonts w:ascii="宋体" w:hAnsi="宋体" w:eastAsia="宋体" w:cs="宋体"/>
          <w:sz w:val="24"/>
          <w:szCs w:val="24"/>
        </w:rPr>
      </w:pPr>
      <w:r>
        <w:rPr>
          <w:rFonts w:ascii="Times New Roman" w:hAnsi="Times New Roman" w:eastAsia="Times New Roman" w:cs="Times New Roman"/>
          <w:b/>
          <w:bCs/>
          <w:spacing w:val="-3"/>
          <w:sz w:val="24"/>
          <w:szCs w:val="24"/>
        </w:rPr>
        <w:t>10.1.2</w:t>
      </w:r>
      <w:r>
        <w:rPr>
          <w:rFonts w:ascii="宋体" w:hAnsi="宋体" w:eastAsia="宋体" w:cs="宋体"/>
          <w:b/>
          <w:bCs/>
          <w:spacing w:val="-3"/>
          <w:sz w:val="24"/>
          <w:szCs w:val="24"/>
        </w:rPr>
        <w:t>综合结论</w:t>
      </w:r>
    </w:p>
    <w:p w14:paraId="6834C6F7">
      <w:pPr>
        <w:spacing w:before="281" w:line="361" w:lineRule="auto"/>
        <w:ind w:left="8" w:firstLine="496"/>
        <w:jc w:val="both"/>
        <w:rPr>
          <w:rFonts w:ascii="宋体" w:hAnsi="宋体" w:eastAsia="宋体" w:cs="宋体"/>
          <w:sz w:val="24"/>
          <w:szCs w:val="24"/>
        </w:rPr>
      </w:pPr>
      <w:r>
        <w:rPr>
          <w:rFonts w:ascii="宋体" w:hAnsi="宋体" w:eastAsia="宋体" w:cs="宋体"/>
          <w:spacing w:val="-2"/>
          <w:sz w:val="24"/>
          <w:szCs w:val="24"/>
        </w:rPr>
        <w:t>隆回工业污水处理厂（二期）工程入河排污</w:t>
      </w:r>
      <w:r>
        <w:rPr>
          <w:rFonts w:ascii="宋体" w:hAnsi="宋体" w:eastAsia="宋体" w:cs="宋体"/>
          <w:spacing w:val="-3"/>
          <w:sz w:val="24"/>
          <w:szCs w:val="24"/>
        </w:rPr>
        <w:t>口的设置符合国家相关法律法规；</w:t>
      </w:r>
      <w:r>
        <w:rPr>
          <w:rFonts w:ascii="宋体" w:hAnsi="宋体" w:eastAsia="宋体" w:cs="宋体"/>
          <w:sz w:val="24"/>
          <w:szCs w:val="24"/>
        </w:rPr>
        <w:t>符合《湖南省入河排污口监督管理办法》（湘政办发〔</w:t>
      </w:r>
      <w:r>
        <w:rPr>
          <w:rFonts w:ascii="Times New Roman" w:hAnsi="Times New Roman" w:eastAsia="Times New Roman" w:cs="Times New Roman"/>
          <w:sz w:val="24"/>
          <w:szCs w:val="24"/>
        </w:rPr>
        <w:t>2018</w:t>
      </w:r>
      <w:r>
        <w:rPr>
          <w:rFonts w:ascii="宋体" w:hAnsi="宋体" w:eastAsia="宋体" w:cs="宋体"/>
          <w:sz w:val="24"/>
          <w:szCs w:val="24"/>
        </w:rPr>
        <w:t>〕</w:t>
      </w:r>
      <w:r>
        <w:rPr>
          <w:rFonts w:ascii="Times New Roman" w:hAnsi="Times New Roman" w:eastAsia="Times New Roman" w:cs="Times New Roman"/>
          <w:sz w:val="24"/>
          <w:szCs w:val="24"/>
        </w:rPr>
        <w:t>44</w:t>
      </w:r>
      <w:r>
        <w:rPr>
          <w:rFonts w:ascii="宋体" w:hAnsi="宋体" w:eastAsia="宋体" w:cs="宋体"/>
          <w:sz w:val="24"/>
          <w:szCs w:val="24"/>
        </w:rPr>
        <w:t>号</w:t>
      </w:r>
      <w:r>
        <w:rPr>
          <w:rFonts w:ascii="宋体" w:hAnsi="宋体" w:eastAsia="宋体" w:cs="宋体"/>
          <w:spacing w:val="8"/>
          <w:sz w:val="24"/>
          <w:szCs w:val="24"/>
        </w:rPr>
        <w:t>）；</w:t>
      </w:r>
      <w:r>
        <w:rPr>
          <w:rFonts w:ascii="宋体" w:hAnsi="宋体" w:eastAsia="宋体" w:cs="宋体"/>
          <w:sz w:val="24"/>
          <w:szCs w:val="24"/>
        </w:rPr>
        <w:t>符合《邵阳市资江保护条例》（</w:t>
      </w:r>
      <w:r>
        <w:rPr>
          <w:rFonts w:ascii="Times New Roman" w:hAnsi="Times New Roman" w:eastAsia="Times New Roman" w:cs="Times New Roman"/>
          <w:sz w:val="24"/>
          <w:szCs w:val="24"/>
        </w:rPr>
        <w:t>2021</w:t>
      </w:r>
      <w:r>
        <w:rPr>
          <w:rFonts w:ascii="宋体" w:hAnsi="宋体" w:eastAsia="宋体" w:cs="宋体"/>
          <w:sz w:val="24"/>
          <w:szCs w:val="24"/>
        </w:rPr>
        <w:t>年第</w:t>
      </w:r>
      <w:r>
        <w:rPr>
          <w:rFonts w:ascii="Times New Roman" w:hAnsi="Times New Roman" w:eastAsia="Times New Roman" w:cs="Times New Roman"/>
          <w:sz w:val="24"/>
          <w:szCs w:val="24"/>
        </w:rPr>
        <w:t>3</w:t>
      </w:r>
      <w:r>
        <w:rPr>
          <w:rFonts w:ascii="宋体" w:hAnsi="宋体" w:eastAsia="宋体" w:cs="宋体"/>
          <w:sz w:val="24"/>
          <w:szCs w:val="24"/>
        </w:rPr>
        <w:t>号</w:t>
      </w:r>
      <w:r>
        <w:rPr>
          <w:rFonts w:ascii="宋体" w:hAnsi="宋体" w:eastAsia="宋体" w:cs="宋体"/>
          <w:spacing w:val="7"/>
          <w:sz w:val="24"/>
          <w:szCs w:val="24"/>
        </w:rPr>
        <w:t>）；</w:t>
      </w:r>
      <w:r>
        <w:rPr>
          <w:rFonts w:ascii="宋体" w:hAnsi="宋体" w:eastAsia="宋体" w:cs="宋体"/>
          <w:sz w:val="24"/>
          <w:szCs w:val="24"/>
        </w:rPr>
        <w:t>满足城镇发展规划；符合</w:t>
      </w:r>
      <w:r>
        <w:rPr>
          <w:rFonts w:ascii="宋体" w:hAnsi="宋体" w:eastAsia="宋体" w:cs="宋体"/>
          <w:spacing w:val="-1"/>
          <w:sz w:val="24"/>
          <w:szCs w:val="24"/>
        </w:rPr>
        <w:t>水资源管理要</w:t>
      </w:r>
      <w:r>
        <w:rPr>
          <w:rFonts w:ascii="宋体" w:hAnsi="宋体" w:eastAsia="宋体" w:cs="宋体"/>
          <w:spacing w:val="-2"/>
          <w:sz w:val="24"/>
          <w:szCs w:val="24"/>
        </w:rPr>
        <w:t>求；符合水功能区管理要求；对防洪及下游农灌不造成影响；不影响第三者权益。</w:t>
      </w:r>
      <w:r>
        <w:rPr>
          <w:rFonts w:ascii="宋体" w:hAnsi="宋体" w:eastAsia="宋体" w:cs="宋体"/>
          <w:spacing w:val="3"/>
          <w:sz w:val="24"/>
          <w:szCs w:val="24"/>
        </w:rPr>
        <w:t>在正常排放情况下本入河排污口对赧水水质影响较小</w:t>
      </w:r>
      <w:r>
        <w:rPr>
          <w:rFonts w:ascii="宋体" w:hAnsi="宋体" w:eastAsia="宋体" w:cs="宋体"/>
          <w:spacing w:val="2"/>
          <w:sz w:val="24"/>
          <w:szCs w:val="24"/>
        </w:rPr>
        <w:t>。因此，隆回工业污水处理</w:t>
      </w:r>
      <w:r>
        <w:rPr>
          <w:rFonts w:ascii="宋体" w:hAnsi="宋体" w:eastAsia="宋体" w:cs="宋体"/>
          <w:spacing w:val="-1"/>
          <w:sz w:val="24"/>
          <w:szCs w:val="24"/>
        </w:rPr>
        <w:t>厂（二期）工程入河排污口设置是可行的。</w:t>
      </w:r>
    </w:p>
    <w:p w14:paraId="4F1118E2">
      <w:pPr>
        <w:spacing w:before="169" w:line="221" w:lineRule="auto"/>
        <w:ind w:left="19"/>
        <w:outlineLvl w:val="1"/>
        <w:rPr>
          <w:rFonts w:ascii="宋体" w:hAnsi="宋体" w:eastAsia="宋体" w:cs="宋体"/>
          <w:sz w:val="28"/>
          <w:szCs w:val="28"/>
        </w:rPr>
      </w:pPr>
      <w:bookmarkStart w:id="51" w:name="bookmark48"/>
      <w:bookmarkEnd w:id="51"/>
      <w:r>
        <w:rPr>
          <w:rFonts w:ascii="Times New Roman" w:hAnsi="Times New Roman" w:eastAsia="Times New Roman" w:cs="Times New Roman"/>
          <w:b/>
          <w:bCs/>
          <w:spacing w:val="-7"/>
          <w:sz w:val="28"/>
          <w:szCs w:val="28"/>
        </w:rPr>
        <w:t>10.2</w:t>
      </w:r>
      <w:r>
        <w:rPr>
          <w:rFonts w:ascii="宋体" w:hAnsi="宋体" w:eastAsia="宋体" w:cs="宋体"/>
          <w:b/>
          <w:bCs/>
          <w:spacing w:val="-7"/>
          <w:sz w:val="28"/>
          <w:szCs w:val="28"/>
        </w:rPr>
        <w:t>建议</w:t>
      </w:r>
    </w:p>
    <w:p w14:paraId="16E8A903">
      <w:pPr>
        <w:spacing w:before="234" w:line="219" w:lineRule="auto"/>
        <w:ind w:left="56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）加强水功能区监督管理</w:t>
      </w:r>
    </w:p>
    <w:p w14:paraId="7567D5B9">
      <w:pPr>
        <w:spacing w:before="182" w:line="356" w:lineRule="auto"/>
        <w:ind w:left="27" w:right="80" w:firstLine="521"/>
        <w:rPr>
          <w:rFonts w:ascii="宋体" w:hAnsi="宋体" w:eastAsia="宋体" w:cs="宋体"/>
          <w:sz w:val="24"/>
          <w:szCs w:val="24"/>
        </w:rPr>
      </w:pPr>
      <w:r>
        <w:rPr>
          <w:rFonts w:ascii="宋体" w:hAnsi="宋体" w:eastAsia="宋体" w:cs="宋体"/>
          <w:spacing w:val="1"/>
          <w:sz w:val="24"/>
          <w:szCs w:val="24"/>
        </w:rPr>
        <w:t>对功能区水质进行水质监测是水功能区监督管理的基础工作，加强对水功能</w:t>
      </w:r>
      <w:r>
        <w:rPr>
          <w:rFonts w:ascii="宋体" w:hAnsi="宋体" w:eastAsia="宋体" w:cs="宋体"/>
          <w:spacing w:val="2"/>
          <w:sz w:val="24"/>
          <w:szCs w:val="24"/>
        </w:rPr>
        <w:t>区的水环境监测，有利于全面了解水功能的水环境状况，对于超标排污或排放污</w:t>
      </w:r>
    </w:p>
    <w:p w14:paraId="78222DD4">
      <w:pPr>
        <w:spacing w:line="356" w:lineRule="auto"/>
        <w:rPr>
          <w:rFonts w:ascii="宋体" w:hAnsi="宋体" w:eastAsia="宋体" w:cs="宋体"/>
          <w:sz w:val="24"/>
          <w:szCs w:val="24"/>
        </w:rPr>
        <w:sectPr>
          <w:headerReference r:id="rId184" w:type="default"/>
          <w:footerReference r:id="rId185" w:type="default"/>
          <w:pgSz w:w="11906" w:h="16839"/>
          <w:pgMar w:top="1132" w:right="1620" w:bottom="1259" w:left="1701" w:header="829" w:footer="1097" w:gutter="0"/>
          <w:cols w:space="720" w:num="1"/>
        </w:sectPr>
      </w:pPr>
    </w:p>
    <w:p w14:paraId="51AAF83D">
      <w:pPr>
        <w:pStyle w:val="2"/>
        <w:spacing w:line="319" w:lineRule="auto"/>
      </w:pPr>
    </w:p>
    <w:p w14:paraId="5DBE938E">
      <w:pPr>
        <w:spacing w:before="78" w:line="360" w:lineRule="auto"/>
        <w:ind w:left="10" w:firstLine="2"/>
        <w:rPr>
          <w:rFonts w:ascii="宋体" w:hAnsi="宋体" w:eastAsia="宋体" w:cs="宋体"/>
          <w:sz w:val="24"/>
          <w:szCs w:val="24"/>
        </w:rPr>
      </w:pPr>
      <w:r>
        <w:rPr>
          <w:rFonts w:ascii="宋体" w:hAnsi="宋体" w:eastAsia="宋体" w:cs="宋体"/>
          <w:spacing w:val="2"/>
          <w:sz w:val="24"/>
          <w:szCs w:val="24"/>
        </w:rPr>
        <w:t>染物量超过限排指标的情况，依照法律由地方生态环境主管部门提出整改意见并</w:t>
      </w:r>
      <w:r>
        <w:rPr>
          <w:rFonts w:ascii="宋体" w:hAnsi="宋体" w:eastAsia="宋体" w:cs="宋体"/>
          <w:spacing w:val="-1"/>
          <w:sz w:val="24"/>
          <w:szCs w:val="24"/>
        </w:rPr>
        <w:t>监督执行，确保水功能区的水质达标。</w:t>
      </w:r>
    </w:p>
    <w:p w14:paraId="721B16AE">
      <w:pPr>
        <w:spacing w:line="219" w:lineRule="auto"/>
        <w:ind w:left="50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）加强与隆回县华茂污水处理厂的联防</w:t>
      </w:r>
    </w:p>
    <w:p w14:paraId="01B8FE92">
      <w:pPr>
        <w:spacing w:before="182" w:line="360" w:lineRule="auto"/>
        <w:ind w:left="9" w:right="58" w:firstLine="540"/>
        <w:rPr>
          <w:rFonts w:ascii="宋体" w:hAnsi="宋体" w:eastAsia="宋体" w:cs="宋体"/>
          <w:sz w:val="24"/>
          <w:szCs w:val="24"/>
        </w:rPr>
      </w:pPr>
      <w:r>
        <w:rPr>
          <w:rFonts w:ascii="宋体" w:hAnsi="宋体" w:eastAsia="宋体" w:cs="宋体"/>
          <w:spacing w:val="-1"/>
          <w:sz w:val="24"/>
          <w:szCs w:val="24"/>
        </w:rPr>
        <w:t>本项目与隆回县华茂污水处理厂共用一个入河排污口，应在日常水质监测，排污口管理等方面加强联防</w:t>
      </w:r>
    </w:p>
    <w:p w14:paraId="3A174120">
      <w:pPr>
        <w:spacing w:line="220" w:lineRule="auto"/>
        <w:ind w:left="501"/>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）应急处理措施</w:t>
      </w:r>
    </w:p>
    <w:p w14:paraId="542BF423">
      <w:pPr>
        <w:spacing w:before="181" w:line="219" w:lineRule="auto"/>
        <w:ind w:left="492"/>
        <w:rPr>
          <w:rFonts w:ascii="宋体" w:hAnsi="宋体" w:eastAsia="宋体" w:cs="宋体"/>
          <w:sz w:val="24"/>
          <w:szCs w:val="24"/>
        </w:rPr>
      </w:pPr>
      <w:r>
        <w:rPr>
          <w:rFonts w:ascii="宋体" w:hAnsi="宋体" w:eastAsia="宋体" w:cs="宋体"/>
          <w:spacing w:val="-1"/>
          <w:sz w:val="24"/>
          <w:szCs w:val="24"/>
        </w:rPr>
        <w:t>为预防事故排放的发生本项目应建立以下应急措施：</w:t>
      </w:r>
    </w:p>
    <w:p w14:paraId="09BA5149">
      <w:pPr>
        <w:spacing w:before="184" w:line="217" w:lineRule="auto"/>
        <w:ind w:left="488"/>
        <w:rPr>
          <w:rFonts w:ascii="宋体" w:hAnsi="宋体" w:eastAsia="宋体" w:cs="宋体"/>
          <w:sz w:val="24"/>
          <w:szCs w:val="24"/>
        </w:rPr>
      </w:pPr>
      <w:r>
        <w:rPr>
          <w:rFonts w:ascii="宋体" w:hAnsi="宋体" w:eastAsia="宋体" w:cs="宋体"/>
          <w:spacing w:val="-1"/>
          <w:sz w:val="24"/>
          <w:szCs w:val="24"/>
        </w:rPr>
        <w:t>①设备和工艺保障措施</w:t>
      </w:r>
    </w:p>
    <w:p w14:paraId="51B2AFEE">
      <w:pPr>
        <w:spacing w:before="186" w:line="360" w:lineRule="auto"/>
        <w:ind w:left="11" w:firstLine="480"/>
        <w:rPr>
          <w:rFonts w:ascii="宋体" w:hAnsi="宋体" w:eastAsia="宋体" w:cs="宋体"/>
          <w:sz w:val="24"/>
          <w:szCs w:val="24"/>
        </w:rPr>
      </w:pPr>
      <w:r>
        <w:rPr>
          <w:rFonts w:ascii="宋体" w:hAnsi="宋体" w:eastAsia="宋体" w:cs="宋体"/>
          <w:spacing w:val="3"/>
          <w:sz w:val="24"/>
          <w:szCs w:val="24"/>
        </w:rPr>
        <w:t>主要设备均有备用设备，避免出现故障和进行检修时造</w:t>
      </w:r>
      <w:r>
        <w:rPr>
          <w:rFonts w:ascii="宋体" w:hAnsi="宋体" w:eastAsia="宋体" w:cs="宋体"/>
          <w:spacing w:val="2"/>
          <w:sz w:val="24"/>
          <w:szCs w:val="24"/>
        </w:rPr>
        <w:t>成的非正常排放，杜</w:t>
      </w:r>
      <w:r>
        <w:rPr>
          <w:rFonts w:ascii="宋体" w:hAnsi="宋体" w:eastAsia="宋体" w:cs="宋体"/>
          <w:spacing w:val="-1"/>
          <w:sz w:val="24"/>
          <w:szCs w:val="24"/>
        </w:rPr>
        <w:t>绝因设备故障造成污水未处理直接排放的发生。</w:t>
      </w:r>
    </w:p>
    <w:p w14:paraId="3405C812">
      <w:pPr>
        <w:spacing w:line="217" w:lineRule="auto"/>
        <w:ind w:left="488"/>
        <w:rPr>
          <w:rFonts w:ascii="宋体" w:hAnsi="宋体" w:eastAsia="宋体" w:cs="宋体"/>
          <w:sz w:val="24"/>
          <w:szCs w:val="24"/>
        </w:rPr>
      </w:pPr>
      <w:r>
        <w:rPr>
          <w:rFonts w:ascii="宋体" w:hAnsi="宋体" w:eastAsia="宋体" w:cs="宋体"/>
          <w:spacing w:val="-1"/>
          <w:sz w:val="24"/>
          <w:szCs w:val="24"/>
        </w:rPr>
        <w:t>②建立运行应急组织机构</w:t>
      </w:r>
    </w:p>
    <w:p w14:paraId="712970EE">
      <w:pPr>
        <w:spacing w:before="185" w:line="362" w:lineRule="auto"/>
        <w:ind w:left="17" w:firstLine="472"/>
        <w:rPr>
          <w:rFonts w:ascii="宋体" w:hAnsi="宋体" w:eastAsia="宋体" w:cs="宋体"/>
          <w:sz w:val="24"/>
          <w:szCs w:val="24"/>
        </w:rPr>
      </w:pPr>
      <w:r>
        <w:rPr>
          <w:rFonts w:ascii="宋体" w:hAnsi="宋体" w:eastAsia="宋体" w:cs="宋体"/>
          <w:spacing w:val="3"/>
          <w:sz w:val="24"/>
          <w:szCs w:val="24"/>
        </w:rPr>
        <w:t>针对废水风险事故排放，建立针对风险事故机构来组织应对</w:t>
      </w:r>
      <w:r>
        <w:rPr>
          <w:rFonts w:ascii="宋体" w:hAnsi="宋体" w:eastAsia="宋体" w:cs="宋体"/>
          <w:spacing w:val="2"/>
          <w:sz w:val="24"/>
          <w:szCs w:val="24"/>
        </w:rPr>
        <w:t>险情，本项目运</w:t>
      </w:r>
      <w:bookmarkStart w:id="52" w:name="_GoBack"/>
      <w:bookmarkEnd w:id="52"/>
      <w:r>
        <w:rPr>
          <w:rFonts w:ascii="宋体" w:hAnsi="宋体" w:eastAsia="宋体" w:cs="宋体"/>
          <w:spacing w:val="-2"/>
          <w:sz w:val="24"/>
          <w:szCs w:val="24"/>
        </w:rPr>
        <w:t>营期建立应急组织机。</w:t>
      </w:r>
    </w:p>
    <w:p w14:paraId="4A4D3C9F">
      <w:pPr>
        <w:spacing w:line="362" w:lineRule="auto"/>
        <w:rPr>
          <w:rFonts w:ascii="宋体" w:hAnsi="宋体" w:eastAsia="宋体" w:cs="宋体"/>
          <w:sz w:val="24"/>
          <w:szCs w:val="24"/>
        </w:rPr>
      </w:pPr>
    </w:p>
    <w:p w14:paraId="21FB1E4A">
      <w:pPr>
        <w:spacing w:line="362" w:lineRule="auto"/>
        <w:rPr>
          <w:rFonts w:ascii="宋体" w:hAnsi="宋体" w:eastAsia="宋体" w:cs="宋体"/>
          <w:sz w:val="24"/>
          <w:szCs w:val="24"/>
        </w:rPr>
      </w:pPr>
    </w:p>
    <w:p w14:paraId="49D59020">
      <w:pPr>
        <w:spacing w:line="362" w:lineRule="auto"/>
        <w:rPr>
          <w:rFonts w:ascii="宋体" w:hAnsi="宋体" w:eastAsia="宋体" w:cs="宋体"/>
          <w:sz w:val="24"/>
          <w:szCs w:val="24"/>
        </w:rPr>
      </w:pPr>
    </w:p>
    <w:p w14:paraId="2CA62FA3">
      <w:pPr>
        <w:spacing w:line="362" w:lineRule="auto"/>
        <w:rPr>
          <w:rFonts w:ascii="宋体" w:hAnsi="宋体" w:eastAsia="宋体" w:cs="宋体"/>
          <w:sz w:val="24"/>
          <w:szCs w:val="24"/>
        </w:rPr>
      </w:pPr>
    </w:p>
    <w:p w14:paraId="54671DFE">
      <w:pPr>
        <w:spacing w:line="362" w:lineRule="auto"/>
        <w:rPr>
          <w:rFonts w:ascii="宋体" w:hAnsi="宋体" w:eastAsia="宋体" w:cs="宋体"/>
          <w:sz w:val="24"/>
          <w:szCs w:val="24"/>
        </w:rPr>
      </w:pPr>
    </w:p>
    <w:p w14:paraId="2177C7B9">
      <w:pPr>
        <w:pStyle w:val="2"/>
        <w:spacing w:line="268" w:lineRule="auto"/>
      </w:pPr>
    </w:p>
    <w:p w14:paraId="091B5066">
      <w:pPr>
        <w:pStyle w:val="2"/>
        <w:spacing w:line="269" w:lineRule="auto"/>
      </w:pPr>
    </w:p>
    <w:sectPr>
      <w:headerReference r:id="rId186" w:type="default"/>
      <w:footerReference r:id="rId187" w:type="default"/>
      <w:pgSz w:w="11906" w:h="16838"/>
      <w:pgMar w:top="1443" w:right="400" w:bottom="1416" w:left="40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4EE53">
    <w:pPr>
      <w:spacing w:line="176" w:lineRule="auto"/>
      <w:ind w:left="4228"/>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17941">
    <w:pPr>
      <w:spacing w:line="176" w:lineRule="auto"/>
      <w:ind w:left="4183"/>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2F2C4">
    <w:pPr>
      <w:spacing w:line="176" w:lineRule="auto"/>
      <w:ind w:left="413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100</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20D73">
    <w:pPr>
      <w:spacing w:line="176" w:lineRule="auto"/>
      <w:ind w:left="413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101</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9A23F">
    <w:pPr>
      <w:spacing w:line="176" w:lineRule="auto"/>
      <w:ind w:left="413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102</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6C663">
    <w:pPr>
      <w:spacing w:line="176" w:lineRule="auto"/>
      <w:ind w:left="413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103</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0AE84">
    <w:pPr>
      <w:spacing w:line="176" w:lineRule="auto"/>
      <w:ind w:left="413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104</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AD26A">
    <w:pPr>
      <w:spacing w:line="176" w:lineRule="auto"/>
      <w:ind w:left="413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105</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AF256">
    <w:pPr>
      <w:spacing w:line="176" w:lineRule="auto"/>
      <w:ind w:left="4139"/>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106</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1A4F5">
    <w:pPr>
      <w:spacing w:line="176" w:lineRule="auto"/>
      <w:ind w:left="413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107</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46CA5">
    <w:pPr>
      <w:spacing w:line="176" w:lineRule="auto"/>
      <w:ind w:left="4137"/>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108</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4D888">
    <w:pPr>
      <w:spacing w:line="176" w:lineRule="auto"/>
      <w:ind w:left="4139"/>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301CD">
    <w:pPr>
      <w:spacing w:line="176" w:lineRule="auto"/>
      <w:ind w:left="4188"/>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11</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2F950">
    <w:pPr>
      <w:spacing w:line="176" w:lineRule="auto"/>
      <w:ind w:left="4140"/>
      <w:rPr>
        <w:rFonts w:ascii="Times New Roman" w:hAnsi="Times New Roman" w:eastAsia="Times New Roman" w:cs="Times New Roman"/>
        <w:sz w:val="18"/>
        <w:szCs w:val="18"/>
      </w:rPr>
    </w:pPr>
    <w:r>
      <w:rPr>
        <w:rFonts w:ascii="Times New Roman" w:hAnsi="Times New Roman" w:eastAsia="Times New Roman" w:cs="Times New Roman"/>
        <w:spacing w:val="-9"/>
        <w:sz w:val="18"/>
        <w:szCs w:val="18"/>
      </w:rPr>
      <w:t>110</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4E032">
    <w:pPr>
      <w:pStyle w:val="2"/>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0F16A">
    <w:pPr>
      <w:spacing w:line="176" w:lineRule="auto"/>
      <w:ind w:left="4183"/>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CB433">
    <w:pPr>
      <w:spacing w:line="176" w:lineRule="auto"/>
      <w:ind w:left="4296"/>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90C93">
    <w:pPr>
      <w:spacing w:line="176" w:lineRule="auto"/>
      <w:ind w:left="4296"/>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A40CD">
    <w:pPr>
      <w:spacing w:line="176" w:lineRule="auto"/>
      <w:ind w:left="4296"/>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7474A">
    <w:pPr>
      <w:spacing w:line="176" w:lineRule="auto"/>
      <w:ind w:left="4214"/>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96599">
    <w:pPr>
      <w:spacing w:line="176" w:lineRule="auto"/>
      <w:ind w:left="4214"/>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C9698">
    <w:pPr>
      <w:spacing w:line="176" w:lineRule="auto"/>
      <w:ind w:left="4305"/>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14342">
    <w:pPr>
      <w:spacing w:line="176" w:lineRule="auto"/>
      <w:ind w:left="4305"/>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82E4E">
    <w:pPr>
      <w:spacing w:line="176" w:lineRule="auto"/>
      <w:ind w:left="4211"/>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19C2F">
    <w:pPr>
      <w:spacing w:line="176" w:lineRule="auto"/>
      <w:ind w:left="428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59C1C">
    <w:pPr>
      <w:spacing w:line="176" w:lineRule="auto"/>
      <w:ind w:left="4367"/>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E4AD8">
    <w:pPr>
      <w:spacing w:line="176" w:lineRule="auto"/>
      <w:ind w:left="418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A8E1F">
    <w:pPr>
      <w:spacing w:line="176" w:lineRule="auto"/>
      <w:ind w:left="416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28FF0">
    <w:pPr>
      <w:spacing w:line="176" w:lineRule="auto"/>
      <w:ind w:left="416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EEBCF">
    <w:pPr>
      <w:spacing w:line="176" w:lineRule="auto"/>
      <w:ind w:left="416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D76D6">
    <w:pPr>
      <w:spacing w:line="176" w:lineRule="auto"/>
      <w:ind w:left="419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632B7">
    <w:pPr>
      <w:spacing w:line="176" w:lineRule="auto"/>
      <w:ind w:left="419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12548">
    <w:pPr>
      <w:spacing w:line="176" w:lineRule="auto"/>
      <w:ind w:left="419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BD4EC">
    <w:pPr>
      <w:spacing w:line="176" w:lineRule="auto"/>
      <w:ind w:left="419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E237F">
    <w:pPr>
      <w:spacing w:line="176" w:lineRule="auto"/>
      <w:ind w:left="4215"/>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8960C">
    <w:pPr>
      <w:spacing w:line="176" w:lineRule="auto"/>
      <w:ind w:left="419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1DF8F">
    <w:pPr>
      <w:spacing w:line="176" w:lineRule="auto"/>
      <w:ind w:left="429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295BB">
    <w:pPr>
      <w:spacing w:line="176" w:lineRule="auto"/>
      <w:ind w:left="429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5975B">
    <w:pPr>
      <w:spacing w:line="176" w:lineRule="auto"/>
      <w:ind w:left="429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9E639">
    <w:pPr>
      <w:spacing w:line="176" w:lineRule="auto"/>
      <w:ind w:left="429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0712D">
    <w:pPr>
      <w:spacing w:line="176" w:lineRule="auto"/>
      <w:ind w:left="429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C5BD6">
    <w:pPr>
      <w:spacing w:line="176" w:lineRule="auto"/>
      <w:ind w:left="417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D74CC">
    <w:pPr>
      <w:spacing w:line="176" w:lineRule="auto"/>
      <w:ind w:left="429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702CF">
    <w:pPr>
      <w:spacing w:line="176" w:lineRule="auto"/>
      <w:ind w:left="704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97AF0">
    <w:pPr>
      <w:spacing w:line="176" w:lineRule="auto"/>
      <w:ind w:left="704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6C2F4">
    <w:pPr>
      <w:spacing w:line="176" w:lineRule="auto"/>
      <w:ind w:left="4210"/>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A58F8">
    <w:pPr>
      <w:spacing w:line="176" w:lineRule="auto"/>
      <w:ind w:left="70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18E7E">
    <w:pPr>
      <w:spacing w:line="176" w:lineRule="auto"/>
      <w:ind w:left="70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4F7D9">
    <w:pPr>
      <w:spacing w:line="176" w:lineRule="auto"/>
      <w:ind w:left="70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4A8C0">
    <w:pPr>
      <w:spacing w:line="176" w:lineRule="auto"/>
      <w:ind w:left="70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EFC2B">
    <w:pPr>
      <w:spacing w:line="176" w:lineRule="auto"/>
      <w:ind w:left="70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18C32">
    <w:pPr>
      <w:spacing w:line="176" w:lineRule="auto"/>
      <w:ind w:left="70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CB0B2">
    <w:pPr>
      <w:spacing w:line="176" w:lineRule="auto"/>
      <w:ind w:left="70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B5D83">
    <w:pPr>
      <w:spacing w:line="176" w:lineRule="auto"/>
      <w:ind w:left="70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313B2">
    <w:pPr>
      <w:spacing w:line="176" w:lineRule="auto"/>
      <w:ind w:left="70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16C32">
    <w:pPr>
      <w:spacing w:line="176" w:lineRule="auto"/>
      <w:ind w:left="7038"/>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112B9">
    <w:pPr>
      <w:spacing w:line="173" w:lineRule="auto"/>
      <w:ind w:left="4216"/>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8E8FE">
    <w:pPr>
      <w:spacing w:line="176" w:lineRule="auto"/>
      <w:ind w:left="704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77B2C">
    <w:pPr>
      <w:spacing w:line="176" w:lineRule="auto"/>
      <w:ind w:left="429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49EB4">
    <w:pPr>
      <w:spacing w:line="176" w:lineRule="auto"/>
      <w:ind w:left="4293"/>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0674B">
    <w:pPr>
      <w:spacing w:line="176" w:lineRule="auto"/>
      <w:ind w:left="692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AB48B">
    <w:pPr>
      <w:spacing w:line="176" w:lineRule="auto"/>
      <w:ind w:left="417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4E904">
    <w:pPr>
      <w:spacing w:line="173" w:lineRule="auto"/>
      <w:ind w:left="704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43B51">
    <w:pPr>
      <w:spacing w:line="176" w:lineRule="auto"/>
      <w:ind w:left="704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A6978">
    <w:pPr>
      <w:spacing w:line="173" w:lineRule="auto"/>
      <w:ind w:left="417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57</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B6B94">
    <w:pPr>
      <w:spacing w:line="176" w:lineRule="auto"/>
      <w:ind w:left="695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83E1F">
    <w:pPr>
      <w:spacing w:line="176" w:lineRule="auto"/>
      <w:ind w:left="695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A67DE">
    <w:pPr>
      <w:spacing w:line="176" w:lineRule="auto"/>
      <w:ind w:left="4215"/>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08376">
    <w:pPr>
      <w:spacing w:line="176" w:lineRule="auto"/>
      <w:ind w:left="695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75988">
    <w:pPr>
      <w:spacing w:line="176" w:lineRule="auto"/>
      <w:ind w:left="695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61</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A8886">
    <w:pPr>
      <w:spacing w:line="176" w:lineRule="auto"/>
      <w:ind w:left="429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62</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00CA3">
    <w:pPr>
      <w:spacing w:line="176" w:lineRule="auto"/>
      <w:ind w:left="429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63</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C2A96">
    <w:pPr>
      <w:spacing w:line="176" w:lineRule="auto"/>
      <w:ind w:left="428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64</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64CD3">
    <w:pPr>
      <w:spacing w:line="176" w:lineRule="auto"/>
      <w:ind w:left="692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65</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6A4E1">
    <w:pPr>
      <w:spacing w:line="176" w:lineRule="auto"/>
      <w:ind w:left="416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66</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48E55">
    <w:pPr>
      <w:spacing w:line="176" w:lineRule="auto"/>
      <w:ind w:left="429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67</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0A5B9">
    <w:pPr>
      <w:spacing w:line="176" w:lineRule="auto"/>
      <w:ind w:left="419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68</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74BAC">
    <w:pPr>
      <w:spacing w:line="176" w:lineRule="auto"/>
      <w:ind w:left="419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7F8F4">
    <w:pPr>
      <w:spacing w:line="173" w:lineRule="auto"/>
      <w:ind w:left="4215"/>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22600">
    <w:pPr>
      <w:spacing w:line="176" w:lineRule="auto"/>
      <w:ind w:left="416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70</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A69FC">
    <w:pPr>
      <w:spacing w:line="176" w:lineRule="auto"/>
      <w:ind w:left="429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71</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579CC">
    <w:pPr>
      <w:spacing w:line="176" w:lineRule="auto"/>
      <w:ind w:left="429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72</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A38E5">
    <w:pPr>
      <w:spacing w:line="176" w:lineRule="auto"/>
      <w:ind w:left="4168"/>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73</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693F6">
    <w:pPr>
      <w:spacing w:line="176" w:lineRule="auto"/>
      <w:ind w:left="4291"/>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74</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77E28">
    <w:pPr>
      <w:spacing w:line="173" w:lineRule="auto"/>
      <w:ind w:left="70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8B631">
    <w:pPr>
      <w:spacing w:line="176" w:lineRule="auto"/>
      <w:ind w:left="70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76</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B4CA3">
    <w:pPr>
      <w:spacing w:line="173" w:lineRule="auto"/>
      <w:ind w:left="693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77</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CA3BD">
    <w:pPr>
      <w:spacing w:line="176" w:lineRule="auto"/>
      <w:ind w:left="7042"/>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78</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B873F">
    <w:pPr>
      <w:spacing w:line="176" w:lineRule="auto"/>
      <w:ind w:left="693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62440">
    <w:pPr>
      <w:spacing w:line="176" w:lineRule="auto"/>
      <w:ind w:left="4218"/>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D372A">
    <w:pPr>
      <w:spacing w:line="176" w:lineRule="auto"/>
      <w:ind w:left="704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80</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1B772">
    <w:pPr>
      <w:spacing w:line="176" w:lineRule="auto"/>
      <w:ind w:left="6938"/>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81</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46A97">
    <w:pPr>
      <w:spacing w:line="176" w:lineRule="auto"/>
      <w:ind w:left="7046"/>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82</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E1DF6">
    <w:pPr>
      <w:spacing w:line="176" w:lineRule="auto"/>
      <w:ind w:left="417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83</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87E34">
    <w:pPr>
      <w:spacing w:line="176" w:lineRule="auto"/>
      <w:ind w:left="417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84</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66A0D">
    <w:pPr>
      <w:spacing w:line="176" w:lineRule="auto"/>
      <w:ind w:left="417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85</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27D49">
    <w:pPr>
      <w:spacing w:line="176" w:lineRule="auto"/>
      <w:ind w:left="417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86</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E13D0">
    <w:pPr>
      <w:spacing w:line="176" w:lineRule="auto"/>
      <w:ind w:left="417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87</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C0A0F">
    <w:pPr>
      <w:spacing w:line="176" w:lineRule="auto"/>
      <w:ind w:left="417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88</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E28B8">
    <w:pPr>
      <w:spacing w:line="176" w:lineRule="auto"/>
      <w:ind w:left="4173"/>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89</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F127D">
    <w:pPr>
      <w:spacing w:line="176" w:lineRule="auto"/>
      <w:ind w:left="4214"/>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89445">
    <w:pPr>
      <w:spacing w:line="176" w:lineRule="auto"/>
      <w:ind w:left="416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90</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D5687">
    <w:pPr>
      <w:spacing w:line="176" w:lineRule="auto"/>
      <w:ind w:left="416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91</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3B05A">
    <w:pPr>
      <w:spacing w:line="176" w:lineRule="auto"/>
      <w:ind w:left="416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92</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85214">
    <w:pPr>
      <w:spacing w:line="176" w:lineRule="auto"/>
      <w:ind w:left="416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93</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8AB70">
    <w:pPr>
      <w:spacing w:line="176" w:lineRule="auto"/>
      <w:ind w:left="416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94</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DC32B">
    <w:pPr>
      <w:spacing w:line="176" w:lineRule="auto"/>
      <w:ind w:left="428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95</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F19EB">
    <w:pPr>
      <w:spacing w:line="176" w:lineRule="auto"/>
      <w:ind w:left="428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96</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D0A7B">
    <w:pPr>
      <w:spacing w:line="176" w:lineRule="auto"/>
      <w:ind w:left="416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97</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5620D">
    <w:pPr>
      <w:spacing w:line="176" w:lineRule="auto"/>
      <w:ind w:left="416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98</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387E9">
    <w:pPr>
      <w:spacing w:line="176" w:lineRule="auto"/>
      <w:ind w:left="416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99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AC393">
    <w:pPr>
      <w:spacing w:before="48" w:line="218" w:lineRule="auto"/>
      <w:ind w:right="4"/>
      <w:jc w:val="right"/>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2CCD70EF">
    <w:pPr>
      <w:spacing w:before="13" w:line="18" w:lineRule="exact"/>
    </w:pPr>
    <w:r>
      <w:rPr>
        <w:position w:val="-1"/>
      </w:rPr>
      <w:pict>
        <v:shape id="_x0000_s2049" o:spid="_x0000_s2049" style="height:1.45pt;width:425.25pt;" fillcolor="#000000" filled="t" stroked="f" coordsize="8505,29" path="m0,0l8504,0,8504,28,0,28,0,0xe">
          <v:path/>
          <v:fill on="t" focussize="0,0"/>
          <v:stroke on="f"/>
          <v:imagedata o:title=""/>
          <o:lock v:ext="edit"/>
          <w10:wrap type="none"/>
          <w10:anchorlock/>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BD768">
    <w:pPr>
      <w:spacing w:before="48" w:line="218" w:lineRule="auto"/>
      <w:ind w:left="2253"/>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6C8882B4">
    <w:pPr>
      <w:spacing w:before="13" w:line="18" w:lineRule="exact"/>
      <w:ind w:firstLine="31"/>
    </w:pPr>
    <w:r>
      <w:rPr>
        <w:position w:val="-1"/>
      </w:rPr>
      <w:pict>
        <v:shape id="_x0000_s2059" o:spid="_x0000_s2059" style="height:1.45pt;width:425.25pt;" fillcolor="#000000" filled="t" stroked="f" coordsize="8505,29" path="m0,0l8505,0,8505,28,0,28,0,0xe">
          <v:path/>
          <v:fill on="t" focussize="0,0"/>
          <v:stroke on="f"/>
          <v:imagedata o:title=""/>
          <o:lock v:ext="edit"/>
          <w10:wrap type="none"/>
          <w10:anchorlock/>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E45E9">
    <w:pPr>
      <w:spacing w:before="48" w:line="218" w:lineRule="auto"/>
      <w:ind w:right="28"/>
      <w:jc w:val="right"/>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5EC7C5EA">
    <w:pPr>
      <w:spacing w:before="13" w:line="18" w:lineRule="exact"/>
      <w:ind w:firstLine="31"/>
    </w:pPr>
    <w:r>
      <w:rPr>
        <w:position w:val="-1"/>
      </w:rPr>
      <w:pict>
        <v:shape id="_x0000_s2060" o:spid="_x0000_s2060" style="height:1.45pt;width:425.25pt;" fillcolor="#000000" filled="t" stroked="f" coordsize="8505,29" path="m0,0l8505,0,8505,28,0,28,0,0xe">
          <v:path/>
          <v:fill on="t" focussize="0,0"/>
          <v:stroke on="f"/>
          <v:imagedata o:title=""/>
          <o:lock v:ext="edit"/>
          <w10:wrap type="none"/>
          <w10:anchorlock/>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EF4D2">
    <w:pPr>
      <w:spacing w:before="48" w:line="218" w:lineRule="auto"/>
      <w:ind w:right="1"/>
      <w:jc w:val="right"/>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0F80F6F4">
    <w:pPr>
      <w:spacing w:before="13" w:line="18" w:lineRule="exact"/>
      <w:ind w:firstLine="122"/>
    </w:pPr>
    <w:r>
      <w:rPr>
        <w:position w:val="-1"/>
      </w:rPr>
      <w:pict>
        <v:shape id="_x0000_s2061" o:spid="_x0000_s2061" style="height:1.45pt;width:425.25pt;" fillcolor="#000000" filled="t" stroked="f" coordsize="8505,29" path="m0,0l8505,0,8505,28,0,28,0,0xe">
          <v:path/>
          <v:fill on="t" focussize="0,0"/>
          <v:stroke on="f"/>
          <v:imagedata o:title=""/>
          <o:lock v:ext="edit"/>
          <w10:wrap type="none"/>
          <w10:anchorlock/>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98438">
    <w:pPr>
      <w:spacing w:before="48" w:line="218" w:lineRule="auto"/>
      <w:ind w:left="2344"/>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36C413DC">
    <w:pPr>
      <w:spacing w:before="13" w:line="18" w:lineRule="exact"/>
      <w:ind w:firstLine="122"/>
    </w:pPr>
    <w:r>
      <w:rPr>
        <w:position w:val="-1"/>
      </w:rPr>
      <w:pict>
        <v:shape id="_x0000_s2062" o:spid="_x0000_s2062" style="height:1.45pt;width:425.25pt;" fillcolor="#000000" filled="t" stroked="f" coordsize="8505,29" path="m0,0l8505,0,8505,28,0,28,0,0xe">
          <v:path/>
          <v:fill on="t" focussize="0,0"/>
          <v:stroke on="f"/>
          <v:imagedata o:title=""/>
          <o:lock v:ext="edit"/>
          <w10:wrap type="none"/>
          <w10:anchorlock/>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BC0E3">
    <w:pPr>
      <w:spacing w:before="48" w:line="218" w:lineRule="auto"/>
      <w:ind w:left="2344"/>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168DC831">
    <w:pPr>
      <w:spacing w:before="13" w:line="18" w:lineRule="exact"/>
      <w:ind w:firstLine="122"/>
    </w:pPr>
    <w:r>
      <w:rPr>
        <w:position w:val="-1"/>
      </w:rPr>
      <w:pict>
        <v:shape id="_x0000_s2063" o:spid="_x0000_s2063" style="height:1.45pt;width:425.25pt;" fillcolor="#000000" filled="t" stroked="f" coordsize="8505,29" path="m0,0l8505,0,8505,28,0,28,0,0xe">
          <v:path/>
          <v:fill on="t" focussize="0,0"/>
          <v:stroke on="f"/>
          <v:imagedata o:title=""/>
          <o:lock v:ext="edit"/>
          <w10:wrap type="none"/>
          <w10:anchorlock/>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42CF3">
    <w:pPr>
      <w:spacing w:before="48" w:line="218" w:lineRule="auto"/>
      <w:ind w:left="2423"/>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5390A985">
    <w:pPr>
      <w:spacing w:before="13" w:line="18" w:lineRule="exact"/>
      <w:ind w:firstLine="201"/>
    </w:pPr>
    <w:r>
      <w:rPr>
        <w:position w:val="-1"/>
      </w:rPr>
      <w:pict>
        <v:shape id="_x0000_s2064" o:spid="_x0000_s2064" style="height:1.45pt;width:425.25pt;" fillcolor="#000000" filled="t" stroked="f" coordsize="8505,29" path="m0,0l8505,0,8505,28,0,28,0,0xe">
          <v:path/>
          <v:fill on="t" focussize="0,0"/>
          <v:stroke on="f"/>
          <v:imagedata o:title=""/>
          <o:lock v:ext="edit"/>
          <w10:wrap type="none"/>
          <w10:anchorlock/>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5CFDB">
    <w:pPr>
      <w:spacing w:before="48" w:line="218" w:lineRule="auto"/>
      <w:ind w:right="23"/>
      <w:jc w:val="right"/>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5BBF8AA0">
    <w:pPr>
      <w:spacing w:before="13" w:line="18" w:lineRule="exact"/>
      <w:ind w:firstLine="23"/>
    </w:pPr>
    <w:r>
      <w:rPr>
        <w:position w:val="-1"/>
      </w:rPr>
      <w:pict>
        <v:shape id="_x0000_s2065" o:spid="_x0000_s2065" style="height:1.45pt;width:425.25pt;" fillcolor="#000000" filled="t" stroked="f" coordsize="8505,29" path="m0,0l8505,0,8505,28,0,28,0,0xe">
          <v:path/>
          <v:fill on="t" focussize="0,0"/>
          <v:stroke on="f"/>
          <v:imagedata o:title=""/>
          <o:lock v:ext="edit"/>
          <w10:wrap type="none"/>
          <w10:anchorlock/>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CD24D">
    <w:pPr>
      <w:spacing w:before="48" w:line="218" w:lineRule="auto"/>
      <w:ind w:left="2222"/>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6A314509">
    <w:pPr>
      <w:spacing w:before="13" w:line="18" w:lineRule="exact"/>
    </w:pPr>
    <w:r>
      <w:rPr>
        <w:position w:val="-1"/>
      </w:rPr>
      <w:pict>
        <v:shape id="_x0000_s2066" o:spid="_x0000_s2066" style="height:1.45pt;width:425.25pt;" fillcolor="#000000" filled="t" stroked="f" coordsize="8505,29" path="m0,0l8505,0,8505,28,0,28,0,0xe">
          <v:path/>
          <v:fill on="t" focussize="0,0"/>
          <v:stroke on="f"/>
          <v:imagedata o:title=""/>
          <o:lock v:ext="edit"/>
          <w10:wrap type="none"/>
          <w10:anchorlock/>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221D86">
    <w:pPr>
      <w:spacing w:before="48" w:line="218" w:lineRule="auto"/>
      <w:ind w:left="2222"/>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5D5926A0">
    <w:pPr>
      <w:spacing w:before="13" w:line="18" w:lineRule="exact"/>
    </w:pPr>
    <w:r>
      <w:rPr>
        <w:position w:val="-1"/>
      </w:rPr>
      <w:pict>
        <v:shape id="_x0000_s2067" o:spid="_x0000_s2067" style="height:1.45pt;width:425.25pt;" fillcolor="#000000" filled="t" stroked="f" coordsize="8505,29" path="m0,0l8505,0,8505,28,0,28,0,0xe">
          <v:path/>
          <v:fill on="t" focussize="0,0"/>
          <v:stroke on="f"/>
          <v:imagedata o:title=""/>
          <o:lock v:ext="edit"/>
          <w10:wrap type="none"/>
          <w10:anchorlock/>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8AD02">
    <w:pPr>
      <w:spacing w:before="48" w:line="218" w:lineRule="auto"/>
      <w:ind w:left="2222"/>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111B9AD3">
    <w:pPr>
      <w:spacing w:before="13" w:line="18" w:lineRule="exact"/>
    </w:pPr>
    <w:r>
      <w:rPr>
        <w:position w:val="-1"/>
      </w:rPr>
      <w:pict>
        <v:shape id="_x0000_s2068" o:spid="_x0000_s2068" style="height:1.45pt;width:425.25pt;" fillcolor="#000000" filled="t" stroked="f" coordsize="8505,29" path="m0,0l8505,0,8505,28,0,28,0,0xe">
          <v:path/>
          <v:fill on="t" focussize="0,0"/>
          <v:stroke on="f"/>
          <v:imagedata o:title=""/>
          <o:lock v:ext="edit"/>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0985F">
    <w:pPr>
      <w:spacing w:before="48" w:line="218" w:lineRule="auto"/>
      <w:ind w:right="2"/>
      <w:jc w:val="right"/>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57869C0A">
    <w:pPr>
      <w:spacing w:before="13" w:line="18" w:lineRule="exact"/>
    </w:pPr>
    <w:r>
      <w:rPr>
        <w:position w:val="-1"/>
      </w:rPr>
      <w:pict>
        <v:shape id="_x0000_s2050" o:spid="_x0000_s2050" style="height:1.45pt;width:425.25pt;" fillcolor="#000000" filled="t" stroked="f" coordsize="8505,29" path="m0,0l8504,0,8504,28,0,28,0,0xe">
          <v:path/>
          <v:fill on="t" focussize="0,0"/>
          <v:stroke on="f"/>
          <v:imagedata o:title=""/>
          <o:lock v:ext="edit"/>
          <w10:wrap type="none"/>
          <w10:anchorlock/>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29476">
    <w:pPr>
      <w:spacing w:before="48" w:line="218" w:lineRule="auto"/>
      <w:ind w:left="2251"/>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4CBD4209">
    <w:pPr>
      <w:spacing w:before="13" w:line="18" w:lineRule="exact"/>
      <w:ind w:firstLine="29"/>
    </w:pPr>
    <w:r>
      <w:rPr>
        <w:position w:val="-1"/>
      </w:rPr>
      <w:pict>
        <v:shape id="_x0000_s2069" o:spid="_x0000_s2069" style="height:1.45pt;width:425.25pt;" fillcolor="#000000" filled="t" stroked="f" coordsize="8505,29" path="m0,0l8505,0,8505,28,0,28,0,0xe">
          <v:path/>
          <v:fill on="t" focussize="0,0"/>
          <v:stroke on="f"/>
          <v:imagedata o:title=""/>
          <o:lock v:ext="edit"/>
          <w10:wrap type="none"/>
          <w10:anchorlock/>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AAD22">
    <w:pPr>
      <w:spacing w:before="48" w:line="218" w:lineRule="auto"/>
      <w:ind w:right="30"/>
      <w:jc w:val="right"/>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30614CAE">
    <w:pPr>
      <w:spacing w:before="13" w:line="18" w:lineRule="exact"/>
      <w:ind w:firstLine="29"/>
    </w:pPr>
    <w:r>
      <w:rPr>
        <w:position w:val="-1"/>
      </w:rPr>
      <w:pict>
        <v:shape id="_x0000_s2070" o:spid="_x0000_s2070" style="height:1.45pt;width:425.25pt;" fillcolor="#000000" filled="t" stroked="f" coordsize="8505,29" path="m0,0l8505,0,8505,28,0,28,0,0xe">
          <v:path/>
          <v:fill on="t" focussize="0,0"/>
          <v:stroke on="f"/>
          <v:imagedata o:title=""/>
          <o:lock v:ext="edit"/>
          <w10:wrap type="none"/>
          <w10:anchorlock/>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E6E4F">
    <w:pPr>
      <w:spacing w:before="48" w:line="218" w:lineRule="auto"/>
      <w:ind w:left="2344"/>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72F9F1B8">
    <w:pPr>
      <w:spacing w:before="13" w:line="18" w:lineRule="exact"/>
      <w:ind w:firstLine="122"/>
    </w:pPr>
    <w:r>
      <w:rPr>
        <w:position w:val="-1"/>
      </w:rPr>
      <w:pict>
        <v:shape id="_x0000_s2071" o:spid="_x0000_s2071" style="height:1.45pt;width:425.25pt;" fillcolor="#000000" filled="t" stroked="f" coordsize="8505,29" path="m0,0l8505,0,8505,28,0,28,0,0xe">
          <v:path/>
          <v:fill on="t" focussize="0,0"/>
          <v:stroke on="f"/>
          <v:imagedata o:title=""/>
          <o:lock v:ext="edit"/>
          <w10:wrap type="none"/>
          <w10:anchorlock/>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6608E">
    <w:pPr>
      <w:spacing w:before="48" w:line="218" w:lineRule="auto"/>
      <w:ind w:left="2344"/>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725C3CDB">
    <w:pPr>
      <w:spacing w:before="13" w:line="18" w:lineRule="exact"/>
      <w:ind w:firstLine="122"/>
    </w:pPr>
    <w:r>
      <w:rPr>
        <w:position w:val="-1"/>
      </w:rPr>
      <w:pict>
        <v:shape id="_x0000_s2072" o:spid="_x0000_s2072" style="height:1.45pt;width:425.25pt;" fillcolor="#000000" filled="t" stroked="f" coordsize="8505,29" path="m0,0l8505,0,8505,28,0,28,0,0xe">
          <v:path/>
          <v:fill on="t" focussize="0,0"/>
          <v:stroke on="f"/>
          <v:imagedata o:title=""/>
          <o:lock v:ext="edit"/>
          <w10:wrap type="none"/>
          <w10:anchorlock/>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E39DA6">
    <w:pPr>
      <w:spacing w:before="48" w:line="218" w:lineRule="auto"/>
      <w:ind w:left="2224"/>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19D8ED43">
    <w:pPr>
      <w:spacing w:before="13" w:line="18" w:lineRule="exact"/>
      <w:ind w:firstLine="2"/>
    </w:pPr>
    <w:r>
      <w:rPr>
        <w:position w:val="-1"/>
      </w:rPr>
      <w:pict>
        <v:shape id="_x0000_s2073" o:spid="_x0000_s2073" style="height:1.45pt;width:425.25pt;" fillcolor="#000000" filled="t" stroked="f" coordsize="8505,29" path="m0,0l8505,0,8505,28,0,28,0,0xe">
          <v:path/>
          <v:fill on="t" focussize="0,0"/>
          <v:stroke on="f"/>
          <v:imagedata o:title=""/>
          <o:lock v:ext="edit"/>
          <w10:wrap type="none"/>
          <w10:anchorlock/>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296CE">
    <w:pPr>
      <w:spacing w:before="48" w:line="218" w:lineRule="auto"/>
      <w:ind w:left="2344"/>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19D17C93">
    <w:pPr>
      <w:spacing w:before="13" w:line="18" w:lineRule="exact"/>
      <w:ind w:firstLine="122"/>
    </w:pPr>
    <w:r>
      <w:rPr>
        <w:position w:val="-1"/>
      </w:rPr>
      <w:pict>
        <v:shape id="_x0000_s2074" o:spid="_x0000_s2074" style="height:1.45pt;width:425.25pt;" fillcolor="#000000" filled="t" stroked="f" coordsize="8505,29" path="m0,0l8505,0,8505,28,0,28,0,0xe">
          <v:path/>
          <v:fill on="t" focussize="0,0"/>
          <v:stroke on="f"/>
          <v:imagedata o:title=""/>
          <o:lock v:ext="edit"/>
          <w10:wrap type="none"/>
          <w10:anchorlock/>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3EC6F">
    <w:pPr>
      <w:spacing w:before="48" w:line="218" w:lineRule="auto"/>
      <w:ind w:left="7846"/>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78296227">
    <w:pPr>
      <w:spacing w:before="13" w:line="18" w:lineRule="exact"/>
      <w:ind w:firstLine="122"/>
    </w:pPr>
    <w:r>
      <w:rPr>
        <w:position w:val="-1"/>
      </w:rPr>
      <w:pict>
        <v:shape id="_x0000_s2075" o:spid="_x0000_s2075" style="height:1.45pt;width:700.35pt;" fillcolor="#000000" filled="t" stroked="f" coordsize="14006,29" path="m0,0l14006,0,14006,28,0,28,0,0xe">
          <v:path/>
          <v:fill on="t" focussize="0,0"/>
          <v:stroke on="f"/>
          <v:imagedata o:title=""/>
          <o:lock v:ext="edit"/>
          <w10:wrap type="none"/>
          <w10:anchorlock/>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C4934">
    <w:pPr>
      <w:spacing w:before="48" w:line="218" w:lineRule="auto"/>
      <w:ind w:left="7846"/>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2C8A8254">
    <w:pPr>
      <w:spacing w:before="13" w:line="18" w:lineRule="exact"/>
      <w:ind w:firstLine="122"/>
    </w:pPr>
    <w:r>
      <w:rPr>
        <w:position w:val="-1"/>
      </w:rPr>
      <w:pict>
        <v:shape id="_x0000_s2076" o:spid="_x0000_s2076" style="height:1.45pt;width:700.35pt;" fillcolor="#000000" filled="t" stroked="f" coordsize="14006,29" path="m0,0l14006,0,14006,28,0,28,0,0xe">
          <v:path/>
          <v:fill on="t" focussize="0,0"/>
          <v:stroke on="f"/>
          <v:imagedata o:title=""/>
          <o:lock v:ext="edit"/>
          <w10:wrap type="none"/>
          <w10:anchorlock/>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2CF46">
    <w:pPr>
      <w:spacing w:before="48" w:line="218" w:lineRule="auto"/>
      <w:ind w:left="7846"/>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2B735A6F">
    <w:pPr>
      <w:spacing w:before="13" w:line="18" w:lineRule="exact"/>
      <w:ind w:firstLine="122"/>
    </w:pPr>
    <w:r>
      <w:rPr>
        <w:position w:val="-1"/>
      </w:rPr>
      <w:pict>
        <v:shape id="_x0000_s2077" o:spid="_x0000_s2077" style="height:1.45pt;width:700.35pt;" fillcolor="#000000" filled="t" stroked="f" coordsize="14006,29" path="m0,0l14006,0,14006,28,0,28,0,0xe">
          <v:path/>
          <v:fill on="t" focussize="0,0"/>
          <v:stroke on="f"/>
          <v:imagedata o:title=""/>
          <o:lock v:ext="edit"/>
          <w10:wrap type="none"/>
          <w10:anchorlock/>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1BC58">
    <w:pPr>
      <w:spacing w:before="48" w:line="218" w:lineRule="auto"/>
      <w:ind w:left="7846"/>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338CD8C0">
    <w:pPr>
      <w:spacing w:before="13" w:line="18" w:lineRule="exact"/>
      <w:ind w:firstLine="122"/>
    </w:pPr>
    <w:r>
      <w:rPr>
        <w:position w:val="-1"/>
      </w:rPr>
      <w:pict>
        <v:shape id="_x0000_s2078" o:spid="_x0000_s2078" style="height:1.45pt;width:700.35pt;" fillcolor="#000000" filled="t" stroked="f" coordsize="14006,29" path="m0,0l14006,0,14006,28,0,28,0,0xe">
          <v:path/>
          <v:fill on="t" focussize="0,0"/>
          <v:stroke on="f"/>
          <v:imagedata o:title=""/>
          <o:lock v:ext="edit"/>
          <w10:wrap type="none"/>
          <w10:anchorlock/>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27CC9">
    <w:pPr>
      <w:spacing w:before="48" w:line="218" w:lineRule="auto"/>
      <w:ind w:left="2344"/>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09CF3BD9">
    <w:pPr>
      <w:spacing w:before="13" w:line="18" w:lineRule="exact"/>
      <w:ind w:firstLine="122"/>
    </w:pPr>
    <w:r>
      <w:rPr>
        <w:position w:val="-1"/>
      </w:rPr>
      <w:pict>
        <v:shape id="_x0000_s2052" o:spid="_x0000_s2052" style="height:1.45pt;width:425.25pt;" fillcolor="#000000" filled="t" stroked="f" coordsize="8505,29" path="m0,0l8504,0,8504,28,0,28,0,0xe">
          <v:path/>
          <v:fill on="t" focussize="0,0"/>
          <v:stroke on="f"/>
          <v:imagedata o:title=""/>
          <o:lock v:ext="edit"/>
          <w10:wrap type="none"/>
          <w10:anchorlock/>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8C718">
    <w:pPr>
      <w:spacing w:before="48" w:line="218" w:lineRule="auto"/>
      <w:ind w:left="7846"/>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164276A6">
    <w:pPr>
      <w:spacing w:before="13" w:line="18" w:lineRule="exact"/>
      <w:ind w:firstLine="122"/>
    </w:pPr>
    <w:r>
      <w:rPr>
        <w:position w:val="-1"/>
      </w:rPr>
      <w:pict>
        <v:shape id="_x0000_s2079" o:spid="_x0000_s2079" style="height:1.45pt;width:700.35pt;" fillcolor="#000000" filled="t" stroked="f" coordsize="14006,29" path="m0,0l14006,0,14006,28,0,28,0,0xe">
          <v:path/>
          <v:fill on="t" focussize="0,0"/>
          <v:stroke on="f"/>
          <v:imagedata o:title=""/>
          <o:lock v:ext="edit"/>
          <w10:wrap type="none"/>
          <w10:anchorlock/>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A3B84">
    <w:pPr>
      <w:spacing w:before="48" w:line="218" w:lineRule="auto"/>
      <w:ind w:left="2344"/>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6A4F6478">
    <w:pPr>
      <w:spacing w:before="13" w:line="18" w:lineRule="exact"/>
      <w:ind w:firstLine="122"/>
    </w:pPr>
    <w:r>
      <w:rPr>
        <w:position w:val="-1"/>
      </w:rPr>
      <w:pict>
        <v:shape id="_x0000_s2080" o:spid="_x0000_s2080" style="height:1.45pt;width:425.25pt;" fillcolor="#000000" filled="t" stroked="f" coordsize="8505,29" path="m0,0l8505,0,8505,28,0,28,0,0xe">
          <v:path/>
          <v:fill on="t" focussize="0,0"/>
          <v:stroke on="f"/>
          <v:imagedata o:title=""/>
          <o:lock v:ext="edit"/>
          <w10:wrap type="none"/>
          <w10:anchorlock/>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C69D0">
    <w:pPr>
      <w:spacing w:before="48" w:line="218" w:lineRule="auto"/>
      <w:jc w:val="right"/>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06389EA9">
    <w:pPr>
      <w:spacing w:before="13" w:line="18" w:lineRule="exact"/>
    </w:pPr>
    <w:r>
      <w:rPr>
        <w:position w:val="-1"/>
      </w:rPr>
      <w:pict>
        <v:shape id="_x0000_s2081" o:spid="_x0000_s2081" style="height:1.45pt;width:700.35pt;" fillcolor="#000000" filled="t" stroked="f" coordsize="14006,29" path="m0,0l14006,0,14006,28,0,28,0,0xe">
          <v:path/>
          <v:fill on="t" focussize="0,0"/>
          <v:stroke on="f"/>
          <v:imagedata o:title=""/>
          <o:lock v:ext="edit"/>
          <w10:wrap type="none"/>
          <w10:anchorlock/>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E09AC">
    <w:pPr>
      <w:spacing w:before="48" w:line="218" w:lineRule="auto"/>
      <w:ind w:left="2222"/>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63EEE8F4">
    <w:pPr>
      <w:spacing w:before="13" w:line="18" w:lineRule="exact"/>
    </w:pPr>
    <w:r>
      <w:rPr>
        <w:position w:val="-1"/>
      </w:rPr>
      <w:pict>
        <v:shape id="_x0000_s2082" o:spid="_x0000_s2082" style="height:1.45pt;width:425.25pt;" fillcolor="#000000" filled="t" stroked="f" coordsize="8505,29" path="m0,0l8505,0,8505,28,0,28,0,0xe">
          <v:path/>
          <v:fill on="t" focussize="0,0"/>
          <v:stroke on="f"/>
          <v:imagedata o:title=""/>
          <o:lock v:ext="edit"/>
          <w10:wrap type="none"/>
          <w10:anchorlock/>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D8F6C">
    <w:pPr>
      <w:spacing w:before="48" w:line="218" w:lineRule="auto"/>
      <w:ind w:left="7846"/>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693E92F2">
    <w:pPr>
      <w:spacing w:before="13" w:line="18" w:lineRule="exact"/>
      <w:ind w:firstLine="122"/>
    </w:pPr>
    <w:r>
      <w:rPr>
        <w:position w:val="-1"/>
      </w:rPr>
      <w:pict>
        <v:shape id="_x0000_s2083" o:spid="_x0000_s2083" style="height:1.45pt;width:700.35pt;" fillcolor="#000000" filled="t" stroked="f" coordsize="14006,29" path="m0,0l14006,0,14006,28,0,28,0,0xe">
          <v:path/>
          <v:fill on="t" focussize="0,0"/>
          <v:stroke on="f"/>
          <v:imagedata o:title=""/>
          <o:lock v:ext="edit"/>
          <w10:wrap type="none"/>
          <w10:anchorlock/>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28C1D">
    <w:pPr>
      <w:spacing w:before="48" w:line="218" w:lineRule="auto"/>
      <w:ind w:right="2"/>
      <w:jc w:val="right"/>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6BA2B529">
    <w:pPr>
      <w:spacing w:before="13" w:line="18" w:lineRule="exact"/>
    </w:pPr>
    <w:r>
      <w:rPr>
        <w:position w:val="-1"/>
      </w:rPr>
      <w:pict>
        <v:shape id="_x0000_s2084" o:spid="_x0000_s2084" style="height:1.45pt;width:425.25pt;" fillcolor="#000000" filled="t" stroked="f" coordsize="8505,29" path="m0,0l8505,0,8505,28,0,28,0,0xe">
          <v:path/>
          <v:fill on="t" focussize="0,0"/>
          <v:stroke on="f"/>
          <v:imagedata o:title=""/>
          <o:lock v:ext="edit"/>
          <w10:wrap type="none"/>
          <w10:anchorlock/>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36FB2">
    <w:pPr>
      <w:spacing w:before="48" w:line="218" w:lineRule="auto"/>
      <w:ind w:right="30"/>
      <w:jc w:val="right"/>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49A2BFA8">
    <w:pPr>
      <w:spacing w:before="13" w:line="18" w:lineRule="exact"/>
      <w:ind w:firstLine="29"/>
    </w:pPr>
    <w:r>
      <w:rPr>
        <w:position w:val="-1"/>
      </w:rPr>
      <w:pict>
        <v:shape id="_x0000_s2085" o:spid="_x0000_s2085" style="height:1.45pt;width:700.35pt;" fillcolor="#000000" filled="t" stroked="f" coordsize="14006,29" path="m0,0l14006,0,14006,28,0,28,0,0xe">
          <v:path/>
          <v:fill on="t" focussize="0,0"/>
          <v:stroke on="f"/>
          <v:imagedata o:title=""/>
          <o:lock v:ext="edit"/>
          <w10:wrap type="none"/>
          <w10:anchorlock/>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4D76B">
    <w:pPr>
      <w:spacing w:before="48" w:line="218" w:lineRule="auto"/>
      <w:ind w:left="2344"/>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2F7F2E05">
    <w:pPr>
      <w:spacing w:before="13" w:line="18" w:lineRule="exact"/>
      <w:ind w:firstLine="122"/>
    </w:pPr>
    <w:r>
      <w:rPr>
        <w:position w:val="-1"/>
      </w:rPr>
      <w:pict>
        <v:shape id="_x0000_s2086" o:spid="_x0000_s2086" style="height:1.45pt;width:425.25pt;" fillcolor="#000000" filled="t" stroked="f" coordsize="8505,29" path="m0,0l8505,0,8505,28,0,28,0,0xe">
          <v:path/>
          <v:fill on="t" focussize="0,0"/>
          <v:stroke on="f"/>
          <v:imagedata o:title=""/>
          <o:lock v:ext="edit"/>
          <w10:wrap type="none"/>
          <w10:anchorlock/>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844BB">
    <w:pPr>
      <w:spacing w:before="48" w:line="218" w:lineRule="auto"/>
      <w:ind w:left="2334"/>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027AEC7F">
    <w:pPr>
      <w:spacing w:before="13" w:line="18" w:lineRule="exact"/>
      <w:ind w:firstLine="112"/>
    </w:pPr>
    <w:r>
      <w:rPr>
        <w:position w:val="-1"/>
      </w:rPr>
      <w:pict>
        <v:shape id="_x0000_s2087" o:spid="_x0000_s2087" style="height:1.45pt;width:425.25pt;" fillcolor="#000000" filled="t" stroked="f" coordsize="8505,29" path="m0,0l8505,0,8505,28,0,28,0,0xe">
          <v:path/>
          <v:fill on="t" focussize="0,0"/>
          <v:stroke on="f"/>
          <v:imagedata o:title=""/>
          <o:lock v:ext="edit"/>
          <w10:wrap type="none"/>
          <w10:anchorlock/>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01D51">
    <w:pPr>
      <w:spacing w:before="48" w:line="218" w:lineRule="auto"/>
      <w:jc w:val="right"/>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3D612E84">
    <w:pPr>
      <w:spacing w:before="13" w:line="18" w:lineRule="exact"/>
    </w:pPr>
    <w:r>
      <w:rPr>
        <w:position w:val="-1"/>
      </w:rPr>
      <w:pict>
        <v:shape id="_x0000_s2088" o:spid="_x0000_s2088" style="height:1.45pt;width:700.35pt;" fillcolor="#000000" filled="t" stroked="f" coordsize="14006,29" path="m0,0l14006,0,14006,28,0,28,0,0xe">
          <v:path/>
          <v:fill on="t" focussize="0,0"/>
          <v:stroke on="f"/>
          <v:imagedata o:title=""/>
          <o:lock v:ext="edit"/>
          <w10:wrap type="none"/>
          <w10:anchorlock/>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16004">
    <w:pPr>
      <w:spacing w:before="48" w:line="218" w:lineRule="auto"/>
      <w:ind w:left="2223"/>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1C0E1B33">
    <w:pPr>
      <w:spacing w:before="13" w:line="18" w:lineRule="exact"/>
      <w:ind w:firstLine="1"/>
    </w:pPr>
    <w:r>
      <w:rPr>
        <w:position w:val="-1"/>
      </w:rPr>
      <w:pict>
        <v:shape id="_x0000_s2053" o:spid="_x0000_s2053" style="height:1.45pt;width:425.25pt;" fillcolor="#000000" filled="t" stroked="f" coordsize="8505,29" path="m0,0l8504,0,8504,28,0,28,0,0xe">
          <v:path/>
          <v:fill on="t" focussize="0,0"/>
          <v:stroke on="f"/>
          <v:imagedata o:title=""/>
          <o:lock v:ext="edit"/>
          <w10:wrap type="none"/>
          <w10:anchorlock/>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60EA9">
    <w:pPr>
      <w:spacing w:before="48" w:line="218" w:lineRule="auto"/>
      <w:ind w:left="2222"/>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1B5CB532">
    <w:pPr>
      <w:spacing w:before="13" w:line="18" w:lineRule="exact"/>
    </w:pPr>
    <w:r>
      <w:rPr>
        <w:position w:val="-1"/>
      </w:rPr>
      <w:pict>
        <v:shape id="_x0000_s2089" o:spid="_x0000_s2089" style="height:1.45pt;width:425.25pt;" fillcolor="#000000" filled="t" stroked="f" coordsize="8505,29" path="m0,0l8505,0,8505,28,0,28,0,0xe">
          <v:path/>
          <v:fill on="t" focussize="0,0"/>
          <v:stroke on="f"/>
          <v:imagedata o:title=""/>
          <o:lock v:ext="edit"/>
          <w10:wrap type="none"/>
          <w10:anchorlock/>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30532">
    <w:pPr>
      <w:spacing w:before="48" w:line="218" w:lineRule="auto"/>
      <w:ind w:left="2344"/>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420863A1">
    <w:pPr>
      <w:spacing w:before="13" w:line="18" w:lineRule="exact"/>
      <w:ind w:firstLine="122"/>
    </w:pPr>
    <w:r>
      <w:rPr>
        <w:position w:val="-1"/>
      </w:rPr>
      <w:pict>
        <v:shape id="_x0000_s2090" o:spid="_x0000_s2090" style="height:1.45pt;width:425.25pt;" fillcolor="#000000" filled="t" stroked="f" coordsize="8505,29" path="m0,0l8505,0,8505,28,0,28,0,0xe">
          <v:path/>
          <v:fill on="t" focussize="0,0"/>
          <v:stroke on="f"/>
          <v:imagedata o:title=""/>
          <o:lock v:ext="edit"/>
          <w10:wrap type="none"/>
          <w10:anchorlock/>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6D1F3">
    <w:pPr>
      <w:spacing w:before="48" w:line="218" w:lineRule="auto"/>
      <w:ind w:left="2251"/>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7363E81F">
    <w:pPr>
      <w:spacing w:before="13" w:line="18" w:lineRule="exact"/>
      <w:ind w:firstLine="29"/>
    </w:pPr>
    <w:r>
      <w:rPr>
        <w:position w:val="-1"/>
      </w:rPr>
      <w:pict>
        <v:shape id="_x0000_s2091" o:spid="_x0000_s2091" style="height:1.45pt;width:425.25pt;" fillcolor="#000000" filled="t" stroked="f" coordsize="8505,29" path="m0,0l8505,0,8505,28,0,28,0,0xe">
          <v:path/>
          <v:fill on="t" focussize="0,0"/>
          <v:stroke on="f"/>
          <v:imagedata o:title=""/>
          <o:lock v:ext="edit"/>
          <w10:wrap type="none"/>
          <w10:anchorlock/>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81942">
    <w:pPr>
      <w:spacing w:before="48" w:line="218" w:lineRule="auto"/>
      <w:ind w:left="2251"/>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0807ABDD">
    <w:pPr>
      <w:spacing w:before="13" w:line="18" w:lineRule="exact"/>
      <w:ind w:firstLine="29"/>
    </w:pPr>
    <w:r>
      <w:rPr>
        <w:position w:val="-1"/>
      </w:rPr>
      <w:pict>
        <v:shape id="_x0000_s2092" o:spid="_x0000_s2092" style="height:1.45pt;width:425.25pt;" fillcolor="#000000" filled="t" stroked="f" coordsize="8505,29" path="m0,0l8505,0,8505,28,0,28,0,0xe">
          <v:path/>
          <v:fill on="t" focussize="0,0"/>
          <v:stroke on="f"/>
          <v:imagedata o:title=""/>
          <o:lock v:ext="edit"/>
          <w10:wrap type="none"/>
          <w10:anchorlock/>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D15EE">
    <w:pPr>
      <w:spacing w:before="48" w:line="218" w:lineRule="auto"/>
      <w:ind w:left="2222"/>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4BF362A3">
    <w:pPr>
      <w:spacing w:before="13" w:line="18" w:lineRule="exact"/>
    </w:pPr>
    <w:r>
      <w:rPr>
        <w:position w:val="-1"/>
      </w:rPr>
      <w:pict>
        <v:shape id="_x0000_s2093" o:spid="_x0000_s2093" style="height:1.45pt;width:425.25pt;" fillcolor="#000000" filled="t" stroked="f" coordsize="8505,29" path="m0,0l8505,0,8505,28,0,28,0,0xe">
          <v:path/>
          <v:fill on="t" focussize="0,0"/>
          <v:stroke on="f"/>
          <v:imagedata o:title=""/>
          <o:lock v:ext="edit"/>
          <w10:wrap type="none"/>
          <w10:anchorlock/>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3C812">
    <w:pPr>
      <w:spacing w:before="48" w:line="218" w:lineRule="auto"/>
      <w:ind w:left="2344"/>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0269FF82">
    <w:pPr>
      <w:spacing w:before="13" w:line="18" w:lineRule="exact"/>
      <w:ind w:firstLine="122"/>
    </w:pPr>
    <w:r>
      <w:rPr>
        <w:position w:val="-1"/>
      </w:rPr>
      <w:pict>
        <v:shape id="_x0000_s2094" o:spid="_x0000_s2094" style="height:1.45pt;width:425.25pt;" fillcolor="#000000" filled="t" stroked="f" coordsize="8505,29" path="m0,0l8505,0,8505,28,0,28,0,0xe">
          <v:path/>
          <v:fill on="t" focussize="0,0"/>
          <v:stroke on="f"/>
          <v:imagedata o:title=""/>
          <o:lock v:ext="edit"/>
          <w10:wrap type="none"/>
          <w10:anchorlock/>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94BE7">
    <w:pPr>
      <w:spacing w:before="48" w:line="218" w:lineRule="auto"/>
      <w:ind w:left="2344"/>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43364322">
    <w:pPr>
      <w:spacing w:before="13" w:line="18" w:lineRule="exact"/>
      <w:ind w:firstLine="122"/>
    </w:pPr>
    <w:r>
      <w:rPr>
        <w:position w:val="-1"/>
      </w:rPr>
      <w:pict>
        <v:shape id="_x0000_s2095" o:spid="_x0000_s2095" style="height:1.45pt;width:425.25pt;" fillcolor="#000000" filled="t" stroked="f" coordsize="8505,29" path="m0,0l8505,0,8505,28,0,28,0,0xe">
          <v:path/>
          <v:fill on="t" focussize="0,0"/>
          <v:stroke on="f"/>
          <v:imagedata o:title=""/>
          <o:lock v:ext="edit"/>
          <w10:wrap type="none"/>
          <w10:anchorlock/>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B4E48">
    <w:pPr>
      <w:spacing w:before="48" w:line="218" w:lineRule="auto"/>
      <w:ind w:right="2"/>
      <w:jc w:val="right"/>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33351B8C">
    <w:pPr>
      <w:spacing w:before="13" w:line="18" w:lineRule="exact"/>
    </w:pPr>
    <w:r>
      <w:rPr>
        <w:position w:val="-1"/>
      </w:rPr>
      <w:pict>
        <v:shape id="_x0000_s2096" o:spid="_x0000_s2096" style="height:1.45pt;width:425.25pt;" fillcolor="#000000" filled="t" stroked="f" coordsize="8505,29" path="m0,0l8505,0,8505,28,0,28,0,0xe">
          <v:path/>
          <v:fill on="t" focussize="0,0"/>
          <v:stroke on="f"/>
          <v:imagedata o:title=""/>
          <o:lock v:ext="edit"/>
          <w10:wrap type="none"/>
          <w10:anchorlock/>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8D0F3">
    <w:pPr>
      <w:spacing w:before="48" w:line="218" w:lineRule="auto"/>
      <w:ind w:left="2344"/>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6BFD1B03">
    <w:pPr>
      <w:spacing w:before="13" w:line="18" w:lineRule="exact"/>
      <w:ind w:firstLine="122"/>
    </w:pPr>
    <w:r>
      <w:rPr>
        <w:position w:val="-1"/>
      </w:rPr>
      <w:pict>
        <v:shape id="_x0000_s2097" o:spid="_x0000_s2097" style="height:1.45pt;width:425.25pt;" fillcolor="#000000" filled="t" stroked="f" coordsize="8505,29" path="m0,0l8505,0,8505,28,0,28,0,0xe">
          <v:path/>
          <v:fill on="t" focussize="0,0"/>
          <v:stroke on="f"/>
          <v:imagedata o:title=""/>
          <o:lock v:ext="edit"/>
          <w10:wrap type="none"/>
          <w10:anchorlock/>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1E67E">
    <w:pPr>
      <w:spacing w:before="48" w:line="218" w:lineRule="auto"/>
      <w:ind w:left="7846"/>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5E09558C">
    <w:pPr>
      <w:spacing w:before="13" w:line="18" w:lineRule="exact"/>
      <w:ind w:firstLine="122"/>
    </w:pPr>
    <w:r>
      <w:rPr>
        <w:position w:val="-1"/>
      </w:rPr>
      <w:pict>
        <v:shape id="_x0000_s2098" o:spid="_x0000_s2098" style="height:1.45pt;width:700.35pt;" fillcolor="#000000" filled="t" stroked="f" coordsize="14006,29" path="m0,0l14006,0,14006,28,0,28,0,0xe">
          <v:path/>
          <v:fill on="t" focussize="0,0"/>
          <v:stroke on="f"/>
          <v:imagedata o:title=""/>
          <o:lock v:ext="edit"/>
          <w10:wrap type="none"/>
          <w10:anchorlock/>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65D7F">
    <w:pPr>
      <w:spacing w:before="48" w:line="218" w:lineRule="auto"/>
      <w:ind w:right="2"/>
      <w:jc w:val="right"/>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24E54A68">
    <w:pPr>
      <w:spacing w:before="13" w:line="18" w:lineRule="exact"/>
    </w:pPr>
    <w:r>
      <w:rPr>
        <w:position w:val="-1"/>
      </w:rPr>
      <w:pict>
        <v:shape id="_x0000_s2054" o:spid="_x0000_s2054" style="height:1.45pt;width:425.25pt;" fillcolor="#000000" filled="t" stroked="f" coordsize="8505,29" path="m0,0l8505,0,8505,28,0,28,0,0xe">
          <v:path/>
          <v:fill on="t" focussize="0,0"/>
          <v:stroke on="f"/>
          <v:imagedata o:title=""/>
          <o:lock v:ext="edit"/>
          <w10:wrap type="none"/>
          <w10:anchorlock/>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69290">
    <w:pPr>
      <w:spacing w:before="48" w:line="218" w:lineRule="auto"/>
      <w:ind w:right="29"/>
      <w:jc w:val="right"/>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48DF4BF2">
    <w:pPr>
      <w:spacing w:before="13" w:line="18" w:lineRule="exact"/>
      <w:ind w:firstLine="14"/>
    </w:pPr>
    <w:r>
      <w:rPr>
        <w:position w:val="-1"/>
      </w:rPr>
      <w:pict>
        <v:shape id="_x0000_s2099" o:spid="_x0000_s2099" style="height:1.45pt;width:700.35pt;" fillcolor="#000000" filled="t" stroked="f" coordsize="14006,29" path="m0,0l14006,0,14006,28,0,28,0,0xe">
          <v:path/>
          <v:fill on="t" focussize="0,0"/>
          <v:stroke on="f"/>
          <v:imagedata o:title=""/>
          <o:lock v:ext="edit"/>
          <w10:wrap type="none"/>
          <w10:anchorlock/>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030A6">
    <w:pPr>
      <w:spacing w:before="48" w:line="218" w:lineRule="auto"/>
      <w:ind w:left="7846"/>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5C704D7F">
    <w:pPr>
      <w:spacing w:before="13" w:line="18" w:lineRule="exact"/>
      <w:ind w:firstLine="122"/>
    </w:pPr>
    <w:r>
      <w:rPr>
        <w:position w:val="-1"/>
      </w:rPr>
      <w:pict>
        <v:shape id="_x0000_s2100" o:spid="_x0000_s2100" style="height:1.45pt;width:700.35pt;" fillcolor="#000000" filled="t" stroked="f" coordsize="14006,29" path="m0,0l14006,0,14006,28,0,28,0,0xe">
          <v:path/>
          <v:fill on="t" focussize="0,0"/>
          <v:stroke on="f"/>
          <v:imagedata o:title=""/>
          <o:lock v:ext="edit"/>
          <w10:wrap type="none"/>
          <w10:anchorlock/>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29C97">
    <w:pPr>
      <w:spacing w:before="48" w:line="218" w:lineRule="auto"/>
      <w:ind w:right="29"/>
      <w:jc w:val="right"/>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201EFD1F">
    <w:pPr>
      <w:spacing w:before="13" w:line="18" w:lineRule="exact"/>
      <w:ind w:firstLine="14"/>
    </w:pPr>
    <w:r>
      <w:rPr>
        <w:position w:val="-1"/>
      </w:rPr>
      <w:pict>
        <v:shape id="_x0000_s2101" o:spid="_x0000_s2101" style="height:1.45pt;width:700.35pt;" fillcolor="#000000" filled="t" stroked="f" coordsize="14006,29" path="m0,0l14006,0,14006,28,0,28,0,0xe">
          <v:path/>
          <v:fill on="t" focussize="0,0"/>
          <v:stroke on="f"/>
          <v:imagedata o:title=""/>
          <o:lock v:ext="edit"/>
          <w10:wrap type="none"/>
          <w10:anchorlock/>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EBDDD">
    <w:pPr>
      <w:spacing w:before="48" w:line="218" w:lineRule="auto"/>
      <w:ind w:left="7846"/>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21565D42">
    <w:pPr>
      <w:spacing w:before="13" w:line="18" w:lineRule="exact"/>
      <w:ind w:firstLine="122"/>
    </w:pPr>
    <w:r>
      <w:rPr>
        <w:position w:val="-1"/>
      </w:rPr>
      <w:pict>
        <v:shape id="_x0000_s2102" o:spid="_x0000_s2102" style="height:1.45pt;width:700.35pt;" fillcolor="#000000" filled="t" stroked="f" coordsize="14006,29" path="m0,0l14006,0,14006,28,0,28,0,0xe">
          <v:path/>
          <v:fill on="t" focussize="0,0"/>
          <v:stroke on="f"/>
          <v:imagedata o:title=""/>
          <o:lock v:ext="edit"/>
          <w10:wrap type="none"/>
          <w10:anchorlock/>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F8193">
    <w:pPr>
      <w:spacing w:before="48" w:line="218" w:lineRule="auto"/>
      <w:ind w:right="29"/>
      <w:jc w:val="right"/>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2AE90637">
    <w:pPr>
      <w:spacing w:before="13" w:line="18" w:lineRule="exact"/>
      <w:ind w:firstLine="14"/>
    </w:pPr>
    <w:r>
      <w:rPr>
        <w:position w:val="-1"/>
      </w:rPr>
      <w:pict>
        <v:shape id="_x0000_s2103" o:spid="_x0000_s2103" style="height:1.45pt;width:700.35pt;" fillcolor="#000000" filled="t" stroked="f" coordsize="14006,29" path="m0,0l14006,0,14006,28,0,28,0,0xe">
          <v:path/>
          <v:fill on="t" focussize="0,0"/>
          <v:stroke on="f"/>
          <v:imagedata o:title=""/>
          <o:lock v:ext="edit"/>
          <w10:wrap type="none"/>
          <w10:anchorlock/>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B69F1">
    <w:pPr>
      <w:spacing w:before="48" w:line="218" w:lineRule="auto"/>
      <w:ind w:left="7846"/>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03AA34EE">
    <w:pPr>
      <w:spacing w:before="13" w:line="18" w:lineRule="exact"/>
      <w:ind w:firstLine="122"/>
    </w:pPr>
    <w:r>
      <w:rPr>
        <w:position w:val="-1"/>
      </w:rPr>
      <w:pict>
        <v:shape id="_x0000_s2104" o:spid="_x0000_s2104" style="height:1.45pt;width:700.35pt;" fillcolor="#000000" filled="t" stroked="f" coordsize="14006,29" path="m0,0l14006,0,14006,28,0,28,0,0xe">
          <v:path/>
          <v:fill on="t" focussize="0,0"/>
          <v:stroke on="f"/>
          <v:imagedata o:title=""/>
          <o:lock v:ext="edit"/>
          <w10:wrap type="none"/>
          <w10:anchorlock/>
        </v:shape>
      </w:pic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22C31">
    <w:pPr>
      <w:spacing w:before="48" w:line="218" w:lineRule="auto"/>
      <w:ind w:left="2222"/>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417B574B">
    <w:pPr>
      <w:spacing w:before="13" w:line="18" w:lineRule="exact"/>
    </w:pPr>
    <w:r>
      <w:rPr>
        <w:position w:val="-1"/>
      </w:rPr>
      <w:pict>
        <v:shape id="_x0000_s2105" o:spid="_x0000_s2105" style="height:1.45pt;width:425.25pt;" fillcolor="#000000" filled="t" stroked="f" coordsize="8505,29" path="m0,0l8505,0,8505,28,0,28,0,0xe">
          <v:path/>
          <v:fill on="t" focussize="0,0"/>
          <v:stroke on="f"/>
          <v:imagedata o:title=""/>
          <o:lock v:ext="edit"/>
          <w10:wrap type="none"/>
          <w10:anchorlock/>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E9681">
    <w:pPr>
      <w:spacing w:before="48" w:line="218" w:lineRule="auto"/>
      <w:ind w:left="2222"/>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18A50D56">
    <w:pPr>
      <w:spacing w:before="13" w:line="18" w:lineRule="exact"/>
    </w:pPr>
    <w:r>
      <w:rPr>
        <w:position w:val="-1"/>
      </w:rPr>
      <w:pict>
        <v:shape id="_x0000_s2106" o:spid="_x0000_s2106" style="height:1.45pt;width:425.25pt;" fillcolor="#000000" filled="t" stroked="f" coordsize="8505,29" path="m0,0l8504,0,8504,28,0,28,0,0xe">
          <v:path/>
          <v:fill on="t" focussize="0,0"/>
          <v:stroke on="f"/>
          <v:imagedata o:title=""/>
          <o:lock v:ext="edit"/>
          <w10:wrap type="none"/>
          <w10:anchorlock/>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3DE45">
    <w:pPr>
      <w:spacing w:before="48" w:line="218" w:lineRule="auto"/>
      <w:ind w:left="2222"/>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50C11CB6">
    <w:pPr>
      <w:spacing w:before="13" w:line="18" w:lineRule="exact"/>
    </w:pPr>
    <w:r>
      <w:rPr>
        <w:position w:val="-1"/>
      </w:rPr>
      <w:pict>
        <v:shape id="_x0000_s2107" o:spid="_x0000_s2107" style="height:1.45pt;width:425.25pt;" fillcolor="#000000" filled="t" stroked="f" coordsize="8505,29" path="m0,0l8504,0,8504,28,0,28,0,0xe">
          <v:path/>
          <v:fill on="t" focussize="0,0"/>
          <v:stroke on="f"/>
          <v:imagedata o:title=""/>
          <o:lock v:ext="edit"/>
          <w10:wrap type="none"/>
          <w10:anchorlock/>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A0631">
    <w:pPr>
      <w:spacing w:before="48" w:line="218" w:lineRule="auto"/>
      <w:ind w:left="2222"/>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3323D8AF">
    <w:pPr>
      <w:spacing w:before="13" w:line="18" w:lineRule="exact"/>
    </w:pPr>
    <w:r>
      <w:rPr>
        <w:position w:val="-1"/>
      </w:rPr>
      <w:pict>
        <v:shape id="_x0000_s2108" o:spid="_x0000_s2108" style="height:1.45pt;width:425.25pt;" fillcolor="#000000" filled="t" stroked="f" coordsize="8505,29" path="m0,0l8504,0,8504,28,0,28,0,0xe">
          <v:path/>
          <v:fill on="t" focussize="0,0"/>
          <v:stroke on="f"/>
          <v:imagedata o:title=""/>
          <o:lock v:ext="edit"/>
          <w10:wrap type="none"/>
          <w10:anchorlock/>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864F0">
    <w:pPr>
      <w:spacing w:before="48" w:line="218" w:lineRule="auto"/>
      <w:ind w:left="2222"/>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7A762CCB">
    <w:pPr>
      <w:spacing w:before="13" w:line="18" w:lineRule="exact"/>
    </w:pPr>
    <w:r>
      <w:rPr>
        <w:position w:val="-1"/>
      </w:rPr>
      <w:pict>
        <v:shape id="_x0000_s2055" o:spid="_x0000_s2055" style="height:1.45pt;width:425.25pt;" fillcolor="#000000" filled="t" stroked="f" coordsize="8505,29" path="m0,0l8505,0,8505,28,0,28,0,0xe">
          <v:path/>
          <v:fill on="t" focussize="0,0"/>
          <v:stroke on="f"/>
          <v:imagedata o:title=""/>
          <o:lock v:ext="edit"/>
          <w10:wrap type="none"/>
          <w10:anchorlock/>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4766A">
    <w:pPr>
      <w:spacing w:before="48" w:line="218" w:lineRule="auto"/>
      <w:ind w:left="2222"/>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38B1DCB3">
    <w:pPr>
      <w:spacing w:before="13" w:line="18" w:lineRule="exact"/>
    </w:pPr>
    <w:r>
      <w:rPr>
        <w:position w:val="-1"/>
      </w:rPr>
      <w:pict>
        <v:shape id="_x0000_s2109" o:spid="_x0000_s2109" style="height:1.45pt;width:425.25pt;" fillcolor="#000000" filled="t" stroked="f" coordsize="8505,29" path="m0,0l8504,0,8504,28,0,28,0,0xe">
          <v:path/>
          <v:fill on="t" focussize="0,0"/>
          <v:stroke on="f"/>
          <v:imagedata o:title=""/>
          <o:lock v:ext="edit"/>
          <w10:wrap type="none"/>
          <w10:anchorlock/>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8395">
    <w:pPr>
      <w:spacing w:before="48" w:line="218" w:lineRule="auto"/>
      <w:ind w:left="2334"/>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48567E6C">
    <w:pPr>
      <w:spacing w:before="13" w:line="18" w:lineRule="exact"/>
      <w:ind w:firstLine="112"/>
    </w:pPr>
    <w:r>
      <w:rPr>
        <w:position w:val="-1"/>
      </w:rPr>
      <w:pict>
        <v:shape id="_x0000_s2110" o:spid="_x0000_s2110" style="height:1.45pt;width:425.25pt;" fillcolor="#000000" filled="t" stroked="f" coordsize="8505,29" path="m0,0l8504,0,8504,28,0,28,0,0xe">
          <v:path/>
          <v:fill on="t" focussize="0,0"/>
          <v:stroke on="f"/>
          <v:imagedata o:title=""/>
          <o:lock v:ext="edit"/>
          <w10:wrap type="none"/>
          <w10:anchorlock/>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2A225">
    <w:pPr>
      <w:spacing w:before="48" w:line="218" w:lineRule="auto"/>
      <w:ind w:left="2222"/>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25E89422">
    <w:pPr>
      <w:spacing w:before="13" w:line="18" w:lineRule="exact"/>
    </w:pPr>
    <w:r>
      <w:rPr>
        <w:position w:val="-1"/>
      </w:rPr>
      <w:pict>
        <v:shape id="_x0000_s2111" o:spid="_x0000_s2111" style="height:1.45pt;width:425.25pt;" fillcolor="#000000" filled="t" stroked="f" coordsize="8505,29" path="m0,0l8504,0,8504,28,0,28,0,0xe">
          <v:path/>
          <v:fill on="t" focussize="0,0"/>
          <v:stroke on="f"/>
          <v:imagedata o:title=""/>
          <o:lock v:ext="edit"/>
          <w10:wrap type="none"/>
          <w10:anchorlock/>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567EB">
    <w:pPr>
      <w:spacing w:before="48" w:line="218" w:lineRule="auto"/>
      <w:ind w:left="2222"/>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7BECCCBF">
    <w:pPr>
      <w:spacing w:before="13" w:line="18" w:lineRule="exact"/>
    </w:pPr>
    <w:r>
      <w:rPr>
        <w:position w:val="-1"/>
      </w:rPr>
      <w:pict>
        <v:shape id="_x0000_s2112" o:spid="_x0000_s2112" style="height:1.45pt;width:425.25pt;" fillcolor="#000000" filled="t" stroked="f" coordsize="8505,29" path="m0,0l8504,0,8504,28,0,28,0,0xe">
          <v:path/>
          <v:fill on="t" focussize="0,0"/>
          <v:stroke on="f"/>
          <v:imagedata o:title=""/>
          <o:lock v:ext="edit"/>
          <w10:wrap type="none"/>
          <w10:anchorlock/>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1EA68">
    <w:pPr>
      <w:spacing w:before="48" w:line="218" w:lineRule="auto"/>
      <w:ind w:left="2222"/>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3A2786A3">
    <w:pPr>
      <w:spacing w:before="13" w:line="18" w:lineRule="exact"/>
    </w:pPr>
    <w:r>
      <w:rPr>
        <w:position w:val="-1"/>
      </w:rPr>
      <w:pict>
        <v:shape id="_x0000_s2113" o:spid="_x0000_s2113" style="height:1.45pt;width:425.25pt;" fillcolor="#000000" filled="t" stroked="f" coordsize="8505,29" path="m0,0l8504,0,8504,28,0,28,0,0xe">
          <v:path/>
          <v:fill on="t" focussize="0,0"/>
          <v:stroke on="f"/>
          <v:imagedata o:title=""/>
          <o:lock v:ext="edit"/>
          <w10:wrap type="none"/>
          <w10:anchorlock/>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14A6F">
    <w:pPr>
      <w:spacing w:before="48" w:line="218" w:lineRule="auto"/>
      <w:ind w:left="2222"/>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5E5FB4DA">
    <w:pPr>
      <w:spacing w:before="13" w:line="18" w:lineRule="exact"/>
    </w:pPr>
    <w:r>
      <w:rPr>
        <w:position w:val="-1"/>
      </w:rPr>
      <w:pict>
        <v:shape id="_x0000_s2114" o:spid="_x0000_s2114" style="height:1.45pt;width:425.25pt;" fillcolor="#000000" filled="t" stroked="f" coordsize="8505,29" path="m0,0l8504,0,8504,28,0,28,0,0xe">
          <v:path/>
          <v:fill on="t" focussize="0,0"/>
          <v:stroke on="f"/>
          <v:imagedata o:title=""/>
          <o:lock v:ext="edit"/>
          <w10:wrap type="none"/>
          <w10:anchorlock/>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E0F28">
    <w:pPr>
      <w:spacing w:before="48" w:line="218" w:lineRule="auto"/>
      <w:ind w:left="2222"/>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3F0B978E">
    <w:pPr>
      <w:spacing w:before="13" w:line="18" w:lineRule="exact"/>
    </w:pPr>
    <w:r>
      <w:rPr>
        <w:position w:val="-1"/>
      </w:rPr>
      <w:pict>
        <v:shape id="_x0000_s2115" o:spid="_x0000_s2115" style="height:1.45pt;width:425.25pt;" fillcolor="#000000" filled="t" stroked="f" coordsize="8505,29" path="m0,0l8504,0,8504,28,0,28,0,0xe">
          <v:path/>
          <v:fill on="t" focussize="0,0"/>
          <v:stroke on="f"/>
          <v:imagedata o:title=""/>
          <o:lock v:ext="edit"/>
          <w10:wrap type="none"/>
          <w10:anchorlock/>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68C02">
    <w:pPr>
      <w:spacing w:before="48" w:line="218" w:lineRule="auto"/>
      <w:jc w:val="right"/>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10380640">
    <w:pPr>
      <w:spacing w:before="13" w:line="18" w:lineRule="exact"/>
      <w:ind w:firstLine="2"/>
    </w:pPr>
    <w:r>
      <w:rPr>
        <w:position w:val="-1"/>
      </w:rPr>
      <w:pict>
        <v:shape id="_x0000_s2116" o:spid="_x0000_s2116" style="height:1.45pt;width:425.25pt;" fillcolor="#000000" filled="t" stroked="f" coordsize="8505,29" path="m0,0l8504,0,8504,28,0,28,0,0xe">
          <v:path/>
          <v:fill on="t" focussize="0,0"/>
          <v:stroke on="f"/>
          <v:imagedata o:title=""/>
          <o:lock v:ext="edit"/>
          <w10:wrap type="none"/>
          <w10:anchorlock/>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7E84F">
    <w:pPr>
      <w:spacing w:before="48" w:line="218" w:lineRule="auto"/>
      <w:ind w:left="2222"/>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3B2FDBF7">
    <w:pPr>
      <w:spacing w:before="13" w:line="18" w:lineRule="exact"/>
    </w:pPr>
    <w:r>
      <w:rPr>
        <w:position w:val="-1"/>
      </w:rPr>
      <w:pict>
        <v:shape id="_x0000_s2117" o:spid="_x0000_s2117" style="height:1.45pt;width:425.25pt;" fillcolor="#000000" filled="t" stroked="f" coordsize="8505,29" path="m0,0l8504,0,8504,28,0,28,0,0xe">
          <v:path/>
          <v:fill on="t" focussize="0,0"/>
          <v:stroke on="f"/>
          <v:imagedata o:title=""/>
          <o:lock v:ext="edit"/>
          <w10:wrap type="none"/>
          <w10:anchorlock/>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51E1F">
    <w:pPr>
      <w:spacing w:before="48" w:line="218" w:lineRule="auto"/>
      <w:ind w:left="2222"/>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7B1AF3F1">
    <w:pPr>
      <w:spacing w:before="13" w:line="18" w:lineRule="exact"/>
    </w:pPr>
    <w:r>
      <w:rPr>
        <w:position w:val="-1"/>
      </w:rPr>
      <w:pict>
        <v:shape id="_x0000_s2118" o:spid="_x0000_s2118" style="height:1.45pt;width:425.25pt;" fillcolor="#000000" filled="t" stroked="f" coordsize="8505,29" path="m0,0l8504,0,8504,28,0,28,0,0xe">
          <v:path/>
          <v:fill on="t" focussize="0,0"/>
          <v:stroke on="f"/>
          <v:imagedata o:title=""/>
          <o:lock v:ext="edit"/>
          <w10:wrap type="none"/>
          <w10:anchorlock/>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BB3D5">
    <w:pPr>
      <w:spacing w:before="48" w:line="218" w:lineRule="auto"/>
      <w:ind w:right="12"/>
      <w:jc w:val="right"/>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4D4B5457">
    <w:pPr>
      <w:spacing w:before="13" w:line="18" w:lineRule="exact"/>
    </w:pPr>
    <w:r>
      <w:rPr>
        <w:position w:val="-1"/>
      </w:rPr>
      <w:pict>
        <v:shape id="_x0000_s2056" o:spid="_x0000_s2056" style="height:1.45pt;width:425.25pt;" fillcolor="#000000" filled="t" stroked="f" coordsize="8505,29" path="m0,0l8505,0,8505,28,0,28,0,0xe">
          <v:path/>
          <v:fill on="t" focussize="0,0"/>
          <v:stroke on="f"/>
          <v:imagedata o:title=""/>
          <o:lock v:ext="edit"/>
          <w10:wrap type="none"/>
          <w10:anchorlock/>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0A3EF">
    <w:pPr>
      <w:spacing w:before="48" w:line="218" w:lineRule="auto"/>
      <w:ind w:left="2224"/>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3024D5B6">
    <w:pPr>
      <w:spacing w:before="13" w:line="18" w:lineRule="exact"/>
      <w:ind w:firstLine="2"/>
    </w:pPr>
    <w:r>
      <w:rPr>
        <w:position w:val="-1"/>
      </w:rPr>
      <w:pict>
        <v:shape id="_x0000_s2119" o:spid="_x0000_s2119" style="height:1.45pt;width:425.25pt;" fillcolor="#000000" filled="t" stroked="f" coordsize="8505,29" path="m0,0l8504,0,8504,28,0,28,0,0xe">
          <v:path/>
          <v:fill on="t" focussize="0,0"/>
          <v:stroke on="f"/>
          <v:imagedata o:title=""/>
          <o:lock v:ext="edit"/>
          <w10:wrap type="none"/>
          <w10:anchorlock/>
        </v:shape>
      </w:pic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61C39">
    <w:pPr>
      <w:spacing w:before="48" w:line="218" w:lineRule="auto"/>
      <w:ind w:left="2222"/>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5AE728BD">
    <w:pPr>
      <w:spacing w:before="13" w:line="18" w:lineRule="exact"/>
    </w:pPr>
    <w:r>
      <w:rPr>
        <w:position w:val="-1"/>
      </w:rPr>
      <w:pict>
        <v:shape id="_x0000_s2120" o:spid="_x0000_s2120" style="height:1.45pt;width:425.25pt;" fillcolor="#000000" filled="t" stroked="f" coordsize="8505,29" path="m0,0l8504,0,8504,28,0,28,0,0xe">
          <v:path/>
          <v:fill on="t" focussize="0,0"/>
          <v:stroke on="f"/>
          <v:imagedata o:title=""/>
          <o:lock v:ext="edit"/>
          <w10:wrap type="none"/>
          <w10:anchorlock/>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1F9D3">
    <w:pPr>
      <w:pStyle w:val="2"/>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13E83">
    <w:pPr>
      <w:spacing w:before="48" w:line="218" w:lineRule="auto"/>
      <w:ind w:left="2334"/>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3A21FA47">
    <w:pPr>
      <w:spacing w:before="13" w:line="18" w:lineRule="exact"/>
      <w:ind w:firstLine="112"/>
    </w:pPr>
    <w:r>
      <w:rPr>
        <w:position w:val="-1"/>
      </w:rPr>
      <w:pict>
        <v:shape id="_x0000_s2057" o:spid="_x0000_s2057" style="height:1.45pt;width:425.25pt;" fillcolor="#000000" filled="t" stroked="f" coordsize="8505,29" path="m0,0l8505,0,8505,28,0,28,0,0xe">
          <v:path/>
          <v:fill on="t" focussize="0,0"/>
          <v:stroke on="f"/>
          <v:imagedata o:title=""/>
          <o:lock v:ext="edit"/>
          <w10:wrap type="none"/>
          <w10:anchorlock/>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CD392">
    <w:pPr>
      <w:spacing w:before="48" w:line="218" w:lineRule="auto"/>
      <w:ind w:left="2334"/>
      <w:rPr>
        <w:rFonts w:ascii="宋体" w:hAnsi="宋体" w:eastAsia="宋体" w:cs="宋体"/>
        <w:sz w:val="18"/>
        <w:szCs w:val="18"/>
      </w:rPr>
    </w:pPr>
    <w:r>
      <w:rPr>
        <w:rFonts w:ascii="宋体" w:hAnsi="宋体" w:eastAsia="宋体" w:cs="宋体"/>
        <w:spacing w:val="-1"/>
        <w:sz w:val="18"/>
        <w:szCs w:val="18"/>
      </w:rPr>
      <w:t>隆回县工业污水处理厂进行提标扩容改造（二期）工程入河排污口设置论证报告</w:t>
    </w:r>
  </w:p>
  <w:p w14:paraId="4CBFB68F">
    <w:pPr>
      <w:spacing w:before="13" w:line="18" w:lineRule="exact"/>
      <w:ind w:firstLine="112"/>
    </w:pPr>
    <w:r>
      <w:rPr>
        <w:position w:val="-1"/>
      </w:rPr>
      <w:pict>
        <v:shape id="_x0000_s2058" o:spid="_x0000_s2058" style="height:1.45pt;width:425.25pt;" fillcolor="#000000" filled="t" stroked="f" coordsize="8505,29" path="m0,0l8505,0,8505,28,0,28,0,0xe">
          <v:path/>
          <v:fill on="t" focussize="0,0"/>
          <v:stroke on="f"/>
          <v:imagedata o:title=""/>
          <o:lock v:ext="edit"/>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30E2324E"/>
    <w:rsid w:val="38CC12A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59.xml"/><Relationship Id="rId98" Type="http://schemas.openxmlformats.org/officeDocument/2006/relationships/footer" Target="footer58.xml"/><Relationship Id="rId97" Type="http://schemas.openxmlformats.org/officeDocument/2006/relationships/header" Target="header36.xml"/><Relationship Id="rId96" Type="http://schemas.openxmlformats.org/officeDocument/2006/relationships/footer" Target="footer57.xml"/><Relationship Id="rId95" Type="http://schemas.openxmlformats.org/officeDocument/2006/relationships/header" Target="header35.xml"/><Relationship Id="rId94" Type="http://schemas.openxmlformats.org/officeDocument/2006/relationships/footer" Target="footer56.xml"/><Relationship Id="rId93" Type="http://schemas.openxmlformats.org/officeDocument/2006/relationships/footer" Target="footer55.xml"/><Relationship Id="rId92" Type="http://schemas.openxmlformats.org/officeDocument/2006/relationships/header" Target="header34.xml"/><Relationship Id="rId91" Type="http://schemas.openxmlformats.org/officeDocument/2006/relationships/footer" Target="footer54.xml"/><Relationship Id="rId90" Type="http://schemas.openxmlformats.org/officeDocument/2006/relationships/header" Target="header33.xml"/><Relationship Id="rId9" Type="http://schemas.openxmlformats.org/officeDocument/2006/relationships/footer" Target="footer2.xml"/><Relationship Id="rId89" Type="http://schemas.openxmlformats.org/officeDocument/2006/relationships/footer" Target="footer53.xml"/><Relationship Id="rId88" Type="http://schemas.openxmlformats.org/officeDocument/2006/relationships/header" Target="header32.xml"/><Relationship Id="rId87" Type="http://schemas.openxmlformats.org/officeDocument/2006/relationships/footer" Target="footer52.xml"/><Relationship Id="rId86" Type="http://schemas.openxmlformats.org/officeDocument/2006/relationships/footer" Target="footer51.xml"/><Relationship Id="rId85" Type="http://schemas.openxmlformats.org/officeDocument/2006/relationships/header" Target="header31.xml"/><Relationship Id="rId84" Type="http://schemas.openxmlformats.org/officeDocument/2006/relationships/footer" Target="footer50.xml"/><Relationship Id="rId83" Type="http://schemas.openxmlformats.org/officeDocument/2006/relationships/header" Target="header30.xml"/><Relationship Id="rId82" Type="http://schemas.openxmlformats.org/officeDocument/2006/relationships/footer" Target="footer49.xml"/><Relationship Id="rId81" Type="http://schemas.openxmlformats.org/officeDocument/2006/relationships/footer" Target="footer48.xml"/><Relationship Id="rId80" Type="http://schemas.openxmlformats.org/officeDocument/2006/relationships/footer" Target="footer47.xml"/><Relationship Id="rId8" Type="http://schemas.openxmlformats.org/officeDocument/2006/relationships/footer" Target="footer1.xml"/><Relationship Id="rId79" Type="http://schemas.openxmlformats.org/officeDocument/2006/relationships/header" Target="header29.xml"/><Relationship Id="rId78" Type="http://schemas.openxmlformats.org/officeDocument/2006/relationships/footer" Target="footer46.xml"/><Relationship Id="rId77" Type="http://schemas.openxmlformats.org/officeDocument/2006/relationships/header" Target="header28.xml"/><Relationship Id="rId76" Type="http://schemas.openxmlformats.org/officeDocument/2006/relationships/footer" Target="footer45.xml"/><Relationship Id="rId75" Type="http://schemas.openxmlformats.org/officeDocument/2006/relationships/footer" Target="footer44.xml"/><Relationship Id="rId74" Type="http://schemas.openxmlformats.org/officeDocument/2006/relationships/footer" Target="footer43.xml"/><Relationship Id="rId73" Type="http://schemas.openxmlformats.org/officeDocument/2006/relationships/footer" Target="footer42.xml"/><Relationship Id="rId72" Type="http://schemas.openxmlformats.org/officeDocument/2006/relationships/footer" Target="footer41.xml"/><Relationship Id="rId71" Type="http://schemas.openxmlformats.org/officeDocument/2006/relationships/header" Target="header27.xml"/><Relationship Id="rId70" Type="http://schemas.openxmlformats.org/officeDocument/2006/relationships/footer" Target="footer40.xml"/><Relationship Id="rId7" Type="http://schemas.openxmlformats.org/officeDocument/2006/relationships/header" Target="header3.xml"/><Relationship Id="rId69" Type="http://schemas.openxmlformats.org/officeDocument/2006/relationships/footer" Target="footer39.xml"/><Relationship Id="rId68" Type="http://schemas.openxmlformats.org/officeDocument/2006/relationships/footer" Target="footer38.xml"/><Relationship Id="rId67" Type="http://schemas.openxmlformats.org/officeDocument/2006/relationships/header" Target="header26.xml"/><Relationship Id="rId66" Type="http://schemas.openxmlformats.org/officeDocument/2006/relationships/footer" Target="footer37.xml"/><Relationship Id="rId65" Type="http://schemas.openxmlformats.org/officeDocument/2006/relationships/header" Target="header25.xml"/><Relationship Id="rId64" Type="http://schemas.openxmlformats.org/officeDocument/2006/relationships/footer" Target="footer36.xml"/><Relationship Id="rId63" Type="http://schemas.openxmlformats.org/officeDocument/2006/relationships/header" Target="header24.xml"/><Relationship Id="rId62" Type="http://schemas.openxmlformats.org/officeDocument/2006/relationships/footer" Target="footer35.xml"/><Relationship Id="rId61" Type="http://schemas.openxmlformats.org/officeDocument/2006/relationships/footer" Target="footer34.xml"/><Relationship Id="rId60" Type="http://schemas.openxmlformats.org/officeDocument/2006/relationships/footer" Target="footer33.xml"/><Relationship Id="rId6" Type="http://schemas.openxmlformats.org/officeDocument/2006/relationships/header" Target="header2.xml"/><Relationship Id="rId59" Type="http://schemas.openxmlformats.org/officeDocument/2006/relationships/header" Target="header23.xml"/><Relationship Id="rId58" Type="http://schemas.openxmlformats.org/officeDocument/2006/relationships/footer" Target="footer32.xml"/><Relationship Id="rId57" Type="http://schemas.openxmlformats.org/officeDocument/2006/relationships/footer" Target="footer31.xml"/><Relationship Id="rId56" Type="http://schemas.openxmlformats.org/officeDocument/2006/relationships/header" Target="header22.xml"/><Relationship Id="rId55" Type="http://schemas.openxmlformats.org/officeDocument/2006/relationships/footer" Target="footer30.xml"/><Relationship Id="rId54" Type="http://schemas.openxmlformats.org/officeDocument/2006/relationships/footer" Target="footer29.xml"/><Relationship Id="rId53" Type="http://schemas.openxmlformats.org/officeDocument/2006/relationships/footer" Target="footer28.xml"/><Relationship Id="rId52" Type="http://schemas.openxmlformats.org/officeDocument/2006/relationships/footer" Target="footer27.xml"/><Relationship Id="rId51" Type="http://schemas.openxmlformats.org/officeDocument/2006/relationships/header" Target="header21.xml"/><Relationship Id="rId50" Type="http://schemas.openxmlformats.org/officeDocument/2006/relationships/footer" Target="footer26.xml"/><Relationship Id="rId5" Type="http://schemas.openxmlformats.org/officeDocument/2006/relationships/header" Target="header1.xml"/><Relationship Id="rId49" Type="http://schemas.openxmlformats.org/officeDocument/2006/relationships/header" Target="header20.xml"/><Relationship Id="rId48" Type="http://schemas.openxmlformats.org/officeDocument/2006/relationships/footer" Target="footer25.xml"/><Relationship Id="rId47" Type="http://schemas.openxmlformats.org/officeDocument/2006/relationships/header" Target="header19.xml"/><Relationship Id="rId46" Type="http://schemas.openxmlformats.org/officeDocument/2006/relationships/footer" Target="footer24.xml"/><Relationship Id="rId45" Type="http://schemas.openxmlformats.org/officeDocument/2006/relationships/header" Target="header18.xml"/><Relationship Id="rId44" Type="http://schemas.openxmlformats.org/officeDocument/2006/relationships/footer" Target="footer23.xml"/><Relationship Id="rId43" Type="http://schemas.openxmlformats.org/officeDocument/2006/relationships/header" Target="header17.xml"/><Relationship Id="rId42" Type="http://schemas.openxmlformats.org/officeDocument/2006/relationships/footer" Target="footer22.xml"/><Relationship Id="rId41" Type="http://schemas.openxmlformats.org/officeDocument/2006/relationships/header" Target="header16.xml"/><Relationship Id="rId40" Type="http://schemas.openxmlformats.org/officeDocument/2006/relationships/footer" Target="footer21.xml"/><Relationship Id="rId4" Type="http://schemas.openxmlformats.org/officeDocument/2006/relationships/endnotes" Target="endnotes.xml"/><Relationship Id="rId39" Type="http://schemas.openxmlformats.org/officeDocument/2006/relationships/header" Target="header15.xml"/><Relationship Id="rId38" Type="http://schemas.openxmlformats.org/officeDocument/2006/relationships/footer" Target="footer20.xml"/><Relationship Id="rId37" Type="http://schemas.openxmlformats.org/officeDocument/2006/relationships/header" Target="header14.xml"/><Relationship Id="rId36" Type="http://schemas.openxmlformats.org/officeDocument/2006/relationships/footer" Target="footer19.xml"/><Relationship Id="rId35" Type="http://schemas.openxmlformats.org/officeDocument/2006/relationships/header" Target="header13.xml"/><Relationship Id="rId34" Type="http://schemas.openxmlformats.org/officeDocument/2006/relationships/footer" Target="footer18.xml"/><Relationship Id="rId33" Type="http://schemas.openxmlformats.org/officeDocument/2006/relationships/header" Target="header12.xml"/><Relationship Id="rId32" Type="http://schemas.openxmlformats.org/officeDocument/2006/relationships/footer" Target="footer17.xml"/><Relationship Id="rId31" Type="http://schemas.openxmlformats.org/officeDocument/2006/relationships/header" Target="header11.xml"/><Relationship Id="rId30" Type="http://schemas.openxmlformats.org/officeDocument/2006/relationships/footer" Target="footer16.xml"/><Relationship Id="rId3" Type="http://schemas.openxmlformats.org/officeDocument/2006/relationships/footnotes" Target="footnotes.xml"/><Relationship Id="rId29" Type="http://schemas.openxmlformats.org/officeDocument/2006/relationships/header" Target="header10.xml"/><Relationship Id="rId28" Type="http://schemas.openxmlformats.org/officeDocument/2006/relationships/footer" Target="footer15.xml"/><Relationship Id="rId27" Type="http://schemas.openxmlformats.org/officeDocument/2006/relationships/header" Target="header9.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header" Target="header8.xml"/><Relationship Id="rId23" Type="http://schemas.openxmlformats.org/officeDocument/2006/relationships/footer" Target="footer12.xml"/><Relationship Id="rId22" Type="http://schemas.openxmlformats.org/officeDocument/2006/relationships/header" Target="header7.xml"/><Relationship Id="rId215" Type="http://schemas.openxmlformats.org/officeDocument/2006/relationships/fontTable" Target="fontTable.xml"/><Relationship Id="rId214" Type="http://schemas.openxmlformats.org/officeDocument/2006/relationships/customXml" Target="../customXml/item1.xml"/><Relationship Id="rId213" Type="http://schemas.openxmlformats.org/officeDocument/2006/relationships/image" Target="media/image25.png"/><Relationship Id="rId212" Type="http://schemas.openxmlformats.org/officeDocument/2006/relationships/image" Target="media/image24.jpeg"/><Relationship Id="rId211" Type="http://schemas.openxmlformats.org/officeDocument/2006/relationships/image" Target="media/image23.png"/><Relationship Id="rId210" Type="http://schemas.openxmlformats.org/officeDocument/2006/relationships/image" Target="media/image22.jpeg"/><Relationship Id="rId21" Type="http://schemas.openxmlformats.org/officeDocument/2006/relationships/footer" Target="footer11.xml"/><Relationship Id="rId209" Type="http://schemas.openxmlformats.org/officeDocument/2006/relationships/image" Target="media/image21.jpeg"/><Relationship Id="rId208" Type="http://schemas.openxmlformats.org/officeDocument/2006/relationships/image" Target="media/image20.png"/><Relationship Id="rId207" Type="http://schemas.openxmlformats.org/officeDocument/2006/relationships/image" Target="media/image19.jpeg"/><Relationship Id="rId206" Type="http://schemas.openxmlformats.org/officeDocument/2006/relationships/image" Target="media/image18.jpeg"/><Relationship Id="rId205" Type="http://schemas.openxmlformats.org/officeDocument/2006/relationships/image" Target="media/image17.jpeg"/><Relationship Id="rId204" Type="http://schemas.openxmlformats.org/officeDocument/2006/relationships/image" Target="media/image16.jpeg"/><Relationship Id="rId203" Type="http://schemas.openxmlformats.org/officeDocument/2006/relationships/image" Target="media/image15.jpeg"/><Relationship Id="rId202" Type="http://schemas.openxmlformats.org/officeDocument/2006/relationships/image" Target="media/image14.jpeg"/><Relationship Id="rId201" Type="http://schemas.openxmlformats.org/officeDocument/2006/relationships/image" Target="media/image13.jpeg"/><Relationship Id="rId200" Type="http://schemas.openxmlformats.org/officeDocument/2006/relationships/image" Target="media/image12.jpeg"/><Relationship Id="rId20" Type="http://schemas.openxmlformats.org/officeDocument/2006/relationships/header" Target="header6.xml"/><Relationship Id="rId2" Type="http://schemas.openxmlformats.org/officeDocument/2006/relationships/settings" Target="settings.xml"/><Relationship Id="rId199" Type="http://schemas.openxmlformats.org/officeDocument/2006/relationships/image" Target="media/image11.jpeg"/><Relationship Id="rId198" Type="http://schemas.openxmlformats.org/officeDocument/2006/relationships/image" Target="media/image10.jpeg"/><Relationship Id="rId197" Type="http://schemas.openxmlformats.org/officeDocument/2006/relationships/image" Target="media/image9.png"/><Relationship Id="rId196" Type="http://schemas.openxmlformats.org/officeDocument/2006/relationships/image" Target="media/image8.png"/><Relationship Id="rId195" Type="http://schemas.openxmlformats.org/officeDocument/2006/relationships/image" Target="media/image7.png"/><Relationship Id="rId194" Type="http://schemas.openxmlformats.org/officeDocument/2006/relationships/image" Target="media/image6.png"/><Relationship Id="rId193" Type="http://schemas.openxmlformats.org/officeDocument/2006/relationships/image" Target="media/image5.png"/><Relationship Id="rId192" Type="http://schemas.openxmlformats.org/officeDocument/2006/relationships/image" Target="media/image4.jpeg"/><Relationship Id="rId191" Type="http://schemas.openxmlformats.org/officeDocument/2006/relationships/image" Target="media/image3.png"/><Relationship Id="rId190" Type="http://schemas.openxmlformats.org/officeDocument/2006/relationships/image" Target="media/image2.png"/><Relationship Id="rId19" Type="http://schemas.openxmlformats.org/officeDocument/2006/relationships/footer" Target="footer10.xml"/><Relationship Id="rId189" Type="http://schemas.openxmlformats.org/officeDocument/2006/relationships/image" Target="media/image1.jpeg"/><Relationship Id="rId188" Type="http://schemas.openxmlformats.org/officeDocument/2006/relationships/theme" Target="theme/theme1.xml"/><Relationship Id="rId187" Type="http://schemas.openxmlformats.org/officeDocument/2006/relationships/footer" Target="footer111.xml"/><Relationship Id="rId186" Type="http://schemas.openxmlformats.org/officeDocument/2006/relationships/header" Target="header72.xml"/><Relationship Id="rId185" Type="http://schemas.openxmlformats.org/officeDocument/2006/relationships/footer" Target="footer110.xml"/><Relationship Id="rId184" Type="http://schemas.openxmlformats.org/officeDocument/2006/relationships/header" Target="header71.xml"/><Relationship Id="rId183" Type="http://schemas.openxmlformats.org/officeDocument/2006/relationships/footer" Target="footer109.xml"/><Relationship Id="rId182" Type="http://schemas.openxmlformats.org/officeDocument/2006/relationships/header" Target="header70.xml"/><Relationship Id="rId181" Type="http://schemas.openxmlformats.org/officeDocument/2006/relationships/footer" Target="footer108.xml"/><Relationship Id="rId180" Type="http://schemas.openxmlformats.org/officeDocument/2006/relationships/header" Target="header69.xml"/><Relationship Id="rId18" Type="http://schemas.openxmlformats.org/officeDocument/2006/relationships/header" Target="header5.xml"/><Relationship Id="rId179" Type="http://schemas.openxmlformats.org/officeDocument/2006/relationships/footer" Target="footer107.xml"/><Relationship Id="rId178" Type="http://schemas.openxmlformats.org/officeDocument/2006/relationships/header" Target="header68.xml"/><Relationship Id="rId177" Type="http://schemas.openxmlformats.org/officeDocument/2006/relationships/footer" Target="footer106.xml"/><Relationship Id="rId176" Type="http://schemas.openxmlformats.org/officeDocument/2006/relationships/header" Target="header67.xml"/><Relationship Id="rId175" Type="http://schemas.openxmlformats.org/officeDocument/2006/relationships/footer" Target="footer105.xml"/><Relationship Id="rId174" Type="http://schemas.openxmlformats.org/officeDocument/2006/relationships/footer" Target="footer104.xml"/><Relationship Id="rId173" Type="http://schemas.openxmlformats.org/officeDocument/2006/relationships/header" Target="header66.xml"/><Relationship Id="rId172" Type="http://schemas.openxmlformats.org/officeDocument/2006/relationships/footer" Target="footer103.xml"/><Relationship Id="rId171" Type="http://schemas.openxmlformats.org/officeDocument/2006/relationships/footer" Target="footer102.xml"/><Relationship Id="rId170" Type="http://schemas.openxmlformats.org/officeDocument/2006/relationships/header" Target="header65.xml"/><Relationship Id="rId17" Type="http://schemas.openxmlformats.org/officeDocument/2006/relationships/footer" Target="footer9.xml"/><Relationship Id="rId169" Type="http://schemas.openxmlformats.org/officeDocument/2006/relationships/footer" Target="footer101.xml"/><Relationship Id="rId168" Type="http://schemas.openxmlformats.org/officeDocument/2006/relationships/footer" Target="footer100.xml"/><Relationship Id="rId167" Type="http://schemas.openxmlformats.org/officeDocument/2006/relationships/footer" Target="footer99.xml"/><Relationship Id="rId166" Type="http://schemas.openxmlformats.org/officeDocument/2006/relationships/header" Target="header64.xml"/><Relationship Id="rId165" Type="http://schemas.openxmlformats.org/officeDocument/2006/relationships/footer" Target="footer98.xml"/><Relationship Id="rId164" Type="http://schemas.openxmlformats.org/officeDocument/2006/relationships/header" Target="header63.xml"/><Relationship Id="rId163" Type="http://schemas.openxmlformats.org/officeDocument/2006/relationships/footer" Target="footer97.xml"/><Relationship Id="rId162" Type="http://schemas.openxmlformats.org/officeDocument/2006/relationships/header" Target="header62.xml"/><Relationship Id="rId161" Type="http://schemas.openxmlformats.org/officeDocument/2006/relationships/footer" Target="footer96.xml"/><Relationship Id="rId160" Type="http://schemas.openxmlformats.org/officeDocument/2006/relationships/footer" Target="footer95.xml"/><Relationship Id="rId16" Type="http://schemas.openxmlformats.org/officeDocument/2006/relationships/footer" Target="footer8.xml"/><Relationship Id="rId159" Type="http://schemas.openxmlformats.org/officeDocument/2006/relationships/header" Target="header61.xml"/><Relationship Id="rId158" Type="http://schemas.openxmlformats.org/officeDocument/2006/relationships/footer" Target="footer94.xml"/><Relationship Id="rId157" Type="http://schemas.openxmlformats.org/officeDocument/2006/relationships/footer" Target="footer93.xml"/><Relationship Id="rId156" Type="http://schemas.openxmlformats.org/officeDocument/2006/relationships/footer" Target="footer92.xml"/><Relationship Id="rId155" Type="http://schemas.openxmlformats.org/officeDocument/2006/relationships/footer" Target="footer91.xml"/><Relationship Id="rId154" Type="http://schemas.openxmlformats.org/officeDocument/2006/relationships/header" Target="header60.xml"/><Relationship Id="rId153" Type="http://schemas.openxmlformats.org/officeDocument/2006/relationships/footer" Target="footer90.xml"/><Relationship Id="rId152" Type="http://schemas.openxmlformats.org/officeDocument/2006/relationships/footer" Target="footer89.xml"/><Relationship Id="rId151" Type="http://schemas.openxmlformats.org/officeDocument/2006/relationships/header" Target="header59.xml"/><Relationship Id="rId150" Type="http://schemas.openxmlformats.org/officeDocument/2006/relationships/footer" Target="footer88.xml"/><Relationship Id="rId15" Type="http://schemas.openxmlformats.org/officeDocument/2006/relationships/footer" Target="footer7.xml"/><Relationship Id="rId149" Type="http://schemas.openxmlformats.org/officeDocument/2006/relationships/header" Target="header58.xml"/><Relationship Id="rId148" Type="http://schemas.openxmlformats.org/officeDocument/2006/relationships/footer" Target="footer87.xml"/><Relationship Id="rId147" Type="http://schemas.openxmlformats.org/officeDocument/2006/relationships/footer" Target="footer86.xml"/><Relationship Id="rId146" Type="http://schemas.openxmlformats.org/officeDocument/2006/relationships/footer" Target="footer85.xml"/><Relationship Id="rId145" Type="http://schemas.openxmlformats.org/officeDocument/2006/relationships/footer" Target="footer84.xml"/><Relationship Id="rId144" Type="http://schemas.openxmlformats.org/officeDocument/2006/relationships/header" Target="header57.xml"/><Relationship Id="rId143" Type="http://schemas.openxmlformats.org/officeDocument/2006/relationships/footer" Target="footer83.xml"/><Relationship Id="rId142" Type="http://schemas.openxmlformats.org/officeDocument/2006/relationships/header" Target="header56.xml"/><Relationship Id="rId141" Type="http://schemas.openxmlformats.org/officeDocument/2006/relationships/footer" Target="footer82.xml"/><Relationship Id="rId140" Type="http://schemas.openxmlformats.org/officeDocument/2006/relationships/header" Target="header55.xml"/><Relationship Id="rId14" Type="http://schemas.openxmlformats.org/officeDocument/2006/relationships/header" Target="header4.xml"/><Relationship Id="rId139" Type="http://schemas.openxmlformats.org/officeDocument/2006/relationships/footer" Target="footer81.xml"/><Relationship Id="rId138" Type="http://schemas.openxmlformats.org/officeDocument/2006/relationships/header" Target="header54.xml"/><Relationship Id="rId137" Type="http://schemas.openxmlformats.org/officeDocument/2006/relationships/footer" Target="footer80.xml"/><Relationship Id="rId136" Type="http://schemas.openxmlformats.org/officeDocument/2006/relationships/header" Target="header53.xml"/><Relationship Id="rId135" Type="http://schemas.openxmlformats.org/officeDocument/2006/relationships/footer" Target="footer79.xml"/><Relationship Id="rId134" Type="http://schemas.openxmlformats.org/officeDocument/2006/relationships/header" Target="header52.xml"/><Relationship Id="rId133" Type="http://schemas.openxmlformats.org/officeDocument/2006/relationships/footer" Target="footer78.xml"/><Relationship Id="rId132" Type="http://schemas.openxmlformats.org/officeDocument/2006/relationships/header" Target="header51.xml"/><Relationship Id="rId131" Type="http://schemas.openxmlformats.org/officeDocument/2006/relationships/footer" Target="footer77.xml"/><Relationship Id="rId130" Type="http://schemas.openxmlformats.org/officeDocument/2006/relationships/header" Target="header50.xml"/><Relationship Id="rId13" Type="http://schemas.openxmlformats.org/officeDocument/2006/relationships/footer" Target="footer6.xml"/><Relationship Id="rId129" Type="http://schemas.openxmlformats.org/officeDocument/2006/relationships/footer" Target="footer76.xml"/><Relationship Id="rId128" Type="http://schemas.openxmlformats.org/officeDocument/2006/relationships/footer" Target="footer75.xml"/><Relationship Id="rId127" Type="http://schemas.openxmlformats.org/officeDocument/2006/relationships/header" Target="header49.xml"/><Relationship Id="rId126" Type="http://schemas.openxmlformats.org/officeDocument/2006/relationships/footer" Target="footer74.xml"/><Relationship Id="rId125" Type="http://schemas.openxmlformats.org/officeDocument/2006/relationships/header" Target="header48.xml"/><Relationship Id="rId124" Type="http://schemas.openxmlformats.org/officeDocument/2006/relationships/footer" Target="footer73.xml"/><Relationship Id="rId123" Type="http://schemas.openxmlformats.org/officeDocument/2006/relationships/header" Target="header47.xml"/><Relationship Id="rId122" Type="http://schemas.openxmlformats.org/officeDocument/2006/relationships/footer" Target="footer72.xml"/><Relationship Id="rId121" Type="http://schemas.openxmlformats.org/officeDocument/2006/relationships/header" Target="header46.xml"/><Relationship Id="rId120" Type="http://schemas.openxmlformats.org/officeDocument/2006/relationships/footer" Target="footer71.xml"/><Relationship Id="rId12" Type="http://schemas.openxmlformats.org/officeDocument/2006/relationships/footer" Target="footer5.xml"/><Relationship Id="rId119" Type="http://schemas.openxmlformats.org/officeDocument/2006/relationships/header" Target="header45.xml"/><Relationship Id="rId118" Type="http://schemas.openxmlformats.org/officeDocument/2006/relationships/footer" Target="footer70.xml"/><Relationship Id="rId117" Type="http://schemas.openxmlformats.org/officeDocument/2006/relationships/header" Target="header44.xml"/><Relationship Id="rId116" Type="http://schemas.openxmlformats.org/officeDocument/2006/relationships/footer" Target="footer69.xml"/><Relationship Id="rId115" Type="http://schemas.openxmlformats.org/officeDocument/2006/relationships/header" Target="header43.xml"/><Relationship Id="rId114" Type="http://schemas.openxmlformats.org/officeDocument/2006/relationships/footer" Target="footer68.xml"/><Relationship Id="rId113" Type="http://schemas.openxmlformats.org/officeDocument/2006/relationships/header" Target="header42.xml"/><Relationship Id="rId112" Type="http://schemas.openxmlformats.org/officeDocument/2006/relationships/footer" Target="footer67.xml"/><Relationship Id="rId111" Type="http://schemas.openxmlformats.org/officeDocument/2006/relationships/header" Target="header41.xml"/><Relationship Id="rId110" Type="http://schemas.openxmlformats.org/officeDocument/2006/relationships/footer" Target="footer66.xml"/><Relationship Id="rId11" Type="http://schemas.openxmlformats.org/officeDocument/2006/relationships/footer" Target="footer4.xml"/><Relationship Id="rId109" Type="http://schemas.openxmlformats.org/officeDocument/2006/relationships/header" Target="header40.xml"/><Relationship Id="rId108" Type="http://schemas.openxmlformats.org/officeDocument/2006/relationships/footer" Target="footer65.xml"/><Relationship Id="rId107" Type="http://schemas.openxmlformats.org/officeDocument/2006/relationships/header" Target="header39.xml"/><Relationship Id="rId106" Type="http://schemas.openxmlformats.org/officeDocument/2006/relationships/footer" Target="footer64.xml"/><Relationship Id="rId105" Type="http://schemas.openxmlformats.org/officeDocument/2006/relationships/header" Target="header38.xml"/><Relationship Id="rId104" Type="http://schemas.openxmlformats.org/officeDocument/2006/relationships/footer" Target="footer63.xml"/><Relationship Id="rId103" Type="http://schemas.openxmlformats.org/officeDocument/2006/relationships/footer" Target="footer62.xml"/><Relationship Id="rId102" Type="http://schemas.openxmlformats.org/officeDocument/2006/relationships/header" Target="header37.xml"/><Relationship Id="rId101" Type="http://schemas.openxmlformats.org/officeDocument/2006/relationships/footer" Target="footer61.xml"/><Relationship Id="rId100" Type="http://schemas.openxmlformats.org/officeDocument/2006/relationships/footer" Target="footer60.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1027"/>
    <customShpInfo spid="_x0000_s1028"/>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121</Pages>
  <Words>10517</Words>
  <Characters>12067</Characters>
  <TotalTime>17</TotalTime>
  <ScaleCrop>false</ScaleCrop>
  <LinksUpToDate>false</LinksUpToDate>
  <CharactersWithSpaces>12916</CharactersWithSpaces>
  <Application>WPS Office_12.1.0.21541_F1E327BC-269C-435d-A152-05C5408002CA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2025-07-24T15:42:00Z</dcterms:created>
  <dc:creator>2013</dc:creator>
  <cp:lastModifiedBy>兽。。罴</cp:lastModifiedBy>
  <dcterms:modified xsi:type="dcterms:W3CDTF">2025-07-30T02:35:58Z</dcterms:modified>
  <dc:title>1、总则</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2025-07-30T10:16:43Z</vt:filetime>
  </property>
  <property fmtid="{D5CDD505-2E9C-101B-9397-08002B2CF9AE}" pid="4" name="KSOTemplateDocerSaveRecord">
    <vt:lpwstr>eyJoZGlkIjoiMDEwYWNjNGZlNDhmNTI2OTMwMTkxMGQ1OThkOTA2ZWIiLCJ1c2VySWQiOiIzNTEwOTM4MzQifQ==</vt:lpwstr>
  </property>
  <property fmtid="{D5CDD505-2E9C-101B-9397-08002B2CF9AE}" pid="5" name="KSOProductBuildVer">
    <vt:lpwstr>2052-12.1.0.21541</vt:lpwstr>
  </property>
  <property fmtid="{D5CDD505-2E9C-101B-9397-08002B2CF9AE}" pid="6" name="ICV">
    <vt:lpwstr>52CD11FFC42544E0BE7AF2540BEC9DDA_12</vt:lpwstr>
  </property>
</Properties>
</file>