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9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36"/>
        <w:gridCol w:w="4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6" w:hRule="atLeast"/>
        </w:trPr>
        <w:tc>
          <w:tcPr>
            <w:tcW w:w="4436" w:type="dxa"/>
            <w:vAlign w:val="bottom"/>
          </w:tcPr>
          <w:p>
            <w:pPr>
              <w:snapToGrid w:val="0"/>
              <w:spacing w:line="560" w:lineRule="exact"/>
              <w:rPr>
                <w:rFonts w:ascii="黑体" w:hAnsi="黑体" w:eastAsia="黑体"/>
                <w:kern w:val="0"/>
                <w:szCs w:val="32"/>
              </w:rPr>
            </w:pPr>
            <w:bookmarkStart w:id="3" w:name="_GoBack"/>
            <w:bookmarkEnd w:id="3"/>
          </w:p>
        </w:tc>
        <w:tc>
          <w:tcPr>
            <w:tcW w:w="4465" w:type="dxa"/>
            <w:vAlign w:val="bottom"/>
          </w:tcPr>
          <w:p>
            <w:pPr>
              <w:spacing w:line="560" w:lineRule="exact"/>
              <w:jc w:val="right"/>
              <w:rPr>
                <w:rFonts w:ascii="仿宋_GB2312"/>
              </w:rPr>
            </w:pPr>
            <w:bookmarkStart w:id="0" w:name="PO_WH"/>
            <w:r>
              <w:rPr>
                <w:rFonts w:hint="eastAsia" w:ascii="方正仿宋_GBK" w:hAnsi="方正仿宋_GBK" w:eastAsia="方正仿宋_GBK" w:cs="方正仿宋_GBK"/>
                <w:szCs w:val="32"/>
                <w:lang w:eastAsia="zh-CN"/>
              </w:rPr>
              <w:t>湘环许决字〔2024〕628号</w:t>
            </w:r>
            <w:bookmarkEnd w:id="0"/>
          </w:p>
        </w:tc>
      </w:tr>
    </w:tbl>
    <w:p>
      <w:pPr>
        <w:snapToGrid w:val="0"/>
        <w:spacing w:before="800" w:after="600" w:line="800" w:lineRule="exact"/>
        <w:jc w:val="center"/>
        <w:rPr>
          <w:rFonts w:hint="eastAsia" w:ascii="方正小标宋_GBK" w:eastAsia="方正小标宋_GBK"/>
          <w:snapToGrid w:val="0"/>
          <w:kern w:val="21"/>
          <w:sz w:val="44"/>
          <w:szCs w:val="44"/>
        </w:rPr>
      </w:pPr>
      <w:bookmarkStart w:id="1" w:name="PO_WORDZW"/>
      <w:r>
        <w:rPr>
          <w:rFonts w:hint="eastAsia" w:ascii="方正小标宋_GBK" w:eastAsia="方正小标宋_GBK"/>
          <w:snapToGrid w:val="0"/>
          <w:kern w:val="21"/>
          <w:sz w:val="44"/>
          <w:szCs w:val="44"/>
        </w:rPr>
        <w:t>湖南省生态环境厅</w:t>
      </w:r>
      <w:r>
        <w:rPr>
          <w:rFonts w:hint="eastAsia" w:ascii="方正小标宋_GBK" w:eastAsia="方正小标宋_GBK"/>
          <w:snapToGrid w:val="0"/>
          <w:kern w:val="21"/>
          <w:sz w:val="44"/>
          <w:szCs w:val="44"/>
        </w:rPr>
        <w:br w:type="textWrapping"/>
      </w:r>
      <w:r>
        <w:rPr>
          <w:rFonts w:hint="eastAsia" w:ascii="方正小标宋_GBK" w:eastAsia="方正小标宋_GBK"/>
          <w:snapToGrid w:val="0"/>
          <w:kern w:val="21"/>
          <w:sz w:val="44"/>
          <w:szCs w:val="44"/>
        </w:rPr>
        <w:t>关于衡东县杨林镇污水处理厂</w:t>
      </w:r>
      <w:r>
        <w:rPr>
          <w:rFonts w:hint="eastAsia" w:ascii="方正小标宋_GBK" w:hAnsi="Times New Roman" w:eastAsia="方正小标宋_GBK" w:cs="Times New Roman"/>
          <w:snapToGrid w:val="0"/>
          <w:kern w:val="21"/>
          <w:sz w:val="44"/>
          <w:szCs w:val="44"/>
        </w:rPr>
        <w:br w:type="textWrapping"/>
      </w:r>
      <w:r>
        <w:rPr>
          <w:rFonts w:hint="eastAsia" w:ascii="方正小标宋_GBK" w:eastAsia="方正小标宋_GBK"/>
          <w:snapToGrid w:val="0"/>
          <w:kern w:val="21"/>
          <w:sz w:val="44"/>
          <w:szCs w:val="44"/>
        </w:rPr>
        <w:t>入河排污口设置的批复</w:t>
      </w:r>
    </w:p>
    <w:p>
      <w:pPr>
        <w:adjustRightInd w:val="0"/>
        <w:snapToGrid w:val="0"/>
        <w:spacing w:after="0" w:line="580" w:lineRule="exact"/>
        <w:ind w:firstLine="0" w:firstLineChars="0"/>
        <w:rPr>
          <w:rFonts w:hint="eastAsia" w:ascii="方正仿宋_GBK" w:hAnsi="方正仿宋_GBK" w:eastAsia="方正仿宋_GBK" w:cs="方正仿宋_GBK"/>
          <w:snapToGrid w:val="0"/>
          <w:kern w:val="21"/>
          <w:szCs w:val="32"/>
        </w:rPr>
      </w:pPr>
      <w:r>
        <w:rPr>
          <w:rFonts w:hint="eastAsia" w:ascii="方正仿宋_GBK" w:hAnsi="方正仿宋_GBK" w:eastAsia="方正仿宋_GBK" w:cs="方正仿宋_GBK"/>
          <w:snapToGrid w:val="0"/>
          <w:kern w:val="21"/>
          <w:szCs w:val="32"/>
        </w:rPr>
        <w:t>衡东县住房和城乡建设局：</w:t>
      </w:r>
    </w:p>
    <w:p>
      <w:pPr>
        <w:pStyle w:val="6"/>
        <w:widowControl w:val="0"/>
        <w:shd w:val="clear" w:color="auto" w:fill="FFFFFF"/>
        <w:adjustRightInd w:val="0"/>
        <w:snapToGrid w:val="0"/>
        <w:spacing w:after="0" w:line="580" w:lineRule="exact"/>
        <w:ind w:firstLine="636" w:firstLineChars="200"/>
        <w:jc w:val="both"/>
        <w:rPr>
          <w:rFonts w:ascii="方正仿宋_GBK" w:hAnsi="方正仿宋_GBK" w:eastAsia="方正仿宋_GBK" w:cs="方正仿宋_GBK"/>
          <w:snapToGrid w:val="0"/>
          <w:kern w:val="21"/>
          <w:sz w:val="32"/>
          <w:szCs w:val="32"/>
        </w:rPr>
      </w:pPr>
      <w:r>
        <w:rPr>
          <w:rFonts w:ascii="方正仿宋_GBK" w:hAnsi="方正仿宋_GBK" w:eastAsia="方正仿宋_GBK" w:cs="方正仿宋_GBK"/>
          <w:snapToGrid w:val="0"/>
          <w:kern w:val="21"/>
          <w:sz w:val="32"/>
          <w:szCs w:val="32"/>
        </w:rPr>
        <w:t>你单位（注册地址：衡东县洣水镇新村路2号；法人代表人:谷建辉；统一社会代码: 11430424006282651H）报送的入河排污口设置申请书</w:t>
      </w:r>
      <w:r>
        <w:rPr>
          <w:rFonts w:hint="eastAsia" w:ascii="方正仿宋_GBK" w:hAnsi="方正仿宋_GBK" w:eastAsia="方正仿宋_GBK" w:cs="方正仿宋_GBK"/>
          <w:snapToGrid w:val="0"/>
          <w:kern w:val="21"/>
          <w:sz w:val="32"/>
          <w:szCs w:val="32"/>
          <w:lang w:eastAsia="zh-CN"/>
        </w:rPr>
        <w:t>和</w:t>
      </w:r>
      <w:r>
        <w:rPr>
          <w:rFonts w:ascii="方正仿宋_GBK" w:hAnsi="方正仿宋_GBK" w:eastAsia="方正仿宋_GBK" w:cs="方正仿宋_GBK"/>
          <w:snapToGrid w:val="0"/>
          <w:kern w:val="21"/>
          <w:sz w:val="32"/>
          <w:szCs w:val="32"/>
        </w:rPr>
        <w:t>《衡东县杨林镇污水处理厂入河排污口设置论证报告》（以下简称《论证报告》），</w:t>
      </w:r>
      <w:r>
        <w:rPr>
          <w:rFonts w:hint="eastAsia" w:ascii="方正仿宋_GBK" w:hAnsi="方正仿宋_GBK" w:eastAsia="方正仿宋_GBK" w:cs="方正仿宋_GBK"/>
          <w:snapToGrid w:val="0"/>
          <w:kern w:val="21"/>
          <w:sz w:val="32"/>
          <w:szCs w:val="32"/>
          <w:lang w:eastAsia="zh-CN"/>
        </w:rPr>
        <w:t>我</w:t>
      </w:r>
      <w:r>
        <w:rPr>
          <w:rFonts w:ascii="方正仿宋_GBK" w:hAnsi="方正仿宋_GBK" w:eastAsia="方正仿宋_GBK" w:cs="方正仿宋_GBK"/>
          <w:snapToGrid w:val="0"/>
          <w:kern w:val="21"/>
          <w:sz w:val="32"/>
          <w:szCs w:val="32"/>
        </w:rPr>
        <w:t>厅已依法于2024年11月15日受理，于11月25日起开展了技术评估，并完成受理公示和拟审批公示。经审查，根据《中华人民共和国行政许可法》第三十八条第一款“申请人的申请符合法定条件、标准的，行政机关应当依法作出准予行政许可的书面决定”以及《中华人民共和国长江保护法》第四十七条第三款“在长江流域江河、湖泊新设、改设或者扩大排污口，应当按照国家有关规定报经有管辖权的生态环境主管部门或者长江流域生态环境监督管理机构同意”和《入河排污口监督管理办法》（生态环境部令第 35号）第十一条“设置工矿企业排污口、工业及其他各类园区污水处理厂排污口和城镇污水处理厂排污口，应当依照本办法的规定，报有审批权的流域生态环境监督管理机构或者地方生态环境主管部门审批”规定，我厅决定准予行政许可，并要求如下：</w:t>
      </w:r>
    </w:p>
    <w:p>
      <w:pPr>
        <w:pStyle w:val="6"/>
        <w:widowControl w:val="0"/>
        <w:shd w:val="clear" w:color="auto" w:fill="FFFFFF"/>
        <w:adjustRightInd w:val="0"/>
        <w:snapToGrid w:val="0"/>
        <w:spacing w:after="0" w:line="580" w:lineRule="exact"/>
        <w:ind w:firstLine="636" w:firstLineChars="200"/>
        <w:jc w:val="both"/>
        <w:rPr>
          <w:rFonts w:ascii="方正仿宋_GBK" w:hAnsi="方正仿宋_GBK" w:eastAsia="方正仿宋_GBK" w:cs="方正仿宋_GBK"/>
          <w:snapToGrid w:val="0"/>
          <w:kern w:val="21"/>
          <w:sz w:val="32"/>
          <w:szCs w:val="32"/>
        </w:rPr>
      </w:pPr>
      <w:r>
        <w:rPr>
          <w:rFonts w:ascii="方正仿宋_GBK" w:hAnsi="方正仿宋_GBK" w:eastAsia="方正仿宋_GBK" w:cs="方正仿宋_GBK"/>
          <w:snapToGrid w:val="0"/>
          <w:kern w:val="21"/>
          <w:sz w:val="32"/>
          <w:szCs w:val="32"/>
        </w:rPr>
        <w:t>一、衡东县杨林镇污水处理厂入河排污口</w:t>
      </w:r>
      <w:r>
        <w:rPr>
          <w:rFonts w:hint="eastAsia" w:ascii="方正仿宋_GBK" w:hAnsi="方正仿宋_GBK" w:eastAsia="方正仿宋_GBK" w:cs="方正仿宋_GBK"/>
          <w:snapToGrid w:val="0"/>
          <w:kern w:val="21"/>
          <w:sz w:val="32"/>
          <w:szCs w:val="32"/>
          <w:lang w:eastAsia="zh-CN"/>
        </w:rPr>
        <w:t>设置</w:t>
      </w:r>
      <w:r>
        <w:rPr>
          <w:rFonts w:hint="eastAsia" w:ascii="方正仿宋_GBK" w:hAnsi="方正仿宋_GBK" w:eastAsia="方正仿宋_GBK" w:cs="方正仿宋_GBK"/>
          <w:snapToGrid w:val="0"/>
          <w:kern w:val="21"/>
          <w:sz w:val="32"/>
          <w:szCs w:val="32"/>
        </w:rPr>
        <w:t>属于</w:t>
      </w:r>
      <w:r>
        <w:rPr>
          <w:rFonts w:hint="eastAsia" w:ascii="方正仿宋_GBK" w:hAnsi="方正仿宋_GBK" w:eastAsia="方正仿宋_GBK" w:cs="方正仿宋_GBK"/>
          <w:snapToGrid w:val="0"/>
          <w:kern w:val="21"/>
          <w:sz w:val="32"/>
          <w:szCs w:val="32"/>
          <w:lang w:eastAsia="zh-CN"/>
        </w:rPr>
        <w:t>已建</w:t>
      </w:r>
      <w:r>
        <w:rPr>
          <w:rFonts w:hint="eastAsia" w:ascii="方正仿宋_GBK" w:hAnsi="方正仿宋_GBK" w:eastAsia="方正仿宋_GBK" w:cs="方正仿宋_GBK"/>
          <w:snapToGrid w:val="0"/>
          <w:kern w:val="21"/>
          <w:sz w:val="32"/>
          <w:szCs w:val="32"/>
        </w:rPr>
        <w:t>减排项目</w:t>
      </w:r>
      <w:r>
        <w:rPr>
          <w:rFonts w:ascii="方正仿宋_GBK" w:hAnsi="方正仿宋_GBK" w:eastAsia="方正仿宋_GBK" w:cs="方正仿宋_GBK"/>
          <w:snapToGrid w:val="0"/>
          <w:kern w:val="21"/>
          <w:sz w:val="32"/>
          <w:szCs w:val="32"/>
        </w:rPr>
        <w:t>补办手续，</w:t>
      </w:r>
      <w:r>
        <w:rPr>
          <w:rFonts w:hint="eastAsia" w:ascii="方正仿宋_GBK" w:hAnsi="方正仿宋_GBK" w:eastAsia="方正仿宋_GBK" w:cs="方正仿宋_GBK"/>
          <w:snapToGrid w:val="0"/>
          <w:kern w:val="21"/>
          <w:sz w:val="32"/>
          <w:szCs w:val="32"/>
          <w:lang w:eastAsia="zh-CN"/>
        </w:rPr>
        <w:t>排污口</w:t>
      </w:r>
      <w:r>
        <w:rPr>
          <w:rFonts w:ascii="方正仿宋_GBK" w:hAnsi="方正仿宋_GBK" w:eastAsia="方正仿宋_GBK" w:cs="方正仿宋_GBK"/>
          <w:snapToGrid w:val="0"/>
          <w:kern w:val="21"/>
          <w:sz w:val="32"/>
          <w:szCs w:val="32"/>
        </w:rPr>
        <w:t>位于衡东县杨林镇杨林村，地理坐标为E113°07′19.75″，N 26°57′19.71″，排污口性质为城镇生活污水处理厂排污口，排放方式为连续排放，受纳水体段属于洣水攸县～衡东保留区</w:t>
      </w:r>
      <w:r>
        <w:rPr>
          <w:rFonts w:hint="eastAsia" w:ascii="方正仿宋_GBK" w:hAnsi="方正仿宋_GBK" w:eastAsia="方正仿宋_GBK" w:cs="方正仿宋_GBK"/>
          <w:snapToGrid w:val="0"/>
          <w:kern w:val="21"/>
          <w:sz w:val="32"/>
          <w:szCs w:val="32"/>
          <w:lang w:eastAsia="zh-CN"/>
        </w:rPr>
        <w:t>。我厅</w:t>
      </w:r>
      <w:r>
        <w:rPr>
          <w:rFonts w:ascii="方正仿宋_GBK" w:hAnsi="方正仿宋_GBK" w:eastAsia="方正仿宋_GBK" w:cs="方正仿宋_GBK"/>
          <w:snapToGrid w:val="0"/>
          <w:kern w:val="21"/>
          <w:sz w:val="32"/>
          <w:szCs w:val="32"/>
        </w:rPr>
        <w:t>同意</w:t>
      </w:r>
      <w:r>
        <w:rPr>
          <w:rFonts w:hint="eastAsia" w:ascii="方正仿宋_GBK" w:hAnsi="方正仿宋_GBK" w:eastAsia="方正仿宋_GBK" w:cs="方正仿宋_GBK"/>
          <w:snapToGrid w:val="0"/>
          <w:kern w:val="21"/>
          <w:sz w:val="32"/>
          <w:szCs w:val="32"/>
          <w:lang w:eastAsia="zh-CN"/>
        </w:rPr>
        <w:t>该污水处理厂</w:t>
      </w:r>
      <w:r>
        <w:rPr>
          <w:rFonts w:ascii="方正仿宋_GBK" w:hAnsi="方正仿宋_GBK" w:eastAsia="方正仿宋_GBK" w:cs="方正仿宋_GBK"/>
          <w:snapToGrid w:val="0"/>
          <w:kern w:val="21"/>
          <w:sz w:val="32"/>
          <w:szCs w:val="32"/>
        </w:rPr>
        <w:t>处理达标后的尾水</w:t>
      </w:r>
      <w:r>
        <w:rPr>
          <w:rFonts w:hint="eastAsia" w:ascii="方正仿宋_GBK" w:hAnsi="方正仿宋_GBK" w:eastAsia="方正仿宋_GBK" w:cs="方正仿宋_GBK"/>
          <w:snapToGrid w:val="0"/>
          <w:kern w:val="21"/>
          <w:sz w:val="32"/>
          <w:szCs w:val="32"/>
          <w:lang w:eastAsia="zh-CN"/>
        </w:rPr>
        <w:t>通过该排污口</w:t>
      </w:r>
      <w:r>
        <w:rPr>
          <w:rFonts w:ascii="方正仿宋_GBK" w:hAnsi="方正仿宋_GBK" w:eastAsia="方正仿宋_GBK" w:cs="方正仿宋_GBK"/>
          <w:snapToGrid w:val="0"/>
          <w:kern w:val="21"/>
          <w:sz w:val="32"/>
          <w:szCs w:val="32"/>
        </w:rPr>
        <w:t>排入厂区东侧洣水河。</w:t>
      </w:r>
    </w:p>
    <w:p>
      <w:pPr>
        <w:pStyle w:val="2"/>
        <w:adjustRightInd w:val="0"/>
        <w:snapToGrid w:val="0"/>
        <w:spacing w:after="0" w:line="580" w:lineRule="exact"/>
        <w:ind w:firstLine="636" w:firstLineChars="200"/>
        <w:rPr>
          <w:rFonts w:hint="eastAsia" w:ascii="方正仿宋_GBK" w:hAnsi="方正仿宋_GBK" w:eastAsia="方正仿宋_GBK" w:cs="方正仿宋_GBK"/>
          <w:snapToGrid w:val="0"/>
          <w:kern w:val="21"/>
          <w:sz w:val="32"/>
          <w:szCs w:val="32"/>
        </w:rPr>
      </w:pPr>
      <w:r>
        <w:rPr>
          <w:rFonts w:hint="eastAsia" w:ascii="方正仿宋_GBK" w:hAnsi="方正仿宋_GBK" w:eastAsia="方正仿宋_GBK" w:cs="方正仿宋_GBK"/>
          <w:snapToGrid w:val="0"/>
          <w:kern w:val="21"/>
          <w:sz w:val="32"/>
          <w:szCs w:val="32"/>
        </w:rPr>
        <w:t>二、该入河排污口废水排放量不超过1000m</w:t>
      </w:r>
      <w:r>
        <w:rPr>
          <w:rFonts w:hint="eastAsia" w:ascii="方正仿宋_GBK" w:hAnsi="方正仿宋_GBK" w:eastAsia="方正仿宋_GBK" w:cs="方正仿宋_GBK"/>
          <w:snapToGrid w:val="0"/>
          <w:kern w:val="21"/>
          <w:sz w:val="32"/>
          <w:szCs w:val="32"/>
          <w:vertAlign w:val="superscript"/>
        </w:rPr>
        <w:t>3</w:t>
      </w:r>
      <w:r>
        <w:rPr>
          <w:rFonts w:hint="eastAsia" w:ascii="方正仿宋_GBK" w:hAnsi="方正仿宋_GBK" w:eastAsia="方正仿宋_GBK" w:cs="方正仿宋_GBK"/>
          <w:snapToGrid w:val="0"/>
          <w:kern w:val="21"/>
          <w:sz w:val="32"/>
          <w:szCs w:val="32"/>
        </w:rPr>
        <w:t>/d，出水化学需氧量、氨氮、生化需氧量、总氮和总磷执行《城镇污水处理厂污染物排放标准》（GB18918-2002）中一级B标准。</w:t>
      </w:r>
    </w:p>
    <w:p>
      <w:pPr>
        <w:pStyle w:val="2"/>
        <w:adjustRightInd w:val="0"/>
        <w:snapToGrid w:val="0"/>
        <w:spacing w:after="0" w:line="580" w:lineRule="exact"/>
        <w:ind w:firstLine="636" w:firstLineChars="200"/>
        <w:rPr>
          <w:rFonts w:hint="eastAsia" w:ascii="方正仿宋_GBK" w:hAnsi="方正仿宋_GBK" w:eastAsia="方正仿宋_GBK" w:cs="方正仿宋_GBK"/>
          <w:snapToGrid w:val="0"/>
          <w:kern w:val="21"/>
          <w:sz w:val="32"/>
          <w:szCs w:val="32"/>
        </w:rPr>
      </w:pPr>
      <w:r>
        <w:rPr>
          <w:rFonts w:hint="eastAsia" w:ascii="方正仿宋_GBK" w:hAnsi="方正仿宋_GBK" w:eastAsia="方正仿宋_GBK" w:cs="方正仿宋_GBK"/>
          <w:snapToGrid w:val="0"/>
          <w:kern w:val="21"/>
          <w:sz w:val="32"/>
          <w:szCs w:val="32"/>
        </w:rPr>
        <w:t>三、</w:t>
      </w:r>
      <w:r>
        <w:rPr>
          <w:rFonts w:hint="eastAsia" w:ascii="方正仿宋_GBK" w:hAnsi="方正仿宋_GBK" w:eastAsia="方正仿宋_GBK" w:cs="方正仿宋_GBK"/>
          <w:snapToGrid w:val="0"/>
          <w:kern w:val="21"/>
          <w:sz w:val="32"/>
          <w:szCs w:val="32"/>
          <w:lang w:eastAsia="zh-CN"/>
        </w:rPr>
        <w:t>该入河</w:t>
      </w:r>
      <w:r>
        <w:rPr>
          <w:rFonts w:hint="eastAsia" w:ascii="方正仿宋_GBK" w:hAnsi="方正仿宋_GBK" w:eastAsia="方正仿宋_GBK" w:cs="方正仿宋_GBK"/>
          <w:snapToGrid w:val="0"/>
          <w:kern w:val="21"/>
          <w:sz w:val="32"/>
          <w:szCs w:val="32"/>
        </w:rPr>
        <w:t>排污口位于衡东洣水国家湿地公园范围内。经技术论证，认为正常情况下，</w:t>
      </w:r>
      <w:r>
        <w:rPr>
          <w:rFonts w:hint="eastAsia" w:ascii="方正仿宋_GBK" w:hAnsi="方正仿宋_GBK" w:eastAsia="方正仿宋_GBK" w:cs="方正仿宋_GBK"/>
          <w:snapToGrid w:val="0"/>
          <w:kern w:val="21"/>
          <w:sz w:val="32"/>
          <w:szCs w:val="32"/>
          <w:lang w:eastAsia="zh-CN"/>
        </w:rPr>
        <w:t>该污水处理厂的建设能</w:t>
      </w:r>
      <w:r>
        <w:rPr>
          <w:rFonts w:hint="eastAsia" w:ascii="方正仿宋_GBK" w:hAnsi="方正仿宋_GBK" w:eastAsia="方正仿宋_GBK" w:cs="方正仿宋_GBK"/>
          <w:snapToGrid w:val="0"/>
          <w:kern w:val="21"/>
          <w:sz w:val="32"/>
          <w:szCs w:val="32"/>
        </w:rPr>
        <w:t>改善衡东洣水国家湿地公园水生态环境。</w:t>
      </w:r>
    </w:p>
    <w:p>
      <w:pPr>
        <w:pStyle w:val="2"/>
        <w:adjustRightInd w:val="0"/>
        <w:snapToGrid w:val="0"/>
        <w:spacing w:after="0" w:line="580" w:lineRule="exact"/>
        <w:ind w:firstLine="636" w:firstLineChars="200"/>
        <w:rPr>
          <w:rFonts w:hint="eastAsia" w:ascii="方正仿宋_GBK" w:hAnsi="方正仿宋_GBK" w:eastAsia="方正仿宋_GBK" w:cs="方正仿宋_GBK"/>
          <w:snapToGrid w:val="0"/>
          <w:kern w:val="21"/>
          <w:sz w:val="32"/>
          <w:szCs w:val="32"/>
        </w:rPr>
      </w:pPr>
      <w:r>
        <w:rPr>
          <w:rFonts w:hint="eastAsia" w:ascii="方正仿宋_GBK" w:hAnsi="方正仿宋_GBK" w:eastAsia="方正仿宋_GBK" w:cs="方正仿宋_GBK"/>
          <w:snapToGrid w:val="0"/>
          <w:kern w:val="21"/>
          <w:sz w:val="32"/>
          <w:szCs w:val="32"/>
        </w:rPr>
        <w:t>四、你单位要规范化建设入河排污口，按规范要求落实排污口标志牌、视频在线监控等相关设施，并落实相关监测要求，按要求向社会公开。</w:t>
      </w:r>
    </w:p>
    <w:p>
      <w:pPr>
        <w:pStyle w:val="2"/>
        <w:adjustRightInd w:val="0"/>
        <w:snapToGrid w:val="0"/>
        <w:spacing w:after="0" w:line="580" w:lineRule="exact"/>
        <w:ind w:firstLine="636" w:firstLineChars="200"/>
        <w:rPr>
          <w:rFonts w:hint="eastAsia" w:ascii="方正仿宋_GBK" w:hAnsi="方正仿宋_GBK" w:eastAsia="方正仿宋_GBK" w:cs="方正仿宋_GBK"/>
          <w:snapToGrid w:val="0"/>
          <w:kern w:val="21"/>
          <w:sz w:val="32"/>
          <w:szCs w:val="32"/>
        </w:rPr>
      </w:pPr>
      <w:r>
        <w:rPr>
          <w:rFonts w:hint="eastAsia" w:ascii="方正仿宋_GBK" w:hAnsi="方正仿宋_GBK" w:eastAsia="方正仿宋_GBK" w:cs="方正仿宋_GBK"/>
          <w:snapToGrid w:val="0"/>
          <w:kern w:val="21"/>
          <w:sz w:val="32"/>
          <w:szCs w:val="32"/>
        </w:rPr>
        <w:t>五、你单位要严格落实环评报告及批复、竣工环保验收、本入河排污口设置论证报告提出的各项污染防治措施、环境风险应急措施及生态影响减缓措施，确保污水处理厂长期稳定运行、污染物达标排放，切实加强湿地保护，确保排污口下游水质及水生态安全。</w:t>
      </w:r>
    </w:p>
    <w:p>
      <w:pPr>
        <w:pStyle w:val="2"/>
        <w:adjustRightInd w:val="0"/>
        <w:snapToGrid w:val="0"/>
        <w:spacing w:after="0" w:line="580" w:lineRule="exact"/>
        <w:ind w:firstLine="636" w:firstLineChars="200"/>
        <w:rPr>
          <w:rFonts w:hint="eastAsia" w:ascii="方正仿宋_GBK" w:hAnsi="方正仿宋_GBK" w:eastAsia="方正仿宋_GBK" w:cs="方正仿宋_GBK"/>
          <w:snapToGrid w:val="0"/>
          <w:kern w:val="21"/>
          <w:sz w:val="32"/>
          <w:szCs w:val="32"/>
        </w:rPr>
      </w:pPr>
      <w:r>
        <w:rPr>
          <w:rFonts w:hint="eastAsia" w:ascii="方正仿宋_GBK" w:hAnsi="方正仿宋_GBK" w:eastAsia="方正仿宋_GBK" w:cs="方正仿宋_GBK"/>
          <w:snapToGrid w:val="0"/>
          <w:kern w:val="21"/>
          <w:sz w:val="32"/>
          <w:szCs w:val="32"/>
        </w:rPr>
        <w:t>六、你单位应结合实际，不断改进、优化事故分级响应和应急处置预案，提升环境管理水平，切实加强风险应急措施及风险源管控,做好应急演练和外排污水监测，防止污染事故的发生。特殊情况下，你单位应服从具有管理权限部门依法作出的入河排污限制决定。</w:t>
      </w:r>
    </w:p>
    <w:p>
      <w:pPr>
        <w:pStyle w:val="2"/>
        <w:adjustRightInd w:val="0"/>
        <w:snapToGrid w:val="0"/>
        <w:spacing w:after="0" w:line="580" w:lineRule="exact"/>
        <w:ind w:firstLine="636" w:firstLineChars="200"/>
        <w:rPr>
          <w:rFonts w:hint="eastAsia" w:ascii="方正仿宋_GBK" w:hAnsi="方正仿宋_GBK" w:eastAsia="方正仿宋_GBK" w:cs="方正仿宋_GBK"/>
          <w:snapToGrid w:val="0"/>
          <w:kern w:val="21"/>
          <w:sz w:val="32"/>
          <w:szCs w:val="32"/>
        </w:rPr>
      </w:pPr>
      <w:r>
        <w:rPr>
          <w:rFonts w:hint="eastAsia" w:ascii="方正仿宋_GBK" w:hAnsi="方正仿宋_GBK" w:eastAsia="方正仿宋_GBK" w:cs="方正仿宋_GBK"/>
          <w:snapToGrid w:val="0"/>
          <w:kern w:val="21"/>
          <w:sz w:val="32"/>
          <w:szCs w:val="32"/>
        </w:rPr>
        <w:t>七、你单位应及时按设置审批批复及《论证报告》要求落实相关措施，完善设置管理手续。该入河排污口设置经批准后，如果入河排污口位置、处理排放规模、采用的污水处理工艺等发生变化的，应按照有关规定重新进行入河排污口设置申请。</w:t>
      </w:r>
    </w:p>
    <w:p>
      <w:pPr>
        <w:pStyle w:val="2"/>
        <w:adjustRightInd w:val="0"/>
        <w:snapToGrid w:val="0"/>
        <w:spacing w:after="0" w:line="580" w:lineRule="exact"/>
        <w:ind w:firstLine="636" w:firstLineChars="200"/>
        <w:rPr>
          <w:rFonts w:hint="eastAsia" w:ascii="方正仿宋_GBK" w:hAnsi="方正仿宋_GBK" w:eastAsia="方正仿宋_GBK" w:cs="方正仿宋_GBK"/>
          <w:snapToGrid w:val="0"/>
          <w:kern w:val="21"/>
          <w:sz w:val="32"/>
          <w:szCs w:val="32"/>
        </w:rPr>
      </w:pPr>
      <w:r>
        <w:rPr>
          <w:rFonts w:hint="eastAsia" w:ascii="方正仿宋_GBK" w:hAnsi="方正仿宋_GBK" w:eastAsia="方正仿宋_GBK" w:cs="方正仿宋_GBK"/>
          <w:snapToGrid w:val="0"/>
          <w:kern w:val="21"/>
          <w:sz w:val="32"/>
          <w:szCs w:val="32"/>
        </w:rPr>
        <w:t>八、衡阳市生态环境局具体负责该排污口日常监督检查和管理工作，并将排污口设置批复及《论证报告》要求落实情况纳入日常监督检查。你单位应在收到本批复后的15个工作日内，将批复后的排污口设置论证报告等相关文件送至衡阳市生态环境局，并按规定接受日常监督检查和管理。</w:t>
      </w:r>
    </w:p>
    <w:p>
      <w:pPr>
        <w:pStyle w:val="2"/>
        <w:adjustRightInd w:val="0"/>
        <w:snapToGrid w:val="0"/>
        <w:spacing w:after="0" w:line="580" w:lineRule="exact"/>
        <w:ind w:firstLine="636" w:firstLineChars="200"/>
        <w:rPr>
          <w:rFonts w:hint="eastAsia" w:ascii="方正仿宋_GBK" w:hAnsi="方正仿宋_GBK" w:eastAsia="方正仿宋_GBK" w:cs="方正仿宋_GBK"/>
          <w:snapToGrid w:val="0"/>
          <w:kern w:val="21"/>
          <w:sz w:val="32"/>
          <w:szCs w:val="32"/>
        </w:rPr>
      </w:pPr>
      <w:r>
        <w:rPr>
          <w:rFonts w:hint="eastAsia" w:ascii="方正仿宋_GBK" w:hAnsi="方正仿宋_GBK" w:eastAsia="方正仿宋_GBK" w:cs="方正仿宋_GBK"/>
          <w:snapToGrid w:val="0"/>
          <w:kern w:val="21"/>
          <w:sz w:val="32"/>
          <w:szCs w:val="32"/>
        </w:rPr>
        <w:t>九、国家、省级层面有新的规定文件出台，按新的规定及要求执行。</w:t>
      </w:r>
    </w:p>
    <w:p>
      <w:pPr>
        <w:pStyle w:val="2"/>
        <w:adjustRightInd w:val="0"/>
        <w:snapToGrid w:val="0"/>
        <w:spacing w:after="0" w:line="580" w:lineRule="exact"/>
        <w:ind w:firstLine="636" w:firstLineChars="200"/>
        <w:rPr>
          <w:rFonts w:hint="eastAsia" w:ascii="方正仿宋_GBK" w:hAnsi="方正仿宋_GBK" w:eastAsia="方正仿宋_GBK" w:cs="方正仿宋_GBK"/>
          <w:snapToGrid w:val="0"/>
          <w:kern w:val="21"/>
          <w:sz w:val="32"/>
          <w:szCs w:val="32"/>
        </w:rPr>
      </w:pPr>
      <w:r>
        <w:rPr>
          <w:rFonts w:hint="eastAsia" w:ascii="方正仿宋_GBK" w:hAnsi="方正仿宋_GBK" w:eastAsia="方正仿宋_GBK" w:cs="方正仿宋_GBK"/>
          <w:snapToGrid w:val="0"/>
          <w:kern w:val="21"/>
          <w:sz w:val="32"/>
          <w:szCs w:val="32"/>
        </w:rPr>
        <w:t>你单位如对本批复不服，可以在收到决定书之日起六十日内依法向湖南省人民政府申请行政复议，或者六个月内向长沙铁路运输法院提起行政诉讼。</w:t>
      </w:r>
    </w:p>
    <w:p>
      <w:pPr>
        <w:pStyle w:val="2"/>
        <w:adjustRightInd w:val="0"/>
        <w:snapToGrid w:val="0"/>
        <w:spacing w:after="0" w:line="580" w:lineRule="exact"/>
        <w:ind w:firstLine="636" w:firstLineChars="200"/>
        <w:rPr>
          <w:rFonts w:hint="eastAsia" w:ascii="方正仿宋_GBK" w:hAnsi="方正仿宋_GBK" w:eastAsia="方正仿宋_GBK" w:cs="方正仿宋_GBK"/>
          <w:snapToGrid w:val="0"/>
          <w:kern w:val="21"/>
          <w:sz w:val="32"/>
          <w:szCs w:val="32"/>
        </w:rPr>
      </w:pPr>
    </w:p>
    <w:p>
      <w:pPr>
        <w:pStyle w:val="2"/>
        <w:adjustRightInd w:val="0"/>
        <w:snapToGrid w:val="0"/>
        <w:spacing w:after="0" w:line="580" w:lineRule="exact"/>
        <w:ind w:firstLine="636" w:firstLineChars="200"/>
        <w:rPr>
          <w:rFonts w:hint="eastAsia" w:ascii="方正仿宋_GBK" w:hAnsi="方正仿宋_GBK" w:eastAsia="方正仿宋_GBK" w:cs="方正仿宋_GBK"/>
          <w:snapToGrid w:val="0"/>
          <w:kern w:val="21"/>
          <w:sz w:val="32"/>
          <w:szCs w:val="32"/>
        </w:rPr>
      </w:pPr>
    </w:p>
    <w:p>
      <w:pPr>
        <w:adjustRightInd w:val="0"/>
        <w:snapToGrid w:val="0"/>
        <w:spacing w:after="0" w:line="580" w:lineRule="exact"/>
        <w:ind w:firstLine="5088" w:firstLineChars="1600"/>
        <w:rPr>
          <w:rFonts w:hint="eastAsia" w:ascii="方正仿宋_GBK" w:hAnsi="方正仿宋_GBK" w:eastAsia="方正仿宋_GBK" w:cs="方正仿宋_GBK"/>
          <w:snapToGrid w:val="0"/>
          <w:kern w:val="21"/>
          <w:szCs w:val="32"/>
        </w:rPr>
      </w:pPr>
      <w:r>
        <w:rPr>
          <w:rFonts w:hint="eastAsia" w:ascii="方正仿宋_GBK" w:hAnsi="方正仿宋_GBK" w:eastAsia="方正仿宋_GBK" w:cs="方正仿宋_GBK"/>
          <w:snapToGrid w:val="0"/>
          <w:kern w:val="21"/>
          <w:szCs w:val="32"/>
        </w:rPr>
        <w:t>湖南省生态环境厅</w:t>
      </w:r>
    </w:p>
    <w:p>
      <w:pPr>
        <w:adjustRightInd w:val="0"/>
        <w:snapToGrid w:val="0"/>
        <w:spacing w:after="0" w:line="580" w:lineRule="exact"/>
        <w:ind w:firstLine="5088" w:firstLineChars="1600"/>
        <w:rPr>
          <w:rFonts w:hint="eastAsia" w:ascii="仿宋_GB2312" w:hAnsi="仿宋_GB2312" w:cs="仿宋_GB2312"/>
        </w:rPr>
      </w:pPr>
      <w:r>
        <w:rPr>
          <w:rFonts w:hint="eastAsia" w:ascii="方正仿宋_GBK" w:hAnsi="方正仿宋_GBK" w:eastAsia="方正仿宋_GBK" w:cs="方正仿宋_GBK"/>
          <w:snapToGrid w:val="0"/>
          <w:kern w:val="21"/>
          <w:szCs w:val="32"/>
        </w:rPr>
        <w:t>2024年12月</w:t>
      </w:r>
      <w:r>
        <w:rPr>
          <w:rFonts w:hint="eastAsia" w:ascii="方正仿宋_GBK" w:hAnsi="方正仿宋_GBK" w:eastAsia="方正仿宋_GBK" w:cs="方正仿宋_GBK"/>
          <w:snapToGrid w:val="0"/>
          <w:kern w:val="21"/>
          <w:szCs w:val="32"/>
          <w:lang w:val="en-US" w:eastAsia="zh-CN"/>
        </w:rPr>
        <w:t>20</w:t>
      </w:r>
      <w:r>
        <w:rPr>
          <w:rFonts w:hint="eastAsia" w:ascii="方正仿宋_GBK" w:hAnsi="方正仿宋_GBK" w:eastAsia="方正仿宋_GBK" w:cs="方正仿宋_GBK"/>
          <w:snapToGrid w:val="0"/>
          <w:kern w:val="21"/>
          <w:szCs w:val="32"/>
        </w:rPr>
        <w:t>日</w:t>
      </w:r>
    </w:p>
    <w:p>
      <w:pPr>
        <w:spacing w:after="0" w:line="540" w:lineRule="exact"/>
        <w:ind w:firstLine="5088" w:firstLineChars="1600"/>
        <w:rPr>
          <w:rFonts w:hint="eastAsia" w:ascii="仿宋_GB2312" w:hAnsi="仿宋_GB2312" w:cs="仿宋_GB2312"/>
        </w:rPr>
      </w:pPr>
    </w:p>
    <w:p>
      <w:pPr>
        <w:adjustRightInd w:val="0"/>
        <w:snapToGrid w:val="0"/>
        <w:spacing w:after="0" w:line="540" w:lineRule="exact"/>
        <w:rPr>
          <w:rFonts w:hint="eastAsia" w:ascii="仿宋_GB2312" w:hAnsi="仿宋_GB2312" w:cs="仿宋_GB2312"/>
          <w:kern w:val="0"/>
          <w:szCs w:val="32"/>
        </w:rPr>
      </w:pPr>
    </w:p>
    <w:bookmarkEnd w:id="1"/>
    <w:p>
      <w:pPr>
        <w:snapToGrid w:val="0"/>
        <w:spacing w:line="580" w:lineRule="exact"/>
        <w:jc w:val="center"/>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p>
      <w:pPr>
        <w:snapToGrid w:val="0"/>
        <w:spacing w:line="580" w:lineRule="exact"/>
        <w:rPr>
          <w:rFonts w:ascii="仿宋_GB2312" w:hAnsi="仿宋"/>
          <w:szCs w:val="32"/>
        </w:rPr>
      </w:pPr>
    </w:p>
    <w:tbl>
      <w:tblPr>
        <w:tblStyle w:val="8"/>
        <w:tblW w:w="91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4"/>
        <w:gridCol w:w="7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pPr>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抄送：</w:t>
            </w:r>
          </w:p>
        </w:tc>
        <w:tc>
          <w:tcPr>
            <w:tcW w:w="7733" w:type="dxa"/>
          </w:tcPr>
          <w:p>
            <w:pPr>
              <w:rPr>
                <w:rFonts w:hint="eastAsia" w:ascii="方正仿宋_GBK" w:hAnsi="方正仿宋_GBK" w:eastAsia="方正仿宋_GBK" w:cs="方正仿宋_GBK"/>
                <w:sz w:val="28"/>
                <w:szCs w:val="28"/>
              </w:rPr>
            </w:pPr>
            <w:bookmarkStart w:id="2" w:name="PO_CS"/>
            <w:bookmarkEnd w:id="2"/>
            <w:r>
              <w:rPr>
                <w:rFonts w:hint="eastAsia" w:ascii="方正仿宋_GBK" w:hAnsi="方正仿宋_GBK" w:eastAsia="方正仿宋_GBK" w:cs="方正仿宋_GBK"/>
                <w:kern w:val="0"/>
                <w:sz w:val="28"/>
                <w:szCs w:val="28"/>
              </w:rPr>
              <w:t>衡阳市生态环境局，衡阳市生态环境局衡东分局。</w:t>
            </w:r>
          </w:p>
        </w:tc>
      </w:tr>
    </w:tbl>
    <w:p>
      <w:pPr>
        <w:snapToGrid w:val="0"/>
        <w:spacing w:line="20" w:lineRule="exact"/>
        <w:rPr>
          <w:rFonts w:ascii="仿宋" w:hAnsi="仿宋" w:eastAsia="仿宋"/>
          <w:sz w:val="28"/>
          <w:szCs w:val="28"/>
        </w:rPr>
      </w:pPr>
    </w:p>
    <w:sectPr>
      <w:footerReference r:id="rId6" w:type="first"/>
      <w:headerReference r:id="rId3" w:type="default"/>
      <w:footerReference r:id="rId4" w:type="default"/>
      <w:footerReference r:id="rId5" w:type="even"/>
      <w:pgSz w:w="11906" w:h="16838"/>
      <w:pgMar w:top="1701" w:right="1474" w:bottom="1134" w:left="1531" w:header="851" w:footer="964" w:gutter="0"/>
      <w:pgNumType w:fmt="numberInDash" w:start="1"/>
      <w:cols w:space="425" w:num="1"/>
      <w:titlePg/>
      <w:docGrid w:type="linesAndChars" w:linePitch="636" w:char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7233"/>
        <w:tab w:val="right" w:pos="8901"/>
      </w:tabs>
      <w:wordWrap w:val="0"/>
      <w:jc w:val="right"/>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tabs>
                              <w:tab w:val="left" w:pos="7233"/>
                              <w:tab w:val="right" w:pos="8901"/>
                            </w:tabs>
                            <w:wordWrap w:val="0"/>
                            <w:jc w:val="right"/>
                          </w:pPr>
                          <w:r>
                            <w:rPr>
                              <w:rFonts w:ascii="宋体" w:hAnsi="宋体" w:eastAsia="宋体"/>
                              <w:sz w:val="28"/>
                              <w:szCs w:val="28"/>
                            </w:rPr>
                            <w:tab/>
                          </w:r>
                          <w:r>
                            <w:rPr>
                              <w:rFonts w:ascii="宋体" w:hAnsi="宋体" w:eastAsia="宋体"/>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 xml:space="preserve"> 3 -</w:t>
                          </w:r>
                          <w:r>
                            <w:rPr>
                              <w:rFonts w:hint="eastAsia" w:ascii="方正仿宋_GBK" w:hAnsi="方正仿宋_GBK" w:eastAsia="方正仿宋_GBK" w:cs="方正仿宋_GBK"/>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tabs>
                        <w:tab w:val="left" w:pos="7233"/>
                        <w:tab w:val="right" w:pos="8901"/>
                      </w:tabs>
                      <w:wordWrap w:val="0"/>
                      <w:jc w:val="right"/>
                    </w:pPr>
                    <w:r>
                      <w:rPr>
                        <w:rFonts w:ascii="宋体" w:hAnsi="宋体" w:eastAsia="宋体"/>
                        <w:sz w:val="28"/>
                        <w:szCs w:val="28"/>
                      </w:rPr>
                      <w:tab/>
                    </w:r>
                    <w:r>
                      <w:rPr>
                        <w:rFonts w:ascii="宋体" w:hAnsi="宋体" w:eastAsia="宋体"/>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 xml:space="preserve"> 3 -</w:t>
                    </w:r>
                    <w:r>
                      <w:rPr>
                        <w:rFonts w:hint="eastAsia" w:ascii="方正仿宋_GBK" w:hAnsi="方正仿宋_GBK" w:eastAsia="方正仿宋_GBK" w:cs="方正仿宋_GBK"/>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280" w:firstLineChars="100"/>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 xml:space="preserve"> 2 -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ind w:firstLine="280" w:firstLineChars="100"/>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 xml:space="preserve"> 2 -</w:t>
                    </w:r>
                    <w:r>
                      <w:rPr>
                        <w:rFonts w:hint="eastAsia" w:ascii="方正仿宋_GBK" w:hAnsi="方正仿宋_GBK" w:eastAsia="方正仿宋_GBK" w:cs="方正仿宋_GBK"/>
                        <w:sz w:val="28"/>
                        <w:szCs w:val="28"/>
                      </w:rPr>
                      <w:fldChar w:fldCharType="end"/>
                    </w:r>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9639" w:type="dxa"/>
      <w:jc w:val="center"/>
      <w:tblBorders>
        <w:top w:val="single" w:color="FF0000" w:sz="6"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0" w:type="dxa"/>
        <w:bottom w:w="0" w:type="dxa"/>
        <w:right w:w="28" w:type="dxa"/>
      </w:tblCellMar>
    </w:tblPr>
    <w:tblGrid>
      <w:gridCol w:w="9639"/>
    </w:tblGrid>
    <w:tr>
      <w:tblPrEx>
        <w:tblBorders>
          <w:top w:val="single" w:color="FF0000" w:sz="6" w:space="0"/>
          <w:left w:val="none" w:color="auto" w:sz="0" w:space="0"/>
          <w:bottom w:val="single" w:color="FF0000" w:sz="18" w:space="0"/>
          <w:right w:val="none" w:color="auto" w:sz="0" w:space="0"/>
          <w:insideH w:val="none" w:color="auto" w:sz="0" w:space="0"/>
          <w:insideV w:val="none" w:color="auto" w:sz="0" w:space="0"/>
        </w:tblBorders>
        <w:tblCellMar>
          <w:top w:w="0" w:type="dxa"/>
          <w:left w:w="0" w:type="dxa"/>
          <w:bottom w:w="0" w:type="dxa"/>
          <w:right w:w="28" w:type="dxa"/>
        </w:tblCellMar>
      </w:tblPrEx>
      <w:trPr>
        <w:trHeight w:val="20" w:hRule="atLeast"/>
        <w:jc w:val="center"/>
      </w:trPr>
      <w:tc>
        <w:tcPr>
          <w:tcW w:w="9639" w:type="dxa"/>
          <w:vAlign w:val="center"/>
        </w:tcPr>
        <w:p>
          <w:pPr>
            <w:snapToGrid w:val="0"/>
            <w:spacing w:line="40" w:lineRule="exact"/>
            <w:jc w:val="center"/>
            <w:rPr>
              <w:rFonts w:ascii="仿宋" w:hAnsi="仿宋" w:eastAsia="仿宋"/>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4"/>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p>
                      </w:txbxContent>
                    </v:textbox>
                  </v:shape>
                </w:pict>
              </mc:Fallback>
            </mc:AlternateContent>
          </w:r>
        </w:p>
      </w:tc>
    </w:tr>
  </w:tbl>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trackRevisions w:val="true"/>
  <w:documentProtection w:enforcement="0"/>
  <w:defaultTabStop w:val="420"/>
  <w:evenAndOddHeaders w:val="true"/>
  <w:drawingGridHorizontalSpacing w:val="159"/>
  <w:drawingGridVerticalSpacing w:val="3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CD"/>
    <w:rsid w:val="000018A4"/>
    <w:rsid w:val="0008116F"/>
    <w:rsid w:val="00096CA7"/>
    <w:rsid w:val="00113138"/>
    <w:rsid w:val="00127DB4"/>
    <w:rsid w:val="0013611A"/>
    <w:rsid w:val="0015189C"/>
    <w:rsid w:val="00274F99"/>
    <w:rsid w:val="0032353B"/>
    <w:rsid w:val="00344D90"/>
    <w:rsid w:val="0036090C"/>
    <w:rsid w:val="003A7105"/>
    <w:rsid w:val="003F1F5E"/>
    <w:rsid w:val="00437F51"/>
    <w:rsid w:val="004B2F2F"/>
    <w:rsid w:val="004C7089"/>
    <w:rsid w:val="00524CFA"/>
    <w:rsid w:val="00565A76"/>
    <w:rsid w:val="0058034D"/>
    <w:rsid w:val="00661170"/>
    <w:rsid w:val="006E2544"/>
    <w:rsid w:val="007519AE"/>
    <w:rsid w:val="007A344D"/>
    <w:rsid w:val="007B7838"/>
    <w:rsid w:val="00813A1A"/>
    <w:rsid w:val="008227CD"/>
    <w:rsid w:val="00891764"/>
    <w:rsid w:val="008F4EEE"/>
    <w:rsid w:val="0092036D"/>
    <w:rsid w:val="0095573C"/>
    <w:rsid w:val="00980A26"/>
    <w:rsid w:val="00986208"/>
    <w:rsid w:val="00986EC4"/>
    <w:rsid w:val="009E158F"/>
    <w:rsid w:val="009E3E73"/>
    <w:rsid w:val="00A27282"/>
    <w:rsid w:val="00A75841"/>
    <w:rsid w:val="00AB5B59"/>
    <w:rsid w:val="00AC1A6C"/>
    <w:rsid w:val="00AC7BC4"/>
    <w:rsid w:val="00B21D70"/>
    <w:rsid w:val="00B54EBE"/>
    <w:rsid w:val="00B73227"/>
    <w:rsid w:val="00BA595C"/>
    <w:rsid w:val="00BE3ECE"/>
    <w:rsid w:val="00C12C4E"/>
    <w:rsid w:val="00C5168F"/>
    <w:rsid w:val="00CC51EE"/>
    <w:rsid w:val="00D05766"/>
    <w:rsid w:val="00D07E63"/>
    <w:rsid w:val="00D33BDD"/>
    <w:rsid w:val="00D63CED"/>
    <w:rsid w:val="00D7308B"/>
    <w:rsid w:val="00DB2C73"/>
    <w:rsid w:val="00DE5B5F"/>
    <w:rsid w:val="00E12FE0"/>
    <w:rsid w:val="00E250DB"/>
    <w:rsid w:val="00EE13C7"/>
    <w:rsid w:val="00F37F4D"/>
    <w:rsid w:val="00F47020"/>
    <w:rsid w:val="00F7783E"/>
    <w:rsid w:val="00FA3326"/>
    <w:rsid w:val="2B4D7F3C"/>
    <w:rsid w:val="3C7AB1BB"/>
    <w:rsid w:val="3EFA0678"/>
    <w:rsid w:val="48000E1F"/>
    <w:rsid w:val="68C955F2"/>
    <w:rsid w:val="6D222129"/>
    <w:rsid w:val="7DFF6C6E"/>
    <w:rsid w:val="7E1F361D"/>
    <w:rsid w:val="BEDF417B"/>
    <w:rsid w:val="DBFF5497"/>
    <w:rsid w:val="DFBF1E5B"/>
    <w:rsid w:val="FF6A58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eastAsia="宋体"/>
      <w:sz w:val="21"/>
      <w:szCs w:val="24"/>
    </w:rPr>
  </w:style>
  <w:style w:type="paragraph" w:styleId="3">
    <w:name w:val="Balloon Text"/>
    <w:basedOn w:val="1"/>
    <w:link w:val="12"/>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table" w:styleId="8">
    <w:name w:val="Table Grid"/>
    <w:basedOn w:val="7"/>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0">
    <w:name w:val="页脚 Char"/>
    <w:basedOn w:val="9"/>
    <w:link w:val="4"/>
    <w:qFormat/>
    <w:uiPriority w:val="99"/>
    <w:rPr>
      <w:rFonts w:ascii="Times New Roman" w:hAnsi="Times New Roman" w:eastAsia="仿宋_GB2312" w:cs="Times New Roman"/>
      <w:sz w:val="18"/>
      <w:szCs w:val="20"/>
    </w:rPr>
  </w:style>
  <w:style w:type="character" w:customStyle="1" w:styleId="11">
    <w:name w:val="页眉 Char"/>
    <w:basedOn w:val="9"/>
    <w:link w:val="5"/>
    <w:qFormat/>
    <w:uiPriority w:val="0"/>
    <w:rPr>
      <w:rFonts w:ascii="Times New Roman" w:hAnsi="Times New Roman" w:eastAsia="仿宋_GB2312" w:cs="Times New Roman"/>
      <w:sz w:val="18"/>
      <w:szCs w:val="20"/>
    </w:rPr>
  </w:style>
  <w:style w:type="character" w:customStyle="1" w:styleId="12">
    <w:name w:val="批注框文本 Char"/>
    <w:basedOn w:val="9"/>
    <w:link w:val="3"/>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24</Words>
  <Characters>27</Characters>
  <Lines>13</Lines>
  <Paragraphs>10</Paragraphs>
  <TotalTime>0</TotalTime>
  <ScaleCrop>false</ScaleCrop>
  <LinksUpToDate>false</LinksUpToDate>
  <CharactersWithSpaces>41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2017-03-07T13:57:00Z</dcterms:created>
  <dc:creator>陈炼</dc:creator>
  <cp:lastModifiedBy>kylin</cp:lastModifiedBy>
  <cp:lastPrinted>2017-03-10T06:38:00Z</cp:lastPrinted>
  <dcterms:modified xsi:type="dcterms:W3CDTF">2025-05-20T15:04:47Z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