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D1F" w:rsidRDefault="00D47D1F" w:rsidP="00D47D1F">
      <w:pPr>
        <w:snapToGrid w:val="0"/>
        <w:spacing w:line="580" w:lineRule="exact"/>
        <w:rPr>
          <w:rFonts w:eastAsia="黑体" w:hAnsi="黑体"/>
        </w:rPr>
      </w:pPr>
      <w:bookmarkStart w:id="0" w:name="PO_JJCD"/>
      <w:bookmarkEnd w:id="0"/>
    </w:p>
    <w:p w:rsidR="00D47D1F" w:rsidRDefault="00D47D1F" w:rsidP="00D47D1F">
      <w:pPr>
        <w:snapToGrid w:val="0"/>
        <w:rPr>
          <w:rFonts w:eastAsia="黑体"/>
        </w:rPr>
      </w:pPr>
    </w:p>
    <w:p w:rsidR="00D47D1F" w:rsidRDefault="00D47D1F" w:rsidP="00D47D1F">
      <w:pPr>
        <w:snapToGrid w:val="0"/>
        <w:rPr>
          <w:rFonts w:eastAsia="黑体"/>
        </w:rPr>
      </w:pPr>
    </w:p>
    <w:p w:rsidR="00D47D1F" w:rsidRDefault="00D47D1F" w:rsidP="00D47D1F">
      <w:pPr>
        <w:snapToGrid w:val="0"/>
        <w:rPr>
          <w:rFonts w:eastAsia="黑体"/>
        </w:rPr>
      </w:pPr>
    </w:p>
    <w:p w:rsidR="00D47D1F" w:rsidRDefault="00D47D1F" w:rsidP="00D47D1F">
      <w:pPr>
        <w:snapToGrid w:val="0"/>
        <w:rPr>
          <w:rFonts w:eastAsia="黑体"/>
        </w:rPr>
      </w:pPr>
    </w:p>
    <w:p w:rsidR="00D47D1F" w:rsidRDefault="00D47D1F" w:rsidP="00D47D1F"/>
    <w:p w:rsidR="009703CE" w:rsidRPr="007075FE" w:rsidRDefault="00D92FBE" w:rsidP="00A349C0">
      <w:pPr>
        <w:spacing w:afterLines="20"/>
        <w:jc w:val="center"/>
        <w:rPr>
          <w:rFonts w:ascii="仿宋_GB2312"/>
        </w:rPr>
      </w:pPr>
      <w:bookmarkStart w:id="1" w:name="PO_WH"/>
      <w:r>
        <w:rPr>
          <w:rFonts w:ascii="仿宋_GB2312" w:hint="eastAsia"/>
          <w:szCs w:val="32"/>
        </w:rPr>
        <w:t>湘环评〔2017〕65号</w:t>
      </w:r>
      <w:bookmarkEnd w:id="1"/>
    </w:p>
    <w:p w:rsidR="00D47D1F" w:rsidRPr="0021142F" w:rsidRDefault="00D92FBE" w:rsidP="007075FE">
      <w:pPr>
        <w:snapToGrid w:val="0"/>
        <w:spacing w:before="800" w:after="600" w:line="800" w:lineRule="exact"/>
        <w:jc w:val="center"/>
        <w:rPr>
          <w:rFonts w:ascii="方正小标宋_GBK" w:eastAsia="方正小标宋_GBK"/>
          <w:sz w:val="44"/>
          <w:szCs w:val="44"/>
        </w:rPr>
      </w:pPr>
      <w:bookmarkStart w:id="2" w:name="PO_BT"/>
      <w:r>
        <w:rPr>
          <w:rFonts w:ascii="方正小标宋_GBK" w:eastAsia="方正小标宋_GBK" w:hint="eastAsia"/>
          <w:sz w:val="44"/>
          <w:szCs w:val="44"/>
        </w:rPr>
        <w:t>湖南省环境保护厅</w:t>
      </w:r>
      <w:r>
        <w:rPr>
          <w:rFonts w:ascii="方正小标宋_GBK" w:eastAsia="方正小标宋_GBK"/>
          <w:sz w:val="44"/>
          <w:szCs w:val="44"/>
        </w:rPr>
        <w:br/>
      </w:r>
      <w:r>
        <w:rPr>
          <w:rFonts w:ascii="方正小标宋_GBK" w:eastAsia="方正小标宋_GBK" w:hint="eastAsia"/>
          <w:sz w:val="44"/>
          <w:szCs w:val="44"/>
        </w:rPr>
        <w:t>关于方广景区旅游基础设施项目（一期）</w:t>
      </w:r>
      <w:r>
        <w:rPr>
          <w:rFonts w:ascii="方正小标宋_GBK" w:eastAsia="方正小标宋_GBK"/>
          <w:sz w:val="44"/>
          <w:szCs w:val="44"/>
        </w:rPr>
        <w:br/>
      </w:r>
      <w:r>
        <w:rPr>
          <w:rFonts w:ascii="方正小标宋_GBK" w:eastAsia="方正小标宋_GBK" w:hint="eastAsia"/>
          <w:sz w:val="44"/>
          <w:szCs w:val="44"/>
        </w:rPr>
        <w:t>环境影响报告书的批复</w:t>
      </w:r>
      <w:bookmarkEnd w:id="2"/>
    </w:p>
    <w:p w:rsidR="00D47D1F" w:rsidRPr="00D92FBE" w:rsidRDefault="00D92FBE" w:rsidP="00046FFC">
      <w:pPr>
        <w:snapToGrid w:val="0"/>
        <w:spacing w:line="580" w:lineRule="exact"/>
        <w:rPr>
          <w:rFonts w:ascii="仿宋_GB2312" w:hAnsi="仿宋"/>
          <w:szCs w:val="32"/>
        </w:rPr>
      </w:pPr>
      <w:bookmarkStart w:id="3" w:name="PO_ZS"/>
      <w:r w:rsidRPr="00D92FBE">
        <w:rPr>
          <w:rFonts w:ascii="仿宋_GB2312" w:hAnsi="仿宋" w:hint="eastAsia"/>
          <w:szCs w:val="32"/>
        </w:rPr>
        <w:t>湖南福海旅游投资管理有限公司</w:t>
      </w:r>
      <w:bookmarkEnd w:id="3"/>
      <w:r w:rsidR="00D47D1F" w:rsidRPr="00D92FBE">
        <w:rPr>
          <w:rFonts w:ascii="仿宋_GB2312" w:hAnsi="仿宋" w:hint="eastAsia"/>
          <w:szCs w:val="32"/>
        </w:rPr>
        <w:t>：</w:t>
      </w:r>
    </w:p>
    <w:p w:rsidR="00D92FBE" w:rsidRPr="00D92FBE" w:rsidRDefault="00D92FBE" w:rsidP="00EA7EB1">
      <w:pPr>
        <w:spacing w:line="640" w:lineRule="exact"/>
        <w:ind w:firstLineChars="200" w:firstLine="636"/>
        <w:rPr>
          <w:rFonts w:ascii="仿宋_GB2312"/>
          <w:bCs/>
          <w:szCs w:val="32"/>
        </w:rPr>
      </w:pPr>
      <w:bookmarkStart w:id="4" w:name="main"/>
      <w:bookmarkStart w:id="5" w:name="PO_WORDZW"/>
      <w:bookmarkEnd w:id="4"/>
      <w:r w:rsidRPr="00D92FBE">
        <w:rPr>
          <w:rFonts w:ascii="仿宋_GB2312" w:hint="eastAsia"/>
          <w:bCs/>
          <w:szCs w:val="32"/>
        </w:rPr>
        <w:t>你单位《关于申请对&lt;方广景区旅游基础设施项目（一期）环境影响报告书&gt;批复的报告》(福海旅投</w:t>
      </w:r>
      <w:r w:rsidRPr="00D92FBE">
        <w:rPr>
          <w:rFonts w:ascii="仿宋_GB2312" w:hint="eastAsia"/>
          <w:szCs w:val="32"/>
        </w:rPr>
        <w:t>〔20</w:t>
      </w:r>
      <w:r w:rsidRPr="00D92FBE">
        <w:rPr>
          <w:rFonts w:ascii="仿宋_GB2312" w:hint="eastAsia"/>
        </w:rPr>
        <w:t>17〕15号)</w:t>
      </w:r>
      <w:r w:rsidRPr="00D92FBE">
        <w:rPr>
          <w:rFonts w:ascii="仿宋_GB2312" w:hint="eastAsia"/>
          <w:bCs/>
          <w:szCs w:val="32"/>
        </w:rPr>
        <w:t>、湖南省环境保护厅环境工程评估中心</w:t>
      </w:r>
      <w:r w:rsidRPr="00D92FBE">
        <w:rPr>
          <w:rFonts w:ascii="仿宋_GB2312" w:hint="eastAsia"/>
          <w:szCs w:val="32"/>
        </w:rPr>
        <w:t>关于《</w:t>
      </w:r>
      <w:r w:rsidRPr="00D92FBE">
        <w:rPr>
          <w:rFonts w:ascii="仿宋_GB2312" w:hint="eastAsia"/>
        </w:rPr>
        <w:t>方广景区旅游基础设施项目（一期）</w:t>
      </w:r>
      <w:r w:rsidRPr="00D92FBE">
        <w:rPr>
          <w:rFonts w:ascii="仿宋_GB2312" w:hint="eastAsia"/>
          <w:bCs/>
          <w:szCs w:val="32"/>
        </w:rPr>
        <w:t>环境影响报告书</w:t>
      </w:r>
      <w:r w:rsidRPr="00D92FBE">
        <w:rPr>
          <w:rFonts w:ascii="仿宋_GB2312" w:hint="eastAsia"/>
          <w:szCs w:val="32"/>
        </w:rPr>
        <w:t>技术评估报告》（湘环评估书〔20</w:t>
      </w:r>
      <w:r w:rsidRPr="00D92FBE">
        <w:rPr>
          <w:rFonts w:ascii="仿宋_GB2312" w:hint="eastAsia"/>
        </w:rPr>
        <w:t>17〕3号）、《</w:t>
      </w:r>
      <w:r w:rsidRPr="00D92FBE">
        <w:rPr>
          <w:rFonts w:ascii="仿宋_GB2312" w:hint="eastAsia"/>
          <w:szCs w:val="30"/>
        </w:rPr>
        <w:t>衡阳市环境保护局</w:t>
      </w:r>
      <w:r w:rsidRPr="00D92FBE">
        <w:rPr>
          <w:rFonts w:ascii="仿宋_GB2312" w:hint="eastAsia"/>
          <w:bCs/>
          <w:szCs w:val="32"/>
        </w:rPr>
        <w:t>关于&lt;方广景区旅游基础设施项目（一期）环境影响报告书&gt;</w:t>
      </w:r>
      <w:r w:rsidRPr="00D92FBE">
        <w:rPr>
          <w:rFonts w:ascii="仿宋_GB2312" w:hint="eastAsia"/>
          <w:szCs w:val="30"/>
        </w:rPr>
        <w:t>预审意见的函</w:t>
      </w:r>
      <w:r w:rsidRPr="00D92FBE">
        <w:rPr>
          <w:rFonts w:ascii="仿宋_GB2312" w:hint="eastAsia"/>
        </w:rPr>
        <w:t>》</w:t>
      </w:r>
      <w:r w:rsidRPr="00D92FBE">
        <w:rPr>
          <w:rFonts w:ascii="仿宋_GB2312" w:hint="eastAsia"/>
          <w:bCs/>
          <w:szCs w:val="32"/>
        </w:rPr>
        <w:t>（衡环函</w:t>
      </w:r>
      <w:r w:rsidRPr="00D92FBE">
        <w:rPr>
          <w:rFonts w:ascii="仿宋_GB2312" w:hint="eastAsia"/>
          <w:szCs w:val="32"/>
        </w:rPr>
        <w:t>〔20</w:t>
      </w:r>
      <w:r w:rsidRPr="00D92FBE">
        <w:rPr>
          <w:rFonts w:ascii="仿宋_GB2312" w:hint="eastAsia"/>
        </w:rPr>
        <w:t>17〕304号</w:t>
      </w:r>
      <w:r w:rsidRPr="00D92FBE">
        <w:rPr>
          <w:rFonts w:ascii="仿宋_GB2312" w:hint="eastAsia"/>
          <w:bCs/>
          <w:szCs w:val="32"/>
        </w:rPr>
        <w:t>）</w:t>
      </w:r>
      <w:r w:rsidRPr="00D92FBE">
        <w:rPr>
          <w:rFonts w:ascii="仿宋_GB2312" w:hint="eastAsia"/>
        </w:rPr>
        <w:t>及相</w:t>
      </w:r>
      <w:r w:rsidRPr="00D92FBE">
        <w:rPr>
          <w:rFonts w:ascii="仿宋_GB2312" w:hint="eastAsia"/>
          <w:szCs w:val="32"/>
        </w:rPr>
        <w:t>关附件收悉。经研究，现批复如下：</w:t>
      </w:r>
    </w:p>
    <w:p w:rsidR="00D92FBE" w:rsidRPr="00D92FBE" w:rsidRDefault="00D92FBE" w:rsidP="00D329E5">
      <w:pPr>
        <w:spacing w:line="640" w:lineRule="exact"/>
        <w:ind w:firstLineChars="200" w:firstLine="636"/>
        <w:rPr>
          <w:rFonts w:ascii="仿宋_GB2312"/>
        </w:rPr>
      </w:pPr>
      <w:r w:rsidRPr="00D92FBE">
        <w:rPr>
          <w:rFonts w:ascii="仿宋_GB2312" w:hint="eastAsia"/>
          <w:bCs/>
          <w:szCs w:val="32"/>
        </w:rPr>
        <w:t>方广景区旅游基础设施项目（一期）位于</w:t>
      </w:r>
      <w:r w:rsidRPr="00D92FBE">
        <w:rPr>
          <w:rFonts w:ascii="仿宋_GB2312" w:hint="eastAsia"/>
        </w:rPr>
        <w:t>衡阳市南岳区寿岳</w:t>
      </w:r>
      <w:r w:rsidRPr="00D92FBE">
        <w:rPr>
          <w:rFonts w:ascii="仿宋_GB2312" w:hint="eastAsia"/>
        </w:rPr>
        <w:lastRenderedPageBreak/>
        <w:t>乡境内，项目区面积约10.88平方公里（16330亩），其中一期工程规划新增旅游服务设施占地约9760m</w:t>
      </w:r>
      <w:r w:rsidRPr="00D92FBE">
        <w:rPr>
          <w:rFonts w:ascii="仿宋_GB2312" w:hint="eastAsia"/>
          <w:vertAlign w:val="superscript"/>
        </w:rPr>
        <w:t>2</w:t>
      </w:r>
      <w:r w:rsidRPr="00D92FBE">
        <w:rPr>
          <w:rFonts w:ascii="仿宋_GB2312" w:hint="eastAsia"/>
        </w:rPr>
        <w:t>，项目规划总建筑面积29600m</w:t>
      </w:r>
      <w:r w:rsidRPr="00D92FBE">
        <w:rPr>
          <w:rFonts w:ascii="仿宋_GB2312" w:hint="eastAsia"/>
          <w:vertAlign w:val="superscript"/>
        </w:rPr>
        <w:t>2</w:t>
      </w:r>
      <w:r w:rsidRPr="00D92FBE">
        <w:rPr>
          <w:rFonts w:ascii="仿宋_GB2312" w:hint="eastAsia"/>
        </w:rPr>
        <w:t>，主要建设内容包括基础设施、旅游服务设施、公用设施、自然景观开发和辅助系统及设备等。项目</w:t>
      </w:r>
      <w:r w:rsidRPr="00D92FBE">
        <w:rPr>
          <w:rFonts w:ascii="仿宋_GB2312" w:hint="eastAsia"/>
          <w:bCs/>
          <w:lang w:val="zh-CN"/>
        </w:rPr>
        <w:t>计划建设周期为24个月，</w:t>
      </w:r>
      <w:r w:rsidRPr="00D92FBE">
        <w:rPr>
          <w:rFonts w:ascii="仿宋_GB2312" w:hint="eastAsia"/>
        </w:rPr>
        <w:t>总投资额估算为</w:t>
      </w:r>
      <w:r w:rsidRPr="00D92FBE">
        <w:rPr>
          <w:rFonts w:ascii="仿宋_GB2312" w:hint="eastAsia"/>
          <w:bCs/>
        </w:rPr>
        <w:t>45263</w:t>
      </w:r>
      <w:r w:rsidRPr="00D92FBE">
        <w:rPr>
          <w:rFonts w:ascii="仿宋_GB2312" w:hint="eastAsia"/>
          <w:bCs/>
          <w:lang w:val="zh-CN"/>
        </w:rPr>
        <w:t>万元。</w:t>
      </w:r>
      <w:r w:rsidRPr="00D92FBE">
        <w:rPr>
          <w:rFonts w:ascii="仿宋_GB2312" w:hint="eastAsia"/>
          <w:spacing w:val="4"/>
          <w:szCs w:val="32"/>
        </w:rPr>
        <w:t>其中环保投资1445万元，水土保持投资5598.19万元（包含植物措施费1721.75万元）。环保投资占工程总投资的3.19%。</w:t>
      </w:r>
    </w:p>
    <w:p w:rsidR="00D92FBE" w:rsidRPr="00D92FBE" w:rsidRDefault="00D92FBE" w:rsidP="006663F5">
      <w:pPr>
        <w:spacing w:line="640" w:lineRule="exact"/>
        <w:ind w:firstLineChars="200" w:firstLine="636"/>
        <w:rPr>
          <w:rFonts w:ascii="仿宋_GB2312"/>
          <w:bCs/>
          <w:szCs w:val="32"/>
        </w:rPr>
      </w:pPr>
      <w:r w:rsidRPr="00D92FBE">
        <w:rPr>
          <w:rFonts w:ascii="仿宋_GB2312" w:hint="eastAsia"/>
          <w:szCs w:val="32"/>
        </w:rPr>
        <w:t>二、项目建设符合国家产业政策，</w:t>
      </w:r>
      <w:r w:rsidRPr="00D92FBE">
        <w:rPr>
          <w:rFonts w:ascii="仿宋_GB2312" w:hint="eastAsia"/>
          <w:bCs/>
          <w:szCs w:val="32"/>
        </w:rPr>
        <w:t>基本符合《南岳衡山风景名胜区总体规划》、《南岳方广景区景乡统筹协调区详细规划》（2015</w:t>
      </w:r>
      <w:r w:rsidR="004A3760">
        <w:rPr>
          <w:rFonts w:ascii="仿宋_GB2312" w:hint="eastAsia"/>
          <w:bCs/>
          <w:szCs w:val="32"/>
        </w:rPr>
        <w:t>-</w:t>
      </w:r>
      <w:r w:rsidRPr="00D92FBE">
        <w:rPr>
          <w:rFonts w:ascii="仿宋_GB2312" w:hint="eastAsia"/>
          <w:bCs/>
          <w:szCs w:val="32"/>
        </w:rPr>
        <w:t>2020）的要求，项目建设已取得湖南南岳衡山国家级自然保护区管理局的立项批复（岳自管字</w:t>
      </w:r>
      <w:r w:rsidRPr="00D92FBE">
        <w:rPr>
          <w:rFonts w:ascii="仿宋_GB2312" w:hAnsi="华文仿宋" w:hint="eastAsia"/>
          <w:szCs w:val="32"/>
        </w:rPr>
        <w:t>〔2016〕</w:t>
      </w:r>
      <w:r w:rsidRPr="00D92FBE">
        <w:rPr>
          <w:rFonts w:ascii="仿宋_GB2312" w:hint="eastAsia"/>
          <w:bCs/>
          <w:szCs w:val="32"/>
        </w:rPr>
        <w:t>3号），</w:t>
      </w:r>
      <w:r w:rsidRPr="00D92FBE">
        <w:rPr>
          <w:rFonts w:ascii="仿宋_GB2312" w:hint="eastAsia"/>
          <w:szCs w:val="32"/>
        </w:rPr>
        <w:t>项目建设对改善</w:t>
      </w:r>
      <w:r w:rsidRPr="00D92FBE">
        <w:rPr>
          <w:rFonts w:ascii="仿宋_GB2312" w:cs="宋体" w:hint="eastAsia"/>
        </w:rPr>
        <w:t>方广景区基础设施条件和旅游环境，增强南岳衡山旅游服务功能，促进</w:t>
      </w:r>
      <w:r w:rsidRPr="00D92FBE">
        <w:rPr>
          <w:rFonts w:ascii="仿宋_GB2312" w:hint="eastAsia"/>
          <w:szCs w:val="32"/>
        </w:rPr>
        <w:t>区域旅游业发展具有积极意义。根据长沙市玺成工程技术咨询有限责任公司对该项目所做的环境影响报告书（以下简称“报告书”）的分析结论及</w:t>
      </w:r>
      <w:r w:rsidRPr="00D92FBE">
        <w:rPr>
          <w:rFonts w:ascii="仿宋_GB2312" w:hint="eastAsia"/>
          <w:szCs w:val="30"/>
        </w:rPr>
        <w:t>衡阳市环境保护局的预审意见，</w:t>
      </w:r>
      <w:r w:rsidRPr="00D92FBE">
        <w:rPr>
          <w:rFonts w:ascii="仿宋_GB2312" w:hint="eastAsia"/>
          <w:szCs w:val="32"/>
        </w:rPr>
        <w:t>在建设单位认真落实报告书中提出的各项污染防治、生态环境保护和风险防范措施的前提下，从环保的角度，我厅原则同意报告书中</w:t>
      </w:r>
      <w:r w:rsidRPr="00D92FBE">
        <w:rPr>
          <w:rFonts w:ascii="仿宋_GB2312" w:hAnsi="仿宋_GB2312" w:hint="eastAsia"/>
          <w:szCs w:val="32"/>
        </w:rPr>
        <w:t>所列工程内容以及采取的环境保护对策措施。</w:t>
      </w:r>
    </w:p>
    <w:p w:rsidR="00D92FBE" w:rsidRPr="00D92FBE" w:rsidRDefault="00D92FBE" w:rsidP="00087429">
      <w:pPr>
        <w:spacing w:line="640" w:lineRule="exact"/>
        <w:ind w:firstLineChars="200" w:firstLine="636"/>
        <w:rPr>
          <w:rFonts w:ascii="仿宋_GB2312"/>
          <w:szCs w:val="30"/>
        </w:rPr>
      </w:pPr>
      <w:r w:rsidRPr="00D92FBE">
        <w:rPr>
          <w:rFonts w:ascii="仿宋_GB2312" w:hint="eastAsia"/>
          <w:szCs w:val="32"/>
        </w:rPr>
        <w:t>三、项目位于湖南南岳衡山国家级自然保护区实验区范围内，生态环境敏感，你单位在项目建设和营运期间，</w:t>
      </w:r>
      <w:r w:rsidRPr="00D92FBE">
        <w:rPr>
          <w:rFonts w:ascii="仿宋_GB2312" w:hint="eastAsia"/>
          <w:szCs w:val="30"/>
        </w:rPr>
        <w:t>应严格落实报告</w:t>
      </w:r>
      <w:r w:rsidRPr="00D92FBE">
        <w:rPr>
          <w:rFonts w:ascii="仿宋_GB2312" w:hint="eastAsia"/>
          <w:szCs w:val="30"/>
        </w:rPr>
        <w:lastRenderedPageBreak/>
        <w:t>书中提出的污染防治和生态保护的措施，并重点做好以下工作：</w:t>
      </w:r>
    </w:p>
    <w:p w:rsidR="004A3760" w:rsidRDefault="00D92FBE" w:rsidP="005B00E2">
      <w:pPr>
        <w:pStyle w:val="a6"/>
        <w:spacing w:line="640" w:lineRule="exact"/>
        <w:ind w:firstLine="636"/>
        <w:rPr>
          <w:rFonts w:ascii="仿宋_GB2312"/>
          <w:bCs/>
          <w:szCs w:val="32"/>
        </w:rPr>
      </w:pPr>
      <w:r w:rsidRPr="00D92FBE">
        <w:rPr>
          <w:rFonts w:ascii="仿宋_GB2312" w:hint="eastAsia"/>
          <w:szCs w:val="32"/>
        </w:rPr>
        <w:t xml:space="preserve">1. </w:t>
      </w:r>
      <w:r w:rsidR="004A3760" w:rsidRPr="00D270FD">
        <w:rPr>
          <w:rFonts w:ascii="仿宋_GB2312" w:hint="eastAsia"/>
          <w:bCs/>
          <w:szCs w:val="32"/>
        </w:rPr>
        <w:t>项目具体建设内容应符合批复后的《湖南南岳衡山</w:t>
      </w:r>
      <w:r w:rsidR="004A3760">
        <w:rPr>
          <w:rFonts w:ascii="仿宋_GB2312" w:hint="eastAsia"/>
          <w:bCs/>
          <w:szCs w:val="32"/>
        </w:rPr>
        <w:t>国家级</w:t>
      </w:r>
      <w:r w:rsidR="004A3760" w:rsidRPr="00D270FD">
        <w:rPr>
          <w:rFonts w:ascii="仿宋_GB2312" w:hint="eastAsia"/>
          <w:bCs/>
          <w:szCs w:val="32"/>
        </w:rPr>
        <w:t>自然保护区总体规划》（修编）</w:t>
      </w:r>
      <w:r w:rsidR="004A3760">
        <w:rPr>
          <w:rFonts w:ascii="仿宋_GB2312" w:hint="eastAsia"/>
          <w:bCs/>
          <w:szCs w:val="32"/>
        </w:rPr>
        <w:t>的要求</w:t>
      </w:r>
      <w:r w:rsidR="004A3760" w:rsidRPr="00D270FD">
        <w:rPr>
          <w:rFonts w:ascii="仿宋_GB2312" w:hint="eastAsia"/>
          <w:bCs/>
          <w:szCs w:val="32"/>
        </w:rPr>
        <w:t>。</w:t>
      </w:r>
    </w:p>
    <w:p w:rsidR="00D92FBE" w:rsidRPr="005B00E2" w:rsidRDefault="004A3760" w:rsidP="005B00E2">
      <w:pPr>
        <w:pStyle w:val="a6"/>
        <w:spacing w:line="640" w:lineRule="exact"/>
        <w:ind w:firstLine="636"/>
        <w:rPr>
          <w:rFonts w:ascii="仿宋_GB2312"/>
        </w:rPr>
      </w:pPr>
      <w:r>
        <w:rPr>
          <w:rFonts w:ascii="仿宋_GB2312" w:hint="eastAsia"/>
          <w:bCs/>
          <w:szCs w:val="32"/>
        </w:rPr>
        <w:t xml:space="preserve">2. </w:t>
      </w:r>
      <w:r w:rsidR="00D92FBE" w:rsidRPr="00D92FBE">
        <w:rPr>
          <w:rFonts w:ascii="仿宋_GB2312" w:hint="eastAsia"/>
          <w:szCs w:val="32"/>
        </w:rPr>
        <w:t>注重优化工程设计和布局。项目应严格遵守相关法律法规并</w:t>
      </w:r>
      <w:r w:rsidR="00D92FBE" w:rsidRPr="00D92FBE">
        <w:rPr>
          <w:rFonts w:ascii="仿宋_GB2312" w:hint="eastAsia"/>
          <w:kern w:val="0"/>
          <w:szCs w:val="32"/>
        </w:rPr>
        <w:t>按照南岳衡山国家级自然</w:t>
      </w:r>
      <w:r w:rsidR="00D92FBE" w:rsidRPr="00D92FBE">
        <w:rPr>
          <w:rFonts w:ascii="仿宋_GB2312" w:hAnsi="宋体" w:hint="eastAsia"/>
        </w:rPr>
        <w:t>保护区和可能影响的南岳衡山国家级风景名胜区</w:t>
      </w:r>
      <w:r w:rsidR="00D92FBE" w:rsidRPr="00D92FBE">
        <w:rPr>
          <w:rFonts w:ascii="仿宋_GB2312" w:hint="eastAsia"/>
        </w:rPr>
        <w:t>等敏感区域相关规划</w:t>
      </w:r>
      <w:r w:rsidR="00D92FBE" w:rsidRPr="00D92FBE">
        <w:rPr>
          <w:rFonts w:ascii="仿宋_GB2312" w:hint="eastAsia"/>
          <w:kern w:val="0"/>
          <w:szCs w:val="32"/>
        </w:rPr>
        <w:t>的</w:t>
      </w:r>
      <w:r w:rsidR="00D92FBE" w:rsidRPr="00D92FBE">
        <w:rPr>
          <w:rFonts w:ascii="仿宋_GB2312" w:hint="eastAsia"/>
          <w:szCs w:val="32"/>
        </w:rPr>
        <w:t>规定和控制要求进一步优化工程设计和布局，减少占用自然保护区面积，确保工程不占用自然保护区缓冲区和核心区。</w:t>
      </w:r>
      <w:r w:rsidR="00D92FBE" w:rsidRPr="00D92FBE">
        <w:rPr>
          <w:rFonts w:ascii="仿宋_GB2312" w:hint="eastAsia"/>
          <w:bCs/>
          <w:szCs w:val="32"/>
        </w:rPr>
        <w:t>在自然保护区内建设的设施必须严格按照既定的功能开展相关的旅游服务，不得擅自改变各建筑的用途及性质，严格禁止商业化、别墅化开发与建设</w:t>
      </w:r>
      <w:r w:rsidR="00D92FBE" w:rsidRPr="00D92FBE">
        <w:rPr>
          <w:rFonts w:ascii="仿宋_GB2312" w:hint="eastAsia"/>
          <w:szCs w:val="32"/>
        </w:rPr>
        <w:t>，</w:t>
      </w:r>
      <w:r w:rsidR="00D92FBE" w:rsidRPr="00D92FBE">
        <w:rPr>
          <w:rFonts w:ascii="仿宋_GB2312" w:hint="eastAsia"/>
        </w:rPr>
        <w:t>项目设施的风格、体量、高度、色彩应与自然保护区和风景名胜区生态环境和文化风貌协调相融，并按照报告书中所述的项目所有新建构筑物均不超过8米的要求开展建设，项目在获得上述敏感区域对应的主管部门认可意见前，不得开工建设。</w:t>
      </w:r>
    </w:p>
    <w:p w:rsidR="00D92FBE" w:rsidRPr="00D92FBE" w:rsidRDefault="004A3760" w:rsidP="00531E60">
      <w:pPr>
        <w:pStyle w:val="a6"/>
        <w:spacing w:line="640" w:lineRule="exact"/>
        <w:ind w:firstLine="636"/>
        <w:rPr>
          <w:rFonts w:ascii="仿宋_GB2312"/>
          <w:color w:val="FF0000"/>
        </w:rPr>
      </w:pPr>
      <w:r>
        <w:rPr>
          <w:rFonts w:ascii="仿宋_GB2312" w:hint="eastAsia"/>
        </w:rPr>
        <w:t>3</w:t>
      </w:r>
      <w:r w:rsidR="00D92FBE" w:rsidRPr="00D92FBE">
        <w:rPr>
          <w:rFonts w:ascii="仿宋_GB2312" w:hint="eastAsia"/>
        </w:rPr>
        <w:t>. 加强项目区域生态环境保护，做好项目区域生态保护工作，严格控制项目建设对自然保护区的影响；尽量降低项目建设对敏感区域生态环境的影响，严格禁止对自然保护区和风景名胜区内自然山体、水体和植被的破坏；严格控制施工区域，在已征地红线范围内施工，在重要的生态敏感区施工应优化施工组织方案，合理布置施工场地；工程取土、填挖方、弃渣应统筹安排，</w:t>
      </w:r>
      <w:r w:rsidR="00D92FBE" w:rsidRPr="00D92FBE">
        <w:rPr>
          <w:rFonts w:ascii="仿宋_GB2312" w:hint="eastAsia"/>
        </w:rPr>
        <w:lastRenderedPageBreak/>
        <w:t>做好土石方平衡，按有关部门批复的水土保持方案，做好本工程的水土保持工作，及时做好项目区域和周边的排水和植被恢复，防止水土流失；施工过程中不得砍伐或擅自移植古树名木，营运期应加强古树名木的保护措施，项目区域植被恢复应选用本地物种，避免外来物种入侵风险；避免在雨季、夜间以及动物繁殖和迁徙期施工，最大限度的减少水土流失和施工对敏感区域内动物生息的影响；项目运营后，应科学控制游客规模，划定游客活动范围，尽量降低敏感区域生态环境受影响的风险；按照报告书提出的要求，落实项目区域“以新带老”生态环保措施，</w:t>
      </w:r>
      <w:r w:rsidR="00D92FBE" w:rsidRPr="00D92FBE">
        <w:rPr>
          <w:rFonts w:ascii="仿宋_GB2312" w:hint="eastAsia"/>
          <w:bCs/>
          <w:szCs w:val="32"/>
        </w:rPr>
        <w:t>鉴于现有公路未硬化的路肩及坡面因砂化严重，水土难保持，部分路段甚至出现大量塌方，已对区域生态景观造成了严重破坏，建议工程建设时同步对区域已塌方路段进行生态景观恢复，对区域内其他砂化路段予以硬化或贴草皮，并完善排水系统，维护景区的景观协调。</w:t>
      </w:r>
    </w:p>
    <w:p w:rsidR="00D92FBE" w:rsidRPr="00D92FBE" w:rsidRDefault="004A3760" w:rsidP="00531E60">
      <w:pPr>
        <w:pStyle w:val="a6"/>
        <w:spacing w:line="640" w:lineRule="exact"/>
        <w:ind w:firstLine="636"/>
        <w:rPr>
          <w:rFonts w:ascii="仿宋_GB2312"/>
          <w:szCs w:val="32"/>
        </w:rPr>
      </w:pPr>
      <w:r>
        <w:rPr>
          <w:rFonts w:ascii="仿宋_GB2312" w:hint="eastAsia"/>
        </w:rPr>
        <w:t>4</w:t>
      </w:r>
      <w:r w:rsidR="00D92FBE" w:rsidRPr="00D92FBE">
        <w:rPr>
          <w:rFonts w:ascii="仿宋_GB2312" w:hint="eastAsia"/>
        </w:rPr>
        <w:t xml:space="preserve">. </w:t>
      </w:r>
      <w:r w:rsidR="00D92FBE" w:rsidRPr="00D92FBE">
        <w:rPr>
          <w:rFonts w:ascii="仿宋_GB2312" w:hint="eastAsia"/>
          <w:szCs w:val="32"/>
        </w:rPr>
        <w:t>做好施工期的污染防治工作。施工区各类废（污）水严禁在自然保护区内排放，按照报告书的建议，</w:t>
      </w:r>
      <w:r w:rsidR="00D92FBE" w:rsidRPr="00D92FBE">
        <w:rPr>
          <w:rFonts w:ascii="仿宋_GB2312" w:hint="eastAsia"/>
          <w:bCs/>
          <w:szCs w:val="32"/>
        </w:rPr>
        <w:t>项目建设期优先分区域建设污水收集管网和集中污水处理站（污水处理站不得建在自然保护区范围内），将施工期的生活污水和区域居民的生活污水尽早纳入污水处理站处理，保护自然保护区的地表水环境，确保自然保护区内不新增污染负荷</w:t>
      </w:r>
      <w:r w:rsidR="00D92FBE" w:rsidRPr="00D92FBE">
        <w:rPr>
          <w:rFonts w:ascii="仿宋_GB2312" w:hint="eastAsia"/>
          <w:szCs w:val="32"/>
        </w:rPr>
        <w:t>；施工材料不得露天堆放，必须覆</w:t>
      </w:r>
      <w:r w:rsidR="00D92FBE" w:rsidRPr="00D92FBE">
        <w:rPr>
          <w:rFonts w:ascii="仿宋_GB2312" w:hint="eastAsia"/>
          <w:szCs w:val="32"/>
        </w:rPr>
        <w:lastRenderedPageBreak/>
        <w:t>盖防风、防雨、防冲刷，施工区定期洒水抑尘；自然保护区和风景名胜区范围内严禁设置搅拌站、取、弃土场、渣场，严格落实施工期废弃渣土、建筑垃圾及生活垃圾的妥善处置工作；合理安排施工时间，严格控制施工机械噪声，根据实际需要在局部施工区配置临时性声屏障，施工期噪声应达到《建筑施工场界环境噪声排放标准》（GB12523-2011）中相应限值的要求，不得对周边环境保护目标产生影响；项目建设过程应设置专职环保管理人员，确保环境影响报告书中的各项环保措施落实到位，把工程对环境的不利影响降到最小程度。</w:t>
      </w:r>
    </w:p>
    <w:p w:rsidR="00D92FBE" w:rsidRPr="00D92FBE" w:rsidRDefault="004A3760" w:rsidP="002A6ECA">
      <w:pPr>
        <w:pStyle w:val="a6"/>
        <w:spacing w:line="640" w:lineRule="exact"/>
        <w:ind w:firstLine="636"/>
        <w:rPr>
          <w:rFonts w:ascii="仿宋_GB2312"/>
        </w:rPr>
      </w:pPr>
      <w:r>
        <w:rPr>
          <w:rFonts w:ascii="仿宋_GB2312" w:hint="eastAsia"/>
        </w:rPr>
        <w:t>5</w:t>
      </w:r>
      <w:r w:rsidR="00D92FBE" w:rsidRPr="00D92FBE">
        <w:rPr>
          <w:rFonts w:ascii="仿宋_GB2312" w:hint="eastAsia"/>
        </w:rPr>
        <w:t>. 做好营运期环境管理工作。营运期</w:t>
      </w:r>
      <w:r w:rsidR="00D92FBE" w:rsidRPr="00D92FBE">
        <w:rPr>
          <w:rFonts w:ascii="仿宋_GB2312" w:hint="eastAsia"/>
          <w:szCs w:val="32"/>
        </w:rPr>
        <w:t>排水实施“雨污分流”，按照报告书的建议，采用“以新带老”的方式将营运期生活污水和将当地居民（包括项目区外的居民）的生活污水一并纳入自然保护区外的污水处理厂统一处理，</w:t>
      </w:r>
      <w:r w:rsidR="00D92FBE" w:rsidRPr="00D92FBE">
        <w:rPr>
          <w:rFonts w:ascii="仿宋_GB2312" w:hint="eastAsia"/>
        </w:rPr>
        <w:t>生活污水应及时收集并处理达到《城镇污水处理厂污染物排放标准》（GB18918-2002）及其修改单表1中一级A标准，禁止在自然保护区范围内排放；项目区域应合理设置垃圾箱，生活垃圾应统一及时清运，不得污染自然保护区和其他敏感区域环境；项目不设置餐饮服务，环境空气执行《环境空气质量标准》（GB3095-2012）中的一级标准；游客车辆应统一管理，采用环保交通，</w:t>
      </w:r>
      <w:r w:rsidR="00D92FBE" w:rsidRPr="00D92FBE">
        <w:rPr>
          <w:rFonts w:ascii="仿宋_GB2312" w:hint="eastAsia"/>
          <w:szCs w:val="32"/>
        </w:rPr>
        <w:t>车辆限速禁鸣，确保景区声环境质</w:t>
      </w:r>
      <w:r w:rsidR="00D92FBE" w:rsidRPr="00D92FBE">
        <w:rPr>
          <w:rFonts w:ascii="仿宋_GB2312" w:hint="eastAsia"/>
          <w:szCs w:val="32"/>
        </w:rPr>
        <w:lastRenderedPageBreak/>
        <w:t>量满足《声环境质量标准》（GB3096-2008）中</w:t>
      </w:r>
      <w:r w:rsidR="00D92FBE" w:rsidRPr="00D92FBE">
        <w:rPr>
          <w:rFonts w:ascii="仿宋_GB2312" w:hint="eastAsia"/>
        </w:rPr>
        <w:t>1类标准要求</w:t>
      </w:r>
      <w:r w:rsidR="00D92FBE" w:rsidRPr="00D92FBE">
        <w:rPr>
          <w:rFonts w:ascii="仿宋_GB2312" w:hint="eastAsia"/>
          <w:szCs w:val="32"/>
        </w:rPr>
        <w:t>，做到噪声不扰民。</w:t>
      </w:r>
    </w:p>
    <w:p w:rsidR="00D92FBE" w:rsidRPr="00D92FBE" w:rsidRDefault="004A3760" w:rsidP="00B225ED">
      <w:pPr>
        <w:adjustRightInd w:val="0"/>
        <w:snapToGrid w:val="0"/>
        <w:spacing w:line="600" w:lineRule="exact"/>
        <w:ind w:firstLineChars="200" w:firstLine="636"/>
        <w:rPr>
          <w:rFonts w:ascii="仿宋_GB2312"/>
          <w:szCs w:val="32"/>
        </w:rPr>
      </w:pPr>
      <w:r>
        <w:rPr>
          <w:rFonts w:ascii="仿宋_GB2312" w:hint="eastAsia"/>
          <w:szCs w:val="32"/>
        </w:rPr>
        <w:t>6</w:t>
      </w:r>
      <w:r w:rsidR="00D92FBE" w:rsidRPr="00D92FBE">
        <w:rPr>
          <w:rFonts w:ascii="仿宋_GB2312" w:hint="eastAsia"/>
          <w:szCs w:val="32"/>
        </w:rPr>
        <w:t>. 加强环境管理，制定环境风险应急预案。落实环境保护投资与施工期、运营期环境管理与监测计划，在下一步项目设计、施工和运营各阶段进一步细化各项施工组织方案、环保措施及环保投资并落实，各阶段环保投资必须纳入工程投资概算，制定施工期和运营期环境风险应急预案，确保环境风险可控。</w:t>
      </w:r>
    </w:p>
    <w:p w:rsidR="00D92FBE" w:rsidRPr="00D92FBE" w:rsidRDefault="00D92FBE" w:rsidP="00087429">
      <w:pPr>
        <w:adjustRightInd w:val="0"/>
        <w:snapToGrid w:val="0"/>
        <w:spacing w:line="640" w:lineRule="exact"/>
        <w:ind w:firstLineChars="200" w:firstLine="636"/>
        <w:rPr>
          <w:rFonts w:ascii="仿宋_GB2312"/>
          <w:szCs w:val="32"/>
        </w:rPr>
      </w:pPr>
      <w:r w:rsidRPr="00D92FBE">
        <w:rPr>
          <w:rFonts w:ascii="仿宋_GB2312" w:hint="eastAsia"/>
          <w:szCs w:val="32"/>
        </w:rPr>
        <w:t>四、环境影响报告书经批准后，项目的性质、规模、地点或者防治污染、防止生态破坏的措施发生重大变动的，应当重新报批该项目的环境影响报告书或工程变更环境影响报告书。自环境影响报告书批复文件批准之日起,如超过5年方决定工程开工建设的，环境影响报告书应当报我厅重新审核。</w:t>
      </w:r>
    </w:p>
    <w:p w:rsidR="00D92FBE" w:rsidRPr="00D92FBE" w:rsidRDefault="00D92FBE" w:rsidP="00087429">
      <w:pPr>
        <w:adjustRightInd w:val="0"/>
        <w:snapToGrid w:val="0"/>
        <w:spacing w:line="640" w:lineRule="exact"/>
        <w:ind w:firstLineChars="200" w:firstLine="636"/>
        <w:rPr>
          <w:rFonts w:ascii="仿宋_GB2312"/>
          <w:szCs w:val="32"/>
        </w:rPr>
      </w:pPr>
      <w:r w:rsidRPr="00D92FBE">
        <w:rPr>
          <w:rFonts w:ascii="仿宋_GB2312" w:hint="eastAsia"/>
          <w:szCs w:val="32"/>
        </w:rPr>
        <w:t>五、工程竣工后，应依法开展项目竣工环境保护验收。</w:t>
      </w:r>
      <w:r w:rsidRPr="00D92FBE">
        <w:rPr>
          <w:rFonts w:ascii="仿宋_GB2312" w:hint="eastAsia"/>
        </w:rPr>
        <w:t>衡阳市</w:t>
      </w:r>
      <w:r w:rsidRPr="00D92FBE">
        <w:rPr>
          <w:rFonts w:ascii="仿宋_GB2312" w:hint="eastAsia"/>
          <w:szCs w:val="32"/>
        </w:rPr>
        <w:t>环境保护局和</w:t>
      </w:r>
      <w:r w:rsidRPr="00D92FBE">
        <w:rPr>
          <w:rFonts w:ascii="仿宋_GB2312" w:hint="eastAsia"/>
        </w:rPr>
        <w:t>南岳区环境保护局负责该</w:t>
      </w:r>
      <w:r w:rsidRPr="00D92FBE">
        <w:rPr>
          <w:rFonts w:ascii="仿宋_GB2312" w:hint="eastAsia"/>
          <w:szCs w:val="32"/>
        </w:rPr>
        <w:t>项目的“三同时”监督检查和日常监督管理工作。</w:t>
      </w:r>
    </w:p>
    <w:p w:rsidR="00D92FBE" w:rsidRPr="00D92FBE" w:rsidRDefault="00D92FBE" w:rsidP="00087429">
      <w:pPr>
        <w:spacing w:line="640" w:lineRule="exact"/>
        <w:ind w:firstLineChars="200" w:firstLine="636"/>
        <w:rPr>
          <w:rFonts w:ascii="仿宋_GB2312"/>
          <w:szCs w:val="32"/>
        </w:rPr>
      </w:pPr>
      <w:r w:rsidRPr="00D92FBE">
        <w:rPr>
          <w:rFonts w:ascii="仿宋_GB2312" w:hint="eastAsia"/>
          <w:szCs w:val="32"/>
        </w:rPr>
        <w:t>六、你公司应在收到本批复后15个工作日内，将批复及批准的环境影响报告书送</w:t>
      </w:r>
      <w:r w:rsidRPr="00D92FBE">
        <w:rPr>
          <w:rFonts w:ascii="仿宋_GB2312" w:hint="eastAsia"/>
        </w:rPr>
        <w:t>衡阳市</w:t>
      </w:r>
      <w:r w:rsidRPr="00D92FBE">
        <w:rPr>
          <w:rFonts w:ascii="仿宋_GB2312" w:hint="eastAsia"/>
          <w:szCs w:val="32"/>
        </w:rPr>
        <w:t>环境保护局和</w:t>
      </w:r>
      <w:r w:rsidRPr="00D92FBE">
        <w:rPr>
          <w:rFonts w:ascii="仿宋_GB2312" w:hint="eastAsia"/>
        </w:rPr>
        <w:t>南岳区环境保护局</w:t>
      </w:r>
      <w:r w:rsidRPr="00D92FBE">
        <w:rPr>
          <w:rFonts w:ascii="仿宋_GB2312" w:hint="eastAsia"/>
          <w:szCs w:val="32"/>
        </w:rPr>
        <w:t>，并按规定接受各级环境保护行政主管部门的监督检查。</w:t>
      </w:r>
    </w:p>
    <w:p w:rsidR="00D92FBE" w:rsidRDefault="00D92FBE" w:rsidP="00087429">
      <w:pPr>
        <w:adjustRightInd w:val="0"/>
        <w:snapToGrid w:val="0"/>
        <w:spacing w:line="640" w:lineRule="exact"/>
        <w:ind w:right="640" w:firstLineChars="1300" w:firstLine="4133"/>
        <w:rPr>
          <w:rFonts w:ascii="仿宋_GB2312"/>
          <w:color w:val="FF0000"/>
          <w:szCs w:val="32"/>
        </w:rPr>
      </w:pPr>
    </w:p>
    <w:p w:rsidR="00D92FBE" w:rsidRDefault="00D92FBE" w:rsidP="00087429">
      <w:pPr>
        <w:adjustRightInd w:val="0"/>
        <w:snapToGrid w:val="0"/>
        <w:spacing w:line="640" w:lineRule="exact"/>
        <w:ind w:right="640" w:firstLineChars="1300" w:firstLine="4133"/>
        <w:rPr>
          <w:rFonts w:ascii="仿宋_GB2312"/>
          <w:color w:val="FF0000"/>
          <w:szCs w:val="32"/>
        </w:rPr>
      </w:pPr>
    </w:p>
    <w:p w:rsidR="00D92FBE" w:rsidRDefault="00D92FBE" w:rsidP="00087429">
      <w:pPr>
        <w:adjustRightInd w:val="0"/>
        <w:snapToGrid w:val="0"/>
        <w:spacing w:line="640" w:lineRule="exact"/>
        <w:ind w:right="640" w:firstLineChars="1300" w:firstLine="4133"/>
        <w:rPr>
          <w:rFonts w:ascii="仿宋_GB2312"/>
          <w:color w:val="FF0000"/>
          <w:szCs w:val="32"/>
        </w:rPr>
      </w:pPr>
    </w:p>
    <w:p w:rsidR="00D92FBE" w:rsidRPr="00D92FBE" w:rsidRDefault="00D92FBE" w:rsidP="00087429">
      <w:pPr>
        <w:adjustRightInd w:val="0"/>
        <w:snapToGrid w:val="0"/>
        <w:spacing w:line="640" w:lineRule="exact"/>
        <w:ind w:right="640" w:firstLineChars="1300" w:firstLine="4133"/>
        <w:rPr>
          <w:rFonts w:ascii="仿宋_GB2312"/>
          <w:color w:val="FF0000"/>
          <w:szCs w:val="32"/>
        </w:rPr>
      </w:pPr>
    </w:p>
    <w:p w:rsidR="00D92FBE" w:rsidRPr="00D92FBE" w:rsidRDefault="00D92FBE" w:rsidP="00D92FBE">
      <w:pPr>
        <w:adjustRightInd w:val="0"/>
        <w:snapToGrid w:val="0"/>
        <w:spacing w:line="640" w:lineRule="exact"/>
        <w:ind w:right="640" w:firstLineChars="1600" w:firstLine="5086"/>
        <w:rPr>
          <w:rFonts w:ascii="仿宋_GB2312"/>
          <w:szCs w:val="32"/>
        </w:rPr>
      </w:pPr>
      <w:r w:rsidRPr="00D92FBE">
        <w:rPr>
          <w:rFonts w:ascii="仿宋_GB2312" w:hint="eastAsia"/>
          <w:szCs w:val="32"/>
        </w:rPr>
        <w:t xml:space="preserve">湖南省环境保护厅          </w:t>
      </w:r>
    </w:p>
    <w:p w:rsidR="00D92FBE" w:rsidRPr="0036704B" w:rsidRDefault="00D92FBE" w:rsidP="00D270FD">
      <w:pPr>
        <w:tabs>
          <w:tab w:val="left" w:pos="7513"/>
          <w:tab w:val="left" w:pos="7655"/>
          <w:tab w:val="left" w:pos="7797"/>
        </w:tabs>
        <w:adjustRightInd w:val="0"/>
        <w:snapToGrid w:val="0"/>
        <w:spacing w:line="640" w:lineRule="exact"/>
        <w:ind w:right="1272" w:firstLineChars="200" w:firstLine="636"/>
        <w:jc w:val="right"/>
        <w:rPr>
          <w:szCs w:val="32"/>
        </w:rPr>
      </w:pPr>
      <w:r w:rsidRPr="00D92FBE">
        <w:rPr>
          <w:rFonts w:ascii="仿宋_GB2312" w:hint="eastAsia"/>
          <w:szCs w:val="32"/>
        </w:rPr>
        <w:t>2017年</w:t>
      </w:r>
      <w:r w:rsidR="00A349C0">
        <w:rPr>
          <w:rFonts w:ascii="仿宋_GB2312" w:hint="eastAsia"/>
          <w:szCs w:val="32"/>
        </w:rPr>
        <w:t>11</w:t>
      </w:r>
      <w:r w:rsidRPr="00D92FBE">
        <w:rPr>
          <w:rFonts w:ascii="仿宋_GB2312" w:hint="eastAsia"/>
          <w:szCs w:val="32"/>
        </w:rPr>
        <w:t>月</w:t>
      </w:r>
      <w:bookmarkStart w:id="6" w:name="_GoBack"/>
      <w:bookmarkEnd w:id="6"/>
      <w:r w:rsidR="00A349C0">
        <w:rPr>
          <w:rFonts w:ascii="仿宋_GB2312" w:hint="eastAsia"/>
          <w:szCs w:val="32"/>
        </w:rPr>
        <w:t>15</w:t>
      </w:r>
      <w:r w:rsidRPr="00D92FBE">
        <w:rPr>
          <w:rFonts w:ascii="仿宋_GB2312" w:hint="eastAsia"/>
          <w:szCs w:val="32"/>
        </w:rPr>
        <w:t xml:space="preserve">日     </w:t>
      </w:r>
    </w:p>
    <w:bookmarkEnd w:id="5"/>
    <w:p w:rsidR="00BB4E17" w:rsidRDefault="00BB4E17" w:rsidP="00046FFC">
      <w:pPr>
        <w:snapToGrid w:val="0"/>
        <w:spacing w:line="580" w:lineRule="exact"/>
        <w:rPr>
          <w:rFonts w:ascii="仿宋_GB2312" w:hAnsi="仿宋"/>
          <w:szCs w:val="32"/>
        </w:rPr>
      </w:pPr>
    </w:p>
    <w:p w:rsidR="00D92FBE" w:rsidRDefault="00D92FBE" w:rsidP="00046FFC">
      <w:pPr>
        <w:snapToGrid w:val="0"/>
        <w:spacing w:line="580" w:lineRule="exact"/>
        <w:rPr>
          <w:rFonts w:ascii="仿宋_GB2312" w:hAnsi="仿宋"/>
          <w:szCs w:val="32"/>
        </w:rPr>
      </w:pPr>
    </w:p>
    <w:p w:rsidR="00D92FBE" w:rsidRDefault="00D92FBE" w:rsidP="00046FFC">
      <w:pPr>
        <w:snapToGrid w:val="0"/>
        <w:spacing w:line="580" w:lineRule="exact"/>
        <w:rPr>
          <w:rFonts w:ascii="仿宋_GB2312" w:hAnsi="仿宋"/>
          <w:szCs w:val="32"/>
        </w:rPr>
      </w:pPr>
    </w:p>
    <w:p w:rsidR="00D92FBE" w:rsidRDefault="00D92FBE" w:rsidP="00046FFC">
      <w:pPr>
        <w:snapToGrid w:val="0"/>
        <w:spacing w:line="580" w:lineRule="exact"/>
        <w:rPr>
          <w:rFonts w:ascii="仿宋_GB2312" w:hAnsi="仿宋"/>
          <w:szCs w:val="32"/>
        </w:rPr>
      </w:pPr>
    </w:p>
    <w:p w:rsidR="00D92FBE" w:rsidRDefault="00D92FBE" w:rsidP="00046FFC">
      <w:pPr>
        <w:snapToGrid w:val="0"/>
        <w:spacing w:line="580" w:lineRule="exact"/>
        <w:rPr>
          <w:rFonts w:ascii="仿宋_GB2312" w:hAnsi="仿宋"/>
          <w:szCs w:val="32"/>
        </w:rPr>
      </w:pPr>
    </w:p>
    <w:p w:rsidR="00D92FBE" w:rsidRDefault="00D92FBE" w:rsidP="00046FFC">
      <w:pPr>
        <w:snapToGrid w:val="0"/>
        <w:spacing w:line="580" w:lineRule="exact"/>
        <w:rPr>
          <w:rFonts w:ascii="仿宋_GB2312" w:hAnsi="仿宋"/>
          <w:szCs w:val="32"/>
        </w:rPr>
      </w:pPr>
    </w:p>
    <w:p w:rsidR="00D92FBE" w:rsidRDefault="00D92FBE" w:rsidP="00046FFC">
      <w:pPr>
        <w:snapToGrid w:val="0"/>
        <w:spacing w:line="580" w:lineRule="exact"/>
        <w:rPr>
          <w:rFonts w:ascii="仿宋_GB2312" w:hAnsi="仿宋"/>
          <w:szCs w:val="32"/>
        </w:rPr>
      </w:pPr>
    </w:p>
    <w:p w:rsidR="00D92FBE" w:rsidRDefault="00D92FBE" w:rsidP="00046FFC">
      <w:pPr>
        <w:snapToGrid w:val="0"/>
        <w:spacing w:line="580" w:lineRule="exact"/>
        <w:rPr>
          <w:rFonts w:ascii="仿宋_GB2312" w:hAnsi="仿宋"/>
          <w:szCs w:val="32"/>
        </w:rPr>
      </w:pPr>
    </w:p>
    <w:p w:rsidR="00D92FBE" w:rsidRDefault="00D92FBE" w:rsidP="00046FFC">
      <w:pPr>
        <w:snapToGrid w:val="0"/>
        <w:spacing w:line="580" w:lineRule="exact"/>
        <w:rPr>
          <w:rFonts w:ascii="仿宋_GB2312" w:hAnsi="仿宋"/>
          <w:szCs w:val="32"/>
        </w:rPr>
      </w:pPr>
    </w:p>
    <w:p w:rsidR="00D92FBE" w:rsidRDefault="00D92FBE" w:rsidP="00046FFC">
      <w:pPr>
        <w:snapToGrid w:val="0"/>
        <w:spacing w:line="580" w:lineRule="exact"/>
        <w:rPr>
          <w:rFonts w:ascii="仿宋_GB2312" w:hAnsi="仿宋"/>
          <w:szCs w:val="32"/>
        </w:rPr>
      </w:pPr>
    </w:p>
    <w:p w:rsidR="00D92FBE" w:rsidRDefault="00D92FBE" w:rsidP="00046FFC">
      <w:pPr>
        <w:snapToGrid w:val="0"/>
        <w:spacing w:line="580" w:lineRule="exact"/>
        <w:rPr>
          <w:rFonts w:ascii="仿宋_GB2312" w:hAnsi="仿宋"/>
          <w:szCs w:val="32"/>
        </w:rPr>
      </w:pPr>
    </w:p>
    <w:p w:rsidR="00D92FBE" w:rsidRDefault="00D92FBE" w:rsidP="00046FFC">
      <w:pPr>
        <w:snapToGrid w:val="0"/>
        <w:spacing w:line="580" w:lineRule="exact"/>
        <w:rPr>
          <w:rFonts w:ascii="仿宋_GB2312" w:hAnsi="仿宋"/>
          <w:szCs w:val="32"/>
        </w:rPr>
      </w:pPr>
    </w:p>
    <w:p w:rsidR="00D92FBE" w:rsidRDefault="00D92FBE" w:rsidP="00046FFC">
      <w:pPr>
        <w:snapToGrid w:val="0"/>
        <w:spacing w:line="580" w:lineRule="exact"/>
        <w:rPr>
          <w:rFonts w:ascii="仿宋_GB2312" w:hAnsi="仿宋"/>
          <w:szCs w:val="32"/>
        </w:rPr>
      </w:pPr>
    </w:p>
    <w:p w:rsidR="00D92FBE" w:rsidRPr="00F64505" w:rsidRDefault="00D92FBE" w:rsidP="00046FFC">
      <w:pPr>
        <w:snapToGrid w:val="0"/>
        <w:spacing w:line="580" w:lineRule="exact"/>
        <w:rPr>
          <w:rFonts w:ascii="仿宋_GB2312" w:hAnsi="仿宋"/>
          <w:szCs w:val="32"/>
        </w:rPr>
      </w:pPr>
    </w:p>
    <w:tbl>
      <w:tblPr>
        <w:tblStyle w:val="a5"/>
        <w:tblW w:w="8845" w:type="dxa"/>
        <w:jc w:val="center"/>
        <w:tblBorders>
          <w:top w:val="single" w:sz="6" w:space="0" w:color="auto"/>
          <w:left w:val="none" w:sz="0" w:space="0" w:color="auto"/>
          <w:bottom w:val="single" w:sz="6" w:space="0" w:color="auto"/>
          <w:right w:val="none" w:sz="0" w:space="0" w:color="auto"/>
          <w:insideH w:val="single" w:sz="2" w:space="0" w:color="auto"/>
          <w:insideV w:val="none" w:sz="0" w:space="0" w:color="auto"/>
        </w:tblBorders>
        <w:tblLook w:val="04A0"/>
      </w:tblPr>
      <w:tblGrid>
        <w:gridCol w:w="1106"/>
        <w:gridCol w:w="4406"/>
        <w:gridCol w:w="3333"/>
      </w:tblGrid>
      <w:tr w:rsidR="004D5D3C" w:rsidTr="0018581E">
        <w:trPr>
          <w:trHeight w:val="595"/>
          <w:jc w:val="center"/>
        </w:trPr>
        <w:tc>
          <w:tcPr>
            <w:tcW w:w="1106" w:type="dxa"/>
          </w:tcPr>
          <w:p w:rsidR="004D5D3C" w:rsidRPr="00BA2B9C" w:rsidRDefault="004D5D3C" w:rsidP="00A349C0">
            <w:pPr>
              <w:tabs>
                <w:tab w:val="left" w:pos="148"/>
                <w:tab w:val="left" w:pos="431"/>
              </w:tabs>
              <w:snapToGrid w:val="0"/>
              <w:spacing w:beforeLines="20"/>
              <w:ind w:rightChars="-40" w:right="-127"/>
              <w:jc w:val="right"/>
              <w:rPr>
                <w:rFonts w:ascii="仿宋_GB2312" w:hAnsi="仿宋"/>
                <w:sz w:val="28"/>
                <w:szCs w:val="28"/>
              </w:rPr>
            </w:pPr>
            <w:r>
              <w:rPr>
                <w:rFonts w:ascii="仿宋_GB2312" w:hAnsi="仿宋" w:hint="eastAsia"/>
                <w:sz w:val="28"/>
                <w:szCs w:val="28"/>
              </w:rPr>
              <w:t>抄送：</w:t>
            </w:r>
          </w:p>
        </w:tc>
        <w:tc>
          <w:tcPr>
            <w:tcW w:w="7739" w:type="dxa"/>
            <w:gridSpan w:val="2"/>
          </w:tcPr>
          <w:p w:rsidR="004D5D3C" w:rsidRPr="00D92FBE" w:rsidRDefault="00D92FBE" w:rsidP="00D92FBE">
            <w:pPr>
              <w:snapToGrid w:val="0"/>
              <w:spacing w:line="580" w:lineRule="exact"/>
              <w:jc w:val="left"/>
              <w:rPr>
                <w:rFonts w:ascii="仿宋_GB2312" w:hAnsi="仿宋"/>
                <w:szCs w:val="32"/>
              </w:rPr>
            </w:pPr>
            <w:bookmarkStart w:id="7" w:name="PO_CS"/>
            <w:bookmarkEnd w:id="7"/>
            <w:r w:rsidRPr="00D92FBE">
              <w:rPr>
                <w:rFonts w:hint="eastAsia"/>
                <w:sz w:val="28"/>
                <w:szCs w:val="32"/>
              </w:rPr>
              <w:t>长沙市玺成工程技术咨询有限责任公司</w:t>
            </w:r>
            <w:r w:rsidRPr="00D92FBE">
              <w:rPr>
                <w:sz w:val="28"/>
              </w:rPr>
              <w:t>，</w:t>
            </w:r>
            <w:r w:rsidRPr="00D92FBE">
              <w:rPr>
                <w:rFonts w:hint="eastAsia"/>
                <w:sz w:val="28"/>
              </w:rPr>
              <w:t>衡阳市</w:t>
            </w:r>
            <w:r w:rsidRPr="00D92FBE">
              <w:rPr>
                <w:sz w:val="28"/>
                <w:szCs w:val="32"/>
              </w:rPr>
              <w:t>环境保护局，</w:t>
            </w:r>
            <w:r w:rsidRPr="00D92FBE">
              <w:rPr>
                <w:rFonts w:hint="eastAsia"/>
                <w:sz w:val="28"/>
                <w:szCs w:val="32"/>
              </w:rPr>
              <w:t>南岳区</w:t>
            </w:r>
            <w:r w:rsidRPr="00D92FBE">
              <w:rPr>
                <w:sz w:val="28"/>
              </w:rPr>
              <w:t>环境保护局</w:t>
            </w:r>
            <w:r w:rsidRPr="00D92FBE">
              <w:rPr>
                <w:rFonts w:hint="eastAsia"/>
                <w:sz w:val="28"/>
              </w:rPr>
              <w:t>，</w:t>
            </w:r>
            <w:r w:rsidRPr="00D92FBE">
              <w:rPr>
                <w:sz w:val="28"/>
              </w:rPr>
              <w:t>省环境工程评估中心。</w:t>
            </w:r>
          </w:p>
        </w:tc>
      </w:tr>
      <w:tr w:rsidR="004D5D3C" w:rsidTr="0018581E">
        <w:trPr>
          <w:trHeight w:val="595"/>
          <w:jc w:val="center"/>
        </w:trPr>
        <w:tc>
          <w:tcPr>
            <w:tcW w:w="5512" w:type="dxa"/>
            <w:gridSpan w:val="2"/>
            <w:vAlign w:val="center"/>
          </w:tcPr>
          <w:p w:rsidR="004D5D3C" w:rsidRPr="00BA2B9C" w:rsidRDefault="004D5D3C" w:rsidP="008B4592">
            <w:pPr>
              <w:snapToGrid w:val="0"/>
              <w:ind w:leftChars="60" w:left="191"/>
              <w:rPr>
                <w:rFonts w:ascii="仿宋_GB2312" w:hAnsi="仿宋"/>
                <w:sz w:val="28"/>
                <w:szCs w:val="28"/>
              </w:rPr>
            </w:pPr>
            <w:r w:rsidRPr="00EE61B5">
              <w:rPr>
                <w:rFonts w:ascii="仿宋_GB2312" w:hAnsi="仿宋" w:hint="eastAsia"/>
                <w:sz w:val="28"/>
                <w:szCs w:val="28"/>
              </w:rPr>
              <w:t>湖南省环境保护厅办公室</w:t>
            </w:r>
          </w:p>
        </w:tc>
        <w:tc>
          <w:tcPr>
            <w:tcW w:w="3333" w:type="dxa"/>
            <w:vAlign w:val="center"/>
          </w:tcPr>
          <w:p w:rsidR="004D5D3C" w:rsidRPr="00BA2B9C" w:rsidRDefault="00D92FBE" w:rsidP="00A349C0">
            <w:pPr>
              <w:snapToGrid w:val="0"/>
              <w:ind w:rightChars="50" w:right="159"/>
              <w:jc w:val="right"/>
              <w:rPr>
                <w:rFonts w:ascii="仿宋_GB2312" w:hAnsi="仿宋"/>
                <w:sz w:val="28"/>
                <w:szCs w:val="28"/>
              </w:rPr>
            </w:pPr>
            <w:bookmarkStart w:id="8" w:name="PO_YFRQ"/>
            <w:r>
              <w:rPr>
                <w:rFonts w:ascii="仿宋_GB2312" w:hAnsi="仿宋"/>
                <w:sz w:val="28"/>
                <w:szCs w:val="28"/>
              </w:rPr>
              <w:t>2017年</w:t>
            </w:r>
            <w:r w:rsidR="00A349C0">
              <w:rPr>
                <w:rFonts w:ascii="仿宋_GB2312" w:hAnsi="仿宋" w:hint="eastAsia"/>
                <w:sz w:val="28"/>
                <w:szCs w:val="28"/>
              </w:rPr>
              <w:t>11</w:t>
            </w:r>
            <w:r>
              <w:rPr>
                <w:rFonts w:ascii="仿宋_GB2312" w:hAnsi="仿宋"/>
                <w:sz w:val="28"/>
                <w:szCs w:val="28"/>
              </w:rPr>
              <w:t>月</w:t>
            </w:r>
            <w:r w:rsidR="00A349C0">
              <w:rPr>
                <w:rFonts w:ascii="仿宋_GB2312" w:hAnsi="仿宋" w:hint="eastAsia"/>
                <w:sz w:val="28"/>
                <w:szCs w:val="28"/>
              </w:rPr>
              <w:t>15</w:t>
            </w:r>
            <w:r>
              <w:rPr>
                <w:rFonts w:ascii="仿宋_GB2312" w:hAnsi="仿宋"/>
                <w:sz w:val="28"/>
                <w:szCs w:val="28"/>
              </w:rPr>
              <w:t>日</w:t>
            </w:r>
            <w:bookmarkEnd w:id="8"/>
            <w:r w:rsidR="004D5D3C" w:rsidRPr="00EE61B5">
              <w:rPr>
                <w:rFonts w:ascii="仿宋_GB2312" w:hAnsi="仿宋" w:hint="eastAsia"/>
                <w:sz w:val="28"/>
                <w:szCs w:val="28"/>
              </w:rPr>
              <w:t>印发</w:t>
            </w:r>
            <w:r w:rsidR="004D5D3C">
              <w:rPr>
                <w:rFonts w:ascii="仿宋_GB2312" w:hAnsi="仿宋" w:hint="eastAsia"/>
                <w:sz w:val="28"/>
                <w:szCs w:val="28"/>
              </w:rPr>
              <w:t xml:space="preserve">　</w:t>
            </w:r>
          </w:p>
        </w:tc>
      </w:tr>
    </w:tbl>
    <w:p w:rsidR="004D5D3C" w:rsidRPr="007D13D3" w:rsidRDefault="004D5D3C" w:rsidP="0018581E">
      <w:pPr>
        <w:snapToGrid w:val="0"/>
        <w:spacing w:line="20" w:lineRule="exact"/>
        <w:rPr>
          <w:rFonts w:ascii="仿宋_GB2312" w:hAnsi="仿宋"/>
          <w:szCs w:val="32"/>
        </w:rPr>
      </w:pPr>
    </w:p>
    <w:sectPr w:rsidR="004D5D3C" w:rsidRPr="007D13D3" w:rsidSect="00103156">
      <w:headerReference w:type="default" r:id="rId7"/>
      <w:footerReference w:type="even" r:id="rId8"/>
      <w:footerReference w:type="default" r:id="rId9"/>
      <w:pgSz w:w="11906" w:h="16838" w:code="9"/>
      <w:pgMar w:top="1985" w:right="1474" w:bottom="1985" w:left="1531" w:header="851" w:footer="1247" w:gutter="0"/>
      <w:pgNumType w:fmt="numberInDash"/>
      <w:cols w:space="425"/>
      <w:titlePg/>
      <w:docGrid w:type="linesAndChars" w:linePitch="579" w:charSpace="-4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EAC" w:rsidRDefault="00A45EAC">
      <w:r>
        <w:separator/>
      </w:r>
    </w:p>
  </w:endnote>
  <w:endnote w:type="continuationSeparator" w:id="1">
    <w:p w:rsidR="00A45EAC" w:rsidRDefault="00A45E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公文小标宋简">
    <w:altName w:val="宋体"/>
    <w:charset w:val="86"/>
    <w:family w:val="modern"/>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298" w:rsidRPr="00E96298" w:rsidRDefault="00D74BE2" w:rsidP="0002463F">
    <w:pPr>
      <w:pStyle w:val="a3"/>
      <w:ind w:firstLineChars="100" w:firstLine="280"/>
      <w:rPr>
        <w:rFonts w:ascii="宋体" w:eastAsia="宋体" w:hAnsi="宋体"/>
        <w:sz w:val="28"/>
        <w:szCs w:val="28"/>
      </w:rPr>
    </w:pPr>
    <w:r w:rsidRPr="00E96298">
      <w:rPr>
        <w:rFonts w:ascii="宋体" w:eastAsia="宋体" w:hAnsi="宋体"/>
        <w:sz w:val="28"/>
        <w:szCs w:val="28"/>
      </w:rPr>
      <w:fldChar w:fldCharType="begin"/>
    </w:r>
    <w:r w:rsidR="00D47D1F" w:rsidRPr="00E96298">
      <w:rPr>
        <w:rFonts w:ascii="宋体" w:eastAsia="宋体" w:hAnsi="宋体"/>
        <w:sz w:val="28"/>
        <w:szCs w:val="28"/>
      </w:rPr>
      <w:instrText xml:space="preserve"> PAGE   \* MERGEFORMAT </w:instrText>
    </w:r>
    <w:r w:rsidRPr="00E96298">
      <w:rPr>
        <w:rFonts w:ascii="宋体" w:eastAsia="宋体" w:hAnsi="宋体"/>
        <w:sz w:val="28"/>
        <w:szCs w:val="28"/>
      </w:rPr>
      <w:fldChar w:fldCharType="separate"/>
    </w:r>
    <w:r w:rsidR="00A349C0" w:rsidRPr="00A349C0">
      <w:rPr>
        <w:rFonts w:ascii="宋体" w:eastAsia="宋体" w:hAnsi="宋体"/>
        <w:noProof/>
        <w:sz w:val="28"/>
        <w:szCs w:val="28"/>
        <w:lang w:val="zh-CN"/>
      </w:rPr>
      <w:t>-</w:t>
    </w:r>
    <w:r w:rsidR="00A349C0">
      <w:rPr>
        <w:rFonts w:ascii="宋体" w:eastAsia="宋体" w:hAnsi="宋体"/>
        <w:noProof/>
        <w:sz w:val="28"/>
        <w:szCs w:val="28"/>
      </w:rPr>
      <w:t xml:space="preserve"> 2 -</w:t>
    </w:r>
    <w:r w:rsidRPr="00E96298">
      <w:rPr>
        <w:rFonts w:ascii="宋体" w:eastAsia="宋体" w:hAnsi="宋体"/>
        <w:sz w:val="28"/>
        <w:szCs w:val="28"/>
      </w:rPr>
      <w:fldChar w:fldCharType="end"/>
    </w:r>
  </w:p>
  <w:p w:rsidR="00E96298" w:rsidRDefault="00A45EA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298" w:rsidRPr="00E96298" w:rsidRDefault="00D74BE2" w:rsidP="0002463F">
    <w:pPr>
      <w:pStyle w:val="a3"/>
      <w:wordWrap w:val="0"/>
      <w:jc w:val="right"/>
      <w:rPr>
        <w:rFonts w:ascii="宋体" w:eastAsia="宋体" w:hAnsi="宋体"/>
        <w:sz w:val="28"/>
        <w:szCs w:val="28"/>
      </w:rPr>
    </w:pPr>
    <w:r w:rsidRPr="00E96298">
      <w:rPr>
        <w:rFonts w:ascii="宋体" w:eastAsia="宋体" w:hAnsi="宋体"/>
        <w:sz w:val="28"/>
        <w:szCs w:val="28"/>
      </w:rPr>
      <w:fldChar w:fldCharType="begin"/>
    </w:r>
    <w:r w:rsidR="00D47D1F" w:rsidRPr="00E96298">
      <w:rPr>
        <w:rFonts w:ascii="宋体" w:eastAsia="宋体" w:hAnsi="宋体"/>
        <w:sz w:val="28"/>
        <w:szCs w:val="28"/>
      </w:rPr>
      <w:instrText xml:space="preserve"> PAGE   \* MERGEFORMAT </w:instrText>
    </w:r>
    <w:r w:rsidRPr="00E96298">
      <w:rPr>
        <w:rFonts w:ascii="宋体" w:eastAsia="宋体" w:hAnsi="宋体"/>
        <w:sz w:val="28"/>
        <w:szCs w:val="28"/>
      </w:rPr>
      <w:fldChar w:fldCharType="separate"/>
    </w:r>
    <w:r w:rsidR="00A349C0" w:rsidRPr="00A349C0">
      <w:rPr>
        <w:rFonts w:ascii="宋体" w:eastAsia="宋体" w:hAnsi="宋体"/>
        <w:noProof/>
        <w:sz w:val="28"/>
        <w:szCs w:val="28"/>
        <w:lang w:val="zh-CN"/>
      </w:rPr>
      <w:t>-</w:t>
    </w:r>
    <w:r w:rsidR="00A349C0">
      <w:rPr>
        <w:rFonts w:ascii="宋体" w:eastAsia="宋体" w:hAnsi="宋体"/>
        <w:noProof/>
        <w:sz w:val="28"/>
        <w:szCs w:val="28"/>
      </w:rPr>
      <w:t xml:space="preserve"> 3 -</w:t>
    </w:r>
    <w:r w:rsidRPr="00E96298">
      <w:rPr>
        <w:rFonts w:ascii="宋体" w:eastAsia="宋体" w:hAnsi="宋体"/>
        <w:sz w:val="28"/>
        <w:szCs w:val="28"/>
      </w:rPr>
      <w:fldChar w:fldCharType="end"/>
    </w:r>
    <w:r w:rsidR="0002463F">
      <w:rPr>
        <w:rFonts w:ascii="宋体" w:eastAsia="宋体" w:hAnsi="宋体" w:hint="eastAsia"/>
        <w:sz w:val="28"/>
        <w:szCs w:val="28"/>
      </w:rPr>
      <w:t xml:space="preserve">　</w:t>
    </w:r>
  </w:p>
  <w:p w:rsidR="006B2940" w:rsidRDefault="00A45EAC">
    <w:pPr>
      <w:pStyle w:val="a3"/>
      <w:tabs>
        <w:tab w:val="clear" w:pos="4153"/>
        <w:tab w:val="clear" w:pos="8306"/>
      </w:tabs>
      <w:ind w:left="350"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EAC" w:rsidRDefault="00A45EAC">
      <w:r>
        <w:separator/>
      </w:r>
    </w:p>
  </w:footnote>
  <w:footnote w:type="continuationSeparator" w:id="1">
    <w:p w:rsidR="00A45EAC" w:rsidRDefault="00A45E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940" w:rsidRDefault="00A45EA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59"/>
  <w:drawingGridVerticalSpacing w:val="579"/>
  <w:displayHorizontalDrawingGridEvery w:val="0"/>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7D1F"/>
    <w:rsid w:val="0002463F"/>
    <w:rsid w:val="00046FFC"/>
    <w:rsid w:val="000D421B"/>
    <w:rsid w:val="000F002F"/>
    <w:rsid w:val="00103156"/>
    <w:rsid w:val="001844DC"/>
    <w:rsid w:val="0018581E"/>
    <w:rsid w:val="001B7B89"/>
    <w:rsid w:val="001D637E"/>
    <w:rsid w:val="001E35E7"/>
    <w:rsid w:val="00210E5D"/>
    <w:rsid w:val="0021142F"/>
    <w:rsid w:val="00225834"/>
    <w:rsid w:val="002569C4"/>
    <w:rsid w:val="00265411"/>
    <w:rsid w:val="002858D7"/>
    <w:rsid w:val="002E708B"/>
    <w:rsid w:val="003446CD"/>
    <w:rsid w:val="003D2BCA"/>
    <w:rsid w:val="00492FDA"/>
    <w:rsid w:val="004A3760"/>
    <w:rsid w:val="004D3876"/>
    <w:rsid w:val="004D5D3C"/>
    <w:rsid w:val="00501A0E"/>
    <w:rsid w:val="0056015E"/>
    <w:rsid w:val="00571B2A"/>
    <w:rsid w:val="005B00E2"/>
    <w:rsid w:val="00657C25"/>
    <w:rsid w:val="006D504D"/>
    <w:rsid w:val="007075FE"/>
    <w:rsid w:val="00730B1E"/>
    <w:rsid w:val="00734B0F"/>
    <w:rsid w:val="00761658"/>
    <w:rsid w:val="0076714E"/>
    <w:rsid w:val="007B7940"/>
    <w:rsid w:val="007C2CFD"/>
    <w:rsid w:val="007D13D3"/>
    <w:rsid w:val="00815485"/>
    <w:rsid w:val="008522D8"/>
    <w:rsid w:val="008703D8"/>
    <w:rsid w:val="008B4592"/>
    <w:rsid w:val="008E3216"/>
    <w:rsid w:val="009703CE"/>
    <w:rsid w:val="00985F82"/>
    <w:rsid w:val="009A7B6B"/>
    <w:rsid w:val="00A13100"/>
    <w:rsid w:val="00A349C0"/>
    <w:rsid w:val="00A45EAC"/>
    <w:rsid w:val="00A46F15"/>
    <w:rsid w:val="00A73BC4"/>
    <w:rsid w:val="00A85E0A"/>
    <w:rsid w:val="00A93BCE"/>
    <w:rsid w:val="00AD7F40"/>
    <w:rsid w:val="00B926BF"/>
    <w:rsid w:val="00B948FB"/>
    <w:rsid w:val="00BA6C55"/>
    <w:rsid w:val="00BB42F4"/>
    <w:rsid w:val="00BB4E17"/>
    <w:rsid w:val="00C23414"/>
    <w:rsid w:val="00C5168F"/>
    <w:rsid w:val="00C925DD"/>
    <w:rsid w:val="00CA567D"/>
    <w:rsid w:val="00CD25F6"/>
    <w:rsid w:val="00D270FD"/>
    <w:rsid w:val="00D47D1F"/>
    <w:rsid w:val="00D74BE2"/>
    <w:rsid w:val="00D7681B"/>
    <w:rsid w:val="00D92FBE"/>
    <w:rsid w:val="00D95457"/>
    <w:rsid w:val="00DB199B"/>
    <w:rsid w:val="00EC3822"/>
    <w:rsid w:val="00EE609E"/>
    <w:rsid w:val="00EE61B5"/>
    <w:rsid w:val="00F03766"/>
    <w:rsid w:val="00F0685D"/>
    <w:rsid w:val="00F42F7C"/>
    <w:rsid w:val="00F64505"/>
    <w:rsid w:val="00F730E5"/>
    <w:rsid w:val="00FE0C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156"/>
    <w:pPr>
      <w:widowControl w:val="0"/>
      <w:jc w:val="both"/>
    </w:pPr>
    <w:rPr>
      <w:rFonts w:ascii="Times New Roman" w:eastAsia="仿宋_GB2312"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47D1F"/>
    <w:pPr>
      <w:tabs>
        <w:tab w:val="center" w:pos="4153"/>
        <w:tab w:val="right" w:pos="8306"/>
      </w:tabs>
      <w:snapToGrid w:val="0"/>
      <w:jc w:val="left"/>
    </w:pPr>
    <w:rPr>
      <w:sz w:val="18"/>
    </w:rPr>
  </w:style>
  <w:style w:type="character" w:customStyle="1" w:styleId="Char">
    <w:name w:val="页脚 Char"/>
    <w:basedOn w:val="a0"/>
    <w:link w:val="a3"/>
    <w:uiPriority w:val="99"/>
    <w:rsid w:val="00D47D1F"/>
    <w:rPr>
      <w:rFonts w:ascii="Times New Roman" w:eastAsia="仿宋_GB2312" w:hAnsi="Times New Roman" w:cs="Times New Roman"/>
      <w:sz w:val="18"/>
      <w:szCs w:val="20"/>
    </w:rPr>
  </w:style>
  <w:style w:type="paragraph" w:styleId="a4">
    <w:name w:val="header"/>
    <w:basedOn w:val="a"/>
    <w:link w:val="Char0"/>
    <w:rsid w:val="00D47D1F"/>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sid w:val="00D47D1F"/>
    <w:rPr>
      <w:rFonts w:ascii="Times New Roman" w:eastAsia="仿宋_GB2312" w:hAnsi="Times New Roman" w:cs="Times New Roman"/>
      <w:sz w:val="18"/>
      <w:szCs w:val="20"/>
    </w:rPr>
  </w:style>
  <w:style w:type="table" w:styleId="a5">
    <w:name w:val="Table Grid"/>
    <w:basedOn w:val="a1"/>
    <w:uiPriority w:val="39"/>
    <w:rsid w:val="004D5D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首行缩进 Char1"/>
    <w:basedOn w:val="Char2"/>
    <w:link w:val="a6"/>
    <w:uiPriority w:val="99"/>
    <w:rsid w:val="00D92FBE"/>
    <w:rPr>
      <w:rFonts w:ascii="Times New Roman" w:eastAsia="仿宋_GB2312" w:hAnsi="Times New Roman" w:cs="Times New Roman"/>
      <w:kern w:val="0"/>
      <w:sz w:val="32"/>
      <w:szCs w:val="20"/>
    </w:rPr>
  </w:style>
  <w:style w:type="paragraph" w:styleId="a7">
    <w:name w:val="Body Text"/>
    <w:basedOn w:val="a"/>
    <w:link w:val="Char2"/>
    <w:uiPriority w:val="99"/>
    <w:semiHidden/>
    <w:unhideWhenUsed/>
    <w:rsid w:val="00D92FBE"/>
    <w:pPr>
      <w:spacing w:after="120"/>
    </w:pPr>
  </w:style>
  <w:style w:type="character" w:customStyle="1" w:styleId="Char2">
    <w:name w:val="正文文本 Char"/>
    <w:basedOn w:val="a0"/>
    <w:link w:val="a7"/>
    <w:uiPriority w:val="99"/>
    <w:semiHidden/>
    <w:rsid w:val="00D92FBE"/>
    <w:rPr>
      <w:rFonts w:ascii="Times New Roman" w:eastAsia="仿宋_GB2312" w:hAnsi="Times New Roman" w:cs="Times New Roman"/>
      <w:kern w:val="0"/>
      <w:sz w:val="32"/>
      <w:szCs w:val="20"/>
    </w:rPr>
  </w:style>
  <w:style w:type="paragraph" w:styleId="a6">
    <w:name w:val="Body Text First Indent"/>
    <w:basedOn w:val="a"/>
    <w:link w:val="Char1"/>
    <w:uiPriority w:val="99"/>
    <w:qFormat/>
    <w:rsid w:val="00D92FBE"/>
    <w:pPr>
      <w:widowControl/>
      <w:adjustRightInd w:val="0"/>
      <w:snapToGrid w:val="0"/>
      <w:spacing w:line="520" w:lineRule="exact"/>
      <w:ind w:firstLineChars="200" w:firstLine="200"/>
    </w:pPr>
    <w:rPr>
      <w:rFonts w:cstheme="minorBidi"/>
      <w:kern w:val="2"/>
      <w:szCs w:val="22"/>
    </w:rPr>
  </w:style>
  <w:style w:type="character" w:customStyle="1" w:styleId="Char3">
    <w:name w:val="正文首行缩进 Char"/>
    <w:basedOn w:val="Char2"/>
    <w:uiPriority w:val="99"/>
    <w:semiHidden/>
    <w:rsid w:val="00D92FBE"/>
    <w:rPr>
      <w:rFonts w:ascii="Times New Roman" w:eastAsia="仿宋_GB2312" w:hAnsi="Times New Roman" w:cs="Times New Roman"/>
      <w:kern w:val="0"/>
      <w:sz w:val="32"/>
      <w:szCs w:val="20"/>
    </w:rPr>
  </w:style>
  <w:style w:type="paragraph" w:customStyle="1" w:styleId="a8">
    <w:name w:val="主题词"/>
    <w:basedOn w:val="a"/>
    <w:rsid w:val="00D92FBE"/>
    <w:pPr>
      <w:framePr w:wrap="notBeside" w:hAnchor="margin" w:yAlign="bottom"/>
      <w:ind w:left="1246" w:hanging="1246"/>
    </w:pPr>
    <w:rPr>
      <w:rFonts w:eastAsia="公文小标宋简"/>
      <w:kern w:val="2"/>
    </w:rPr>
  </w:style>
  <w:style w:type="paragraph" w:customStyle="1" w:styleId="a9">
    <w:name w:val="抄送"/>
    <w:basedOn w:val="a8"/>
    <w:rsid w:val="00D92FBE"/>
    <w:pPr>
      <w:framePr w:wrap="notBeside"/>
      <w:ind w:left="0" w:firstLine="0"/>
    </w:pPr>
    <w:rPr>
      <w:rFonts w:eastAsia="仿宋_GB2312"/>
    </w:rPr>
  </w:style>
  <w:style w:type="paragraph" w:styleId="aa">
    <w:name w:val="Balloon Text"/>
    <w:basedOn w:val="a"/>
    <w:link w:val="Char4"/>
    <w:uiPriority w:val="99"/>
    <w:semiHidden/>
    <w:unhideWhenUsed/>
    <w:rsid w:val="00D92FBE"/>
    <w:rPr>
      <w:sz w:val="18"/>
      <w:szCs w:val="18"/>
    </w:rPr>
  </w:style>
  <w:style w:type="character" w:customStyle="1" w:styleId="Char4">
    <w:name w:val="批注框文本 Char"/>
    <w:basedOn w:val="a0"/>
    <w:link w:val="aa"/>
    <w:uiPriority w:val="99"/>
    <w:semiHidden/>
    <w:rsid w:val="00D92FBE"/>
    <w:rPr>
      <w:rFonts w:ascii="Times New Roman" w:eastAsia="仿宋_GB2312"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A0E36-BA35-4A5C-A2C3-34E2FDCD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陈炼</dc:creator>
  <cp:keywords/>
  <dc:description/>
  <cp:lastModifiedBy>Sky123.Org</cp:lastModifiedBy>
  <cp:revision>74</cp:revision>
  <cp:lastPrinted>2017-11-14T02:25:00Z</cp:lastPrinted>
  <dcterms:created xsi:type="dcterms:W3CDTF">2017-03-05T14:02:00Z</dcterms:created>
  <dcterms:modified xsi:type="dcterms:W3CDTF">2017-11-17T08:30:00Z</dcterms:modified>
</cp:coreProperties>
</file>