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8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6"/>
        <w:gridCol w:w="4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6" w:hRule="atLeast"/>
        </w:trPr>
        <w:tc>
          <w:tcPr>
            <w:tcW w:w="4436" w:type="dxa"/>
            <w:vAlign w:val="bottom"/>
          </w:tcPr>
          <w:p>
            <w:pPr>
              <w:snapToGrid w:val="0"/>
              <w:spacing w:line="560" w:lineRule="exact"/>
              <w:rPr>
                <w:rFonts w:hint="eastAsia" w:ascii="黑体" w:hAnsi="黑体" w:eastAsia="黑体"/>
                <w:kern w:val="0"/>
                <w:szCs w:val="32"/>
                <w:lang w:eastAsia="zh-CN"/>
              </w:rPr>
            </w:pPr>
            <w:bookmarkStart w:id="0" w:name="PO_JJCD"/>
            <w:bookmarkEnd w:id="0"/>
            <w:bookmarkStart w:id="1" w:name="PO_HTABLE"/>
          </w:p>
        </w:tc>
        <w:tc>
          <w:tcPr>
            <w:tcW w:w="4465" w:type="dxa"/>
            <w:vAlign w:val="bottom"/>
          </w:tcPr>
          <w:p>
            <w:pPr>
              <w:spacing w:line="560" w:lineRule="exact"/>
              <w:jc w:val="right"/>
              <w:rPr>
                <w:rFonts w:hint="eastAsia" w:ascii="仿宋_GB2312" w:eastAsia="仿宋_GB2312"/>
                <w:lang w:eastAsia="zh-CN"/>
              </w:rPr>
            </w:pPr>
            <w:bookmarkStart w:id="2" w:name="PO_WH"/>
            <w:r>
              <w:rPr>
                <w:rFonts w:hint="eastAsia" w:ascii="仿宋_GB2312"/>
                <w:szCs w:val="32"/>
                <w:lang w:eastAsia="zh-CN"/>
              </w:rPr>
              <w:t>湘环评表〔2019〕31号</w:t>
            </w:r>
            <w:bookmarkEnd w:id="2"/>
          </w:p>
        </w:tc>
      </w:tr>
      <w:bookmarkEnd w:id="1"/>
    </w:tbl>
    <w:p>
      <w:pPr>
        <w:snapToGrid w:val="0"/>
        <w:spacing w:before="800" w:after="600" w:line="800" w:lineRule="exact"/>
        <w:jc w:val="center"/>
        <w:rPr>
          <w:rFonts w:hint="eastAsia" w:ascii="方正小标宋_GBK" w:eastAsia="方正小标宋_GBK"/>
          <w:sz w:val="44"/>
          <w:szCs w:val="44"/>
          <w:lang w:eastAsia="zh-CN"/>
        </w:rPr>
      </w:pPr>
      <w:bookmarkStart w:id="3" w:name="PO_BT"/>
      <w:r>
        <w:rPr>
          <w:rFonts w:hint="eastAsia" w:ascii="方正小标宋_GBK" w:eastAsia="方正小标宋_GBK"/>
          <w:sz w:val="44"/>
          <w:szCs w:val="44"/>
          <w:lang w:eastAsia="zh-CN"/>
        </w:rPr>
        <w:t>湖南省生态环境厅</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关于湖南省江背至干杉高速公路变更</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环境影响报告表的批复</w:t>
      </w:r>
      <w:bookmarkEnd w:id="3"/>
    </w:p>
    <w:p>
      <w:pPr>
        <w:keepNext w:val="0"/>
        <w:keepLines w:val="0"/>
        <w:pageBreakBefore w:val="0"/>
        <w:kinsoku/>
        <w:wordWrap/>
        <w:overflowPunct/>
        <w:topLinePunct w:val="0"/>
        <w:autoSpaceDE/>
        <w:autoSpaceDN/>
        <w:bidi w:val="0"/>
        <w:adjustRightInd w:val="0"/>
        <w:snapToGrid w:val="0"/>
        <w:spacing w:line="540" w:lineRule="exact"/>
        <w:textAlignment w:val="auto"/>
        <w:outlineLvl w:val="9"/>
        <w:rPr>
          <w:rFonts w:hint="eastAsia" w:ascii="仿宋_GB2312" w:hAnsi="仿宋_GB2312" w:eastAsia="仿宋_GB2312" w:cs="仿宋_GB2312"/>
          <w:szCs w:val="32"/>
        </w:rPr>
      </w:pPr>
      <w:bookmarkStart w:id="4" w:name="PO_ZS"/>
      <w:r>
        <w:rPr>
          <w:rFonts w:hint="eastAsia" w:ascii="仿宋_GB2312" w:hAnsi="仿宋_GB2312" w:eastAsia="仿宋_GB2312" w:cs="仿宋_GB2312"/>
          <w:szCs w:val="32"/>
          <w:lang w:eastAsia="zh-CN"/>
        </w:rPr>
        <w:t>湖南省高速公路集团有限公司</w:t>
      </w:r>
      <w:bookmarkEnd w:id="4"/>
      <w:r>
        <w:rPr>
          <w:rFonts w:hint="eastAsia" w:ascii="仿宋_GB2312" w:hAnsi="仿宋_GB2312" w:eastAsia="仿宋_GB2312" w:cs="仿宋_GB2312"/>
          <w:szCs w:val="32"/>
        </w:rPr>
        <w:t>：</w:t>
      </w:r>
    </w:p>
    <w:p>
      <w:pPr>
        <w:pStyle w:val="16"/>
        <w:keepNext w:val="0"/>
        <w:keepLines w:val="0"/>
        <w:pageBreakBefore w:val="0"/>
        <w:kinsoku/>
        <w:wordWrap/>
        <w:overflowPunct/>
        <w:topLinePunct w:val="0"/>
        <w:autoSpaceDE/>
        <w:autoSpaceDN/>
        <w:bidi w:val="0"/>
        <w:adjustRightInd w:val="0"/>
        <w:snapToGrid w:val="0"/>
        <w:spacing w:line="540" w:lineRule="exact"/>
        <w:ind w:firstLine="636" w:firstLineChars="200"/>
        <w:textAlignment w:val="auto"/>
        <w:outlineLvl w:val="9"/>
        <w:rPr>
          <w:rFonts w:hint="eastAsia" w:ascii="仿宋_GB2312" w:hAnsi="仿宋_GB2312" w:eastAsia="仿宋_GB2312" w:cs="仿宋_GB2312"/>
          <w:kern w:val="2"/>
          <w:sz w:val="32"/>
          <w:szCs w:val="32"/>
          <w:lang w:val="en-US" w:eastAsia="zh-CN" w:bidi="ar-SA"/>
        </w:rPr>
      </w:pPr>
      <w:bookmarkStart w:id="5" w:name="PO_WORDZW"/>
      <w:r>
        <w:rPr>
          <w:rFonts w:hint="eastAsia" w:ascii="仿宋_GB2312" w:hAnsi="仿宋_GB2312" w:eastAsia="仿宋_GB2312" w:cs="仿宋_GB2312"/>
          <w:kern w:val="2"/>
          <w:sz w:val="32"/>
          <w:szCs w:val="32"/>
          <w:lang w:val="en-US" w:eastAsia="zh-CN" w:bidi="ar-SA"/>
        </w:rPr>
        <w:t>你公司《关于申请审批&lt;湖南省江背至干杉高速公路变更环境影响报告表&gt;的函》、湖南省生态环境事务中心《湖南省江背至干杉高速公路变更环境影响报告表技术评估报告》（湘环评估表〔2019〕33号）及相关资料收悉。经研究，批复如下：</w:t>
      </w:r>
    </w:p>
    <w:p>
      <w:pPr>
        <w:pStyle w:val="16"/>
        <w:keepNext w:val="0"/>
        <w:keepLines w:val="0"/>
        <w:pageBreakBefore w:val="0"/>
        <w:kinsoku/>
        <w:wordWrap/>
        <w:overflowPunct/>
        <w:topLinePunct w:val="0"/>
        <w:autoSpaceDE/>
        <w:autoSpaceDN/>
        <w:bidi w:val="0"/>
        <w:adjustRightInd w:val="0"/>
        <w:snapToGrid w:val="0"/>
        <w:spacing w:line="540" w:lineRule="exact"/>
        <w:ind w:firstLine="636"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关于长沙市江背至干杉公路环境影响报告书的批复》（湘环评[2016]67号）于2016年8月由原湖南省环境保护厅批复,建设单位为湖南省交通运输厅。根据原建设单位和你公司申请，本项目建设单位变更为湖南省高速公路集团有限公司。由于项目设计优化，与原环评相比，主线线路横向位移超出200米的长度累计11.68公里，占原环评总里程19.505公里的59.9%，线路变动导致原有声环境敏感点减少11处，新增19处，新增声环境敏感点数量累计达到原敏感点数量的42.1%。依据《关于印发环评管理中部分行业建设项目重大变动清单的通知》（环办〔2015〕52号）有关要求，属于重大变更，需要重新报批环评文件。</w:t>
      </w:r>
    </w:p>
    <w:p>
      <w:pPr>
        <w:pStyle w:val="16"/>
        <w:keepNext w:val="0"/>
        <w:keepLines w:val="0"/>
        <w:pageBreakBefore w:val="0"/>
        <w:kinsoku/>
        <w:wordWrap/>
        <w:overflowPunct/>
        <w:topLinePunct w:val="0"/>
        <w:autoSpaceDE/>
        <w:autoSpaceDN/>
        <w:bidi w:val="0"/>
        <w:adjustRightInd w:val="0"/>
        <w:snapToGrid w:val="0"/>
        <w:spacing w:line="540" w:lineRule="exact"/>
        <w:ind w:firstLine="636"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二、项目全线位于长沙市，途径长沙县、浏阳市，变更后主</w:t>
      </w:r>
      <w:bookmarkStart w:id="8" w:name="_GoBack"/>
      <w:bookmarkEnd w:id="8"/>
      <w:r>
        <w:rPr>
          <w:rFonts w:hint="eastAsia" w:ascii="仿宋_GB2312" w:hAnsi="仿宋_GB2312" w:eastAsia="仿宋_GB2312" w:cs="仿宋_GB2312"/>
          <w:kern w:val="2"/>
          <w:sz w:val="32"/>
          <w:szCs w:val="32"/>
          <w:lang w:val="en-US" w:eastAsia="zh-CN" w:bidi="ar-SA"/>
        </w:rPr>
        <w:t>线长度为20.861公里，设计时速100公里/小时，路基宽度25.5米，按双向四车道高速公路标准建设。变更后全线共设大桥2039.82米/8座，涵洞20道，互通式立交3处，收费站2处，服务区1处。工程总投资19.56亿元，工期3年。在全面落实环境影响报告表及本批复提出的各项环境保护措施后，工程营运对环境的不利影响能够得到缓解和控制。因此我厅原则同意该工程环境影响报告表中的环境影响评价结论和生态环境保护措施。</w:t>
      </w:r>
    </w:p>
    <w:p>
      <w:pPr>
        <w:pStyle w:val="16"/>
        <w:keepNext w:val="0"/>
        <w:keepLines w:val="0"/>
        <w:pageBreakBefore w:val="0"/>
        <w:kinsoku/>
        <w:wordWrap/>
        <w:overflowPunct/>
        <w:topLinePunct w:val="0"/>
        <w:autoSpaceDE/>
        <w:autoSpaceDN/>
        <w:bidi w:val="0"/>
        <w:adjustRightInd w:val="0"/>
        <w:snapToGrid w:val="0"/>
        <w:spacing w:line="540" w:lineRule="exact"/>
        <w:ind w:firstLine="636"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三、工程在后续建设与管理营运中，须全面落实变更环境影响报告表提出的各项环保措施，并着重做好以下工作：</w:t>
      </w:r>
    </w:p>
    <w:p>
      <w:pPr>
        <w:keepNext w:val="0"/>
        <w:keepLines w:val="0"/>
        <w:pageBreakBefore w:val="0"/>
        <w:kinsoku/>
        <w:wordWrap/>
        <w:overflowPunct/>
        <w:topLinePunct w:val="0"/>
        <w:autoSpaceDE/>
        <w:autoSpaceDN/>
        <w:bidi w:val="0"/>
        <w:adjustRightInd w:val="0"/>
        <w:snapToGrid w:val="0"/>
        <w:spacing w:line="540" w:lineRule="exact"/>
        <w:ind w:firstLine="636"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按环评报告要求，对敏感点营运期声环境预测超标路段设置隔声屏障、安装通风式隔声窗及预留环保资金等措施，确保道路两侧达到《声环境质量标准》（GB3096－2008）要求。运营期加强沿线敏感点的噪声跟踪监测，并根据监测结果及时增补、完善降噪措施。积极配合地方人民政府按规划要求，控制沿线土地使用，在主线中心线两侧231米范围不得新建学校、医院、集中居住区等声环境敏感建筑物（群）。</w:t>
      </w:r>
    </w:p>
    <w:p>
      <w:pPr>
        <w:keepNext w:val="0"/>
        <w:keepLines w:val="0"/>
        <w:pageBreakBefore w:val="0"/>
        <w:kinsoku/>
        <w:wordWrap/>
        <w:overflowPunct/>
        <w:topLinePunct w:val="0"/>
        <w:autoSpaceDE/>
        <w:autoSpaceDN/>
        <w:bidi w:val="0"/>
        <w:adjustRightInd w:val="0"/>
        <w:snapToGrid w:val="0"/>
        <w:spacing w:line="540" w:lineRule="exact"/>
        <w:ind w:firstLine="636"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2、服务区、收费站设置二级生化处理装置，生活污水经处理达标后外排或回用。</w:t>
      </w:r>
    </w:p>
    <w:p>
      <w:pPr>
        <w:keepNext w:val="0"/>
        <w:keepLines w:val="0"/>
        <w:pageBreakBefore w:val="0"/>
        <w:kinsoku/>
        <w:wordWrap/>
        <w:overflowPunct/>
        <w:topLinePunct w:val="0"/>
        <w:autoSpaceDE/>
        <w:autoSpaceDN/>
        <w:bidi w:val="0"/>
        <w:adjustRightInd w:val="0"/>
        <w:snapToGrid w:val="0"/>
        <w:spacing w:line="540" w:lineRule="exact"/>
        <w:ind w:firstLine="636"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3、按照环评报告要求，取消4</w:t>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vertAlign w:val="superscript"/>
          <w:lang w:val="en-US" w:eastAsia="zh-CN" w:bidi="ar-SA"/>
        </w:rPr>
        <w:t>#</w:t>
      </w:r>
      <w:r>
        <w:rPr>
          <w:rFonts w:hint="eastAsia" w:ascii="仿宋_GB2312" w:hAnsi="仿宋_GB2312" w:eastAsia="仿宋_GB2312" w:cs="仿宋_GB2312"/>
          <w:kern w:val="2"/>
          <w:sz w:val="32"/>
          <w:szCs w:val="32"/>
          <w:lang w:val="en-US" w:eastAsia="zh-CN" w:bidi="ar-SA"/>
        </w:rPr>
        <w:t>弃渣场。取土场、弃渣场、施工生活生产区、沥青混凝土搅拌站等临时工程不得设置于生态红线等敏感区域内。</w:t>
      </w:r>
    </w:p>
    <w:p>
      <w:pPr>
        <w:keepNext w:val="0"/>
        <w:keepLines w:val="0"/>
        <w:pageBreakBefore w:val="0"/>
        <w:kinsoku/>
        <w:wordWrap/>
        <w:overflowPunct/>
        <w:topLinePunct w:val="0"/>
        <w:autoSpaceDE/>
        <w:autoSpaceDN/>
        <w:bidi w:val="0"/>
        <w:adjustRightInd w:val="0"/>
        <w:snapToGrid w:val="0"/>
        <w:spacing w:line="540" w:lineRule="exact"/>
        <w:ind w:firstLine="636"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4、施工中严格执行长沙市扬尘污染防治要求，控</w:t>
      </w:r>
      <w:r>
        <w:rPr>
          <w:rFonts w:hint="eastAsia" w:ascii="仿宋_GB2312" w:hAnsi="仿宋_GB2312" w:eastAsia="仿宋_GB2312" w:cs="仿宋_GB2312"/>
          <w:sz w:val="32"/>
          <w:szCs w:val="32"/>
          <w:lang w:eastAsia="zh-CN"/>
        </w:rPr>
        <w:t>制扬尘污染</w:t>
      </w:r>
      <w:r>
        <w:rPr>
          <w:rFonts w:hint="eastAsia" w:ascii="仿宋_GB2312" w:hAnsi="仿宋_GB2312" w:eastAsia="仿宋_GB2312" w:cs="仿宋_GB2312"/>
          <w:sz w:val="32"/>
          <w:szCs w:val="32"/>
        </w:rPr>
        <w:t>。对各施工工地、各种粉状物料贮存场等，采取设置围挡墙、防尘网和喷洒抑尘剂等有效的防尘、抑尘措施，防止颗粒物逸散；设置车辆清洗装置，实行粉状物料及渣土车辆密闭运输，保持行驶车辆的清洁</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firstLine="63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其它要求仍按湘环评〔201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号文件执行。</w:t>
      </w:r>
    </w:p>
    <w:p>
      <w:pPr>
        <w:keepNext w:val="0"/>
        <w:keepLines w:val="0"/>
        <w:pageBreakBefore w:val="0"/>
        <w:kinsoku/>
        <w:wordWrap/>
        <w:overflowPunct/>
        <w:topLinePunct w:val="0"/>
        <w:autoSpaceDE/>
        <w:autoSpaceDN/>
        <w:bidi w:val="0"/>
        <w:adjustRightInd w:val="0"/>
        <w:snapToGrid w:val="0"/>
        <w:spacing w:line="540" w:lineRule="exact"/>
        <w:ind w:firstLine="63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环境影响报告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经批准后，该项目的性质、规模、地点、生产工艺和环境保护措施发生重大变动的，须重新报批。自</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批复文件批准之日起，如超过5年方决定工程开工建设的，应当报我厅重新审核。</w:t>
      </w:r>
    </w:p>
    <w:p>
      <w:pPr>
        <w:keepNext w:val="0"/>
        <w:keepLines w:val="0"/>
        <w:pageBreakBefore w:val="0"/>
        <w:kinsoku/>
        <w:wordWrap/>
        <w:overflowPunct/>
        <w:topLinePunct w:val="0"/>
        <w:autoSpaceDE/>
        <w:autoSpaceDN/>
        <w:bidi w:val="0"/>
        <w:adjustRightInd w:val="0"/>
        <w:snapToGrid w:val="0"/>
        <w:spacing w:line="540" w:lineRule="exact"/>
        <w:ind w:firstLine="63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目建设必须严格执行配套的环境保护设施与主体工程同时设计、同时施工、同时投产使用的环境保护“三同时”制度。开展工程环境监理，在施工招标文件、施工合同和工程监理招标文件中明确环保条款和责任，环保投资必须纳入工程投资概算。项目完工后应按规定程序实施竣工环境保护验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六</w:t>
      </w:r>
      <w:r>
        <w:rPr>
          <w:rFonts w:hint="eastAsia" w:ascii="仿宋_GB2312" w:hAnsi="仿宋_GB2312" w:eastAsia="仿宋_GB2312" w:cs="仿宋_GB2312"/>
          <w:sz w:val="32"/>
          <w:szCs w:val="32"/>
        </w:rPr>
        <w:t>、长沙市生态环境局</w:t>
      </w:r>
      <w:r>
        <w:rPr>
          <w:rFonts w:hint="eastAsia" w:ascii="仿宋_GB2312" w:hAnsi="仿宋_GB2312" w:eastAsia="仿宋_GB2312" w:cs="仿宋_GB2312"/>
          <w:sz w:val="32"/>
          <w:szCs w:val="32"/>
          <w:lang w:eastAsia="zh-CN"/>
        </w:rPr>
        <w:t>、长沙市生态环境局</w:t>
      </w:r>
      <w:r>
        <w:rPr>
          <w:rFonts w:hint="eastAsia" w:ascii="仿宋_GB2312" w:hAnsi="仿宋_GB2312" w:eastAsia="仿宋_GB2312" w:cs="仿宋_GB2312"/>
          <w:sz w:val="32"/>
          <w:szCs w:val="32"/>
        </w:rPr>
        <w:t>长沙县</w:t>
      </w:r>
      <w:r>
        <w:rPr>
          <w:rFonts w:hint="eastAsia" w:ascii="仿宋_GB2312" w:hAnsi="仿宋_GB2312" w:eastAsia="仿宋_GB2312" w:cs="仿宋_GB2312"/>
          <w:sz w:val="32"/>
          <w:szCs w:val="32"/>
          <w:lang w:eastAsia="zh-CN"/>
        </w:rPr>
        <w:t>分局、</w:t>
      </w:r>
      <w:r>
        <w:rPr>
          <w:rFonts w:hint="eastAsia" w:ascii="仿宋_GB2312" w:hAnsi="仿宋_GB2312" w:eastAsia="仿宋_GB2312" w:cs="仿宋_GB2312"/>
          <w:sz w:val="32"/>
          <w:szCs w:val="32"/>
        </w:rPr>
        <w:t>长沙市生态环境局</w:t>
      </w:r>
      <w:r>
        <w:rPr>
          <w:rFonts w:hint="eastAsia" w:ascii="仿宋_GB2312" w:hAnsi="仿宋_GB2312" w:eastAsia="仿宋_GB2312" w:cs="仿宋_GB2312"/>
          <w:sz w:val="32"/>
          <w:szCs w:val="32"/>
          <w:lang w:eastAsia="zh-CN"/>
        </w:rPr>
        <w:t>浏阳市分局</w:t>
      </w:r>
      <w:r>
        <w:rPr>
          <w:rFonts w:hint="eastAsia" w:ascii="仿宋_GB2312" w:hAnsi="仿宋_GB2312" w:eastAsia="仿宋_GB2312" w:cs="仿宋_GB2312"/>
          <w:sz w:val="32"/>
          <w:szCs w:val="32"/>
        </w:rPr>
        <w:t>具体负责本项目“三同时”监督检查和管理工作。你公司应在收到本批复后的15个工作日内，将批复批准后的环境影响报告文件送至上述环境管理部门并按规定接受各级生态环境管理部门的日常监督检查。</w:t>
      </w:r>
    </w:p>
    <w:p>
      <w:pPr>
        <w:keepNext w:val="0"/>
        <w:keepLines w:val="0"/>
        <w:pageBreakBefore w:val="0"/>
        <w:kinsoku/>
        <w:wordWrap/>
        <w:overflowPunct/>
        <w:topLinePunct w:val="0"/>
        <w:autoSpaceDE/>
        <w:autoSpaceDN/>
        <w:bidi w:val="0"/>
        <w:adjustRightInd w:val="0"/>
        <w:snapToGrid w:val="0"/>
        <w:spacing w:line="540" w:lineRule="exact"/>
        <w:ind w:firstLine="636"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36"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36"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36"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5088" w:firstLineChars="1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湖南省生态环境厅</w:t>
      </w:r>
    </w:p>
    <w:p>
      <w:pPr>
        <w:keepNext w:val="0"/>
        <w:keepLines w:val="0"/>
        <w:pageBreakBefore w:val="0"/>
        <w:tabs>
          <w:tab w:val="left" w:pos="7608"/>
          <w:tab w:val="left" w:pos="7925"/>
        </w:tabs>
        <w:kinsoku/>
        <w:wordWrap/>
        <w:overflowPunct/>
        <w:topLinePunct w:val="0"/>
        <w:autoSpaceDE/>
        <w:autoSpaceDN/>
        <w:bidi w:val="0"/>
        <w:adjustRightInd w:val="0"/>
        <w:snapToGrid w:val="0"/>
        <w:spacing w:line="540" w:lineRule="exact"/>
        <w:ind w:firstLine="5088" w:firstLineChars="160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日</w:t>
      </w:r>
    </w:p>
    <w:bookmarkEnd w:id="5"/>
    <w:p>
      <w:pPr>
        <w:snapToGrid w:val="0"/>
        <w:spacing w:line="580" w:lineRule="exact"/>
        <w:jc w:val="center"/>
        <w:rPr>
          <w:rFonts w:hint="eastAsia" w:ascii="仿宋_GB2312" w:hAnsi="仿宋" w:eastAsia="仿宋_GB2312"/>
          <w:szCs w:val="32"/>
          <w:lang w:eastAsia="zh-CN"/>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tbl>
      <w:tblPr>
        <w:tblStyle w:val="12"/>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7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tcPr>
          <w:p>
            <w:pPr>
              <w:tabs>
                <w:tab w:val="left" w:pos="420"/>
              </w:tabs>
              <w:snapToGrid w:val="0"/>
              <w:spacing w:line="580" w:lineRule="exact"/>
              <w:ind w:right="-63" w:rightChars="-20"/>
              <w:jc w:val="right"/>
              <w:rPr>
                <w:rFonts w:ascii="仿宋_GB2312" w:hAnsi="仿宋"/>
                <w:sz w:val="28"/>
                <w:szCs w:val="28"/>
              </w:rPr>
            </w:pPr>
            <w:bookmarkStart w:id="6" w:name="PO_HCS"/>
            <w:r>
              <w:rPr>
                <w:rFonts w:hint="eastAsia" w:ascii="仿宋_GB2312" w:hAnsi="仿宋"/>
                <w:sz w:val="28"/>
                <w:szCs w:val="28"/>
              </w:rPr>
              <w:t>抄送：</w:t>
            </w:r>
          </w:p>
        </w:tc>
        <w:tc>
          <w:tcPr>
            <w:tcW w:w="7733" w:type="dxa"/>
          </w:tcPr>
          <w:p>
            <w:pPr>
              <w:tabs>
                <w:tab w:val="left" w:pos="34"/>
              </w:tabs>
              <w:snapToGrid w:val="0"/>
              <w:spacing w:line="580" w:lineRule="exact"/>
              <w:ind w:left="-127" w:leftChars="-40"/>
              <w:rPr>
                <w:rFonts w:hint="eastAsia" w:ascii="仿宋_GB2312" w:hAnsi="仿宋" w:eastAsia="仿宋_GB2312"/>
                <w:sz w:val="28"/>
                <w:szCs w:val="28"/>
                <w:lang w:eastAsia="zh-CN"/>
              </w:rPr>
            </w:pPr>
            <w:bookmarkStart w:id="7" w:name="PO_CS"/>
            <w:r>
              <w:rPr>
                <w:rFonts w:hint="eastAsia" w:ascii="仿宋_GB2312" w:hAnsi="仿宋"/>
                <w:sz w:val="28"/>
                <w:szCs w:val="28"/>
                <w:lang w:eastAsia="zh-CN"/>
              </w:rPr>
              <w:t>长沙市生态环境局，长沙市生态环境局长沙县分局，长沙市生态环境局浏阳市分局，交通运输部环境保护中心。</w:t>
            </w:r>
            <w:bookmarkEnd w:id="7"/>
          </w:p>
        </w:tc>
      </w:tr>
      <w:bookmarkEnd w:id="6"/>
    </w:tbl>
    <w:p>
      <w:pPr>
        <w:snapToGrid w:val="0"/>
        <w:spacing w:line="20" w:lineRule="exact"/>
        <w:rPr>
          <w:rFonts w:ascii="仿宋" w:hAnsi="仿宋" w:eastAsia="仿宋"/>
          <w:sz w:val="28"/>
          <w:szCs w:val="28"/>
        </w:rPr>
      </w:pPr>
    </w:p>
    <w:sectPr>
      <w:footerReference r:id="rId6" w:type="first"/>
      <w:headerReference r:id="rId3" w:type="default"/>
      <w:footerReference r:id="rId4" w:type="default"/>
      <w:footerReference r:id="rId5" w:type="even"/>
      <w:pgSz w:w="11906" w:h="16838"/>
      <w:pgMar w:top="1701" w:right="1474" w:bottom="1134" w:left="1531" w:header="851" w:footer="964" w:gutter="0"/>
      <w:pgNumType w:fmt="numberInDash" w:start="1"/>
      <w:cols w:space="425" w:num="1"/>
      <w:titlePg/>
      <w:docGrid w:type="linesAndChars" w:linePitch="636"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9639" w:type="dxa"/>
      <w:jc w:val="center"/>
      <w:tblInd w:w="0" w:type="dxa"/>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jc w:val="center"/>
            <w:rPr>
              <w:rFonts w:ascii="仿宋" w:hAnsi="仿宋" w:eastAsia="仿宋"/>
              <w:szCs w:val="32"/>
            </w:rPr>
          </w:pPr>
        </w:p>
      </w:tc>
    </w:tr>
  </w:tbl>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9"/>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CD"/>
    <w:rsid w:val="000018A4"/>
    <w:rsid w:val="0008116F"/>
    <w:rsid w:val="00096CA7"/>
    <w:rsid w:val="00113138"/>
    <w:rsid w:val="00127DB4"/>
    <w:rsid w:val="0013611A"/>
    <w:rsid w:val="0015189C"/>
    <w:rsid w:val="00274F99"/>
    <w:rsid w:val="0032353B"/>
    <w:rsid w:val="00344D90"/>
    <w:rsid w:val="0036090C"/>
    <w:rsid w:val="003A7105"/>
    <w:rsid w:val="003F1F5E"/>
    <w:rsid w:val="00437F51"/>
    <w:rsid w:val="004B2F2F"/>
    <w:rsid w:val="004C7089"/>
    <w:rsid w:val="00524CFA"/>
    <w:rsid w:val="00565A76"/>
    <w:rsid w:val="0058034D"/>
    <w:rsid w:val="00661170"/>
    <w:rsid w:val="006E2544"/>
    <w:rsid w:val="007519AE"/>
    <w:rsid w:val="007A344D"/>
    <w:rsid w:val="007B7838"/>
    <w:rsid w:val="00813A1A"/>
    <w:rsid w:val="008227CD"/>
    <w:rsid w:val="00891764"/>
    <w:rsid w:val="008F4EEE"/>
    <w:rsid w:val="0092036D"/>
    <w:rsid w:val="0095573C"/>
    <w:rsid w:val="00980A26"/>
    <w:rsid w:val="00986208"/>
    <w:rsid w:val="00986EC4"/>
    <w:rsid w:val="009E158F"/>
    <w:rsid w:val="009E3E73"/>
    <w:rsid w:val="00A27282"/>
    <w:rsid w:val="00A75841"/>
    <w:rsid w:val="00AB5B59"/>
    <w:rsid w:val="00AC1A6C"/>
    <w:rsid w:val="00AC7BC4"/>
    <w:rsid w:val="00B21D70"/>
    <w:rsid w:val="00B54EBE"/>
    <w:rsid w:val="00B73227"/>
    <w:rsid w:val="00BA595C"/>
    <w:rsid w:val="00BE3ECE"/>
    <w:rsid w:val="00C12C4E"/>
    <w:rsid w:val="00C5168F"/>
    <w:rsid w:val="00CC51EE"/>
    <w:rsid w:val="00D05766"/>
    <w:rsid w:val="00D07E63"/>
    <w:rsid w:val="00D33BDD"/>
    <w:rsid w:val="00D63CED"/>
    <w:rsid w:val="00D7308B"/>
    <w:rsid w:val="00DB2C73"/>
    <w:rsid w:val="00DE5B5F"/>
    <w:rsid w:val="00E12FE0"/>
    <w:rsid w:val="00E250DB"/>
    <w:rsid w:val="00EE13C7"/>
    <w:rsid w:val="00F37F4D"/>
    <w:rsid w:val="00F47020"/>
    <w:rsid w:val="00F7783E"/>
    <w:rsid w:val="00FA3326"/>
    <w:rsid w:val="19B9188E"/>
    <w:rsid w:val="2B4D7F3C"/>
    <w:rsid w:val="32460564"/>
    <w:rsid w:val="3EFA0678"/>
    <w:rsid w:val="48000E1F"/>
    <w:rsid w:val="68C955F2"/>
    <w:rsid w:val="6D222129"/>
    <w:rsid w:val="6E345889"/>
    <w:rsid w:val="7F4330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9">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adjustRightInd w:val="0"/>
      <w:spacing w:after="0" w:line="360" w:lineRule="auto"/>
      <w:ind w:firstLine="505"/>
    </w:pPr>
    <w:rPr>
      <w:rFonts w:asciiTheme="minorHAnsi" w:hAnsiTheme="minorHAnsi" w:eastAsiaTheme="minorEastAsia" w:cstheme="minorBidi"/>
      <w:snapToGrid w:val="0"/>
      <w:kern w:val="28"/>
      <w:sz w:val="24"/>
      <w:szCs w:val="22"/>
    </w:rPr>
  </w:style>
  <w:style w:type="paragraph" w:styleId="3">
    <w:name w:val="Body Text"/>
    <w:basedOn w:val="1"/>
    <w:semiHidden/>
    <w:unhideWhenUsed/>
    <w:qFormat/>
    <w:uiPriority w:val="99"/>
    <w:pPr>
      <w:spacing w:after="120"/>
    </w:pPr>
    <w:rPr>
      <w:rFonts w:asciiTheme="minorHAnsi" w:hAnsiTheme="minorHAnsi" w:eastAsiaTheme="minorEastAsia" w:cstheme="minorBidi"/>
      <w:sz w:val="21"/>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rPr>
  </w:style>
  <w:style w:type="paragraph" w:styleId="7">
    <w:name w:val="toc 1"/>
    <w:basedOn w:val="1"/>
    <w:next w:val="1"/>
    <w:unhideWhenUsed/>
    <w:qFormat/>
    <w:uiPriority w:val="39"/>
    <w:rPr>
      <w:rFonts w:asciiTheme="minorHAnsi" w:hAnsiTheme="minorHAnsi" w:eastAsiaTheme="minorEastAsia" w:cstheme="minorBidi"/>
      <w:sz w:val="21"/>
      <w:szCs w:val="22"/>
    </w:rPr>
  </w:style>
  <w:style w:type="paragraph" w:styleId="8">
    <w:name w:val="toc 2"/>
    <w:basedOn w:val="1"/>
    <w:next w:val="1"/>
    <w:unhideWhenUsed/>
    <w:qFormat/>
    <w:uiPriority w:val="39"/>
    <w:pPr>
      <w:ind w:left="420" w:leftChars="200"/>
    </w:pPr>
    <w:rPr>
      <w:rFonts w:asciiTheme="minorHAnsi" w:hAnsiTheme="minorHAnsi" w:eastAsiaTheme="minorEastAsia" w:cstheme="minorBidi"/>
      <w:sz w:val="21"/>
      <w:szCs w:val="22"/>
    </w:rPr>
  </w:style>
  <w:style w:type="character" w:styleId="10">
    <w:name w:val="Hyperlink"/>
    <w:basedOn w:val="9"/>
    <w:unhideWhenUsed/>
    <w:qFormat/>
    <w:uiPriority w:val="99"/>
    <w:rPr>
      <w:rFonts w:ascii="Calibri" w:hAnsi="Calibri" w:eastAsia="宋体" w:cs="Times New Roman"/>
      <w:color w:val="0563C1" w:themeColor="hyperlink"/>
      <w:u w:val="single"/>
      <w14:textFill>
        <w14:solidFill>
          <w14:schemeClr w14:val="hlink"/>
        </w14:solidFill>
      </w14:textFill>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3">
    <w:name w:val="页脚 Char"/>
    <w:basedOn w:val="9"/>
    <w:link w:val="5"/>
    <w:qFormat/>
    <w:uiPriority w:val="99"/>
    <w:rPr>
      <w:rFonts w:ascii="Times New Roman" w:hAnsi="Times New Roman" w:eastAsia="仿宋_GB2312" w:cs="Times New Roman"/>
      <w:sz w:val="18"/>
      <w:szCs w:val="20"/>
    </w:rPr>
  </w:style>
  <w:style w:type="character" w:customStyle="1" w:styleId="14">
    <w:name w:val="页眉 Char"/>
    <w:basedOn w:val="9"/>
    <w:link w:val="6"/>
    <w:qFormat/>
    <w:uiPriority w:val="0"/>
    <w:rPr>
      <w:rFonts w:ascii="Times New Roman" w:hAnsi="Times New Roman" w:eastAsia="仿宋_GB2312" w:cs="Times New Roman"/>
      <w:sz w:val="18"/>
      <w:szCs w:val="20"/>
    </w:rPr>
  </w:style>
  <w:style w:type="character" w:customStyle="1" w:styleId="15">
    <w:name w:val="批注框文本 Char"/>
    <w:basedOn w:val="9"/>
    <w:link w:val="4"/>
    <w:semiHidden/>
    <w:qFormat/>
    <w:uiPriority w:val="99"/>
    <w:rPr>
      <w:rFonts w:ascii="Times New Roman" w:hAnsi="Times New Roman" w:eastAsia="仿宋_GB2312" w:cs="Times New Roman"/>
      <w:sz w:val="18"/>
      <w:szCs w:val="18"/>
    </w:rPr>
  </w:style>
  <w:style w:type="paragraph" w:customStyle="1" w:styleId="16">
    <w:name w:val="缩进W"/>
    <w:qFormat/>
    <w:uiPriority w:val="0"/>
    <w:pPr>
      <w:spacing w:line="360" w:lineRule="auto"/>
      <w:ind w:firstLine="480" w:firstLineChars="200"/>
      <w:jc w:val="both"/>
    </w:pPr>
    <w:rPr>
      <w:rFonts w:ascii="Times New Roman" w:hAnsi="Times New Roman" w:eastAsiaTheme="minorEastAsia" w:cstheme="minorBidi"/>
      <w:kern w:val="2"/>
      <w:sz w:val="24"/>
      <w:szCs w:val="22"/>
      <w:lang w:val="en-US" w:eastAsia="zh-CN" w:bidi="ar-SA"/>
    </w:rPr>
  </w:style>
  <w:style w:type="paragraph" w:customStyle="1" w:styleId="17">
    <w:name w:val="标题1W"/>
    <w:next w:val="1"/>
    <w:qFormat/>
    <w:uiPriority w:val="0"/>
    <w:pPr>
      <w:spacing w:before="156" w:beforeLines="50" w:after="156" w:afterLines="50" w:line="360" w:lineRule="auto"/>
      <w:outlineLvl w:val="0"/>
    </w:pPr>
    <w:rPr>
      <w:rFonts w:ascii="Times New Roman" w:hAnsi="Times New Roman" w:eastAsiaTheme="minorEastAsia" w:cstheme="minorBidi"/>
      <w:b/>
      <w:kern w:val="2"/>
      <w:sz w:val="32"/>
      <w:szCs w:val="22"/>
      <w:lang w:val="en-US" w:eastAsia="zh-CN" w:bidi="ar-SA"/>
    </w:rPr>
  </w:style>
  <w:style w:type="paragraph" w:customStyle="1" w:styleId="18">
    <w:name w:val="标题2W"/>
    <w:next w:val="1"/>
    <w:qFormat/>
    <w:uiPriority w:val="0"/>
    <w:pPr>
      <w:spacing w:before="156" w:beforeLines="50" w:after="156" w:afterLines="50" w:line="360" w:lineRule="auto"/>
      <w:outlineLvl w:val="1"/>
    </w:pPr>
    <w:rPr>
      <w:rFonts w:ascii="Times New Roman" w:hAnsi="Times New Roman" w:eastAsiaTheme="minorEastAsia" w:cstheme="minorBidi"/>
      <w:b/>
      <w:kern w:val="2"/>
      <w:sz w:val="30"/>
      <w:szCs w:val="22"/>
      <w:lang w:val="en-US" w:eastAsia="zh-CN" w:bidi="ar-SA"/>
    </w:rPr>
  </w:style>
  <w:style w:type="paragraph" w:customStyle="1" w:styleId="19">
    <w:name w:val="标题3W"/>
    <w:next w:val="1"/>
    <w:qFormat/>
    <w:uiPriority w:val="0"/>
    <w:pPr>
      <w:spacing w:before="50" w:beforeLines="50" w:after="50" w:afterLines="50" w:line="360" w:lineRule="auto"/>
      <w:outlineLvl w:val="2"/>
    </w:pPr>
    <w:rPr>
      <w:rFonts w:ascii="Times New Roman" w:hAnsi="Times New Roman" w:eastAsiaTheme="minorEastAsia" w:cstheme="minorBidi"/>
      <w:b/>
      <w:kern w:val="2"/>
      <w:sz w:val="28"/>
      <w:szCs w:val="22"/>
      <w:lang w:val="en-US" w:eastAsia="zh-CN" w:bidi="ar-SA"/>
    </w:rPr>
  </w:style>
  <w:style w:type="paragraph" w:customStyle="1" w:styleId="20">
    <w:name w:val="标题4W"/>
    <w:next w:val="1"/>
    <w:qFormat/>
    <w:uiPriority w:val="0"/>
    <w:pPr>
      <w:spacing w:line="360" w:lineRule="auto"/>
      <w:outlineLvl w:val="3"/>
    </w:pPr>
    <w:rPr>
      <w:rFonts w:ascii="Times New Roman" w:hAnsi="Times New Roman" w:eastAsiaTheme="minorEastAsia" w:cstheme="minorBidi"/>
      <w:b/>
      <w:kern w:val="2"/>
      <w:sz w:val="24"/>
      <w:szCs w:val="22"/>
      <w:lang w:val="en-US" w:eastAsia="zh-CN" w:bidi="ar-SA"/>
    </w:rPr>
  </w:style>
  <w:style w:type="paragraph" w:customStyle="1" w:styleId="21">
    <w:name w:val="题注W"/>
    <w:next w:val="1"/>
    <w:qFormat/>
    <w:uiPriority w:val="0"/>
    <w:pPr>
      <w:jc w:val="center"/>
    </w:pPr>
    <w:rPr>
      <w:rFonts w:ascii="Times New Roman" w:hAnsi="Times New Roman" w:eastAsiaTheme="minorEastAsia" w:cstheme="minorBidi"/>
      <w:b/>
      <w:kern w:val="2"/>
      <w:sz w:val="24"/>
      <w:szCs w:val="22"/>
      <w:lang w:val="en-US" w:eastAsia="zh-CN" w:bidi="ar-SA"/>
    </w:rPr>
  </w:style>
  <w:style w:type="paragraph" w:customStyle="1" w:styleId="22">
    <w:name w:val="表格内容W"/>
    <w:next w:val="1"/>
    <w:qFormat/>
    <w:uiPriority w:val="0"/>
    <w:pPr>
      <w:jc w:val="center"/>
    </w:pPr>
    <w:rPr>
      <w:rFonts w:ascii="Times New Roman" w:hAnsi="Times New Roman"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F3433C-AD5F-4FB5-8ECA-E8C6BCD8E0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1530</Words>
  <Characters>1617</Characters>
  <Lines>4</Lines>
  <Paragraphs>1</Paragraphs>
  <TotalTime>13</TotalTime>
  <ScaleCrop>false</ScaleCrop>
  <LinksUpToDate>false</LinksUpToDate>
  <CharactersWithSpaces>1621</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2018-11-01T09:35:00Z</dcterms:created>
  <dc:creator>WONG</dc:creator>
  <cp:lastModifiedBy>柳郁</cp:lastModifiedBy>
  <cp:lastPrinted>2017-03-08T06:38:00Z</cp:lastPrinted>
  <dcterms:modified xsi:type="dcterms:W3CDTF">2020-01-07T07:33:42Z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